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163830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4"/>
          <w:szCs w:val="24"/>
          <w:color w:val="auto"/>
        </w:rPr>
      </w:pPr>
    </w:p>
    <w:p>
      <w:pPr>
        <w:ind w:left="940" w:right="160" w:hanging="835"/>
        <w:spacing w:after="0" w:line="235" w:lineRule="auto"/>
        <w:tabs>
          <w:tab w:leader="none" w:pos="9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940" w:right="140" w:hanging="835"/>
        <w:spacing w:after="0" w:line="249" w:lineRule="auto"/>
        <w:tabs>
          <w:tab w:leader="none" w:pos="9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8"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tbl>
      <w:tblPr>
        <w:tblLayout w:type="fixed"/>
        <w:tblInd w:w="1440" w:type="dxa"/>
        <w:tblCellMar>
          <w:top w:w="0" w:type="dxa"/>
          <w:left w:w="0" w:type="dxa"/>
          <w:bottom w:w="0" w:type="dxa"/>
          <w:right w:w="0" w:type="dxa"/>
        </w:tblCellMar>
      </w:tblPr>
      <w:tr>
        <w:trPr>
          <w:trHeight w:val="227"/>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c>
          <w:tcPr>
            <w:tcW w:w="0" w:type="dxa"/>
            <w:vAlign w:val="bottom"/>
          </w:tcPr>
          <w:p>
            <w:pPr>
              <w:spacing w:after="0"/>
              <w:rPr>
                <w:sz w:val="1"/>
                <w:szCs w:val="1"/>
                <w:color w:val="auto"/>
              </w:rPr>
            </w:pPr>
          </w:p>
        </w:tc>
      </w:tr>
      <w:tr>
        <w:trPr>
          <w:trHeight w:val="162"/>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96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c>
          <w:tcPr>
            <w:tcW w:w="0" w:type="dxa"/>
            <w:vAlign w:val="bottom"/>
          </w:tcPr>
          <w:p>
            <w:pPr>
              <w:spacing w:after="0"/>
              <w:rPr>
                <w:sz w:val="1"/>
                <w:szCs w:val="1"/>
                <w:color w:val="auto"/>
              </w:rPr>
            </w:pPr>
          </w:p>
        </w:tc>
      </w:tr>
      <w:tr>
        <w:trPr>
          <w:trHeight w:val="227"/>
        </w:trPr>
        <w:tc>
          <w:tcPr>
            <w:tcW w:w="460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279400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149"/>
        </w:trPr>
        <w:tc>
          <w:tcPr>
            <w:tcW w:w="3780" w:type="dxa"/>
            <w:vAlign w:val="bottom"/>
            <w:tcBorders>
              <w:left w:val="single" w:sz="8" w:color="auto"/>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4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9" w:right="339" w:bottom="1440" w:gutter="0" w:footer="0" w:header="0"/>
        </w:sectPr>
      </w:pPr>
    </w:p>
    <w:p>
      <w:pPr>
        <w:spacing w:after="0" w:line="153" w:lineRule="exact"/>
        <w:rPr>
          <w:sz w:val="24"/>
          <w:szCs w:val="24"/>
          <w:color w:val="auto"/>
        </w:rPr>
      </w:pPr>
    </w:p>
    <w:p>
      <w:pPr>
        <w:ind w:left="20"/>
        <w:spacing w:after="0" w:line="161" w:lineRule="exact"/>
        <w:tabs>
          <w:tab w:leader="none" w:pos="2900" w:val="left"/>
          <w:tab w:leader="none" w:pos="79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49" w:lineRule="exact"/>
        <w:rPr>
          <w:sz w:val="24"/>
          <w:szCs w:val="24"/>
          <w:color w:val="auto"/>
        </w:rPr>
      </w:pPr>
    </w:p>
    <w:p>
      <w:pPr>
        <w:ind w:left="20"/>
        <w:spacing w:after="0" w:line="161" w:lineRule="exact"/>
        <w:tabs>
          <w:tab w:leader="none" w:pos="2900" w:val="left"/>
          <w:tab w:leader="none" w:pos="79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66"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jc w:val="both"/>
        <w:ind w:right="306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$.01 par value per share, outstanding at November 1, 2022 was 80,983,301.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440"/>
          </w:cols>
          <w:pgMar w:left="320" w:top="749"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00" w:type="dxa"/>
            <w:vAlign w:val="bottom"/>
          </w:tcPr>
          <w:p>
            <w:pPr>
              <w:spacing w:after="0"/>
              <w:rPr>
                <w:sz w:val="13"/>
                <w:szCs w:val="13"/>
                <w:color w:val="auto"/>
              </w:rPr>
            </w:pP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9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2022 (Unaudited) and December 31, 2021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2022 and 2021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Schedules of Investments as of September 30, 2022 (Unaudited) and December 31, 2021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Changes in Net Assets for the three and nine months ended September 30, 2022 and 2021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89"/>
              </w:rPr>
              <w:t>(Unaudited)</w:t>
            </w:r>
          </w:p>
        </w:tc>
        <w:tc>
          <w:tcPr>
            <w:tcW w:w="20" w:type="dxa"/>
            <w:vAlign w:val="bottom"/>
            <w:tcBorders>
              <w:top w:val="single" w:sz="8" w:color="0000FF"/>
              <w:bottom w:val="single" w:sz="8" w:color="0000EE"/>
            </w:tcBorders>
          </w:tcPr>
          <w:p>
            <w:pPr>
              <w:spacing w:after="0"/>
              <w:rPr>
                <w:sz w:val="14"/>
                <w:szCs w:val="14"/>
                <w:color w:val="auto"/>
              </w:rPr>
            </w:pPr>
          </w:p>
        </w:tc>
        <w:tc>
          <w:tcPr>
            <w:tcW w:w="7660" w:type="dxa"/>
            <w:vAlign w:val="bottom"/>
            <w:tcBorders>
              <w:top w:val="single" w:sz="8" w:color="0000FF"/>
            </w:tcBorders>
            <w:gridSpan w:val="14"/>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2022 and 2021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40" w:type="dxa"/>
            <w:vAlign w:val="bottom"/>
            <w:tcBorders>
              <w:left w:val="single" w:sz="8" w:color="0000FF"/>
            </w:tcBorders>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860" w:type="dxa"/>
            <w:vAlign w:val="bottom"/>
            <w:gridSpan w:val="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880" w:type="dxa"/>
            <w:vAlign w:val="bottom"/>
            <w:gridSpan w:val="1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 w:type="dxa"/>
            <w:vAlign w:val="bottom"/>
          </w:tcPr>
          <w:p>
            <w:pPr>
              <w:spacing w:after="0"/>
              <w:rPr>
                <w:sz w:val="24"/>
                <w:szCs w:val="24"/>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0" w:type="dxa"/>
            <w:vAlign w:val="bottom"/>
            <w:gridSpan w:val="1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4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175"/>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16" w:lineRule="exact"/>
        <w:rPr>
          <w:sz w:val="20"/>
          <w:szCs w:val="20"/>
          <w:color w:val="auto"/>
        </w:rPr>
      </w:pPr>
    </w:p>
    <w:p>
      <w:pPr>
        <w:ind w:right="100" w:firstLine="255"/>
        <w:spacing w:after="0" w:line="233"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5" w:lineRule="exact"/>
        <w:rPr>
          <w:sz w:val="20"/>
          <w:szCs w:val="20"/>
          <w:color w:val="auto"/>
        </w:rPr>
      </w:pPr>
    </w:p>
    <w:p>
      <w:pPr>
        <w:ind w:right="260" w:firstLine="255"/>
        <w:spacing w:after="0" w:line="242"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20" w:right="500" w:hanging="257"/>
        <w:spacing w:after="0" w:line="250"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68" w:lineRule="exact"/>
        <w:rPr>
          <w:rFonts w:ascii="Times New Roman" w:cs="Times New Roman" w:eastAsia="Times New Roman" w:hAnsi="Times New Roman"/>
          <w:sz w:val="18"/>
          <w:szCs w:val="18"/>
          <w:color w:val="auto"/>
        </w:rPr>
      </w:pPr>
    </w:p>
    <w:p>
      <w:pPr>
        <w:ind w:left="520" w:right="200" w:hanging="257"/>
        <w:spacing w:after="0" w:line="279"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5"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90"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03" w:lineRule="exact"/>
        <w:rPr>
          <w:rFonts w:ascii="Times New Roman" w:cs="Times New Roman" w:eastAsia="Times New Roman" w:hAnsi="Times New Roman"/>
          <w:sz w:val="18"/>
          <w:szCs w:val="18"/>
          <w:color w:val="auto"/>
        </w:rPr>
      </w:pPr>
    </w:p>
    <w:p>
      <w:pPr>
        <w:ind w:left="520" w:right="180" w:hanging="257"/>
        <w:spacing w:after="0" w:line="250"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8" w:lineRule="exact"/>
        <w:rPr>
          <w:rFonts w:ascii="Times New Roman" w:cs="Times New Roman" w:eastAsia="Times New Roman" w:hAnsi="Times New Roman"/>
          <w:sz w:val="18"/>
          <w:szCs w:val="18"/>
          <w:color w:val="auto"/>
        </w:rPr>
      </w:pPr>
    </w:p>
    <w:p>
      <w:pPr>
        <w:ind w:left="520" w:right="80" w:hanging="257"/>
        <w:spacing w:after="0" w:line="24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in our Annual Report on Form 10-K for the year ended December 31, 2021, filed with the SEC on February 17, 2022, in our Quarterly Report on Form 10-Q for the quarter ending June 30, 2022, filed with the SEC on August 2, 2022 and elsewhere in our filings with the SEC.</w:t>
      </w:r>
    </w:p>
    <w:p>
      <w:pPr>
        <w:spacing w:after="0" w:line="184" w:lineRule="exact"/>
        <w:rPr>
          <w:sz w:val="20"/>
          <w:szCs w:val="20"/>
          <w:color w:val="auto"/>
        </w:rPr>
      </w:pPr>
    </w:p>
    <w:p>
      <w:pPr>
        <w:ind w:firstLine="255"/>
        <w:spacing w:after="0" w:line="23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73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Non-controlled, non-affiliated investments (amortized cost of $2,727,409 and $2,354,984,</w:t>
            </w: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4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2,735,794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2,434,797</w:t>
            </w:r>
          </w:p>
        </w:tc>
        <w:tc>
          <w:tcPr>
            <w:tcW w:w="100" w:type="dxa"/>
            <w:vAlign w:val="bottom"/>
            <w:shd w:val="clear" w:color="auto" w:fill="CFF0FC"/>
          </w:tcPr>
          <w:p>
            <w:pPr>
              <w:spacing w:after="0"/>
              <w:rPr>
                <w:sz w:val="21"/>
                <w:szCs w:val="2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Non-controlled, affiliated investments (amortized cost of $0 and $12,666, respectively)</w:t>
            </w:r>
          </w:p>
        </w:tc>
        <w:tc>
          <w:tcPr>
            <w:tcW w:w="2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Controlled, affiliated investments (amortized cost of $65,364 and $64,362, respectively)</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 (amortized cost of $2,792,773 and $2,432,012, respectively)</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2,806,063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2,521,593</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(restricted cash of $15,627 and $14,399, respectively)</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2,859,721</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2,551,857</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deferred financing costs of $19,136 and $19,147,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1,457,048</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1,185,964</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on net investment income payable to affiliate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 on net capital gains accrued to affiliate</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14,928</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44,961</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1,531,669</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1,276,009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3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Preferred stock, $0.01 par value; 100,000,000 shares authorized; no shares</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280" w:type="dxa"/>
            <w:vAlign w:val="bottom"/>
          </w:tcPr>
          <w:p>
            <w:pPr>
              <w:spacing w:after="0"/>
              <w:rPr>
                <w:sz w:val="21"/>
                <w:szCs w:val="21"/>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3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Common stock, $0.01 par value; 400,000,000 shares authorized, 81,647,551</w:t>
            </w: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4"/>
        </w:trPr>
        <w:tc>
          <w:tcPr>
            <w:tcW w:w="7300" w:type="dxa"/>
            <w:vAlign w:val="bottom"/>
            <w:shd w:val="clear" w:color="auto" w:fill="CFF0FC"/>
          </w:tcPr>
          <w:p>
            <w:pPr>
              <w:ind w:left="160"/>
              <w:spacing w:after="0" w:line="184" w:lineRule="exact"/>
              <w:rPr>
                <w:sz w:val="20"/>
                <w:szCs w:val="20"/>
                <w:color w:val="auto"/>
              </w:rPr>
            </w:pPr>
            <w:r>
              <w:rPr>
                <w:rFonts w:ascii="Times New Roman" w:cs="Times New Roman" w:eastAsia="Times New Roman" w:hAnsi="Times New Roman"/>
                <w:sz w:val="18"/>
                <w:szCs w:val="18"/>
                <w:color w:val="auto"/>
              </w:rPr>
              <w:t>and 76,067,586 shares issued, respectively; and 81,170,965 and 75,771,542</w:t>
            </w: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1"/>
                <w:szCs w:val="21"/>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1,189,275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476,586 and 296,044 shares held, respectively</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(7,291 )</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(4,291 )</w:t>
            </w: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earnings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44,366</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90,103</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1,328,052</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1,275,848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2,859,721</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2,551,857</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0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16.36</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-3779520</wp:posOffset>
            </wp:positionV>
            <wp:extent cx="774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-3222625</wp:posOffset>
            </wp:positionV>
            <wp:extent cx="774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-1807845</wp:posOffset>
            </wp:positionV>
            <wp:extent cx="7747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-333375</wp:posOffset>
            </wp:positionV>
            <wp:extent cx="774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50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4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40" w:type="dxa"/>
            <w:vAlign w:val="bottom"/>
          </w:tcPr>
          <w:p>
            <w:pPr>
              <w:spacing w:after="0"/>
              <w:rPr>
                <w:sz w:val="12"/>
                <w:szCs w:val="12"/>
                <w:color w:val="auto"/>
              </w:rPr>
            </w:pPr>
          </w:p>
        </w:tc>
        <w:tc>
          <w:tcPr>
            <w:tcW w:w="1300" w:type="dxa"/>
            <w:vAlign w:val="bottom"/>
            <w:gridSpan w:val="2"/>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73,769</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67,369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198,047</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76,513</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69,950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205,499</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3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340" w:type="dxa"/>
            <w:vAlign w:val="bottom"/>
          </w:tcPr>
          <w:p>
            <w:pPr>
              <w:spacing w:after="0"/>
              <w:rPr>
                <w:sz w:val="14"/>
                <w:szCs w:val="14"/>
                <w:color w:val="auto"/>
              </w:rPr>
            </w:pP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77,839</w:t>
            </w:r>
          </w:p>
        </w:tc>
        <w:tc>
          <w:tcPr>
            <w:tcW w:w="2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71,200</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209,155</w:t>
            </w: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200,269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40,416</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10,330</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29,148</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22,483</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34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(22 )</w:t>
            </w: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(7,720 )</w:t>
            </w: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fees</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3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4,013</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40,492</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34,686</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94,186</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 waived (Note 3)</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53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40,303</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34,626</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93,985</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37,536</w:t>
            </w: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36,574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115,170</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37,180</w:t>
            </w: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36,470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113,714</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(9,080 )</w:t>
            </w: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(71,428 )</w:t>
            </w: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3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(14,350 )</w:t>
            </w: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34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(2,686 )</w:t>
            </w: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34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(2,591 )</w:t>
            </w:r>
          </w:p>
        </w:tc>
        <w:tc>
          <w:tcPr>
            <w:tcW w:w="580" w:type="dxa"/>
            <w:vAlign w:val="bottom"/>
          </w:tcPr>
          <w:p>
            <w:pPr>
              <w:spacing w:after="0"/>
              <w:rPr>
                <w:sz w:val="15"/>
                <w:szCs w:val="15"/>
                <w:color w:val="auto"/>
              </w:rPr>
            </w:pP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(1,502 )</w:t>
            </w:r>
          </w:p>
        </w:tc>
        <w:tc>
          <w:tcPr>
            <w:tcW w:w="14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(7,184 )</w:t>
            </w:r>
          </w:p>
        </w:tc>
        <w:tc>
          <w:tcPr>
            <w:tcW w:w="5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(4,775 )</w:t>
            </w:r>
          </w:p>
        </w:tc>
        <w:tc>
          <w:tcPr>
            <w:tcW w:w="0" w:type="dxa"/>
            <w:vAlign w:val="bottom"/>
          </w:tcPr>
          <w:p>
            <w:pPr>
              <w:spacing w:after="0"/>
              <w:rPr>
                <w:sz w:val="1"/>
                <w:szCs w:val="1"/>
                <w:color w:val="auto"/>
              </w:rPr>
            </w:pPr>
          </w:p>
        </w:tc>
      </w:tr>
      <w:tr>
        <w:trPr>
          <w:trHeight w:val="169"/>
        </w:trPr>
        <w:tc>
          <w:tcPr>
            <w:tcW w:w="5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29,046</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(68,379</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67,747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(10,512 )</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3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13,673</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3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(199 )</w:t>
            </w: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(48 )</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(231 )</w:t>
            </w:r>
          </w:p>
        </w:tc>
        <w:tc>
          <w:tcPr>
            <w:tcW w:w="5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(10,560 )</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16,456</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18,486</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(51,923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73,795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Increase in Net Assets Resulting from Operations</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34,431</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54,956</w:t>
            </w:r>
          </w:p>
        </w:tc>
        <w:tc>
          <w:tcPr>
            <w:tcW w:w="26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61,791</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w:t>
            </w:r>
          </w:p>
        </w:tc>
        <w:tc>
          <w:tcPr>
            <w:tcW w:w="34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0.43</w:t>
            </w:r>
          </w:p>
        </w:tc>
        <w:tc>
          <w:tcPr>
            <w:tcW w:w="26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0.75</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0.80</w:t>
            </w:r>
          </w:p>
        </w:tc>
        <w:tc>
          <w:tcPr>
            <w:tcW w:w="22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79,476,419</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72,808,730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77,250,889</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71,696,874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Earnings per common share—diluted</w:t>
            </w: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outstanding—diluted</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80,515,411</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79,403,555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-5228590</wp:posOffset>
            </wp:positionV>
            <wp:extent cx="7747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-5228590</wp:posOffset>
            </wp:positionV>
            <wp:extent cx="6858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-5228590</wp:posOffset>
            </wp:positionV>
            <wp:extent cx="6858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-4773930</wp:posOffset>
            </wp:positionV>
            <wp:extent cx="7747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-4773930</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-4773930</wp:posOffset>
            </wp:positionV>
            <wp:extent cx="6858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-4319905</wp:posOffset>
            </wp:positionV>
            <wp:extent cx="7747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-4319905</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-4319905</wp:posOffset>
            </wp:positionV>
            <wp:extent cx="6858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-4079875</wp:posOffset>
            </wp:positionV>
            <wp:extent cx="7747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-4079875</wp:posOffset>
            </wp:positionV>
            <wp:extent cx="6858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-4079875</wp:posOffset>
            </wp:positionV>
            <wp:extent cx="6858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-3179445</wp:posOffset>
            </wp:positionV>
            <wp:extent cx="7747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-3179445</wp:posOffset>
            </wp:positionV>
            <wp:extent cx="6858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-3179445</wp:posOffset>
            </wp:positionV>
            <wp:extent cx="6858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-2939415</wp:posOffset>
            </wp:positionV>
            <wp:extent cx="7747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-2939415</wp:posOffset>
            </wp:positionV>
            <wp:extent cx="6858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-2939415</wp:posOffset>
            </wp:positionV>
            <wp:extent cx="6858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-1567815</wp:posOffset>
            </wp:positionV>
            <wp:extent cx="7747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-1567815</wp:posOffset>
            </wp:positionV>
            <wp:extent cx="6858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-1567815</wp:posOffset>
            </wp:positionV>
            <wp:extent cx="685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-890905</wp:posOffset>
            </wp:positionV>
            <wp:extent cx="7747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-890905</wp:posOffset>
            </wp:positionV>
            <wp:extent cx="6858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-890905</wp:posOffset>
            </wp:positionV>
            <wp:extent cx="6858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-650875</wp:posOffset>
            </wp:positionV>
            <wp:extent cx="7747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-650875</wp:posOffset>
            </wp:positionV>
            <wp:extent cx="6858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-650875</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-393700</wp:posOffset>
            </wp:positionV>
            <wp:extent cx="7747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-393700</wp:posOffset>
            </wp:positionV>
            <wp:extent cx="6858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-393700</wp:posOffset>
            </wp:positionV>
            <wp:extent cx="6858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-128270</wp:posOffset>
            </wp:positionV>
            <wp:extent cx="7747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-128270</wp:posOffset>
            </wp:positionV>
            <wp:extent cx="6858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-128270</wp:posOffset>
            </wp:positionV>
            <wp:extent cx="6858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September 30, 2022</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0"/>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(1)(6)</w:t>
            </w:r>
          </w:p>
        </w:tc>
        <w:tc>
          <w:tcPr>
            <w:tcW w:w="120" w:type="dxa"/>
            <w:vAlign w:val="bottom"/>
          </w:tcPr>
          <w:p>
            <w:pPr>
              <w:spacing w:after="0"/>
              <w:rPr>
                <w:sz w:val="9"/>
                <w:szCs w:val="9"/>
                <w:color w:val="auto"/>
              </w:rPr>
            </w:pPr>
          </w:p>
        </w:tc>
        <w:tc>
          <w:tcPr>
            <w:tcW w:w="256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9"/>
                <w:szCs w:val="9"/>
                <w:color w:val="auto"/>
              </w:rPr>
            </w:pPr>
          </w:p>
        </w:tc>
        <w:tc>
          <w:tcPr>
            <w:tcW w:w="8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1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(9)</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160" w:type="dxa"/>
            <w:vAlign w:val="bottom"/>
            <w:gridSpan w:val="3"/>
            <w:vMerge w:val="continue"/>
          </w:tcPr>
          <w:p>
            <w:pPr>
              <w:spacing w:after="0"/>
              <w:rPr>
                <w:sz w:val="12"/>
                <w:szCs w:val="12"/>
                <w:color w:val="auto"/>
              </w:rPr>
            </w:pPr>
          </w:p>
        </w:tc>
        <w:tc>
          <w:tcPr>
            <w:tcW w:w="640" w:type="dxa"/>
            <w:vAlign w:val="bottom"/>
          </w:tcPr>
          <w:p>
            <w:pPr>
              <w:jc w:val="right"/>
              <w:ind w:right="107"/>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of Net Assets</w:t>
            </w:r>
          </w:p>
        </w:tc>
        <w:tc>
          <w:tcPr>
            <w:tcW w:w="0" w:type="dxa"/>
            <w:vAlign w:val="bottom"/>
          </w:tcPr>
          <w:p>
            <w:pPr>
              <w:spacing w:after="0"/>
              <w:rPr>
                <w:sz w:val="1"/>
                <w:szCs w:val="1"/>
                <w:color w:val="auto"/>
              </w:rPr>
            </w:pPr>
          </w:p>
        </w:tc>
      </w:tr>
      <w:tr>
        <w:trPr>
          <w:trHeight w:val="128"/>
        </w:trPr>
        <w:tc>
          <w:tcPr>
            <w:tcW w:w="2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120" w:type="dxa"/>
            <w:vAlign w:val="bottom"/>
            <w:shd w:val="clear" w:color="auto" w:fill="CFF0FC"/>
          </w:tcPr>
          <w:p>
            <w:pPr>
              <w:spacing w:after="0"/>
              <w:rPr>
                <w:sz w:val="11"/>
                <w:szCs w:val="11"/>
                <w:color w:val="auto"/>
              </w:rPr>
            </w:pPr>
          </w:p>
        </w:tc>
        <w:tc>
          <w:tcPr>
            <w:tcW w:w="25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Carlstar Group, LLC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($34,000 par, due 7/2027)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7/8/2022</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SOFR + 6.60%</w:t>
            </w: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9.25 %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33,125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33,256</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Acceo Solutions,</w:t>
            </w:r>
          </w:p>
        </w:tc>
        <w:tc>
          <w:tcPr>
            <w:tcW w:w="120" w:type="dxa"/>
            <w:vAlign w:val="bottom"/>
            <w:shd w:val="clear" w:color="auto" w:fill="CFF0FC"/>
          </w:tcPr>
          <w:p>
            <w:pPr>
              <w:spacing w:after="0"/>
              <w:rPr>
                <w:sz w:val="8"/>
                <w:szCs w:val="8"/>
                <w:color w:val="auto"/>
              </w:rPr>
            </w:pPr>
          </w:p>
        </w:tc>
        <w:tc>
          <w:tcPr>
            <w:tcW w:w="256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First-lien loan (CAD 73,687 par, due 10/2025)</w:t>
            </w:r>
          </w:p>
        </w:tc>
        <w:tc>
          <w:tcPr>
            <w:tcW w:w="92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7/6/2018</w:t>
            </w:r>
          </w:p>
        </w:tc>
        <w:tc>
          <w:tcPr>
            <w:tcW w:w="12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C + 4.75%</w:t>
            </w:r>
          </w:p>
        </w:tc>
        <w:tc>
          <w:tcPr>
            <w:tcW w:w="1060" w:type="dxa"/>
            <w:vAlign w:val="bottom"/>
            <w:gridSpan w:val="2"/>
            <w:shd w:val="clear" w:color="auto" w:fill="CFF0FC"/>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8.70 %</w:t>
            </w: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55,562</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54,164</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4.1 %</w:t>
            </w:r>
          </w:p>
        </w:tc>
        <w:tc>
          <w:tcPr>
            <w:tcW w:w="0" w:type="dxa"/>
            <w:vAlign w:val="bottom"/>
          </w:tcPr>
          <w:p>
            <w:pPr>
              <w:spacing w:after="0"/>
              <w:rPr>
                <w:sz w:val="1"/>
                <w:szCs w:val="1"/>
                <w:color w:val="auto"/>
              </w:rPr>
            </w:pPr>
          </w:p>
        </w:tc>
      </w:tr>
      <w:tr>
        <w:trPr>
          <w:trHeight w:val="162"/>
        </w:trPr>
        <w:tc>
          <w:tcPr>
            <w:tcW w:w="258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(3)(4)(5)</w:t>
            </w:r>
          </w:p>
        </w:tc>
        <w:tc>
          <w:tcPr>
            <w:tcW w:w="1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(CAD 74,424)</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Alpha Midco, Inc.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($68,788 par, due 8/2025)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8/15/2019</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SOFR + 7.50%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11.17 %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69,485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Dye &amp; Durham Corp. </w:t>
            </w:r>
            <w:r>
              <w:rPr>
                <w:rFonts w:ascii="Times New Roman" w:cs="Times New Roman" w:eastAsia="Times New Roman" w:hAnsi="Times New Roman"/>
                <w:sz w:val="12"/>
                <w:szCs w:val="12"/>
                <w:color w:val="auto"/>
                <w:vertAlign w:val="superscript"/>
              </w:rPr>
              <w:t>(3)(4)</w:t>
            </w:r>
          </w:p>
        </w:tc>
        <w:tc>
          <w:tcPr>
            <w:tcW w:w="120" w:type="dxa"/>
            <w:vAlign w:val="bottom"/>
            <w:shd w:val="clear" w:color="auto" w:fill="CFF0FC"/>
          </w:tcPr>
          <w:p>
            <w:pPr>
              <w:spacing w:after="0"/>
              <w:rPr>
                <w:sz w:val="9"/>
                <w:szCs w:val="9"/>
                <w:color w:val="auto"/>
              </w:rPr>
            </w:pPr>
          </w:p>
        </w:tc>
        <w:tc>
          <w:tcPr>
            <w:tcW w:w="2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First-lien loan (CAD 32,772 par, due 12/2027)</w:t>
            </w:r>
          </w:p>
        </w:tc>
        <w:tc>
          <w:tcPr>
            <w:tcW w:w="9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12/3/2021</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line="108" w:lineRule="exact"/>
              <w:rPr>
                <w:sz w:val="20"/>
                <w:szCs w:val="20"/>
                <w:color w:val="auto"/>
              </w:rPr>
            </w:pPr>
            <w:r>
              <w:rPr>
                <w:rFonts w:ascii="Times New Roman" w:cs="Times New Roman" w:eastAsia="Times New Roman" w:hAnsi="Times New Roman"/>
                <w:sz w:val="11"/>
                <w:szCs w:val="11"/>
                <w:color w:val="auto"/>
              </w:rPr>
              <w:t>C + 5.75%</w:t>
            </w:r>
          </w:p>
        </w:tc>
        <w:tc>
          <w:tcPr>
            <w:tcW w:w="106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9.95 %</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25,011</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23,778</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(CAD 32,672)</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($56,066 par, due 7/2027)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7/22/2021</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L + 7.50%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11.17 %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54,881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54,384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ForeScout Technologies, Inc. </w:t>
            </w:r>
            <w:r>
              <w:rPr>
                <w:rFonts w:ascii="Times New Roman" w:cs="Times New Roman" w:eastAsia="Times New Roman" w:hAnsi="Times New Roman"/>
                <w:sz w:val="12"/>
                <w:szCs w:val="12"/>
                <w:color w:val="auto"/>
                <w:vertAlign w:val="superscript"/>
              </w:rPr>
              <w:t>(3)</w:t>
            </w:r>
          </w:p>
        </w:tc>
        <w:tc>
          <w:tcPr>
            <w:tcW w:w="120" w:type="dxa"/>
            <w:vAlign w:val="bottom"/>
            <w:shd w:val="clear" w:color="auto" w:fill="CFF0FC"/>
          </w:tcPr>
          <w:p>
            <w:pPr>
              <w:spacing w:after="0"/>
              <w:rPr>
                <w:sz w:val="9"/>
                <w:szCs w:val="9"/>
                <w:color w:val="auto"/>
              </w:rPr>
            </w:pPr>
          </w:p>
        </w:tc>
        <w:tc>
          <w:tcPr>
            <w:tcW w:w="2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First-lien loan ($6,349 par, due 8/2026)</w:t>
            </w:r>
          </w:p>
        </w:tc>
        <w:tc>
          <w:tcPr>
            <w:tcW w:w="9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8/17/2020</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line="108" w:lineRule="exact"/>
              <w:rPr>
                <w:sz w:val="20"/>
                <w:szCs w:val="20"/>
                <w:color w:val="auto"/>
              </w:rPr>
            </w:pPr>
            <w:r>
              <w:rPr>
                <w:rFonts w:ascii="Times New Roman" w:cs="Times New Roman" w:eastAsia="Times New Roman" w:hAnsi="Times New Roman"/>
                <w:sz w:val="11"/>
                <w:szCs w:val="11"/>
                <w:color w:val="auto"/>
              </w:rPr>
              <w:t>L + 9.50%</w:t>
            </w:r>
          </w:p>
        </w:tc>
        <w:tc>
          <w:tcPr>
            <w:tcW w:w="1160" w:type="dxa"/>
            <w:vAlign w:val="bottom"/>
            <w:gridSpan w:val="3"/>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1"/>
                <w:szCs w:val="11"/>
                <w:color w:val="auto"/>
              </w:rPr>
              <w:t>13.17% (incl.</w:t>
            </w:r>
          </w:p>
        </w:tc>
        <w:tc>
          <w:tcPr>
            <w:tcW w:w="6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6,247</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6,263</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0.5 %</w:t>
            </w: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9.50% PIK)</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First-lien loan ($2,548 par, due 8/2026)</w:t>
            </w: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7/1/2022</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1"/>
                <w:szCs w:val="11"/>
                <w:color w:val="auto"/>
              </w:rPr>
              <w:t>L + 9.00%</w:t>
            </w:r>
          </w:p>
        </w:tc>
        <w:tc>
          <w:tcPr>
            <w:tcW w:w="11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1"/>
                <w:szCs w:val="11"/>
                <w:color w:val="auto"/>
              </w:rPr>
              <w:t>12.67% (incl.</w:t>
            </w:r>
          </w:p>
        </w:tc>
        <w:tc>
          <w:tcPr>
            <w:tcW w:w="6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2,475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2,453</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0.2 %</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9.00% PIK)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Information Clearinghouse, LLC</w:t>
            </w:r>
          </w:p>
        </w:tc>
        <w:tc>
          <w:tcPr>
            <w:tcW w:w="120" w:type="dxa"/>
            <w:vAlign w:val="bottom"/>
            <w:shd w:val="clear" w:color="auto" w:fill="CFF0FC"/>
          </w:tcPr>
          <w:p>
            <w:pPr>
              <w:spacing w:after="0"/>
              <w:rPr>
                <w:sz w:val="9"/>
                <w:szCs w:val="9"/>
                <w:color w:val="auto"/>
              </w:rPr>
            </w:pPr>
          </w:p>
        </w:tc>
        <w:tc>
          <w:tcPr>
            <w:tcW w:w="25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First-lien loan ($17,865 par, due 12/2026)</w:t>
            </w:r>
          </w:p>
        </w:tc>
        <w:tc>
          <w:tcPr>
            <w:tcW w:w="92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12/20/2021</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line="112" w:lineRule="exact"/>
              <w:rPr>
                <w:sz w:val="20"/>
                <w:szCs w:val="20"/>
                <w:color w:val="auto"/>
              </w:rPr>
            </w:pPr>
            <w:r>
              <w:rPr>
                <w:rFonts w:ascii="Times New Roman" w:cs="Times New Roman" w:eastAsia="Times New Roman" w:hAnsi="Times New Roman"/>
                <w:sz w:val="11"/>
                <w:szCs w:val="11"/>
                <w:color w:val="auto"/>
              </w:rPr>
              <w:t>L + 6.50%</w:t>
            </w:r>
          </w:p>
        </w:tc>
        <w:tc>
          <w:tcPr>
            <w:tcW w:w="1060" w:type="dxa"/>
            <w:vAlign w:val="bottom"/>
            <w:gridSpan w:val="2"/>
            <w:shd w:val="clear" w:color="auto" w:fill="CFF0FC"/>
          </w:tcPr>
          <w:p>
            <w:pPr>
              <w:jc w:val="right"/>
              <w:ind w:right="120"/>
              <w:spacing w:after="0" w:line="112" w:lineRule="exact"/>
              <w:rPr>
                <w:sz w:val="20"/>
                <w:szCs w:val="20"/>
                <w:color w:val="auto"/>
              </w:rPr>
            </w:pPr>
            <w:r>
              <w:rPr>
                <w:rFonts w:ascii="Times New Roman" w:cs="Times New Roman" w:eastAsia="Times New Roman" w:hAnsi="Times New Roman"/>
                <w:sz w:val="11"/>
                <w:szCs w:val="11"/>
                <w:color w:val="auto"/>
              </w:rPr>
              <w:t>10.07 %</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17,457</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17,284</w:t>
            </w:r>
          </w:p>
        </w:tc>
        <w:tc>
          <w:tcPr>
            <w:tcW w:w="1120" w:type="dxa"/>
            <w:vAlign w:val="bottom"/>
            <w:gridSpan w:val="3"/>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100"/>
              <w:spacing w:after="0" w:line="109" w:lineRule="exact"/>
              <w:rPr>
                <w:sz w:val="20"/>
                <w:szCs w:val="20"/>
                <w:color w:val="auto"/>
              </w:rPr>
            </w:pPr>
            <w:r>
              <w:rPr>
                <w:rFonts w:ascii="Times New Roman" w:cs="Times New Roman" w:eastAsia="Times New Roman" w:hAnsi="Times New Roman"/>
                <w:sz w:val="11"/>
                <w:szCs w:val="11"/>
                <w:color w:val="auto"/>
              </w:rPr>
              <w:t>and MS Market Service,</w:t>
            </w:r>
          </w:p>
        </w:tc>
        <w:tc>
          <w:tcPr>
            <w:tcW w:w="120" w:type="dxa"/>
            <w:vAlign w:val="bottom"/>
            <w:shd w:val="clear" w:color="auto" w:fill="CFF0FC"/>
          </w:tcPr>
          <w:p>
            <w:pPr>
              <w:spacing w:after="0"/>
              <w:rPr>
                <w:sz w:val="9"/>
                <w:szCs w:val="9"/>
                <w:color w:val="auto"/>
              </w:rPr>
            </w:pPr>
          </w:p>
        </w:tc>
        <w:tc>
          <w:tcPr>
            <w:tcW w:w="2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6"/>
                <w:szCs w:val="6"/>
                <w:color w:val="auto"/>
              </w:rPr>
              <w:t xml:space="preserve"> (3)(5)</w:t>
            </w: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Mitnick Corporate Purchaser, Inc. </w:t>
            </w:r>
            <w:r>
              <w:rPr>
                <w:rFonts w:ascii="Times New Roman" w:cs="Times New Roman" w:eastAsia="Times New Roman" w:hAnsi="Times New Roman"/>
                <w:sz w:val="14"/>
                <w:szCs w:val="14"/>
                <w:color w:val="auto"/>
                <w:vertAlign w:val="superscript"/>
              </w:rPr>
              <w:t>(3)(10)</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($333 par, due 5/2029)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5/2/2022</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SOFR + 4.85%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7.39 %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Netwrix Corp.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($47,130 par, due 6/2029)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6/9/2022</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SOFR + 5.00%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7.92 %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31,211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30,697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($60,497 par, due 10/2026)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10/8/2020</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SOFR + 7.25%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10.80 %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60,346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TIBCO Software Inc. </w:t>
            </w:r>
            <w:r>
              <w:rPr>
                <w:rFonts w:ascii="Times New Roman" w:cs="Times New Roman" w:eastAsia="Times New Roman" w:hAnsi="Times New Roman"/>
                <w:sz w:val="14"/>
                <w:szCs w:val="14"/>
                <w:color w:val="auto"/>
                <w:vertAlign w:val="superscript"/>
              </w:rPr>
              <w:t>(10)</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note ($13,000 par, due 3/2029)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9/20/2022</w:t>
            </w: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6.50 %</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6.50 %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10,863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11,046</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First-lien loan ($12,000 par, due 3/2029) </w:t>
            </w:r>
            <w:r>
              <w:rPr>
                <w:rFonts w:ascii="Times New Roman" w:cs="Times New Roman" w:eastAsia="Times New Roman" w:hAnsi="Times New Roman"/>
                <w:sz w:val="14"/>
                <w:szCs w:val="14"/>
                <w:color w:val="auto"/>
                <w:vertAlign w:val="superscript"/>
              </w:rPr>
              <w:t>(3)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9/20/2022</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SOFR + 4.50%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8.15 %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WideOrbit, Inc.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($35,655 par, due 7/2025)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7/8/2020</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+ 8.50%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11.62 %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35,291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36,457</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377,441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377,758</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28.2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Erling Lux Bidco Sarl </w:t>
            </w:r>
            <w:r>
              <w:rPr>
                <w:rFonts w:ascii="Times New Roman" w:cs="Times New Roman" w:eastAsia="Times New Roman" w:hAnsi="Times New Roman"/>
                <w:sz w:val="12"/>
                <w:szCs w:val="12"/>
                <w:color w:val="auto"/>
                <w:vertAlign w:val="superscript"/>
              </w:rPr>
              <w:t>(3)(4)</w:t>
            </w:r>
          </w:p>
        </w:tc>
        <w:tc>
          <w:tcPr>
            <w:tcW w:w="120" w:type="dxa"/>
            <w:vAlign w:val="bottom"/>
          </w:tcPr>
          <w:p>
            <w:pPr>
              <w:spacing w:after="0"/>
              <w:rPr>
                <w:sz w:val="9"/>
                <w:szCs w:val="9"/>
                <w:color w:val="auto"/>
              </w:rPr>
            </w:pPr>
          </w:p>
        </w:tc>
        <w:tc>
          <w:tcPr>
            <w:tcW w:w="25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First-lien loan (EUR 3,660 par, due 9/2028)</w:t>
            </w: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9/6/2022</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1"/>
                <w:szCs w:val="11"/>
                <w:color w:val="auto"/>
              </w:rPr>
              <w:t>E + 6.75%</w:t>
            </w:r>
          </w:p>
        </w:tc>
        <w:tc>
          <w:tcPr>
            <w:tcW w:w="10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7.46 %</w:t>
            </w:r>
          </w:p>
        </w:tc>
        <w:tc>
          <w:tcPr>
            <w:tcW w:w="10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3,586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3,505</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(EUR 3,578)</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5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First-lien loan (GBP 3,538 par, due 9/2028)</w:t>
            </w:r>
          </w:p>
        </w:tc>
        <w:tc>
          <w:tcPr>
            <w:tcW w:w="92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9/6/2022</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line="112" w:lineRule="exact"/>
              <w:rPr>
                <w:sz w:val="20"/>
                <w:szCs w:val="20"/>
                <w:color w:val="auto"/>
              </w:rPr>
            </w:pPr>
            <w:r>
              <w:rPr>
                <w:rFonts w:ascii="Times New Roman" w:cs="Times New Roman" w:eastAsia="Times New Roman" w:hAnsi="Times New Roman"/>
                <w:sz w:val="11"/>
                <w:szCs w:val="11"/>
                <w:color w:val="auto"/>
              </w:rPr>
              <w:t>S + 6.75%</w:t>
            </w:r>
          </w:p>
        </w:tc>
        <w:tc>
          <w:tcPr>
            <w:tcW w:w="1060" w:type="dxa"/>
            <w:vAlign w:val="bottom"/>
            <w:gridSpan w:val="2"/>
            <w:shd w:val="clear" w:color="auto" w:fill="CFF0FC"/>
          </w:tcPr>
          <w:p>
            <w:pPr>
              <w:jc w:val="right"/>
              <w:ind w:right="120"/>
              <w:spacing w:after="0" w:line="112" w:lineRule="exact"/>
              <w:rPr>
                <w:sz w:val="20"/>
                <w:szCs w:val="20"/>
                <w:color w:val="auto"/>
              </w:rPr>
            </w:pPr>
            <w:r>
              <w:rPr>
                <w:rFonts w:ascii="Times New Roman" w:cs="Times New Roman" w:eastAsia="Times New Roman" w:hAnsi="Times New Roman"/>
                <w:sz w:val="11"/>
                <w:szCs w:val="11"/>
                <w:color w:val="auto"/>
              </w:rPr>
              <w:t>8.94 %</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3,564</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3,449</w:t>
            </w:r>
          </w:p>
        </w:tc>
        <w:tc>
          <w:tcPr>
            <w:tcW w:w="1120" w:type="dxa"/>
            <w:vAlign w:val="bottom"/>
            <w:gridSpan w:val="3"/>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44"/>
        </w:trPr>
        <w:tc>
          <w:tcPr>
            <w:tcW w:w="2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(GBP 3,090)</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0.6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($34,738 par, due 11/2026)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11/19/2021</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L + 7.00%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10.67 %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33,435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IntelePeer Holdings, Inc.</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First-lien loan ($34,956 par, due 12/2024) </w:t>
            </w:r>
            <w:r>
              <w:rPr>
                <w:rFonts w:ascii="Times New Roman" w:cs="Times New Roman" w:eastAsia="Times New Roman" w:hAnsi="Times New Roman"/>
                <w:sz w:val="14"/>
                <w:szCs w:val="14"/>
                <w:color w:val="auto"/>
                <w:vertAlign w:val="superscript"/>
              </w:rPr>
              <w:t>(3)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+ 8.25%</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11.37 %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34,907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34,257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Convertible note ($4,314 par, due 5/2028)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5/12/2021</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6.00 %</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6.00%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28"/>
        </w:trPr>
        <w:tc>
          <w:tcPr>
            <w:tcW w:w="2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72,991</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71,931</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Second-lien loan ($43,479 par, due 10/2029)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10/25/2021</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+ 8.88%</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11.99 %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41,197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95"/>
        </w:trPr>
        <w:tc>
          <w:tcPr>
            <w:tcW w:w="25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Destiny Solutions Parent</w:t>
            </w:r>
          </w:p>
        </w:tc>
        <w:tc>
          <w:tcPr>
            <w:tcW w:w="120" w:type="dxa"/>
            <w:vAlign w:val="bottom"/>
          </w:tcPr>
          <w:p>
            <w:pPr>
              <w:spacing w:after="0"/>
              <w:rPr>
                <w:sz w:val="8"/>
                <w:szCs w:val="8"/>
                <w:color w:val="auto"/>
              </w:rPr>
            </w:pPr>
          </w:p>
        </w:tc>
        <w:tc>
          <w:tcPr>
            <w:tcW w:w="25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First-lien loan ($60,000 par, due 6/2026)</w:t>
            </w:r>
          </w:p>
        </w:tc>
        <w:tc>
          <w:tcPr>
            <w:tcW w:w="92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6/8/2021</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L + 5.75%</w:t>
            </w:r>
          </w:p>
        </w:tc>
        <w:tc>
          <w:tcPr>
            <w:tcW w:w="10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8.87 %</w:t>
            </w:r>
          </w:p>
        </w:tc>
        <w:tc>
          <w:tcPr>
            <w:tcW w:w="1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58,983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58,200</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4.4 %</w:t>
            </w:r>
          </w:p>
        </w:tc>
        <w:tc>
          <w:tcPr>
            <w:tcW w:w="0" w:type="dxa"/>
            <w:vAlign w:val="bottom"/>
          </w:tcPr>
          <w:p>
            <w:pPr>
              <w:spacing w:after="0"/>
              <w:rPr>
                <w:sz w:val="1"/>
                <w:szCs w:val="1"/>
                <w:color w:val="auto"/>
              </w:rPr>
            </w:pPr>
          </w:p>
        </w:tc>
      </w:tr>
      <w:tr>
        <w:trPr>
          <w:trHeight w:val="162"/>
        </w:trPr>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Holding Company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($56,216 par, due 12/2027)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12/22/2021</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+ 6.25%</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9.37 %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55,057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53,616</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94"/>
        </w:trPr>
        <w:tc>
          <w:tcPr>
            <w:tcW w:w="25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Frontline Technologies</w:t>
            </w:r>
          </w:p>
        </w:tc>
        <w:tc>
          <w:tcPr>
            <w:tcW w:w="120" w:type="dxa"/>
            <w:vAlign w:val="bottom"/>
          </w:tcPr>
          <w:p>
            <w:pPr>
              <w:spacing w:after="0"/>
              <w:rPr>
                <w:sz w:val="8"/>
                <w:szCs w:val="8"/>
                <w:color w:val="auto"/>
              </w:rPr>
            </w:pPr>
          </w:p>
        </w:tc>
        <w:tc>
          <w:tcPr>
            <w:tcW w:w="25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First-lien loan ($85,389 par, due 9/2023)</w:t>
            </w:r>
          </w:p>
        </w:tc>
        <w:tc>
          <w:tcPr>
            <w:tcW w:w="92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9/18/2017</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L + 5.25%</w:t>
            </w:r>
          </w:p>
        </w:tc>
        <w:tc>
          <w:tcPr>
            <w:tcW w:w="10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11.00 %</w:t>
            </w:r>
          </w:p>
        </w:tc>
        <w:tc>
          <w:tcPr>
            <w:tcW w:w="1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85,259</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85,389</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6.4 %</w:t>
            </w:r>
          </w:p>
        </w:tc>
        <w:tc>
          <w:tcPr>
            <w:tcW w:w="0" w:type="dxa"/>
            <w:vAlign w:val="bottom"/>
          </w:tcPr>
          <w:p>
            <w:pPr>
              <w:spacing w:after="0"/>
              <w:rPr>
                <w:sz w:val="1"/>
                <w:szCs w:val="1"/>
                <w:color w:val="auto"/>
              </w:rPr>
            </w:pPr>
          </w:p>
        </w:tc>
      </w:tr>
      <w:tr>
        <w:trPr>
          <w:trHeight w:val="149"/>
        </w:trPr>
        <w:tc>
          <w:tcPr>
            <w:tcW w:w="258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Group, LLC </w:t>
            </w:r>
            <w:r>
              <w:rPr>
                <w:rFonts w:ascii="Times New Roman" w:cs="Times New Roman" w:eastAsia="Times New Roman" w:hAnsi="Times New Roman"/>
                <w:sz w:val="14"/>
                <w:szCs w:val="14"/>
                <w:color w:val="auto"/>
                <w:vertAlign w:val="superscript"/>
              </w:rPr>
              <w:t>(3)</w:t>
            </w: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242,024</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238,402</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AvidXchange, Inc. </w:t>
            </w:r>
            <w:r>
              <w:rPr>
                <w:rFonts w:ascii="Times New Roman" w:cs="Times New Roman" w:eastAsia="Times New Roman" w:hAnsi="Times New Roman"/>
                <w:sz w:val="14"/>
                <w:szCs w:val="14"/>
                <w:color w:val="auto"/>
                <w:vertAlign w:val="superscript"/>
              </w:rPr>
              <w:t>(3)(5)</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($11,460 par, due 4/2024)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10/1/2019</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+ 9.00%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12.69 %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11,408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11,460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Bear OpCo, LLC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($19,874 par, due 10/2024)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10/10/2019</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SOFR + 7.65%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10.68 %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BlueSnap, Inc. </w:t>
            </w:r>
            <w:r>
              <w:rPr>
                <w:rFonts w:ascii="Times New Roman" w:cs="Times New Roman" w:eastAsia="Times New Roman" w:hAnsi="Times New Roman"/>
                <w:sz w:val="14"/>
                <w:szCs w:val="14"/>
                <w:color w:val="auto"/>
                <w:vertAlign w:val="superscript"/>
              </w:rPr>
              <w:t>(3)(5)</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($42,000 par, due 10/2024)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10/25/2019</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+ 6.75%</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10.42 %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41,598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41,881</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 Treasury SS, LLC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($64,271 par, due 4/2023)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4/9/2018</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L + 8.25%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11.92 %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63,957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64,603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4.9 %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Ibis Intermediate Co. </w:t>
            </w:r>
            <w:r>
              <w:rPr>
                <w:rFonts w:ascii="Times New Roman" w:cs="Times New Roman" w:eastAsia="Times New Roman" w:hAnsi="Times New Roman"/>
                <w:sz w:val="14"/>
                <w:szCs w:val="14"/>
                <w:color w:val="auto"/>
                <w:vertAlign w:val="superscript"/>
              </w:rPr>
              <w:t>(3)(5)</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($1,530 par, due 5/2027)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5/28/2021</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+ 5.00%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8.07 %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Ibis US Blocker Co. </w:t>
            </w:r>
            <w:r>
              <w:rPr>
                <w:rFonts w:ascii="Times New Roman" w:cs="Times New Roman" w:eastAsia="Times New Roman" w:hAnsi="Times New Roman"/>
                <w:sz w:val="14"/>
                <w:szCs w:val="14"/>
                <w:color w:val="auto"/>
                <w:vertAlign w:val="superscript"/>
              </w:rPr>
              <w:t>(3)</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($13,569 par, due 5/2028)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5/28/2021</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L + 8.25%</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11.32% PIK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13,162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95"/>
        </w:trPr>
        <w:tc>
          <w:tcPr>
            <w:tcW w:w="25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Jonas Collections and</w:t>
            </w:r>
          </w:p>
        </w:tc>
        <w:tc>
          <w:tcPr>
            <w:tcW w:w="120" w:type="dxa"/>
            <w:vAlign w:val="bottom"/>
            <w:shd w:val="clear" w:color="auto" w:fill="CFF0FC"/>
          </w:tcPr>
          <w:p>
            <w:pPr>
              <w:spacing w:after="0"/>
              <w:rPr>
                <w:sz w:val="8"/>
                <w:szCs w:val="8"/>
                <w:color w:val="auto"/>
              </w:rPr>
            </w:pPr>
          </w:p>
        </w:tc>
        <w:tc>
          <w:tcPr>
            <w:tcW w:w="256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First-lien loan ($27,188 par, due 6/2026)</w:t>
            </w:r>
          </w:p>
        </w:tc>
        <w:tc>
          <w:tcPr>
            <w:tcW w:w="92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6/21/2021</w:t>
            </w:r>
          </w:p>
        </w:tc>
        <w:tc>
          <w:tcPr>
            <w:tcW w:w="12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L + 5.50%</w:t>
            </w:r>
          </w:p>
        </w:tc>
        <w:tc>
          <w:tcPr>
            <w:tcW w:w="1060" w:type="dxa"/>
            <w:vAlign w:val="bottom"/>
            <w:gridSpan w:val="2"/>
            <w:shd w:val="clear" w:color="auto" w:fill="CFF0FC"/>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8.38 %</w:t>
            </w: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26,746</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26,576</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62"/>
        </w:trPr>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Recovery, Inc. </w:t>
            </w:r>
            <w:r>
              <w:rPr>
                <w:rFonts w:ascii="Times New Roman" w:cs="Times New Roman" w:eastAsia="Times New Roman" w:hAnsi="Times New Roman"/>
                <w:sz w:val="14"/>
                <w:szCs w:val="14"/>
                <w:color w:val="auto"/>
                <w:vertAlign w:val="superscript"/>
              </w:rPr>
              <w:t>(3)(5)</w:t>
            </w:r>
          </w:p>
        </w:tc>
        <w:tc>
          <w:tcPr>
            <w:tcW w:w="1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Kyriba Corp.</w:t>
            </w:r>
            <w:r>
              <w:rPr>
                <w:rFonts w:ascii="Times New Roman" w:cs="Times New Roman" w:eastAsia="Times New Roman" w:hAnsi="Times New Roman"/>
                <w:sz w:val="12"/>
                <w:szCs w:val="12"/>
                <w:color w:val="auto"/>
                <w:vertAlign w:val="superscript"/>
              </w:rPr>
              <w:t>(3)</w:t>
            </w:r>
          </w:p>
        </w:tc>
        <w:tc>
          <w:tcPr>
            <w:tcW w:w="120" w:type="dxa"/>
            <w:vAlign w:val="bottom"/>
          </w:tcPr>
          <w:p>
            <w:pPr>
              <w:spacing w:after="0"/>
              <w:rPr>
                <w:sz w:val="9"/>
                <w:szCs w:val="9"/>
                <w:color w:val="auto"/>
              </w:rPr>
            </w:pPr>
          </w:p>
        </w:tc>
        <w:tc>
          <w:tcPr>
            <w:tcW w:w="25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First-lien loan ($18,628 par, due 4/2025)</w:t>
            </w: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4/9/2019</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1"/>
                <w:szCs w:val="11"/>
                <w:color w:val="auto"/>
              </w:rPr>
              <w:t>L + 9.00%</w:t>
            </w:r>
          </w:p>
        </w:tc>
        <w:tc>
          <w:tcPr>
            <w:tcW w:w="11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1"/>
                <w:szCs w:val="11"/>
                <w:color w:val="auto"/>
              </w:rPr>
              <w:t>12.67% (incl.</w:t>
            </w:r>
          </w:p>
        </w:tc>
        <w:tc>
          <w:tcPr>
            <w:tcW w:w="6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18,429</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18,721</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9.00% PIK)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5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First-lien loan (EUR 9,704 par, due 4/2025)</w:t>
            </w:r>
          </w:p>
        </w:tc>
        <w:tc>
          <w:tcPr>
            <w:tcW w:w="920" w:type="dxa"/>
            <w:vAlign w:val="bottom"/>
            <w:gridSpan w:val="2"/>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4/9/2019</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line="112" w:lineRule="exact"/>
              <w:rPr>
                <w:sz w:val="20"/>
                <w:szCs w:val="20"/>
                <w:color w:val="auto"/>
              </w:rPr>
            </w:pPr>
            <w:r>
              <w:rPr>
                <w:rFonts w:ascii="Times New Roman" w:cs="Times New Roman" w:eastAsia="Times New Roman" w:hAnsi="Times New Roman"/>
                <w:sz w:val="11"/>
                <w:szCs w:val="11"/>
                <w:color w:val="auto"/>
              </w:rPr>
              <w:t>E + 9.00%</w:t>
            </w:r>
          </w:p>
        </w:tc>
        <w:tc>
          <w:tcPr>
            <w:tcW w:w="1160" w:type="dxa"/>
            <w:vAlign w:val="bottom"/>
            <w:gridSpan w:val="3"/>
            <w:shd w:val="clear" w:color="auto" w:fill="CFF0FC"/>
          </w:tcPr>
          <w:p>
            <w:pPr>
              <w:jc w:val="right"/>
              <w:ind w:right="360"/>
              <w:spacing w:after="0" w:line="112" w:lineRule="exact"/>
              <w:rPr>
                <w:sz w:val="20"/>
                <w:szCs w:val="20"/>
                <w:color w:val="auto"/>
              </w:rPr>
            </w:pPr>
            <w:r>
              <w:rPr>
                <w:rFonts w:ascii="Times New Roman" w:cs="Times New Roman" w:eastAsia="Times New Roman" w:hAnsi="Times New Roman"/>
                <w:sz w:val="11"/>
                <w:szCs w:val="11"/>
                <w:color w:val="auto"/>
              </w:rPr>
              <w:t>10.19% (incl</w:t>
            </w:r>
          </w:p>
        </w:tc>
        <w:tc>
          <w:tcPr>
            <w:tcW w:w="64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10,759</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9,554</w:t>
            </w:r>
          </w:p>
        </w:tc>
        <w:tc>
          <w:tcPr>
            <w:tcW w:w="1120" w:type="dxa"/>
            <w:vAlign w:val="bottom"/>
            <w:gridSpan w:val="3"/>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0.7 %</w:t>
            </w: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9.00% PIK)</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(EUR 9,752)</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revolving loan ($1,411 par, due 4/2025)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4/9/2019</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L + 7.25%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10.92 %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5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First-lien revolving loan (EUR 336 par, due 4/2025)</w:t>
            </w:r>
          </w:p>
        </w:tc>
        <w:tc>
          <w:tcPr>
            <w:tcW w:w="9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4/9/2019</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line="108" w:lineRule="exact"/>
              <w:rPr>
                <w:sz w:val="20"/>
                <w:szCs w:val="20"/>
                <w:color w:val="auto"/>
              </w:rPr>
            </w:pPr>
            <w:r>
              <w:rPr>
                <w:rFonts w:ascii="Times New Roman" w:cs="Times New Roman" w:eastAsia="Times New Roman" w:hAnsi="Times New Roman"/>
                <w:sz w:val="11"/>
                <w:szCs w:val="11"/>
                <w:color w:val="auto"/>
              </w:rPr>
              <w:t>E + 7.25%</w:t>
            </w:r>
          </w:p>
        </w:tc>
        <w:tc>
          <w:tcPr>
            <w:tcW w:w="106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8.44 %</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372</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329</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0.0 %</w:t>
            </w: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(EUR 336)</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Passport Labs, Inc. </w:t>
            </w:r>
            <w:r>
              <w:rPr>
                <w:rFonts w:ascii="Times New Roman" w:cs="Times New Roman" w:eastAsia="Times New Roman" w:hAnsi="Times New Roman"/>
                <w:sz w:val="12"/>
                <w:szCs w:val="12"/>
                <w:color w:val="auto"/>
                <w:vertAlign w:val="superscript"/>
              </w:rPr>
              <w:t>(3)</w:t>
            </w:r>
          </w:p>
        </w:tc>
        <w:tc>
          <w:tcPr>
            <w:tcW w:w="120" w:type="dxa"/>
            <w:vAlign w:val="bottom"/>
          </w:tcPr>
          <w:p>
            <w:pPr>
              <w:spacing w:after="0"/>
              <w:rPr>
                <w:sz w:val="9"/>
                <w:szCs w:val="9"/>
                <w:color w:val="auto"/>
              </w:rPr>
            </w:pPr>
          </w:p>
        </w:tc>
        <w:tc>
          <w:tcPr>
            <w:tcW w:w="25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First-lien loan ($23,142 par, due 4/2026)</w:t>
            </w: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4/28/2021</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1"/>
                <w:szCs w:val="11"/>
                <w:color w:val="auto"/>
              </w:rPr>
              <w:t>L + 8.25%</w:t>
            </w:r>
          </w:p>
        </w:tc>
        <w:tc>
          <w:tcPr>
            <w:tcW w:w="11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1"/>
                <w:szCs w:val="11"/>
                <w:color w:val="auto"/>
              </w:rPr>
              <w:t>11.11% (incl.</w:t>
            </w:r>
          </w:p>
        </w:tc>
        <w:tc>
          <w:tcPr>
            <w:tcW w:w="6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22,906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22,541</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4.125% PIK)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PrimeRevenue, Inc.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($22,507 par, due 12/2023)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12/31/2018</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L + 7.00%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10.12 %</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22,579</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($44,775 par, due 4/2027)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4/30/2021</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L + 6.25%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9.06 %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43,706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43,768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28"/>
        </w:trPr>
        <w:tc>
          <w:tcPr>
            <w:tcW w:w="2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298,049</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297,996</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BCTO Ace Purchaser, Inc. </w:t>
            </w:r>
            <w:r>
              <w:rPr>
                <w:rFonts w:ascii="Times New Roman" w:cs="Times New Roman" w:eastAsia="Times New Roman" w:hAnsi="Times New Roman"/>
                <w:sz w:val="14"/>
                <w:szCs w:val="14"/>
                <w:color w:val="auto"/>
                <w:vertAlign w:val="superscript"/>
              </w:rPr>
              <w:t>(3)(5)</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($61,585 par, due 11/2026)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11/23/2020</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SOFR + 7.50%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10.60 %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60,398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60,507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Caris Life Sciences, Inc.</w:t>
            </w: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First-lien loan ($5,000 par, due 9/2023)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9/21/2018</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11.30 %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11.30 %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($3,750 par, due 4/2025)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4/2/2020</w:t>
            </w: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11.30 %</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11.30 %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3,741</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Convertible note ($2,602 par, due 9/2023)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9/21/2018</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0" w:type="dxa"/>
            <w:vAlign w:val="bottom"/>
          </w:tcPr>
          <w:p>
            <w:pPr>
              <w:spacing w:after="0"/>
              <w:rPr>
                <w:sz w:val="1"/>
                <w:szCs w:val="1"/>
                <w:color w:val="auto"/>
              </w:rPr>
            </w:pPr>
          </w:p>
        </w:tc>
      </w:tr>
      <w:tr>
        <w:trPr>
          <w:trHeight w:val="94"/>
        </w:trPr>
        <w:tc>
          <w:tcPr>
            <w:tcW w:w="25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Homecare Software Solutions,</w:t>
            </w:r>
          </w:p>
        </w:tc>
        <w:tc>
          <w:tcPr>
            <w:tcW w:w="120" w:type="dxa"/>
            <w:vAlign w:val="bottom"/>
            <w:shd w:val="clear" w:color="auto" w:fill="CFF0FC"/>
          </w:tcPr>
          <w:p>
            <w:pPr>
              <w:spacing w:after="0"/>
              <w:rPr>
                <w:sz w:val="8"/>
                <w:szCs w:val="8"/>
                <w:color w:val="auto"/>
              </w:rPr>
            </w:pPr>
          </w:p>
        </w:tc>
        <w:tc>
          <w:tcPr>
            <w:tcW w:w="256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First-lien loan ($65,000 par, due 10/2026)</w:t>
            </w:r>
          </w:p>
        </w:tc>
        <w:tc>
          <w:tcPr>
            <w:tcW w:w="92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10/6/2021</w:t>
            </w:r>
          </w:p>
        </w:tc>
        <w:tc>
          <w:tcPr>
            <w:tcW w:w="12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SOFR + 5.70%</w:t>
            </w:r>
          </w:p>
        </w:tc>
        <w:tc>
          <w:tcPr>
            <w:tcW w:w="1060" w:type="dxa"/>
            <w:vAlign w:val="bottom"/>
            <w:gridSpan w:val="2"/>
            <w:shd w:val="clear" w:color="auto" w:fill="CFF0FC"/>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8.72 %</w:t>
            </w: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63,664</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62,888</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62"/>
        </w:trPr>
        <w:tc>
          <w:tcPr>
            <w:tcW w:w="258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1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Integrated Practice</w:t>
            </w:r>
          </w:p>
        </w:tc>
        <w:tc>
          <w:tcPr>
            <w:tcW w:w="120" w:type="dxa"/>
            <w:vAlign w:val="bottom"/>
          </w:tcPr>
          <w:p>
            <w:pPr>
              <w:spacing w:after="0"/>
              <w:rPr>
                <w:sz w:val="8"/>
                <w:szCs w:val="8"/>
                <w:color w:val="auto"/>
              </w:rPr>
            </w:pPr>
          </w:p>
        </w:tc>
        <w:tc>
          <w:tcPr>
            <w:tcW w:w="25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First-lien loan ($46,624 par, due 10/2024)</w:t>
            </w:r>
          </w:p>
        </w:tc>
        <w:tc>
          <w:tcPr>
            <w:tcW w:w="92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6/30/2017</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L + 7.50%</w:t>
            </w:r>
          </w:p>
        </w:tc>
        <w:tc>
          <w:tcPr>
            <w:tcW w:w="10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10.62 %</w:t>
            </w:r>
          </w:p>
        </w:tc>
        <w:tc>
          <w:tcPr>
            <w:tcW w:w="1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45,805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46,624</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62"/>
        </w:trPr>
        <w:tc>
          <w:tcPr>
            <w:tcW w:w="2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Solutions, Inc. </w:t>
            </w:r>
            <w:r>
              <w:rPr>
                <w:rFonts w:ascii="Times New Roman" w:cs="Times New Roman" w:eastAsia="Times New Roman" w:hAnsi="Times New Roman"/>
                <w:sz w:val="14"/>
                <w:szCs w:val="14"/>
                <w:color w:val="auto"/>
                <w:vertAlign w:val="superscript"/>
              </w:rPr>
              <w:t>(3)(5)</w:t>
            </w: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14"/>
                <w:szCs w:val="14"/>
                <w:color w:val="auto"/>
                <w:vertAlign w:val="superscript"/>
              </w:rPr>
              <w:t>(3)(5)</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First-lien loan ($70,103 par, due 6/2028)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6/30/2022</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SOFR + 7.25%</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10.81 %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67,833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66,773</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248,844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251,168</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18.9 </w:t>
            </w:r>
            <w:r>
              <w:rPr>
                <w:rFonts w:ascii="Times New Roman" w:cs="Times New Roman" w:eastAsia="Times New Roman" w:hAnsi="Times New Roman"/>
                <w:sz w:val="11"/>
                <w:szCs w:val="11"/>
                <w:color w:val="auto"/>
                <w:highlight w:val="white"/>
              </w:rPr>
              <w:t>%</w:t>
            </w:r>
          </w:p>
        </w:tc>
        <w:tc>
          <w:tcPr>
            <w:tcW w:w="0" w:type="dxa"/>
            <w:vAlign w:val="bottom"/>
          </w:tcPr>
          <w:p>
            <w:pPr>
              <w:spacing w:after="0"/>
              <w:rPr>
                <w:sz w:val="1"/>
                <w:szCs w:val="1"/>
                <w:color w:val="auto"/>
              </w:rPr>
            </w:pPr>
          </w:p>
        </w:tc>
      </w:tr>
      <w:tr>
        <w:trPr>
          <w:trHeight w:val="129"/>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12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-4542790</wp:posOffset>
            </wp:positionV>
            <wp:extent cx="6858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-4542790</wp:posOffset>
            </wp:positionV>
            <wp:extent cx="6858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-4028440</wp:posOffset>
            </wp:positionV>
            <wp:extent cx="6858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-4028440</wp:posOffset>
            </wp:positionV>
            <wp:extent cx="6858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-3488055</wp:posOffset>
            </wp:positionV>
            <wp:extent cx="68580" cy="93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-3488055</wp:posOffset>
            </wp:positionV>
            <wp:extent cx="6858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-2811145</wp:posOffset>
            </wp:positionV>
            <wp:extent cx="6858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-2811145</wp:posOffset>
            </wp:positionV>
            <wp:extent cx="6858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-1036955</wp:posOffset>
            </wp:positionV>
            <wp:extent cx="6858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-1036955</wp:posOffset>
            </wp:positionV>
            <wp:extent cx="6858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858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-187960</wp:posOffset>
            </wp:positionV>
            <wp:extent cx="6858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ASG II, LLC </w:t>
            </w:r>
            <w:r>
              <w:rPr>
                <w:rFonts w:ascii="Times New Roman" w:cs="Times New Roman" w:eastAsia="Times New Roman" w:hAnsi="Times New Roman"/>
                <w:sz w:val="14"/>
                <w:szCs w:val="14"/>
                <w:color w:val="auto"/>
                <w:vertAlign w:val="superscript"/>
              </w:rPr>
              <w:t>(3)(5)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($56,522 par, due 5/2028)</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5/25/2022</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SOFR + 6.65%</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9.37 %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54,409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(3)(7)</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($30,261 par, due 6/2023)</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9/29/2015</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+ 9.50%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13.17 %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28,594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29,958</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35"/>
        </w:trPr>
        <w:tc>
          <w:tcPr>
            <w:tcW w:w="2180" w:type="dxa"/>
            <w:vAlign w:val="bottom"/>
          </w:tcPr>
          <w:p>
            <w:pPr>
              <w:spacing w:after="0"/>
              <w:rPr>
                <w:sz w:val="11"/>
                <w:szCs w:val="11"/>
                <w:color w:val="auto"/>
              </w:rPr>
            </w:pP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revolving loan ($14,827 par, due 6/2023)</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9/29/2015</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L + 9.50%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13.14 %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14,672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29"/>
        </w:trPr>
        <w:tc>
          <w:tcPr>
            <w:tcW w:w="2180" w:type="dxa"/>
            <w:vAlign w:val="bottom"/>
            <w:tcBorders>
              <w:bottom w:val="single" w:sz="8" w:color="CFF0FC"/>
            </w:tcBorders>
            <w:shd w:val="clear" w:color="auto" w:fill="CFF0FC"/>
          </w:tcPr>
          <w:p>
            <w:pPr>
              <w:spacing w:after="0"/>
              <w:rPr>
                <w:sz w:val="11"/>
                <w:szCs w:val="11"/>
                <w:color w:val="auto"/>
              </w:rPr>
            </w:pPr>
          </w:p>
        </w:tc>
        <w:tc>
          <w:tcPr>
            <w:tcW w:w="3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98,455</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99,039</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8"/>
        </w:trPr>
        <w:tc>
          <w:tcPr>
            <w:tcW w:w="2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3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(3)(4)(5)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($46,088 par, due 5/2026)</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5/5/2021</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L + 7.50%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10.24 %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45,024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Elysian Finco Ltd. </w:t>
            </w:r>
            <w:r>
              <w:rPr>
                <w:rFonts w:ascii="Times New Roman" w:cs="Times New Roman" w:eastAsia="Times New Roman" w:hAnsi="Times New Roman"/>
                <w:sz w:val="14"/>
                <w:szCs w:val="14"/>
                <w:color w:val="auto"/>
                <w:vertAlign w:val="superscript"/>
              </w:rPr>
              <w:t>(3)(4)(5)</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($16,785 par, due 1/2028)</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1/31/2022</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SOFR + 6.65%</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9.64 %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16,282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16,489</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1.2 %</w:t>
            </w:r>
          </w:p>
        </w:tc>
      </w:tr>
      <w:tr>
        <w:trPr>
          <w:trHeight w:val="94"/>
        </w:trPr>
        <w:tc>
          <w:tcPr>
            <w:tcW w:w="21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Employment Hero Holdings Pty</w:t>
            </w:r>
          </w:p>
        </w:tc>
        <w:tc>
          <w:tcPr>
            <w:tcW w:w="3120" w:type="dxa"/>
            <w:vAlign w:val="bottom"/>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(AUD 40,000 par, due 12/2026)</w:t>
            </w:r>
          </w:p>
        </w:tc>
        <w:tc>
          <w:tcPr>
            <w:tcW w:w="1000" w:type="dxa"/>
            <w:vAlign w:val="bottom"/>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12/6/2021</w:t>
            </w:r>
          </w:p>
        </w:tc>
        <w:tc>
          <w:tcPr>
            <w:tcW w:w="1020" w:type="dxa"/>
            <w:vAlign w:val="bottom"/>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B + 6.50%</w:t>
            </w:r>
          </w:p>
        </w:tc>
        <w:tc>
          <w:tcPr>
            <w:tcW w:w="1080" w:type="dxa"/>
            <w:vAlign w:val="bottom"/>
          </w:tcPr>
          <w:p>
            <w:pPr>
              <w:jc w:val="right"/>
              <w:ind w:right="67"/>
              <w:spacing w:after="0" w:line="95" w:lineRule="exact"/>
              <w:rPr>
                <w:sz w:val="20"/>
                <w:szCs w:val="20"/>
                <w:color w:val="auto"/>
              </w:rPr>
            </w:pPr>
            <w:r>
              <w:rPr>
                <w:rFonts w:ascii="Times New Roman" w:cs="Times New Roman" w:eastAsia="Times New Roman" w:hAnsi="Times New Roman"/>
                <w:sz w:val="10"/>
                <w:szCs w:val="10"/>
                <w:color w:val="auto"/>
              </w:rPr>
              <w:t>9.56 %</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27,554</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24,503</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1.8 %</w:t>
            </w:r>
          </w:p>
        </w:tc>
      </w:tr>
      <w:tr>
        <w:trPr>
          <w:trHeight w:val="162"/>
        </w:trPr>
        <w:tc>
          <w:tcPr>
            <w:tcW w:w="218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Ltd.</w:t>
            </w:r>
            <w:r>
              <w:rPr>
                <w:rFonts w:ascii="Times New Roman" w:cs="Times New Roman" w:eastAsia="Times New Roman" w:hAnsi="Times New Roman"/>
                <w:sz w:val="7"/>
                <w:szCs w:val="7"/>
                <w:color w:val="auto"/>
              </w:rPr>
              <w:t xml:space="preserve"> (3)(4)</w:t>
            </w: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38,110)</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8"/>
        </w:trPr>
        <w:tc>
          <w:tcPr>
            <w:tcW w:w="21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PageUp People, Ltd. </w:t>
            </w:r>
            <w:r>
              <w:rPr>
                <w:rFonts w:ascii="Times New Roman" w:cs="Times New Roman" w:eastAsia="Times New Roman" w:hAnsi="Times New Roman"/>
                <w:sz w:val="12"/>
                <w:szCs w:val="12"/>
                <w:color w:val="auto"/>
                <w:vertAlign w:val="superscript"/>
              </w:rPr>
              <w:t>(3)(4)(5)</w:t>
            </w:r>
          </w:p>
        </w:tc>
        <w:tc>
          <w:tcPr>
            <w:tcW w:w="3120" w:type="dxa"/>
            <w:vAlign w:val="bottom"/>
            <w:shd w:val="clear" w:color="auto" w:fill="CFF0FC"/>
          </w:tcPr>
          <w:p>
            <w:pPr>
              <w:ind w:left="540"/>
              <w:spacing w:after="0" w:line="108" w:lineRule="exact"/>
              <w:rPr>
                <w:sz w:val="20"/>
                <w:szCs w:val="20"/>
                <w:color w:val="auto"/>
              </w:rPr>
            </w:pPr>
            <w:r>
              <w:rPr>
                <w:rFonts w:ascii="Times New Roman" w:cs="Times New Roman" w:eastAsia="Times New Roman" w:hAnsi="Times New Roman"/>
                <w:sz w:val="11"/>
                <w:szCs w:val="11"/>
                <w:color w:val="auto"/>
              </w:rPr>
              <w:t>First-lien loan (AUD 15,982 par, due 12/2025)</w:t>
            </w:r>
          </w:p>
        </w:tc>
        <w:tc>
          <w:tcPr>
            <w:tcW w:w="1000" w:type="dxa"/>
            <w:vAlign w:val="bottom"/>
            <w:shd w:val="clear" w:color="auto" w:fill="CFF0FC"/>
          </w:tcPr>
          <w:p>
            <w:pPr>
              <w:jc w:val="right"/>
              <w:ind w:right="87"/>
              <w:spacing w:after="0" w:line="108" w:lineRule="exact"/>
              <w:rPr>
                <w:sz w:val="20"/>
                <w:szCs w:val="20"/>
                <w:color w:val="auto"/>
              </w:rPr>
            </w:pPr>
            <w:r>
              <w:rPr>
                <w:rFonts w:ascii="Times New Roman" w:cs="Times New Roman" w:eastAsia="Times New Roman" w:hAnsi="Times New Roman"/>
                <w:sz w:val="11"/>
                <w:szCs w:val="11"/>
                <w:color w:val="auto"/>
              </w:rPr>
              <w:t>1/11/2018</w:t>
            </w:r>
          </w:p>
        </w:tc>
        <w:tc>
          <w:tcPr>
            <w:tcW w:w="1020" w:type="dxa"/>
            <w:vAlign w:val="bottom"/>
            <w:shd w:val="clear" w:color="auto" w:fill="CFF0FC"/>
          </w:tcPr>
          <w:p>
            <w:pPr>
              <w:jc w:val="right"/>
              <w:ind w:right="167"/>
              <w:spacing w:after="0" w:line="108" w:lineRule="exact"/>
              <w:rPr>
                <w:sz w:val="20"/>
                <w:szCs w:val="20"/>
                <w:color w:val="auto"/>
              </w:rPr>
            </w:pPr>
            <w:r>
              <w:rPr>
                <w:rFonts w:ascii="Times New Roman" w:cs="Times New Roman" w:eastAsia="Times New Roman" w:hAnsi="Times New Roman"/>
                <w:sz w:val="11"/>
                <w:szCs w:val="11"/>
                <w:color w:val="auto"/>
              </w:rPr>
              <w:t>B + 5.50%</w:t>
            </w:r>
          </w:p>
        </w:tc>
        <w:tc>
          <w:tcPr>
            <w:tcW w:w="1080" w:type="dxa"/>
            <w:vAlign w:val="bottom"/>
            <w:shd w:val="clear" w:color="auto" w:fill="CFF0FC"/>
          </w:tcPr>
          <w:p>
            <w:pPr>
              <w:jc w:val="right"/>
              <w:ind w:right="67"/>
              <w:spacing w:after="0" w:line="108" w:lineRule="exact"/>
              <w:rPr>
                <w:sz w:val="20"/>
                <w:szCs w:val="20"/>
                <w:color w:val="auto"/>
              </w:rPr>
            </w:pPr>
            <w:r>
              <w:rPr>
                <w:rFonts w:ascii="Times New Roman" w:cs="Times New Roman" w:eastAsia="Times New Roman" w:hAnsi="Times New Roman"/>
                <w:sz w:val="11"/>
                <w:szCs w:val="11"/>
                <w:color w:val="auto"/>
              </w:rPr>
              <w:t>8.56 %</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11,794</w:t>
            </w:r>
          </w:p>
        </w:tc>
        <w:tc>
          <w:tcPr>
            <w:tcW w:w="9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9,259</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0.7 %</w:t>
            </w:r>
          </w:p>
        </w:tc>
      </w:tr>
      <w:tr>
        <w:trPr>
          <w:trHeight w:val="149"/>
        </w:trPr>
        <w:tc>
          <w:tcPr>
            <w:tcW w:w="2180" w:type="dxa"/>
            <w:vAlign w:val="bottom"/>
            <w:shd w:val="clear" w:color="auto" w:fill="CFF0FC"/>
          </w:tcPr>
          <w:p>
            <w:pPr>
              <w:spacing w:after="0"/>
              <w:rPr>
                <w:sz w:val="12"/>
                <w:szCs w:val="12"/>
                <w:color w:val="auto"/>
              </w:rPr>
            </w:pPr>
          </w:p>
        </w:tc>
        <w:tc>
          <w:tcPr>
            <w:tcW w:w="3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(AUD 14,401)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08"/>
        </w:trPr>
        <w:tc>
          <w:tcPr>
            <w:tcW w:w="2180" w:type="dxa"/>
            <w:vAlign w:val="bottom"/>
          </w:tcPr>
          <w:p>
            <w:pPr>
              <w:spacing w:after="0"/>
              <w:rPr>
                <w:sz w:val="9"/>
                <w:szCs w:val="9"/>
                <w:color w:val="auto"/>
              </w:rPr>
            </w:pPr>
          </w:p>
        </w:tc>
        <w:tc>
          <w:tcPr>
            <w:tcW w:w="3120" w:type="dxa"/>
            <w:vAlign w:val="bottom"/>
          </w:tcPr>
          <w:p>
            <w:pPr>
              <w:ind w:left="540"/>
              <w:spacing w:after="0" w:line="108" w:lineRule="exact"/>
              <w:rPr>
                <w:sz w:val="20"/>
                <w:szCs w:val="20"/>
                <w:color w:val="auto"/>
              </w:rPr>
            </w:pPr>
            <w:r>
              <w:rPr>
                <w:rFonts w:ascii="Times New Roman" w:cs="Times New Roman" w:eastAsia="Times New Roman" w:hAnsi="Times New Roman"/>
                <w:sz w:val="11"/>
                <w:szCs w:val="11"/>
                <w:color w:val="auto"/>
              </w:rPr>
              <w:t>First-lien loan (GBP 4,723 par, due 12/2025)</w:t>
            </w:r>
          </w:p>
        </w:tc>
        <w:tc>
          <w:tcPr>
            <w:tcW w:w="1000" w:type="dxa"/>
            <w:vAlign w:val="bottom"/>
          </w:tcPr>
          <w:p>
            <w:pPr>
              <w:jc w:val="right"/>
              <w:ind w:right="87"/>
              <w:spacing w:after="0" w:line="108" w:lineRule="exact"/>
              <w:rPr>
                <w:sz w:val="20"/>
                <w:szCs w:val="20"/>
                <w:color w:val="auto"/>
              </w:rPr>
            </w:pPr>
            <w:r>
              <w:rPr>
                <w:rFonts w:ascii="Times New Roman" w:cs="Times New Roman" w:eastAsia="Times New Roman" w:hAnsi="Times New Roman"/>
                <w:sz w:val="11"/>
                <w:szCs w:val="11"/>
                <w:color w:val="auto"/>
              </w:rPr>
              <w:t>10/28/2021</w:t>
            </w:r>
          </w:p>
        </w:tc>
        <w:tc>
          <w:tcPr>
            <w:tcW w:w="1020" w:type="dxa"/>
            <w:vAlign w:val="bottom"/>
          </w:tcPr>
          <w:p>
            <w:pPr>
              <w:jc w:val="right"/>
              <w:ind w:right="167"/>
              <w:spacing w:after="0" w:line="108" w:lineRule="exact"/>
              <w:rPr>
                <w:sz w:val="20"/>
                <w:szCs w:val="20"/>
                <w:color w:val="auto"/>
              </w:rPr>
            </w:pPr>
            <w:r>
              <w:rPr>
                <w:rFonts w:ascii="Times New Roman" w:cs="Times New Roman" w:eastAsia="Times New Roman" w:hAnsi="Times New Roman"/>
                <w:sz w:val="11"/>
                <w:szCs w:val="11"/>
                <w:color w:val="auto"/>
              </w:rPr>
              <w:t>S + 5.50%</w:t>
            </w:r>
          </w:p>
        </w:tc>
        <w:tc>
          <w:tcPr>
            <w:tcW w:w="1080" w:type="dxa"/>
            <w:vAlign w:val="bottom"/>
          </w:tcPr>
          <w:p>
            <w:pPr>
              <w:jc w:val="right"/>
              <w:ind w:right="67"/>
              <w:spacing w:after="0" w:line="108" w:lineRule="exact"/>
              <w:rPr>
                <w:sz w:val="20"/>
                <w:szCs w:val="20"/>
                <w:color w:val="auto"/>
              </w:rPr>
            </w:pPr>
            <w:r>
              <w:rPr>
                <w:rFonts w:ascii="Times New Roman" w:cs="Times New Roman" w:eastAsia="Times New Roman" w:hAnsi="Times New Roman"/>
                <w:sz w:val="11"/>
                <w:szCs w:val="11"/>
                <w:color w:val="auto"/>
              </w:rPr>
              <w:t>7.32 %</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6,501</w:t>
            </w:r>
          </w:p>
        </w:tc>
        <w:tc>
          <w:tcPr>
            <w:tcW w:w="9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5,128</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0.4 %</w:t>
            </w:r>
          </w:p>
        </w:tc>
      </w:tr>
      <w:tr>
        <w:trPr>
          <w:trHeight w:val="144"/>
        </w:trPr>
        <w:tc>
          <w:tcPr>
            <w:tcW w:w="2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(GBP 4,593)</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2180" w:type="dxa"/>
            <w:vAlign w:val="bottom"/>
            <w:shd w:val="clear" w:color="auto" w:fill="CFF0FC"/>
          </w:tcPr>
          <w:p>
            <w:pPr>
              <w:spacing w:after="0"/>
              <w:rPr>
                <w:sz w:val="12"/>
                <w:szCs w:val="12"/>
                <w:color w:val="auto"/>
              </w:rPr>
            </w:pP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($12,989 par, due 12/2025)</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10/28/2021</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+ 5.50%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9.17 %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12,974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12,632</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14"/>
                <w:szCs w:val="14"/>
                <w:color w:val="auto"/>
                <w:vertAlign w:val="superscript"/>
              </w:rPr>
              <w:t>(3)(5)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($68,950 par, due 5/2024)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5/3/2019</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L + 5.50%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9.17 %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67,743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5.1 %</w:t>
            </w:r>
          </w:p>
        </w:tc>
      </w:tr>
      <w:tr>
        <w:trPr>
          <w:trHeight w:val="94"/>
        </w:trPr>
        <w:tc>
          <w:tcPr>
            <w:tcW w:w="21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PrimePay Intermediate,</w:t>
            </w:r>
          </w:p>
        </w:tc>
        <w:tc>
          <w:tcPr>
            <w:tcW w:w="3120" w:type="dxa"/>
            <w:vAlign w:val="bottom"/>
            <w:shd w:val="clear" w:color="auto" w:fill="CFF0FC"/>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($29,500 par, due 12/2026)</w:t>
            </w:r>
          </w:p>
        </w:tc>
        <w:tc>
          <w:tcPr>
            <w:tcW w:w="1000" w:type="dxa"/>
            <w:vAlign w:val="bottom"/>
            <w:shd w:val="clear" w:color="auto" w:fill="CFF0FC"/>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12/17/2021</w:t>
            </w:r>
          </w:p>
        </w:tc>
        <w:tc>
          <w:tcPr>
            <w:tcW w:w="1020" w:type="dxa"/>
            <w:vAlign w:val="bottom"/>
            <w:shd w:val="clear" w:color="auto" w:fill="CFF0FC"/>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L + 7.00%</w:t>
            </w:r>
          </w:p>
        </w:tc>
        <w:tc>
          <w:tcPr>
            <w:tcW w:w="1080" w:type="dxa"/>
            <w:vAlign w:val="bottom"/>
            <w:shd w:val="clear" w:color="auto" w:fill="CFF0FC"/>
          </w:tcPr>
          <w:p>
            <w:pPr>
              <w:jc w:val="right"/>
              <w:ind w:right="67"/>
              <w:spacing w:after="0" w:line="95" w:lineRule="exact"/>
              <w:rPr>
                <w:sz w:val="20"/>
                <w:szCs w:val="20"/>
                <w:color w:val="auto"/>
              </w:rPr>
            </w:pPr>
            <w:r>
              <w:rPr>
                <w:rFonts w:ascii="Times New Roman" w:cs="Times New Roman" w:eastAsia="Times New Roman" w:hAnsi="Times New Roman"/>
                <w:sz w:val="10"/>
                <w:szCs w:val="10"/>
                <w:color w:val="auto"/>
              </w:rPr>
              <w:t>9.88 %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28,496</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28,394</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2.1 %</w:t>
            </w:r>
          </w:p>
        </w:tc>
      </w:tr>
      <w:tr>
        <w:trPr>
          <w:trHeight w:val="162"/>
        </w:trPr>
        <w:tc>
          <w:tcPr>
            <w:tcW w:w="218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3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Modern Hire, Inc. </w:t>
            </w:r>
            <w:r>
              <w:rPr>
                <w:rFonts w:ascii="Times New Roman" w:cs="Times New Roman" w:eastAsia="Times New Roman" w:hAnsi="Times New Roman"/>
                <w:sz w:val="14"/>
                <w:szCs w:val="14"/>
                <w:color w:val="auto"/>
                <w:vertAlign w:val="superscript"/>
              </w:rPr>
              <w:t>(3)(5)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($29,068 par, due 5/2024)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5/15/2019</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L + 7.00%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10.12 %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29,432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Workwell Acquisition Co. </w:t>
            </w:r>
            <w:r>
              <w:rPr>
                <w:rFonts w:ascii="Times New Roman" w:cs="Times New Roman" w:eastAsia="Times New Roman" w:hAnsi="Times New Roman"/>
                <w:sz w:val="14"/>
                <w:szCs w:val="14"/>
                <w:color w:val="auto"/>
                <w:vertAlign w:val="superscript"/>
              </w:rPr>
              <w:t>(3)(5)</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($23,951 par, due 10/2025)</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10/19/2020</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SOFR + 7.35%</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10.55 %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23,550</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23,581</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1.8 %</w:t>
            </w:r>
          </w:p>
        </w:tc>
      </w:tr>
      <w:tr>
        <w:trPr>
          <w:trHeight w:val="20"/>
        </w:trPr>
        <w:tc>
          <w:tcPr>
            <w:tcW w:w="218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2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269,303</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262,185</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19.7 </w:t>
            </w:r>
            <w:r>
              <w:rPr>
                <w:rFonts w:ascii="Times New Roman" w:cs="Times New Roman" w:eastAsia="Times New Roman" w:hAnsi="Times New Roman"/>
                <w:sz w:val="11"/>
                <w:szCs w:val="11"/>
                <w:color w:val="auto"/>
                <w:highlight w:val="white"/>
              </w:rPr>
              <w:t>%</w:t>
            </w:r>
          </w:p>
        </w:tc>
      </w:tr>
      <w:tr>
        <w:trPr>
          <w:trHeight w:val="128"/>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3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95"/>
        </w:trPr>
        <w:tc>
          <w:tcPr>
            <w:tcW w:w="21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Bayshore Intermediate #2,</w:t>
            </w:r>
          </w:p>
        </w:tc>
        <w:tc>
          <w:tcPr>
            <w:tcW w:w="3120" w:type="dxa"/>
            <w:vAlign w:val="bottom"/>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($31,256 par, due 10/2028)</w:t>
            </w:r>
          </w:p>
        </w:tc>
        <w:tc>
          <w:tcPr>
            <w:tcW w:w="1000" w:type="dxa"/>
            <w:vAlign w:val="bottom"/>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10/1/2021</w:t>
            </w:r>
          </w:p>
        </w:tc>
        <w:tc>
          <w:tcPr>
            <w:tcW w:w="1020" w:type="dxa"/>
            <w:vAlign w:val="bottom"/>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L + 7.75%</w:t>
            </w:r>
          </w:p>
        </w:tc>
        <w:tc>
          <w:tcPr>
            <w:tcW w:w="108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10.43% PIK</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30,633</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30,078</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2.3 %</w:t>
            </w:r>
          </w:p>
        </w:tc>
      </w:tr>
      <w:tr>
        <w:trPr>
          <w:trHeight w:val="162"/>
        </w:trPr>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L.P. </w:t>
            </w:r>
            <w:r>
              <w:rPr>
                <w:rFonts w:ascii="Times New Roman" w:cs="Times New Roman" w:eastAsia="Times New Roman" w:hAnsi="Times New Roman"/>
                <w:sz w:val="14"/>
                <w:szCs w:val="14"/>
                <w:color w:val="auto"/>
                <w:vertAlign w:val="superscript"/>
              </w:rPr>
              <w:t>(3)</w:t>
            </w: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4"/>
        </w:trPr>
        <w:tc>
          <w:tcPr>
            <w:tcW w:w="21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CrunchTime Information,</w:t>
            </w:r>
          </w:p>
        </w:tc>
        <w:tc>
          <w:tcPr>
            <w:tcW w:w="3120" w:type="dxa"/>
            <w:vAlign w:val="bottom"/>
            <w:shd w:val="clear" w:color="auto" w:fill="CFF0FC"/>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($53,255 par, due 6/2028)</w:t>
            </w:r>
          </w:p>
        </w:tc>
        <w:tc>
          <w:tcPr>
            <w:tcW w:w="1000" w:type="dxa"/>
            <w:vAlign w:val="bottom"/>
            <w:shd w:val="clear" w:color="auto" w:fill="CFF0FC"/>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6/17/2022</w:t>
            </w:r>
          </w:p>
        </w:tc>
        <w:tc>
          <w:tcPr>
            <w:tcW w:w="1020" w:type="dxa"/>
            <w:vAlign w:val="bottom"/>
            <w:shd w:val="clear" w:color="auto" w:fill="CFF0FC"/>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SOFR + 6.00%</w:t>
            </w:r>
          </w:p>
        </w:tc>
        <w:tc>
          <w:tcPr>
            <w:tcW w:w="1080" w:type="dxa"/>
            <w:vAlign w:val="bottom"/>
            <w:shd w:val="clear" w:color="auto" w:fill="CFF0FC"/>
          </w:tcPr>
          <w:p>
            <w:pPr>
              <w:jc w:val="right"/>
              <w:ind w:right="67"/>
              <w:spacing w:after="0" w:line="95" w:lineRule="exact"/>
              <w:rPr>
                <w:sz w:val="20"/>
                <w:szCs w:val="20"/>
                <w:color w:val="auto"/>
              </w:rPr>
            </w:pPr>
            <w:r>
              <w:rPr>
                <w:rFonts w:ascii="Times New Roman" w:cs="Times New Roman" w:eastAsia="Times New Roman" w:hAnsi="Times New Roman"/>
                <w:sz w:val="10"/>
                <w:szCs w:val="10"/>
                <w:color w:val="auto"/>
              </w:rPr>
              <w:t>9.02 %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52,047</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51,595</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3.9 %</w:t>
            </w:r>
          </w:p>
        </w:tc>
      </w:tr>
      <w:tr>
        <w:trPr>
          <w:trHeight w:val="162"/>
        </w:trPr>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Systems, Inc. </w:t>
            </w:r>
            <w:r>
              <w:rPr>
                <w:rFonts w:ascii="Times New Roman" w:cs="Times New Roman" w:eastAsia="Times New Roman" w:hAnsi="Times New Roman"/>
                <w:sz w:val="14"/>
                <w:szCs w:val="14"/>
                <w:color w:val="auto"/>
                <w:vertAlign w:val="superscript"/>
              </w:rPr>
              <w:t>(3)(5)</w:t>
            </w:r>
          </w:p>
        </w:tc>
        <w:tc>
          <w:tcPr>
            <w:tcW w:w="3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4"/>
                <w:szCs w:val="14"/>
                <w:color w:val="auto"/>
                <w:vertAlign w:val="superscript"/>
              </w:rPr>
              <w:t>(3)(5)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($53,988 par, due 7/2028)</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7/7/2022</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SOFR + 6.00%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9.11 %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52,597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52,504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4.0 %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14"/>
                <w:szCs w:val="14"/>
                <w:color w:val="auto"/>
                <w:vertAlign w:val="superscript"/>
              </w:rPr>
              <w:t>(3)(5)</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($56,181 par, due 1/2024)</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6/18/2018</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+ 7.25%</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10.93 %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55,852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56,040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4.2 %</w:t>
            </w: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LeanTaaS Holdings, Inc. </w:t>
            </w:r>
            <w:r>
              <w:rPr>
                <w:rFonts w:ascii="Times New Roman" w:cs="Times New Roman" w:eastAsia="Times New Roman" w:hAnsi="Times New Roman"/>
                <w:sz w:val="14"/>
                <w:szCs w:val="14"/>
                <w:color w:val="auto"/>
                <w:vertAlign w:val="superscript"/>
              </w:rPr>
              <w:t>(3)(5)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($26,690 par, due 7/2028)</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7/12/2022</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SOFR + 6.50%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11.05 %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25,639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94"/>
        </w:trPr>
        <w:tc>
          <w:tcPr>
            <w:tcW w:w="21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Lithium Technologies,</w:t>
            </w:r>
          </w:p>
        </w:tc>
        <w:tc>
          <w:tcPr>
            <w:tcW w:w="3120" w:type="dxa"/>
            <w:vAlign w:val="bottom"/>
            <w:shd w:val="clear" w:color="auto" w:fill="CFF0FC"/>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($54,700 par, due 1/2024)</w:t>
            </w:r>
          </w:p>
        </w:tc>
        <w:tc>
          <w:tcPr>
            <w:tcW w:w="1000" w:type="dxa"/>
            <w:vAlign w:val="bottom"/>
            <w:shd w:val="clear" w:color="auto" w:fill="CFF0FC"/>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10/3/2017</w:t>
            </w:r>
          </w:p>
        </w:tc>
        <w:tc>
          <w:tcPr>
            <w:tcW w:w="1020" w:type="dxa"/>
            <w:vAlign w:val="bottom"/>
            <w:shd w:val="clear" w:color="auto" w:fill="CFF0FC"/>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SOFR + 8.00%</w:t>
            </w:r>
          </w:p>
        </w:tc>
        <w:tc>
          <w:tcPr>
            <w:tcW w:w="1080" w:type="dxa"/>
            <w:vAlign w:val="bottom"/>
            <w:shd w:val="clear" w:color="auto" w:fill="CFF0FC"/>
          </w:tcPr>
          <w:p>
            <w:pPr>
              <w:jc w:val="right"/>
              <w:ind w:right="67"/>
              <w:spacing w:after="0" w:line="95" w:lineRule="exact"/>
              <w:rPr>
                <w:sz w:val="20"/>
                <w:szCs w:val="20"/>
                <w:color w:val="auto"/>
              </w:rPr>
            </w:pPr>
            <w:r>
              <w:rPr>
                <w:rFonts w:ascii="Times New Roman" w:cs="Times New Roman" w:eastAsia="Times New Roman" w:hAnsi="Times New Roman"/>
                <w:sz w:val="10"/>
                <w:szCs w:val="10"/>
                <w:color w:val="auto"/>
              </w:rPr>
              <w:t>10.53 %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54,636</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53,606</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4.0 %</w:t>
            </w:r>
          </w:p>
        </w:tc>
      </w:tr>
      <w:tr>
        <w:trPr>
          <w:trHeight w:val="162"/>
        </w:trPr>
        <w:tc>
          <w:tcPr>
            <w:tcW w:w="218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w:t>
            </w:r>
          </w:p>
        </w:tc>
        <w:tc>
          <w:tcPr>
            <w:tcW w:w="3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5"/>
        </w:trPr>
        <w:tc>
          <w:tcPr>
            <w:tcW w:w="2180" w:type="dxa"/>
            <w:vAlign w:val="bottom"/>
          </w:tcPr>
          <w:p>
            <w:pPr>
              <w:spacing w:after="0"/>
              <w:rPr>
                <w:sz w:val="11"/>
                <w:szCs w:val="11"/>
                <w:color w:val="auto"/>
              </w:rPr>
            </w:pP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revolving loan ($1,320 par, due 10/2022)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10/3/2017</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SOFR + 8.00%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10.53 %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08"/>
        </w:trPr>
        <w:tc>
          <w:tcPr>
            <w:tcW w:w="21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Lucidworks, Inc. </w:t>
            </w:r>
            <w:r>
              <w:rPr>
                <w:rFonts w:ascii="Times New Roman" w:cs="Times New Roman" w:eastAsia="Times New Roman" w:hAnsi="Times New Roman"/>
                <w:sz w:val="12"/>
                <w:szCs w:val="12"/>
                <w:color w:val="auto"/>
                <w:vertAlign w:val="superscript"/>
              </w:rPr>
              <w:t>(3)(5)</w:t>
            </w:r>
          </w:p>
        </w:tc>
        <w:tc>
          <w:tcPr>
            <w:tcW w:w="3120" w:type="dxa"/>
            <w:vAlign w:val="bottom"/>
            <w:shd w:val="clear" w:color="auto" w:fill="CFF0FC"/>
          </w:tcPr>
          <w:p>
            <w:pPr>
              <w:ind w:left="540"/>
              <w:spacing w:after="0" w:line="108" w:lineRule="exact"/>
              <w:rPr>
                <w:sz w:val="20"/>
                <w:szCs w:val="20"/>
                <w:color w:val="auto"/>
              </w:rPr>
            </w:pPr>
            <w:r>
              <w:rPr>
                <w:rFonts w:ascii="Times New Roman" w:cs="Times New Roman" w:eastAsia="Times New Roman" w:hAnsi="Times New Roman"/>
                <w:sz w:val="11"/>
                <w:szCs w:val="11"/>
                <w:color w:val="auto"/>
              </w:rPr>
              <w:t>First-lien loan ($8,188 par, due 2/2027)</w:t>
            </w:r>
          </w:p>
        </w:tc>
        <w:tc>
          <w:tcPr>
            <w:tcW w:w="1000" w:type="dxa"/>
            <w:vAlign w:val="bottom"/>
            <w:shd w:val="clear" w:color="auto" w:fill="CFF0FC"/>
          </w:tcPr>
          <w:p>
            <w:pPr>
              <w:jc w:val="right"/>
              <w:ind w:right="87"/>
              <w:spacing w:after="0" w:line="108" w:lineRule="exact"/>
              <w:rPr>
                <w:sz w:val="20"/>
                <w:szCs w:val="20"/>
                <w:color w:val="auto"/>
              </w:rPr>
            </w:pPr>
            <w:r>
              <w:rPr>
                <w:rFonts w:ascii="Times New Roman" w:cs="Times New Roman" w:eastAsia="Times New Roman" w:hAnsi="Times New Roman"/>
                <w:sz w:val="11"/>
                <w:szCs w:val="11"/>
                <w:color w:val="auto"/>
              </w:rPr>
              <w:t>2/11/2022</w:t>
            </w:r>
          </w:p>
        </w:tc>
        <w:tc>
          <w:tcPr>
            <w:tcW w:w="1020" w:type="dxa"/>
            <w:vAlign w:val="bottom"/>
            <w:shd w:val="clear" w:color="auto" w:fill="CFF0FC"/>
          </w:tcPr>
          <w:p>
            <w:pPr>
              <w:jc w:val="right"/>
              <w:ind w:right="167"/>
              <w:spacing w:after="0" w:line="108" w:lineRule="exact"/>
              <w:rPr>
                <w:sz w:val="20"/>
                <w:szCs w:val="20"/>
                <w:color w:val="auto"/>
              </w:rPr>
            </w:pPr>
            <w:r>
              <w:rPr>
                <w:rFonts w:ascii="Times New Roman" w:cs="Times New Roman" w:eastAsia="Times New Roman" w:hAnsi="Times New Roman"/>
                <w:sz w:val="11"/>
                <w:szCs w:val="11"/>
                <w:color w:val="auto"/>
              </w:rPr>
              <w:t>SOFR + 7.50%</w:t>
            </w:r>
          </w:p>
        </w:tc>
        <w:tc>
          <w:tcPr>
            <w:tcW w:w="1080" w:type="dxa"/>
            <w:vAlign w:val="bottom"/>
            <w:shd w:val="clear" w:color="auto" w:fill="CFF0FC"/>
          </w:tcPr>
          <w:p>
            <w:pPr>
              <w:jc w:val="right"/>
              <w:ind w:right="207"/>
              <w:spacing w:after="0" w:line="108" w:lineRule="exact"/>
              <w:rPr>
                <w:sz w:val="20"/>
                <w:szCs w:val="20"/>
                <w:color w:val="auto"/>
              </w:rPr>
            </w:pPr>
            <w:r>
              <w:rPr>
                <w:rFonts w:ascii="Times New Roman" w:cs="Times New Roman" w:eastAsia="Times New Roman" w:hAnsi="Times New Roman"/>
                <w:sz w:val="11"/>
                <w:szCs w:val="11"/>
                <w:color w:val="auto"/>
              </w:rPr>
              <w:t>10.53% (incl.</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8,188</w:t>
            </w:r>
          </w:p>
        </w:tc>
        <w:tc>
          <w:tcPr>
            <w:tcW w:w="9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8,030</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0.6 %</w:t>
            </w:r>
          </w:p>
        </w:tc>
      </w:tr>
      <w:tr>
        <w:trPr>
          <w:trHeight w:val="149"/>
        </w:trPr>
        <w:tc>
          <w:tcPr>
            <w:tcW w:w="2180" w:type="dxa"/>
            <w:vAlign w:val="bottom"/>
            <w:shd w:val="clear" w:color="auto" w:fill="CFF0FC"/>
          </w:tcPr>
          <w:p>
            <w:pPr>
              <w:spacing w:after="0"/>
              <w:rPr>
                <w:sz w:val="12"/>
                <w:szCs w:val="12"/>
                <w:color w:val="auto"/>
              </w:rPr>
            </w:pPr>
          </w:p>
        </w:tc>
        <w:tc>
          <w:tcPr>
            <w:tcW w:w="3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3.50% PIK)</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(3)(5)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($51,442 par, due 2/2026)</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2/25/2021</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SOFR + 7.10%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10.13 %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50,156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3.8 %</w:t>
            </w:r>
          </w:p>
        </w:tc>
      </w:tr>
      <w:tr>
        <w:trPr>
          <w:trHeight w:val="128"/>
        </w:trPr>
        <w:tc>
          <w:tcPr>
            <w:tcW w:w="2180" w:type="dxa"/>
            <w:vAlign w:val="bottom"/>
            <w:tcBorders>
              <w:bottom w:val="single" w:sz="8" w:color="CFF0FC"/>
            </w:tcBorders>
            <w:shd w:val="clear" w:color="auto" w:fill="CFF0FC"/>
          </w:tcPr>
          <w:p>
            <w:pPr>
              <w:spacing w:after="0"/>
              <w:rPr>
                <w:sz w:val="11"/>
                <w:szCs w:val="11"/>
                <w:color w:val="auto"/>
              </w:rPr>
            </w:pPr>
          </w:p>
        </w:tc>
        <w:tc>
          <w:tcPr>
            <w:tcW w:w="3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331,581</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328,902</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9"/>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Marketing Services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Acoustic, L.P. </w:t>
            </w:r>
            <w:r>
              <w:rPr>
                <w:rFonts w:ascii="Times New Roman" w:cs="Times New Roman" w:eastAsia="Times New Roman" w:hAnsi="Times New Roman"/>
                <w:sz w:val="14"/>
                <w:szCs w:val="14"/>
                <w:color w:val="auto"/>
                <w:vertAlign w:val="superscript"/>
              </w:rPr>
              <w:t>(3)</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note ($33,330 par, due 6/2024)</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12/17/2019</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+ 7.00%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9.81 %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32,681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32,913</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2.5 %</w:t>
            </w:r>
          </w:p>
        </w:tc>
      </w:tr>
      <w:tr>
        <w:trPr>
          <w:trHeight w:val="135"/>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Office Products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14"/>
                <w:szCs w:val="14"/>
                <w:color w:val="auto"/>
                <w:vertAlign w:val="superscript"/>
              </w:rPr>
              <w:t>(3)(5)</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ABL FILO term loan ($19,500 par, due 4/2027)</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4/25/2022</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SOFR + 6.50%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9.01 %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19,118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18,866</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1.4 %</w:t>
            </w:r>
          </w:p>
        </w:tc>
      </w:tr>
      <w:tr>
        <w:trPr>
          <w:trHeight w:val="135"/>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(3)</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($26,873 par, due 6/2026)</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6/30/2022</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SOFR + 8.50%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12.20 %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26,307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26,323</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2.0 %</w:t>
            </w: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(3)</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($46,364 par, due 12/2025)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12/3/2021</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SOFR + 7.76%</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11.31 %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45,546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46,664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3.5 %</w:t>
            </w:r>
          </w:p>
        </w:tc>
      </w:tr>
      <w:tr>
        <w:trPr>
          <w:trHeight w:val="128"/>
        </w:trPr>
        <w:tc>
          <w:tcPr>
            <w:tcW w:w="2180" w:type="dxa"/>
            <w:vAlign w:val="bottom"/>
            <w:tcBorders>
              <w:bottom w:val="single" w:sz="8" w:color="CFF0FC"/>
            </w:tcBorders>
            <w:shd w:val="clear" w:color="auto" w:fill="CFF0FC"/>
          </w:tcPr>
          <w:p>
            <w:pPr>
              <w:spacing w:after="0"/>
              <w:rPr>
                <w:sz w:val="11"/>
                <w:szCs w:val="11"/>
                <w:color w:val="auto"/>
              </w:rPr>
            </w:pPr>
          </w:p>
        </w:tc>
        <w:tc>
          <w:tcPr>
            <w:tcW w:w="3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71,853</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72,987</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8"/>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4"/>
                <w:szCs w:val="14"/>
                <w:color w:val="auto"/>
                <w:vertAlign w:val="superscript"/>
              </w:rPr>
              <w:t>(3)(5)</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($40,455 par, due 3/2026)</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3/31/2021</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SOFR + 6.60%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9.63 %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39,710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39,545</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3.0 %</w:t>
            </w:r>
          </w:p>
        </w:tc>
      </w:tr>
      <w:tr>
        <w:trPr>
          <w:trHeight w:val="135"/>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5"/>
        </w:trPr>
        <w:tc>
          <w:tcPr>
            <w:tcW w:w="21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Biohaven Pharmaceuticals,</w:t>
            </w:r>
          </w:p>
        </w:tc>
        <w:tc>
          <w:tcPr>
            <w:tcW w:w="3120" w:type="dxa"/>
            <w:vAlign w:val="bottom"/>
            <w:shd w:val="clear" w:color="auto" w:fill="CFF0FC"/>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($42,613 par, due 8/2025)</w:t>
            </w:r>
          </w:p>
        </w:tc>
        <w:tc>
          <w:tcPr>
            <w:tcW w:w="1000" w:type="dxa"/>
            <w:vAlign w:val="bottom"/>
            <w:shd w:val="clear" w:color="auto" w:fill="CFF0FC"/>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8/7/2020</w:t>
            </w:r>
          </w:p>
        </w:tc>
        <w:tc>
          <w:tcPr>
            <w:tcW w:w="1020" w:type="dxa"/>
            <w:vAlign w:val="bottom"/>
            <w:shd w:val="clear" w:color="auto" w:fill="CFF0FC"/>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L + 9.00%</w:t>
            </w:r>
          </w:p>
        </w:tc>
        <w:tc>
          <w:tcPr>
            <w:tcW w:w="1080" w:type="dxa"/>
            <w:vAlign w:val="bottom"/>
            <w:shd w:val="clear" w:color="auto" w:fill="CFF0FC"/>
          </w:tcPr>
          <w:p>
            <w:pPr>
              <w:jc w:val="right"/>
              <w:ind w:right="67"/>
              <w:spacing w:after="0" w:line="95" w:lineRule="exact"/>
              <w:rPr>
                <w:sz w:val="20"/>
                <w:szCs w:val="20"/>
                <w:color w:val="auto"/>
              </w:rPr>
            </w:pPr>
            <w:r>
              <w:rPr>
                <w:rFonts w:ascii="Times New Roman" w:cs="Times New Roman" w:eastAsia="Times New Roman" w:hAnsi="Times New Roman"/>
                <w:sz w:val="10"/>
                <w:szCs w:val="10"/>
                <w:color w:val="auto"/>
              </w:rPr>
              <w:t>12.67 %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41,864</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45,169</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3.4 %</w:t>
            </w:r>
          </w:p>
        </w:tc>
      </w:tr>
      <w:tr>
        <w:trPr>
          <w:trHeight w:val="162"/>
        </w:trPr>
        <w:tc>
          <w:tcPr>
            <w:tcW w:w="218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Inc.</w:t>
            </w:r>
            <w:r>
              <w:rPr>
                <w:rFonts w:ascii="Times New Roman" w:cs="Times New Roman" w:eastAsia="Times New Roman" w:hAnsi="Times New Roman"/>
                <w:sz w:val="7"/>
                <w:szCs w:val="7"/>
                <w:color w:val="auto"/>
              </w:rPr>
              <w:t xml:space="preserve"> (3)(4)</w:t>
            </w:r>
          </w:p>
        </w:tc>
        <w:tc>
          <w:tcPr>
            <w:tcW w:w="3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5"/>
        </w:trPr>
        <w:tc>
          <w:tcPr>
            <w:tcW w:w="2180" w:type="dxa"/>
            <w:vAlign w:val="bottom"/>
          </w:tcPr>
          <w:p>
            <w:pPr>
              <w:spacing w:after="0"/>
              <w:rPr>
                <w:sz w:val="11"/>
                <w:szCs w:val="11"/>
                <w:color w:val="auto"/>
              </w:rPr>
            </w:pP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($35,689 par, due 9/2026)</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9/30/2021</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L + 8.25%</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11.92 %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41,043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TherapeuticsMD, Inc. </w:t>
            </w:r>
            <w:r>
              <w:rPr>
                <w:rFonts w:ascii="Times New Roman" w:cs="Times New Roman" w:eastAsia="Times New Roman" w:hAnsi="Times New Roman"/>
                <w:sz w:val="14"/>
                <w:szCs w:val="14"/>
                <w:color w:val="auto"/>
                <w:vertAlign w:val="superscript"/>
              </w:rPr>
              <w:t>(3)(4)</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($13,797 par, due 10/2022)</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4/24/2019</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+ 7.75%</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11.42 %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13,673</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13,659</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20"/>
        </w:trPr>
        <w:tc>
          <w:tcPr>
            <w:tcW w:w="218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2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90,548</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99,871</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7.5 </w:t>
            </w:r>
            <w:r>
              <w:rPr>
                <w:rFonts w:ascii="Times New Roman" w:cs="Times New Roman" w:eastAsia="Times New Roman" w:hAnsi="Times New Roman"/>
                <w:sz w:val="11"/>
                <w:szCs w:val="11"/>
                <w:color w:val="auto"/>
                <w:highlight w:val="white"/>
              </w:rPr>
              <w:t>%</w:t>
            </w:r>
          </w:p>
        </w:tc>
      </w:tr>
      <w:tr>
        <w:trPr>
          <w:trHeight w:val="128"/>
        </w:trPr>
        <w:tc>
          <w:tcPr>
            <w:tcW w:w="2180" w:type="dxa"/>
            <w:vAlign w:val="bottom"/>
            <w:shd w:val="clear" w:color="auto" w:fill="CFF0FC"/>
          </w:tcPr>
          <w:p>
            <w:pPr>
              <w:spacing w:after="0"/>
              <w:rPr>
                <w:sz w:val="11"/>
                <w:szCs w:val="11"/>
                <w:color w:val="auto"/>
              </w:rPr>
            </w:pPr>
          </w:p>
        </w:tc>
        <w:tc>
          <w:tcPr>
            <w:tcW w:w="3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5"/>
        </w:trPr>
        <w:tc>
          <w:tcPr>
            <w:tcW w:w="218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99 Cents Only Stores</w:t>
            </w:r>
          </w:p>
        </w:tc>
        <w:tc>
          <w:tcPr>
            <w:tcW w:w="3120" w:type="dxa"/>
            <w:vAlign w:val="bottom"/>
            <w:shd w:val="clear" w:color="auto" w:fill="CFF0FC"/>
          </w:tcPr>
          <w:p>
            <w:pPr>
              <w:ind w:left="540"/>
              <w:spacing w:after="0" w:line="95" w:lineRule="exact"/>
              <w:rPr>
                <w:sz w:val="20"/>
                <w:szCs w:val="20"/>
                <w:color w:val="auto"/>
              </w:rPr>
            </w:pPr>
            <w:r>
              <w:rPr>
                <w:rFonts w:ascii="Times New Roman" w:cs="Times New Roman" w:eastAsia="Times New Roman" w:hAnsi="Times New Roman"/>
                <w:sz w:val="10"/>
                <w:szCs w:val="10"/>
                <w:color w:val="auto"/>
              </w:rPr>
              <w:t>ABL FILO term loan ($25,000 par, due 5/2025)</w:t>
            </w:r>
          </w:p>
        </w:tc>
        <w:tc>
          <w:tcPr>
            <w:tcW w:w="1000" w:type="dxa"/>
            <w:vAlign w:val="bottom"/>
            <w:shd w:val="clear" w:color="auto" w:fill="CFF0FC"/>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9/6/2017</w:t>
            </w:r>
          </w:p>
        </w:tc>
        <w:tc>
          <w:tcPr>
            <w:tcW w:w="1020" w:type="dxa"/>
            <w:vAlign w:val="bottom"/>
            <w:shd w:val="clear" w:color="auto" w:fill="CFF0FC"/>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L + 8.50%</w:t>
            </w:r>
          </w:p>
        </w:tc>
        <w:tc>
          <w:tcPr>
            <w:tcW w:w="1080" w:type="dxa"/>
            <w:vAlign w:val="bottom"/>
            <w:shd w:val="clear" w:color="auto" w:fill="CFF0FC"/>
          </w:tcPr>
          <w:p>
            <w:pPr>
              <w:jc w:val="right"/>
              <w:ind w:right="67"/>
              <w:spacing w:after="0" w:line="95" w:lineRule="exact"/>
              <w:rPr>
                <w:sz w:val="20"/>
                <w:szCs w:val="20"/>
                <w:color w:val="auto"/>
              </w:rPr>
            </w:pPr>
            <w:r>
              <w:rPr>
                <w:rFonts w:ascii="Times New Roman" w:cs="Times New Roman" w:eastAsia="Times New Roman" w:hAnsi="Times New Roman"/>
                <w:sz w:val="10"/>
                <w:szCs w:val="10"/>
                <w:color w:val="auto"/>
              </w:rPr>
              <w:t>11.67 %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24,762</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25,000</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1.9 %</w:t>
            </w:r>
          </w:p>
        </w:tc>
      </w:tr>
      <w:tr>
        <w:trPr>
          <w:trHeight w:val="162"/>
        </w:trPr>
        <w:tc>
          <w:tcPr>
            <w:tcW w:w="218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w:t>
            </w:r>
          </w:p>
        </w:tc>
        <w:tc>
          <w:tcPr>
            <w:tcW w:w="3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94"/>
        </w:trPr>
        <w:tc>
          <w:tcPr>
            <w:tcW w:w="21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American Achievement,</w:t>
            </w:r>
          </w:p>
        </w:tc>
        <w:tc>
          <w:tcPr>
            <w:tcW w:w="3120" w:type="dxa"/>
            <w:vAlign w:val="bottom"/>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($26,566 par, due 9/2026)</w:t>
            </w:r>
          </w:p>
        </w:tc>
        <w:tc>
          <w:tcPr>
            <w:tcW w:w="1000" w:type="dxa"/>
            <w:vAlign w:val="bottom"/>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9/30/2015</w:t>
            </w:r>
          </w:p>
        </w:tc>
        <w:tc>
          <w:tcPr>
            <w:tcW w:w="1020" w:type="dxa"/>
            <w:vAlign w:val="bottom"/>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L + 6.25%</w:t>
            </w:r>
          </w:p>
        </w:tc>
        <w:tc>
          <w:tcPr>
            <w:tcW w:w="1080" w:type="dxa"/>
            <w:vAlign w:val="bottom"/>
          </w:tcPr>
          <w:p>
            <w:pPr>
              <w:jc w:val="right"/>
              <w:ind w:right="207"/>
              <w:spacing w:after="0" w:line="95" w:lineRule="exact"/>
              <w:rPr>
                <w:sz w:val="20"/>
                <w:szCs w:val="20"/>
                <w:color w:val="auto"/>
              </w:rPr>
            </w:pPr>
            <w:r>
              <w:rPr>
                <w:rFonts w:ascii="Times New Roman" w:cs="Times New Roman" w:eastAsia="Times New Roman" w:hAnsi="Times New Roman"/>
                <w:sz w:val="10"/>
                <w:szCs w:val="10"/>
                <w:color w:val="auto"/>
              </w:rPr>
              <w:t>8.82% (incl.</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25,710</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20,257</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1.5 %</w:t>
            </w:r>
          </w:p>
        </w:tc>
      </w:tr>
      <w:tr>
        <w:trPr>
          <w:trHeight w:val="162"/>
        </w:trPr>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Corp. </w:t>
            </w:r>
            <w:r>
              <w:rPr>
                <w:rFonts w:ascii="Times New Roman" w:cs="Times New Roman" w:eastAsia="Times New Roman" w:hAnsi="Times New Roman"/>
                <w:sz w:val="14"/>
                <w:szCs w:val="14"/>
                <w:color w:val="auto"/>
                <w:vertAlign w:val="superscript"/>
              </w:rPr>
              <w:t>(3)</w:t>
            </w: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8.32% PIK)</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8"/>
        </w:trPr>
        <w:tc>
          <w:tcPr>
            <w:tcW w:w="2180" w:type="dxa"/>
            <w:vAlign w:val="bottom"/>
            <w:shd w:val="clear" w:color="auto" w:fill="CFF0FC"/>
          </w:tcPr>
          <w:p>
            <w:pPr>
              <w:spacing w:after="0"/>
              <w:rPr>
                <w:sz w:val="9"/>
                <w:szCs w:val="9"/>
                <w:color w:val="auto"/>
              </w:rPr>
            </w:pPr>
          </w:p>
        </w:tc>
        <w:tc>
          <w:tcPr>
            <w:tcW w:w="3120" w:type="dxa"/>
            <w:vAlign w:val="bottom"/>
            <w:shd w:val="clear" w:color="auto" w:fill="CFF0FC"/>
          </w:tcPr>
          <w:p>
            <w:pPr>
              <w:ind w:left="540"/>
              <w:spacing w:after="0" w:line="108" w:lineRule="exact"/>
              <w:rPr>
                <w:sz w:val="20"/>
                <w:szCs w:val="20"/>
                <w:color w:val="auto"/>
              </w:rPr>
            </w:pPr>
            <w:r>
              <w:rPr>
                <w:rFonts w:ascii="Times New Roman" w:cs="Times New Roman" w:eastAsia="Times New Roman" w:hAnsi="Times New Roman"/>
                <w:sz w:val="9"/>
                <w:szCs w:val="9"/>
                <w:color w:val="auto"/>
              </w:rPr>
              <w:t xml:space="preserve">First-lien loan ($1,364 par, due 9/2026) </w:t>
            </w:r>
            <w:r>
              <w:rPr>
                <w:rFonts w:ascii="Times New Roman" w:cs="Times New Roman" w:eastAsia="Times New Roman" w:hAnsi="Times New Roman"/>
                <w:sz w:val="12"/>
                <w:szCs w:val="12"/>
                <w:color w:val="auto"/>
                <w:vertAlign w:val="superscript"/>
              </w:rPr>
              <w:t>(15)</w:t>
            </w:r>
          </w:p>
        </w:tc>
        <w:tc>
          <w:tcPr>
            <w:tcW w:w="1000" w:type="dxa"/>
            <w:vAlign w:val="bottom"/>
            <w:shd w:val="clear" w:color="auto" w:fill="CFF0FC"/>
          </w:tcPr>
          <w:p>
            <w:pPr>
              <w:jc w:val="right"/>
              <w:ind w:right="87"/>
              <w:spacing w:after="0" w:line="108" w:lineRule="exact"/>
              <w:rPr>
                <w:sz w:val="20"/>
                <w:szCs w:val="20"/>
                <w:color w:val="auto"/>
              </w:rPr>
            </w:pPr>
            <w:r>
              <w:rPr>
                <w:rFonts w:ascii="Times New Roman" w:cs="Times New Roman" w:eastAsia="Times New Roman" w:hAnsi="Times New Roman"/>
                <w:sz w:val="11"/>
                <w:szCs w:val="11"/>
                <w:color w:val="auto"/>
              </w:rPr>
              <w:t>6/10/2021</w:t>
            </w:r>
          </w:p>
        </w:tc>
        <w:tc>
          <w:tcPr>
            <w:tcW w:w="1020" w:type="dxa"/>
            <w:vAlign w:val="bottom"/>
            <w:shd w:val="clear" w:color="auto" w:fill="CFF0FC"/>
          </w:tcPr>
          <w:p>
            <w:pPr>
              <w:jc w:val="right"/>
              <w:ind w:right="167"/>
              <w:spacing w:after="0" w:line="108" w:lineRule="exact"/>
              <w:rPr>
                <w:sz w:val="20"/>
                <w:szCs w:val="20"/>
                <w:color w:val="auto"/>
              </w:rPr>
            </w:pPr>
            <w:r>
              <w:rPr>
                <w:rFonts w:ascii="Times New Roman" w:cs="Times New Roman" w:eastAsia="Times New Roman" w:hAnsi="Times New Roman"/>
                <w:sz w:val="11"/>
                <w:szCs w:val="11"/>
                <w:color w:val="auto"/>
              </w:rPr>
              <w:t>L + 14.00%</w:t>
            </w:r>
          </w:p>
        </w:tc>
        <w:tc>
          <w:tcPr>
            <w:tcW w:w="1080" w:type="dxa"/>
            <w:vAlign w:val="bottom"/>
            <w:shd w:val="clear" w:color="auto" w:fill="CFF0FC"/>
          </w:tcPr>
          <w:p>
            <w:pPr>
              <w:jc w:val="right"/>
              <w:ind w:right="207"/>
              <w:spacing w:after="0" w:line="108" w:lineRule="exact"/>
              <w:rPr>
                <w:sz w:val="20"/>
                <w:szCs w:val="20"/>
                <w:color w:val="auto"/>
              </w:rPr>
            </w:pPr>
            <w:r>
              <w:rPr>
                <w:rFonts w:ascii="Times New Roman" w:cs="Times New Roman" w:eastAsia="Times New Roman" w:hAnsi="Times New Roman"/>
                <w:sz w:val="11"/>
                <w:szCs w:val="11"/>
                <w:color w:val="auto"/>
              </w:rPr>
              <w:t>16.57% (incl.</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1,364</w:t>
            </w:r>
          </w:p>
        </w:tc>
        <w:tc>
          <w:tcPr>
            <w:tcW w:w="9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82</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0.0 %</w:t>
            </w:r>
          </w:p>
        </w:tc>
      </w:tr>
      <w:tr>
        <w:trPr>
          <w:trHeight w:val="149"/>
        </w:trPr>
        <w:tc>
          <w:tcPr>
            <w:tcW w:w="2180" w:type="dxa"/>
            <w:vAlign w:val="bottom"/>
            <w:shd w:val="clear" w:color="auto" w:fill="CFF0FC"/>
          </w:tcPr>
          <w:p>
            <w:pPr>
              <w:spacing w:after="0"/>
              <w:rPr>
                <w:sz w:val="12"/>
                <w:szCs w:val="12"/>
                <w:color w:val="auto"/>
              </w:rPr>
            </w:pPr>
          </w:p>
        </w:tc>
        <w:tc>
          <w:tcPr>
            <w:tcW w:w="3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16.07% PIK)</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2180" w:type="dxa"/>
            <w:vAlign w:val="bottom"/>
          </w:tcPr>
          <w:p>
            <w:pPr>
              <w:spacing w:after="0"/>
              <w:rPr>
                <w:sz w:val="11"/>
                <w:szCs w:val="11"/>
                <w:color w:val="auto"/>
              </w:rPr>
            </w:pPr>
          </w:p>
        </w:tc>
        <w:tc>
          <w:tcPr>
            <w:tcW w:w="3120" w:type="dxa"/>
            <w:vAlign w:val="bottom"/>
          </w:tcPr>
          <w:p>
            <w:pPr>
              <w:ind w:left="540"/>
              <w:spacing w:after="0" w:line="135" w:lineRule="exact"/>
              <w:rPr>
                <w:sz w:val="20"/>
                <w:szCs w:val="20"/>
                <w:color w:val="auto"/>
              </w:rPr>
            </w:pPr>
            <w:r>
              <w:rPr>
                <w:rFonts w:ascii="Times New Roman" w:cs="Times New Roman" w:eastAsia="Times New Roman" w:hAnsi="Times New Roman"/>
                <w:sz w:val="11"/>
                <w:szCs w:val="11"/>
                <w:color w:val="auto"/>
              </w:rPr>
              <w:t xml:space="preserve">Subordinated note ($4,740 par, due 9/2026) </w:t>
            </w:r>
            <w:r>
              <w:rPr>
                <w:rFonts w:ascii="Times New Roman" w:cs="Times New Roman" w:eastAsia="Times New Roman" w:hAnsi="Times New Roman"/>
                <w:sz w:val="14"/>
                <w:szCs w:val="14"/>
                <w:color w:val="auto"/>
                <w:vertAlign w:val="superscript"/>
              </w:rPr>
              <w:t>(15)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3/16/2021</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L + 1.00%</w:t>
            </w:r>
          </w:p>
        </w:tc>
        <w:tc>
          <w:tcPr>
            <w:tcW w:w="108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3.28% PIK</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ABL FILO term loan ($55,000 par, due 8/2027)</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9/2/2022</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SOFR + 7.90%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10.87 %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53,646</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53,625</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4.0 %</w:t>
            </w: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4"/>
                <w:szCs w:val="14"/>
                <w:color w:val="auto"/>
                <w:vertAlign w:val="superscript"/>
              </w:rPr>
              <w:t>(3)</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($26,087 par, due 7/2028)</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7/25/2022</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SOFR + 8.50%</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11.80 %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25,141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Moran Foods, LLC </w:t>
            </w:r>
            <w:r>
              <w:rPr>
                <w:rFonts w:ascii="Times New Roman" w:cs="Times New Roman" w:eastAsia="Times New Roman" w:hAnsi="Times New Roman"/>
                <w:sz w:val="14"/>
                <w:szCs w:val="14"/>
                <w:color w:val="auto"/>
                <w:vertAlign w:val="superscript"/>
              </w:rPr>
              <w:t>(3)</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ABL FILO term loan ($32,267 par, due 4/2024)</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4/1/2020</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+ 7.50%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11.17 %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31,997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32,186</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2.4 %</w:t>
            </w: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(3)(5)</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First-lien loan ($55,300 par, due 12/2026)</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12/20/2021</w:t>
            </w: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L + 6.25%</w:t>
            </w:r>
          </w:p>
        </w:tc>
        <w:tc>
          <w:tcPr>
            <w:tcW w:w="10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9.07 %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54,263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53,365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4.0 %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Project P Intermediate 2, LLC </w:t>
            </w:r>
            <w:r>
              <w:rPr>
                <w:rFonts w:ascii="Times New Roman" w:cs="Times New Roman" w:eastAsia="Times New Roman" w:hAnsi="Times New Roman"/>
                <w:sz w:val="14"/>
                <w:szCs w:val="14"/>
                <w:color w:val="auto"/>
                <w:vertAlign w:val="superscript"/>
              </w:rPr>
              <w:t>(3)</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ABL FILO term loan ($74,063 par, due 5/2026)</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11/8/2021</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+ 8.00%</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10.81 %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72,828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73,877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5.6 %</w:t>
            </w:r>
          </w:p>
        </w:tc>
      </w:tr>
      <w:tr>
        <w:trPr>
          <w:trHeight w:val="94"/>
        </w:trPr>
        <w:tc>
          <w:tcPr>
            <w:tcW w:w="21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Tango Management Consulting,</w:t>
            </w:r>
          </w:p>
        </w:tc>
        <w:tc>
          <w:tcPr>
            <w:tcW w:w="3120" w:type="dxa"/>
            <w:vAlign w:val="bottom"/>
          </w:tcPr>
          <w:p>
            <w:pPr>
              <w:ind w:left="540"/>
              <w:spacing w:after="0" w:line="95" w:lineRule="exact"/>
              <w:rPr>
                <w:sz w:val="20"/>
                <w:szCs w:val="20"/>
                <w:color w:val="auto"/>
              </w:rPr>
            </w:pPr>
            <w:r>
              <w:rPr>
                <w:rFonts w:ascii="Times New Roman" w:cs="Times New Roman" w:eastAsia="Times New Roman" w:hAnsi="Times New Roman"/>
                <w:sz w:val="10"/>
                <w:szCs w:val="10"/>
                <w:color w:val="auto"/>
              </w:rPr>
              <w:t>First-lien loan ($42,736 par, due 12/2027)</w:t>
            </w:r>
          </w:p>
        </w:tc>
        <w:tc>
          <w:tcPr>
            <w:tcW w:w="1000" w:type="dxa"/>
            <w:vAlign w:val="bottom"/>
          </w:tcPr>
          <w:p>
            <w:pPr>
              <w:jc w:val="right"/>
              <w:ind w:right="87"/>
              <w:spacing w:after="0" w:line="95" w:lineRule="exact"/>
              <w:rPr>
                <w:sz w:val="20"/>
                <w:szCs w:val="20"/>
                <w:color w:val="auto"/>
              </w:rPr>
            </w:pPr>
            <w:r>
              <w:rPr>
                <w:rFonts w:ascii="Times New Roman" w:cs="Times New Roman" w:eastAsia="Times New Roman" w:hAnsi="Times New Roman"/>
                <w:sz w:val="10"/>
                <w:szCs w:val="10"/>
                <w:color w:val="auto"/>
              </w:rPr>
              <w:t>12/1/2021</w:t>
            </w:r>
          </w:p>
        </w:tc>
        <w:tc>
          <w:tcPr>
            <w:tcW w:w="1020" w:type="dxa"/>
            <w:vAlign w:val="bottom"/>
          </w:tcPr>
          <w:p>
            <w:pPr>
              <w:jc w:val="right"/>
              <w:ind w:right="167"/>
              <w:spacing w:after="0" w:line="95" w:lineRule="exact"/>
              <w:rPr>
                <w:sz w:val="20"/>
                <w:szCs w:val="20"/>
                <w:color w:val="auto"/>
              </w:rPr>
            </w:pPr>
            <w:r>
              <w:rPr>
                <w:rFonts w:ascii="Times New Roman" w:cs="Times New Roman" w:eastAsia="Times New Roman" w:hAnsi="Times New Roman"/>
                <w:sz w:val="10"/>
                <w:szCs w:val="10"/>
                <w:color w:val="auto"/>
              </w:rPr>
              <w:t>L + 6.75%</w:t>
            </w:r>
          </w:p>
        </w:tc>
        <w:tc>
          <w:tcPr>
            <w:tcW w:w="1080" w:type="dxa"/>
            <w:vAlign w:val="bottom"/>
          </w:tcPr>
          <w:p>
            <w:pPr>
              <w:jc w:val="right"/>
              <w:ind w:right="67"/>
              <w:spacing w:after="0" w:line="95" w:lineRule="exact"/>
              <w:rPr>
                <w:sz w:val="20"/>
                <w:szCs w:val="20"/>
                <w:color w:val="auto"/>
              </w:rPr>
            </w:pPr>
            <w:r>
              <w:rPr>
                <w:rFonts w:ascii="Times New Roman" w:cs="Times New Roman" w:eastAsia="Times New Roman" w:hAnsi="Times New Roman"/>
                <w:sz w:val="10"/>
                <w:szCs w:val="10"/>
                <w:color w:val="auto"/>
              </w:rPr>
              <w:t>9.03 %</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41,769</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40,749</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3.1 %</w:t>
            </w:r>
          </w:p>
        </w:tc>
      </w:tr>
      <w:tr>
        <w:trPr>
          <w:trHeight w:val="149"/>
        </w:trPr>
        <w:tc>
          <w:tcPr>
            <w:tcW w:w="218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6"/>
                <w:szCs w:val="6"/>
                <w:color w:val="auto"/>
              </w:rPr>
              <w:t xml:space="preserve"> (3)(5)</w:t>
            </w: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180" w:type="dxa"/>
            <w:vAlign w:val="bottom"/>
            <w:shd w:val="clear" w:color="auto" w:fill="CFF0FC"/>
          </w:tcPr>
          <w:p>
            <w:pPr>
              <w:spacing w:after="0"/>
              <w:rPr>
                <w:sz w:val="11"/>
                <w:szCs w:val="11"/>
                <w:color w:val="auto"/>
              </w:rPr>
            </w:pPr>
          </w:p>
        </w:tc>
        <w:tc>
          <w:tcPr>
            <w:tcW w:w="3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332,194</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324,353</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35"/>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Project44, Inc. </w:t>
            </w:r>
            <w:r>
              <w:rPr>
                <w:rFonts w:ascii="Times New Roman" w:cs="Times New Roman" w:eastAsia="Times New Roman" w:hAnsi="Times New Roman"/>
                <w:sz w:val="14"/>
                <w:szCs w:val="14"/>
                <w:color w:val="auto"/>
                <w:vertAlign w:val="superscript"/>
              </w:rPr>
              <w:t>(3)(5)</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First-lien loan ($35,139 par, due 11/2027)</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11/12/2021</w:t>
            </w:r>
          </w:p>
        </w:tc>
        <w:tc>
          <w:tcPr>
            <w:tcW w:w="102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rPr>
              <w:t>L + 6.25%</w:t>
            </w:r>
          </w:p>
        </w:tc>
        <w:tc>
          <w:tcPr>
            <w:tcW w:w="10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8.19 %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33,988</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33,626</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2.5 %</w:t>
            </w:r>
          </w:p>
        </w:tc>
      </w:tr>
      <w:tr>
        <w:trPr>
          <w:trHeight w:val="20"/>
        </w:trPr>
        <w:tc>
          <w:tcPr>
            <w:tcW w:w="218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2,599,055</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2,589,752</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194.8 </w:t>
            </w:r>
            <w:r>
              <w:rPr>
                <w:rFonts w:ascii="Times New Roman" w:cs="Times New Roman" w:eastAsia="Times New Roman" w:hAnsi="Times New Roman"/>
                <w:sz w:val="11"/>
                <w:szCs w:val="11"/>
                <w:color w:val="auto"/>
                <w:highlight w:val="white"/>
              </w:rPr>
              <w:t>%</w:t>
            </w:r>
          </w:p>
        </w:tc>
      </w:tr>
      <w:tr>
        <w:trPr>
          <w:trHeight w:val="129"/>
        </w:trPr>
        <w:tc>
          <w:tcPr>
            <w:tcW w:w="2180" w:type="dxa"/>
            <w:vAlign w:val="bottom"/>
            <w:shd w:val="clear" w:color="auto" w:fill="CFF0FC"/>
          </w:tcPr>
          <w:p>
            <w:pPr>
              <w:spacing w:after="0"/>
              <w:rPr>
                <w:sz w:val="11"/>
                <w:szCs w:val="11"/>
                <w:color w:val="auto"/>
              </w:rPr>
            </w:pPr>
          </w:p>
        </w:tc>
        <w:tc>
          <w:tcPr>
            <w:tcW w:w="3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3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08"/>
        </w:trPr>
        <w:tc>
          <w:tcPr>
            <w:tcW w:w="218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Dye &amp; Durham, Ltd. </w:t>
            </w:r>
            <w:r>
              <w:rPr>
                <w:rFonts w:ascii="Times New Roman" w:cs="Times New Roman" w:eastAsia="Times New Roman" w:hAnsi="Times New Roman"/>
                <w:sz w:val="12"/>
                <w:szCs w:val="12"/>
                <w:color w:val="auto"/>
                <w:vertAlign w:val="superscript"/>
              </w:rPr>
              <w:t>(4)(11)(13)</w:t>
            </w:r>
          </w:p>
        </w:tc>
        <w:tc>
          <w:tcPr>
            <w:tcW w:w="3120" w:type="dxa"/>
            <w:vAlign w:val="bottom"/>
          </w:tcPr>
          <w:p>
            <w:pPr>
              <w:ind w:left="540"/>
              <w:spacing w:after="0" w:line="108" w:lineRule="exact"/>
              <w:rPr>
                <w:sz w:val="20"/>
                <w:szCs w:val="20"/>
                <w:color w:val="auto"/>
              </w:rPr>
            </w:pPr>
            <w:r>
              <w:rPr>
                <w:rFonts w:ascii="Times New Roman" w:cs="Times New Roman" w:eastAsia="Times New Roman" w:hAnsi="Times New Roman"/>
                <w:sz w:val="11"/>
                <w:szCs w:val="11"/>
                <w:color w:val="auto"/>
              </w:rPr>
              <w:t>Common Shares (126,968 shares)</w:t>
            </w:r>
          </w:p>
        </w:tc>
        <w:tc>
          <w:tcPr>
            <w:tcW w:w="1000" w:type="dxa"/>
            <w:vAlign w:val="bottom"/>
          </w:tcPr>
          <w:p>
            <w:pPr>
              <w:jc w:val="right"/>
              <w:ind w:right="87"/>
              <w:spacing w:after="0" w:line="108" w:lineRule="exact"/>
              <w:rPr>
                <w:sz w:val="20"/>
                <w:szCs w:val="20"/>
                <w:color w:val="auto"/>
              </w:rPr>
            </w:pPr>
            <w:r>
              <w:rPr>
                <w:rFonts w:ascii="Times New Roman" w:cs="Times New Roman" w:eastAsia="Times New Roman" w:hAnsi="Times New Roman"/>
                <w:sz w:val="11"/>
                <w:szCs w:val="11"/>
                <w:color w:val="auto"/>
              </w:rPr>
              <w:t>12/3/2021</w:t>
            </w: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3,909</w:t>
            </w:r>
          </w:p>
        </w:tc>
        <w:tc>
          <w:tcPr>
            <w:tcW w:w="9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1,688</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44"/>
        </w:trPr>
        <w:tc>
          <w:tcPr>
            <w:tcW w:w="2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(CAD 2,322)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21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Mitnick TA Aggregator, LP </w:t>
            </w:r>
            <w:r>
              <w:rPr>
                <w:rFonts w:ascii="Times New Roman" w:cs="Times New Roman" w:eastAsia="Times New Roman" w:hAnsi="Times New Roman"/>
                <w:sz w:val="14"/>
                <w:szCs w:val="14"/>
                <w:color w:val="auto"/>
                <w:vertAlign w:val="superscript"/>
              </w:rPr>
              <w:t>(12)(13)(14)</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Membership Interest (0.29% ownership)</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5/2/2022</w:t>
            </w:r>
          </w:p>
        </w:tc>
        <w:tc>
          <w:tcPr>
            <w:tcW w:w="10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ReliaQuest, LLC </w:t>
            </w:r>
            <w:r>
              <w:rPr>
                <w:rFonts w:ascii="Times New Roman" w:cs="Times New Roman" w:eastAsia="Times New Roman" w:hAnsi="Times New Roman"/>
                <w:sz w:val="14"/>
                <w:szCs w:val="14"/>
                <w:color w:val="auto"/>
                <w:vertAlign w:val="superscript"/>
              </w:rPr>
              <w:t>(12)(13)(14)</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Class A-1 Units (570,263 units)</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11/23/2021</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1,363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1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Sprinklr, Inc. </w:t>
            </w:r>
            <w:r>
              <w:rPr>
                <w:rFonts w:ascii="Times New Roman" w:cs="Times New Roman" w:eastAsia="Times New Roman" w:hAnsi="Times New Roman"/>
                <w:sz w:val="14"/>
                <w:szCs w:val="14"/>
                <w:color w:val="auto"/>
                <w:vertAlign w:val="superscript"/>
              </w:rPr>
              <w:t>(11)(12)</w:t>
            </w:r>
          </w:p>
        </w:tc>
        <w:tc>
          <w:tcPr>
            <w:tcW w:w="31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Common Shares (484,700 shares)</w:t>
            </w:r>
          </w:p>
        </w:tc>
        <w:tc>
          <w:tcPr>
            <w:tcW w:w="10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6/24/2021</w:t>
            </w:r>
          </w:p>
        </w:tc>
        <w:tc>
          <w:tcPr>
            <w:tcW w:w="10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4,469</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r>
      <w:tr>
        <w:trPr>
          <w:trHeight w:val="135"/>
        </w:trPr>
        <w:tc>
          <w:tcPr>
            <w:tcW w:w="21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WideOrbit, Inc. </w:t>
            </w:r>
            <w:r>
              <w:rPr>
                <w:rFonts w:ascii="Times New Roman" w:cs="Times New Roman" w:eastAsia="Times New Roman" w:hAnsi="Times New Roman"/>
                <w:sz w:val="14"/>
                <w:szCs w:val="14"/>
                <w:color w:val="auto"/>
                <w:vertAlign w:val="superscript"/>
              </w:rPr>
              <w:t>(12)</w:t>
            </w:r>
          </w:p>
        </w:tc>
        <w:tc>
          <w:tcPr>
            <w:tcW w:w="3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1,567,807 Warrants</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7/8/2020</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129"/>
        </w:trPr>
        <w:tc>
          <w:tcPr>
            <w:tcW w:w="2180" w:type="dxa"/>
            <w:vAlign w:val="bottom"/>
            <w:tcBorders>
              <w:bottom w:val="single" w:sz="8" w:color="CFF0FC"/>
            </w:tcBorders>
            <w:shd w:val="clear" w:color="auto" w:fill="CFF0FC"/>
          </w:tcPr>
          <w:p>
            <w:pPr>
              <w:spacing w:after="0"/>
              <w:rPr>
                <w:sz w:val="11"/>
                <w:szCs w:val="11"/>
                <w:color w:val="auto"/>
              </w:rPr>
            </w:pPr>
          </w:p>
        </w:tc>
        <w:tc>
          <w:tcPr>
            <w:tcW w:w="3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14,785</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15,245</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36"/>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3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-6767830</wp:posOffset>
            </wp:positionV>
            <wp:extent cx="6858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-6767830</wp:posOffset>
            </wp:positionV>
            <wp:extent cx="6858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-6767830</wp:posOffset>
            </wp:positionV>
            <wp:extent cx="6858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-5421630</wp:posOffset>
            </wp:positionV>
            <wp:extent cx="6858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-5421630</wp:posOffset>
            </wp:positionV>
            <wp:extent cx="6858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-4058920</wp:posOffset>
            </wp:positionV>
            <wp:extent cx="6858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-4058920</wp:posOffset>
            </wp:positionV>
            <wp:extent cx="6858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-4058920</wp:posOffset>
            </wp:positionV>
            <wp:extent cx="6858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-3355975</wp:posOffset>
            </wp:positionV>
            <wp:extent cx="68580" cy="93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-3355975</wp:posOffset>
            </wp:positionV>
            <wp:extent cx="6858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-3355975</wp:posOffset>
            </wp:positionV>
            <wp:extent cx="6858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-2755900</wp:posOffset>
            </wp:positionV>
            <wp:extent cx="6858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-2755900</wp:posOffset>
            </wp:positionV>
            <wp:extent cx="6858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-1058545</wp:posOffset>
            </wp:positionV>
            <wp:extent cx="6858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-1058545</wp:posOffset>
            </wp:positionV>
            <wp:extent cx="6858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-98425</wp:posOffset>
            </wp:positionV>
            <wp:extent cx="6858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-98425</wp:posOffset>
            </wp:positionV>
            <wp:extent cx="68580" cy="93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wp:posOffset>
            </wp:positionV>
            <wp:extent cx="6858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9398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(12)(13)</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Class A Units (1,250,000 units)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11/19/2021</w:t>
            </w:r>
          </w:p>
        </w:tc>
        <w:tc>
          <w:tcPr>
            <w:tcW w:w="1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14"/>
                <w:szCs w:val="14"/>
                <w:color w:val="auto"/>
                <w:vertAlign w:val="superscript"/>
              </w:rPr>
              <w:t>(12)</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Series C Preferred Shares (1,816,295 shares)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4/8/2021</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135"/>
        </w:trPr>
        <w:tc>
          <w:tcPr>
            <w:tcW w:w="2320" w:type="dxa"/>
            <w:vAlign w:val="bottom"/>
            <w:shd w:val="clear" w:color="auto" w:fill="CFF0FC"/>
          </w:tcPr>
          <w:p>
            <w:pPr>
              <w:spacing w:after="0"/>
              <w:rPr>
                <w:sz w:val="11"/>
                <w:szCs w:val="11"/>
                <w:color w:val="auto"/>
              </w:rPr>
            </w:pP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Series D Preferred Shares (1,598,874 shares)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4/8/2021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135"/>
        </w:trPr>
        <w:tc>
          <w:tcPr>
            <w:tcW w:w="2320" w:type="dxa"/>
            <w:vAlign w:val="bottom"/>
          </w:tcPr>
          <w:p>
            <w:pPr>
              <w:spacing w:after="0"/>
              <w:rPr>
                <w:sz w:val="11"/>
                <w:szCs w:val="11"/>
                <w:color w:val="auto"/>
              </w:rPr>
            </w:pP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280,000 Warrants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2/28/2020</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35"/>
        </w:trPr>
        <w:tc>
          <w:tcPr>
            <w:tcW w:w="2320" w:type="dxa"/>
            <w:vAlign w:val="bottom"/>
            <w:shd w:val="clear" w:color="auto" w:fill="CFF0FC"/>
          </w:tcPr>
          <w:p>
            <w:pPr>
              <w:spacing w:after="0"/>
              <w:rPr>
                <w:sz w:val="11"/>
                <w:szCs w:val="11"/>
                <w:color w:val="auto"/>
              </w:rPr>
            </w:pP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106,592 Warrants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4/8/2021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20"/>
        </w:trPr>
        <w:tc>
          <w:tcPr>
            <w:tcW w:w="23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23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6,174</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7,208</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0.5 </w:t>
            </w:r>
            <w:r>
              <w:rPr>
                <w:rFonts w:ascii="Times New Roman" w:cs="Times New Roman" w:eastAsia="Times New Roman" w:hAnsi="Times New Roman"/>
                <w:sz w:val="11"/>
                <w:szCs w:val="11"/>
                <w:color w:val="auto"/>
                <w:highlight w:val="white"/>
              </w:rPr>
              <w:t>%</w:t>
            </w:r>
          </w:p>
        </w:tc>
      </w:tr>
      <w:tr>
        <w:trPr>
          <w:trHeight w:val="12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8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Astra 2L Holdings II LLC </w:t>
            </w:r>
            <w:r>
              <w:rPr>
                <w:rFonts w:ascii="Times New Roman" w:cs="Times New Roman" w:eastAsia="Times New Roman" w:hAnsi="Times New Roman"/>
                <w:sz w:val="14"/>
                <w:szCs w:val="14"/>
                <w:color w:val="auto"/>
                <w:vertAlign w:val="superscript"/>
              </w:rPr>
              <w:t>(12)(13)</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Membership Interest (10.17% ownership)</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1/13/2022</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(12)(13)</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Class B Units (5,522,526 units)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12/22/2021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4,763</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r>
      <w:tr>
        <w:trPr>
          <w:trHeight w:val="94"/>
        </w:trPr>
        <w:tc>
          <w:tcPr>
            <w:tcW w:w="2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RMCF IV CIV XXXV,</w:t>
            </w:r>
          </w:p>
        </w:tc>
        <w:tc>
          <w:tcPr>
            <w:tcW w:w="2860" w:type="dxa"/>
            <w:vAlign w:val="bottom"/>
          </w:tcPr>
          <w:p>
            <w:pPr>
              <w:ind w:left="400"/>
              <w:spacing w:after="0" w:line="95" w:lineRule="exact"/>
              <w:rPr>
                <w:sz w:val="20"/>
                <w:szCs w:val="20"/>
                <w:color w:val="auto"/>
              </w:rPr>
            </w:pPr>
            <w:r>
              <w:rPr>
                <w:rFonts w:ascii="Times New Roman" w:cs="Times New Roman" w:eastAsia="Times New Roman" w:hAnsi="Times New Roman"/>
                <w:sz w:val="10"/>
                <w:szCs w:val="10"/>
                <w:color w:val="auto"/>
              </w:rPr>
              <w:t>Partnership Interest (11.94% ownership)</w:t>
            </w:r>
          </w:p>
        </w:tc>
        <w:tc>
          <w:tcPr>
            <w:tcW w:w="122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6/8/2021</w:t>
            </w: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1,000</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1,190</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48"/>
        </w:trPr>
        <w:tc>
          <w:tcPr>
            <w:tcW w:w="232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vertAlign w:val="subscript"/>
              </w:rPr>
              <w:t>LP.</w:t>
            </w:r>
            <w:r>
              <w:rPr>
                <w:rFonts w:ascii="Times New Roman" w:cs="Times New Roman" w:eastAsia="Times New Roman" w:hAnsi="Times New Roman"/>
                <w:sz w:val="6"/>
                <w:szCs w:val="6"/>
                <w:color w:val="auto"/>
              </w:rPr>
              <w:t xml:space="preserve"> (12)</w:t>
            </w:r>
          </w:p>
        </w:tc>
        <w:tc>
          <w:tcPr>
            <w:tcW w:w="2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320" w:type="dxa"/>
            <w:vAlign w:val="bottom"/>
            <w:tcBorders>
              <w:bottom w:val="single" w:sz="8" w:color="CFF0FC"/>
            </w:tcBorders>
            <w:shd w:val="clear" w:color="auto" w:fill="CFF0FC"/>
          </w:tcPr>
          <w:p>
            <w:pPr>
              <w:spacing w:after="0"/>
              <w:rPr>
                <w:sz w:val="11"/>
                <w:szCs w:val="11"/>
                <w:color w:val="auto"/>
              </w:rPr>
            </w:pPr>
          </w:p>
        </w:tc>
        <w:tc>
          <w:tcPr>
            <w:tcW w:w="286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9,778</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8,573</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8"/>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AvidXchange, Inc. </w:t>
            </w:r>
            <w:r>
              <w:rPr>
                <w:rFonts w:ascii="Times New Roman" w:cs="Times New Roman" w:eastAsia="Times New Roman" w:hAnsi="Times New Roman"/>
                <w:sz w:val="14"/>
                <w:szCs w:val="14"/>
                <w:color w:val="auto"/>
                <w:vertAlign w:val="superscript"/>
              </w:rPr>
              <w:t>(11)(12)(13)</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Common Shares (200,721 shares)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10/15/2021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14"/>
                <w:szCs w:val="14"/>
                <w:color w:val="auto"/>
                <w:vertAlign w:val="superscript"/>
              </w:rPr>
              <w:t>(12)</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Class A-2 Units (131,569 units)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12/10/2020</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0.3 %</w:t>
            </w:r>
          </w:p>
        </w:tc>
      </w:tr>
      <w:tr>
        <w:trPr>
          <w:trHeight w:val="94"/>
        </w:trPr>
        <w:tc>
          <w:tcPr>
            <w:tcW w:w="23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Oxford Square Capital</w:t>
            </w:r>
          </w:p>
        </w:tc>
        <w:tc>
          <w:tcPr>
            <w:tcW w:w="2860" w:type="dxa"/>
            <w:vAlign w:val="bottom"/>
            <w:shd w:val="clear" w:color="auto" w:fill="CFF0FC"/>
          </w:tcPr>
          <w:p>
            <w:pPr>
              <w:ind w:left="400"/>
              <w:spacing w:after="0" w:line="95" w:lineRule="exact"/>
              <w:rPr>
                <w:sz w:val="20"/>
                <w:szCs w:val="20"/>
                <w:color w:val="auto"/>
              </w:rPr>
            </w:pPr>
            <w:r>
              <w:rPr>
                <w:rFonts w:ascii="Times New Roman" w:cs="Times New Roman" w:eastAsia="Times New Roman" w:hAnsi="Times New Roman"/>
                <w:sz w:val="10"/>
                <w:szCs w:val="10"/>
                <w:color w:val="auto"/>
              </w:rPr>
              <w:t>Common Shares (1,620 shares)</w:t>
            </w:r>
          </w:p>
        </w:tc>
        <w:tc>
          <w:tcPr>
            <w:tcW w:w="1220" w:type="dxa"/>
            <w:vAlign w:val="bottom"/>
            <w:shd w:val="clear" w:color="auto" w:fill="CFF0FC"/>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8/5/2015</w:t>
            </w:r>
          </w:p>
        </w:tc>
        <w:tc>
          <w:tcPr>
            <w:tcW w:w="11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6</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0.0 %</w:t>
            </w:r>
          </w:p>
        </w:tc>
      </w:tr>
      <w:tr>
        <w:trPr>
          <w:trHeight w:val="162"/>
        </w:trPr>
        <w:tc>
          <w:tcPr>
            <w:tcW w:w="23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Corp.</w:t>
            </w:r>
            <w:r>
              <w:rPr>
                <w:rFonts w:ascii="Times New Roman" w:cs="Times New Roman" w:eastAsia="Times New Roman" w:hAnsi="Times New Roman"/>
                <w:sz w:val="7"/>
                <w:szCs w:val="7"/>
                <w:color w:val="auto"/>
              </w:rPr>
              <w:t xml:space="preserve"> (4)(11)</w:t>
            </w:r>
          </w:p>
        </w:tc>
        <w:tc>
          <w:tcPr>
            <w:tcW w:w="28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Passport Labs, Inc. </w:t>
            </w:r>
            <w:r>
              <w:rPr>
                <w:rFonts w:ascii="Times New Roman" w:cs="Times New Roman" w:eastAsia="Times New Roman" w:hAnsi="Times New Roman"/>
                <w:sz w:val="14"/>
                <w:szCs w:val="14"/>
                <w:color w:val="auto"/>
                <w:vertAlign w:val="superscript"/>
              </w:rPr>
              <w:t>(12)</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17,534 Warrants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4/28/2021</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(12)(14)</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Class A Units (600,000 units)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5/14/2021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20"/>
        </w:trPr>
        <w:tc>
          <w:tcPr>
            <w:tcW w:w="23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23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5,997</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6,773</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0.4 </w:t>
            </w:r>
            <w:r>
              <w:rPr>
                <w:rFonts w:ascii="Times New Roman" w:cs="Times New Roman" w:eastAsia="Times New Roman" w:hAnsi="Times New Roman"/>
                <w:sz w:val="11"/>
                <w:szCs w:val="11"/>
                <w:color w:val="auto"/>
                <w:highlight w:val="white"/>
              </w:rPr>
              <w:t>%</w:t>
            </w:r>
          </w:p>
        </w:tc>
      </w:tr>
      <w:tr>
        <w:trPr>
          <w:trHeight w:val="12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8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Caris Life Sciences, Inc. </w:t>
            </w:r>
            <w:r>
              <w:rPr>
                <w:rFonts w:ascii="Times New Roman" w:cs="Times New Roman" w:eastAsia="Times New Roman" w:hAnsi="Times New Roman"/>
                <w:sz w:val="14"/>
                <w:szCs w:val="14"/>
                <w:color w:val="auto"/>
                <w:vertAlign w:val="superscript"/>
              </w:rPr>
              <w:t>(12)</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Series C Preferred Shares (362,319 shares)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10/13/2020</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shd w:val="clear" w:color="auto" w:fill="CFF0FC"/>
          </w:tcPr>
          <w:p>
            <w:pPr>
              <w:spacing w:after="0"/>
              <w:rPr>
                <w:sz w:val="11"/>
                <w:szCs w:val="11"/>
                <w:color w:val="auto"/>
              </w:rPr>
            </w:pP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Series D Preferred Shares (1,240,740 shares)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5/11/2021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8,568</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0.6 %</w:t>
            </w:r>
          </w:p>
        </w:tc>
      </w:tr>
      <w:tr>
        <w:trPr>
          <w:trHeight w:val="135"/>
        </w:trPr>
        <w:tc>
          <w:tcPr>
            <w:tcW w:w="2320" w:type="dxa"/>
            <w:vAlign w:val="bottom"/>
          </w:tcPr>
          <w:p>
            <w:pPr>
              <w:spacing w:after="0"/>
              <w:rPr>
                <w:sz w:val="11"/>
                <w:szCs w:val="11"/>
                <w:color w:val="auto"/>
              </w:rPr>
            </w:pP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633,376 Warrants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9/21/2018</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shd w:val="clear" w:color="auto" w:fill="CFF0FC"/>
          </w:tcPr>
          <w:p>
            <w:pPr>
              <w:spacing w:after="0"/>
              <w:rPr>
                <w:sz w:val="11"/>
                <w:szCs w:val="11"/>
                <w:color w:val="auto"/>
              </w:rPr>
            </w:pP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569,991 Warrants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4/2/2020</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14"/>
                <w:szCs w:val="14"/>
                <w:color w:val="auto"/>
                <w:vertAlign w:val="superscript"/>
              </w:rPr>
              <w:t>(12)(13)(14)</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989,691 Class A-1 Units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6/30/2022</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9,897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0.7 %</w:t>
            </w:r>
          </w:p>
        </w:tc>
      </w:tr>
      <w:tr>
        <w:trPr>
          <w:trHeight w:val="128"/>
        </w:trPr>
        <w:tc>
          <w:tcPr>
            <w:tcW w:w="2320" w:type="dxa"/>
            <w:vAlign w:val="bottom"/>
            <w:tcBorders>
              <w:bottom w:val="single" w:sz="8" w:color="CFF0FC"/>
            </w:tcBorders>
            <w:shd w:val="clear" w:color="auto" w:fill="CFF0FC"/>
          </w:tcPr>
          <w:p>
            <w:pPr>
              <w:spacing w:after="0"/>
              <w:rPr>
                <w:sz w:val="11"/>
                <w:szCs w:val="11"/>
                <w:color w:val="auto"/>
              </w:rPr>
            </w:pPr>
          </w:p>
        </w:tc>
        <w:tc>
          <w:tcPr>
            <w:tcW w:w="286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21,389</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21,804</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8"/>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(7)(12)</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Class A Units (33,790,171 units)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12/21/2018</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21,842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25,596</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35"/>
        </w:trPr>
        <w:tc>
          <w:tcPr>
            <w:tcW w:w="2320" w:type="dxa"/>
            <w:vAlign w:val="bottom"/>
          </w:tcPr>
          <w:p>
            <w:pPr>
              <w:spacing w:after="0"/>
              <w:rPr>
                <w:sz w:val="11"/>
                <w:szCs w:val="11"/>
                <w:color w:val="auto"/>
              </w:rPr>
            </w:pP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Class C-1 Units (8,800,000 units)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12/21/2018</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28"/>
        </w:trPr>
        <w:tc>
          <w:tcPr>
            <w:tcW w:w="2320" w:type="dxa"/>
            <w:vAlign w:val="bottom"/>
            <w:tcBorders>
              <w:bottom w:val="single" w:sz="8" w:color="CFF0FC"/>
            </w:tcBorders>
            <w:shd w:val="clear" w:color="auto" w:fill="CFF0FC"/>
          </w:tcPr>
          <w:p>
            <w:pPr>
              <w:spacing w:after="0"/>
              <w:rPr>
                <w:sz w:val="11"/>
                <w:szCs w:val="11"/>
                <w:color w:val="auto"/>
              </w:rPr>
            </w:pPr>
          </w:p>
        </w:tc>
        <w:tc>
          <w:tcPr>
            <w:tcW w:w="286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21,942</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25,639</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8"/>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(4)(12)(14)</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Class A-1 Units (3,780,000 units)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5/5/2021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3,780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4,262</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ClearCompany, LLC </w:t>
            </w:r>
            <w:r>
              <w:rPr>
                <w:rFonts w:ascii="Times New Roman" w:cs="Times New Roman" w:eastAsia="Times New Roman" w:hAnsi="Times New Roman"/>
                <w:sz w:val="14"/>
                <w:szCs w:val="14"/>
                <w:color w:val="auto"/>
                <w:vertAlign w:val="superscript"/>
              </w:rPr>
              <w:t>(12)(14)</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Series A Preferred Units (1,429,228 units)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8/24/2018</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4,788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DaySmart Holdings, LLC </w:t>
            </w:r>
            <w:r>
              <w:rPr>
                <w:rFonts w:ascii="Times New Roman" w:cs="Times New Roman" w:eastAsia="Times New Roman" w:hAnsi="Times New Roman"/>
                <w:sz w:val="14"/>
                <w:szCs w:val="14"/>
                <w:color w:val="auto"/>
                <w:vertAlign w:val="superscript"/>
              </w:rPr>
              <w:t>(12)(14)</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Class A Units (166,811 units)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10/1/2019</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95"/>
        </w:trPr>
        <w:tc>
          <w:tcPr>
            <w:tcW w:w="2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Employment Hero Holdings Pty</w:t>
            </w:r>
          </w:p>
        </w:tc>
        <w:tc>
          <w:tcPr>
            <w:tcW w:w="2860" w:type="dxa"/>
            <w:vAlign w:val="bottom"/>
          </w:tcPr>
          <w:p>
            <w:pPr>
              <w:ind w:left="400"/>
              <w:spacing w:after="0" w:line="95" w:lineRule="exact"/>
              <w:rPr>
                <w:sz w:val="20"/>
                <w:szCs w:val="20"/>
                <w:color w:val="auto"/>
              </w:rPr>
            </w:pPr>
            <w:r>
              <w:rPr>
                <w:rFonts w:ascii="Times New Roman" w:cs="Times New Roman" w:eastAsia="Times New Roman" w:hAnsi="Times New Roman"/>
                <w:sz w:val="10"/>
                <w:szCs w:val="10"/>
                <w:color w:val="auto"/>
              </w:rPr>
              <w:t>Series E Preferred Shares (113,250 shares)</w:t>
            </w:r>
          </w:p>
        </w:tc>
        <w:tc>
          <w:tcPr>
            <w:tcW w:w="122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3/1/2022</w:t>
            </w: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2,134</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1,929</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Ltd.</w:t>
            </w:r>
            <w:r>
              <w:rPr>
                <w:rFonts w:ascii="Times New Roman" w:cs="Times New Roman" w:eastAsia="Times New Roman" w:hAnsi="Times New Roman"/>
                <w:sz w:val="7"/>
                <w:szCs w:val="7"/>
                <w:color w:val="auto"/>
              </w:rPr>
              <w:t xml:space="preserve"> (4)(12)(13)</w:t>
            </w:r>
          </w:p>
        </w:tc>
        <w:tc>
          <w:tcPr>
            <w:tcW w:w="2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(AUD 3,000)</w:t>
            </w: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2320" w:type="dxa"/>
            <w:vAlign w:val="bottom"/>
            <w:tcBorders>
              <w:bottom w:val="single" w:sz="8" w:color="CFF0FC"/>
            </w:tcBorders>
            <w:shd w:val="clear" w:color="auto" w:fill="CFF0FC"/>
          </w:tcPr>
          <w:p>
            <w:pPr>
              <w:spacing w:after="0"/>
              <w:rPr>
                <w:sz w:val="11"/>
                <w:szCs w:val="11"/>
                <w:color w:val="auto"/>
              </w:rPr>
            </w:pPr>
          </w:p>
        </w:tc>
        <w:tc>
          <w:tcPr>
            <w:tcW w:w="286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9,275</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12,824</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9"/>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4"/>
        </w:trPr>
        <w:tc>
          <w:tcPr>
            <w:tcW w:w="23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Bayshore Intermediate #2,</w:t>
            </w:r>
          </w:p>
        </w:tc>
        <w:tc>
          <w:tcPr>
            <w:tcW w:w="2860" w:type="dxa"/>
            <w:vAlign w:val="bottom"/>
            <w:shd w:val="clear" w:color="auto" w:fill="CFF0FC"/>
          </w:tcPr>
          <w:p>
            <w:pPr>
              <w:ind w:left="400"/>
              <w:spacing w:after="0" w:line="95" w:lineRule="exact"/>
              <w:rPr>
                <w:sz w:val="20"/>
                <w:szCs w:val="20"/>
                <w:color w:val="auto"/>
              </w:rPr>
            </w:pPr>
            <w:r>
              <w:rPr>
                <w:rFonts w:ascii="Times New Roman" w:cs="Times New Roman" w:eastAsia="Times New Roman" w:hAnsi="Times New Roman"/>
                <w:sz w:val="10"/>
                <w:szCs w:val="10"/>
                <w:color w:val="auto"/>
              </w:rPr>
              <w:t>Common Units (12,330,709 units)</w:t>
            </w:r>
          </w:p>
        </w:tc>
        <w:tc>
          <w:tcPr>
            <w:tcW w:w="1220" w:type="dxa"/>
            <w:vAlign w:val="bottom"/>
            <w:shd w:val="clear" w:color="auto" w:fill="CFF0FC"/>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10/1/2021</w:t>
            </w:r>
          </w:p>
        </w:tc>
        <w:tc>
          <w:tcPr>
            <w:tcW w:w="11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12,331</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12,331</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0.9 %</w:t>
            </w:r>
          </w:p>
        </w:tc>
      </w:tr>
      <w:tr>
        <w:trPr>
          <w:trHeight w:val="162"/>
        </w:trPr>
        <w:tc>
          <w:tcPr>
            <w:tcW w:w="23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8"/>
                <w:szCs w:val="18"/>
                <w:color w:val="auto"/>
                <w:vertAlign w:val="subscript"/>
              </w:rPr>
              <w:t>L.P.</w:t>
            </w:r>
            <w:r>
              <w:rPr>
                <w:rFonts w:ascii="Times New Roman" w:cs="Times New Roman" w:eastAsia="Times New Roman" w:hAnsi="Times New Roman"/>
                <w:sz w:val="7"/>
                <w:szCs w:val="7"/>
                <w:color w:val="auto"/>
              </w:rPr>
              <w:t xml:space="preserve"> (12)(13)(14)</w:t>
            </w:r>
          </w:p>
        </w:tc>
        <w:tc>
          <w:tcPr>
            <w:tcW w:w="28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(12)</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Series F Preferred Shares (199,054 shares)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8/2/2019</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(12)(13)</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Series C-1 Preferred Shares (418,527 shares)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12/22/2021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20"/>
        </w:trPr>
        <w:tc>
          <w:tcPr>
            <w:tcW w:w="23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23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16,131</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16,173</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1.2 </w:t>
            </w:r>
            <w:r>
              <w:rPr>
                <w:rFonts w:ascii="Times New Roman" w:cs="Times New Roman" w:eastAsia="Times New Roman" w:hAnsi="Times New Roman"/>
                <w:sz w:val="11"/>
                <w:szCs w:val="11"/>
                <w:color w:val="auto"/>
                <w:highlight w:val="white"/>
              </w:rPr>
              <w:t>%</w:t>
            </w:r>
          </w:p>
        </w:tc>
      </w:tr>
      <w:tr>
        <w:trPr>
          <w:trHeight w:val="12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Marketing Services</w:t>
            </w:r>
          </w:p>
        </w:tc>
        <w:tc>
          <w:tcPr>
            <w:tcW w:w="28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Validity, Inc. </w:t>
            </w:r>
            <w:r>
              <w:rPr>
                <w:rFonts w:ascii="Times New Roman" w:cs="Times New Roman" w:eastAsia="Times New Roman" w:hAnsi="Times New Roman"/>
                <w:sz w:val="14"/>
                <w:szCs w:val="14"/>
                <w:color w:val="auto"/>
                <w:vertAlign w:val="superscript"/>
              </w:rPr>
              <w:t>(12)</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Series A Preferred Shares (3,840,000 shares)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5/31/2018</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11,520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0.9 %</w:t>
            </w:r>
          </w:p>
        </w:tc>
      </w:tr>
      <w:tr>
        <w:trPr>
          <w:trHeight w:val="135"/>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8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(13)(14)</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13,355 Preferred Units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6/30/2022</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13,355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(12)(13)(14)</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Partnership Interest (1.89% ownership)</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8/25/2022</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8,058</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8,058</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0.6 %</w:t>
            </w:r>
          </w:p>
        </w:tc>
      </w:tr>
      <w:tr>
        <w:trPr>
          <w:trHeight w:val="20"/>
        </w:trPr>
        <w:tc>
          <w:tcPr>
            <w:tcW w:w="23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23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21,413</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21,413</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1.6 </w:t>
            </w:r>
            <w:r>
              <w:rPr>
                <w:rFonts w:ascii="Times New Roman" w:cs="Times New Roman" w:eastAsia="Times New Roman" w:hAnsi="Times New Roman"/>
                <w:sz w:val="11"/>
                <w:szCs w:val="11"/>
                <w:color w:val="auto"/>
                <w:highlight w:val="white"/>
              </w:rPr>
              <w:t>%</w:t>
            </w:r>
          </w:p>
        </w:tc>
      </w:tr>
      <w:tr>
        <w:trPr>
          <w:trHeight w:val="12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8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TherapeuticsMD, Inc. </w:t>
            </w:r>
            <w:r>
              <w:rPr>
                <w:rFonts w:ascii="Times New Roman" w:cs="Times New Roman" w:eastAsia="Times New Roman" w:hAnsi="Times New Roman"/>
                <w:sz w:val="14"/>
                <w:szCs w:val="14"/>
                <w:color w:val="auto"/>
                <w:vertAlign w:val="superscript"/>
              </w:rPr>
              <w:t>(12)(13)</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759,317 Warrants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8/5/2020</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35"/>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8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(12)</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Class A Units (687 units)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3/16/2021</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Copper Bidco, LLC </w:t>
            </w:r>
            <w:r>
              <w:rPr>
                <w:rFonts w:ascii="Times New Roman" w:cs="Times New Roman" w:eastAsia="Times New Roman" w:hAnsi="Times New Roman"/>
                <w:sz w:val="14"/>
                <w:szCs w:val="14"/>
                <w:color w:val="auto"/>
                <w:vertAlign w:val="superscript"/>
              </w:rPr>
              <w:t>(10)</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Trust Certificates (132,928 Certificates)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12/7/2020</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tcPr>
          <w:p>
            <w:pPr>
              <w:spacing w:after="0"/>
              <w:rPr>
                <w:sz w:val="11"/>
                <w:szCs w:val="11"/>
                <w:color w:val="auto"/>
              </w:rPr>
            </w:pP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Trust Certificates (996,958 Certificates)</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1/30/2021</w:t>
            </w: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13,309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(12)(13)(14)</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Class A Units (1,176,494 units)</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12/21/2021</w:t>
            </w: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2,618</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20"/>
        </w:trPr>
        <w:tc>
          <w:tcPr>
            <w:tcW w:w="23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23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7,148</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16,775</w:t>
            </w:r>
          </w:p>
        </w:tc>
        <w:tc>
          <w:tcPr>
            <w:tcW w:w="2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1.3 </w:t>
            </w:r>
            <w:r>
              <w:rPr>
                <w:rFonts w:ascii="Times New Roman" w:cs="Times New Roman" w:eastAsia="Times New Roman" w:hAnsi="Times New Roman"/>
                <w:sz w:val="11"/>
                <w:szCs w:val="11"/>
                <w:color w:val="auto"/>
                <w:highlight w:val="white"/>
              </w:rPr>
              <w:t>%</w:t>
            </w:r>
          </w:p>
        </w:tc>
      </w:tr>
      <w:tr>
        <w:trPr>
          <w:trHeight w:val="129"/>
        </w:trPr>
        <w:tc>
          <w:tcPr>
            <w:tcW w:w="2320" w:type="dxa"/>
            <w:vAlign w:val="bottom"/>
            <w:shd w:val="clear" w:color="auto" w:fill="CFF0FC"/>
          </w:tcPr>
          <w:p>
            <w:pPr>
              <w:spacing w:after="0"/>
              <w:rPr>
                <w:sz w:val="11"/>
                <w:szCs w:val="11"/>
                <w:color w:val="auto"/>
              </w:rPr>
            </w:pPr>
          </w:p>
        </w:tc>
        <w:tc>
          <w:tcPr>
            <w:tcW w:w="28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Structured Products</w:t>
            </w:r>
          </w:p>
        </w:tc>
        <w:tc>
          <w:tcPr>
            <w:tcW w:w="2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4"/>
        </w:trPr>
        <w:tc>
          <w:tcPr>
            <w:tcW w:w="23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Allegro CLO Ltd,</w:t>
            </w:r>
          </w:p>
        </w:tc>
        <w:tc>
          <w:tcPr>
            <w:tcW w:w="2860" w:type="dxa"/>
            <w:vAlign w:val="bottom"/>
            <w:shd w:val="clear" w:color="auto" w:fill="CFF0FC"/>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6/2031)</w:t>
            </w:r>
          </w:p>
        </w:tc>
        <w:tc>
          <w:tcPr>
            <w:tcW w:w="1220" w:type="dxa"/>
            <w:vAlign w:val="bottom"/>
            <w:shd w:val="clear" w:color="auto" w:fill="CFF0FC"/>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5/26/2022</w:t>
            </w:r>
          </w:p>
        </w:tc>
        <w:tc>
          <w:tcPr>
            <w:tcW w:w="1140" w:type="dxa"/>
            <w:vAlign w:val="bottom"/>
            <w:shd w:val="clear" w:color="auto" w:fill="CFF0FC"/>
          </w:tcPr>
          <w:p>
            <w:pPr>
              <w:ind w:left="240"/>
              <w:spacing w:after="0" w:line="95" w:lineRule="exact"/>
              <w:rPr>
                <w:sz w:val="20"/>
                <w:szCs w:val="20"/>
                <w:color w:val="auto"/>
              </w:rPr>
            </w:pPr>
            <w:r>
              <w:rPr>
                <w:rFonts w:ascii="Times New Roman" w:cs="Times New Roman" w:eastAsia="Times New Roman" w:hAnsi="Times New Roman"/>
                <w:sz w:val="10"/>
                <w:szCs w:val="10"/>
                <w:color w:val="auto"/>
              </w:rPr>
              <w:t>L + 2.85%</w:t>
            </w:r>
          </w:p>
        </w:tc>
        <w:tc>
          <w:tcPr>
            <w:tcW w:w="860" w:type="dxa"/>
            <w:vAlign w:val="bottom"/>
            <w:shd w:val="clear" w:color="auto" w:fill="CFF0FC"/>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5.36 %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907</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856</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2018-1A,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08"/>
        </w:trPr>
        <w:tc>
          <w:tcPr>
            <w:tcW w:w="23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American Money Management Corp</w:t>
            </w:r>
          </w:p>
        </w:tc>
        <w:tc>
          <w:tcPr>
            <w:tcW w:w="2860" w:type="dxa"/>
            <w:vAlign w:val="bottom"/>
          </w:tcPr>
          <w:p>
            <w:pPr>
              <w:ind w:left="400"/>
              <w:spacing w:after="0" w:line="108" w:lineRule="exact"/>
              <w:rPr>
                <w:sz w:val="20"/>
                <w:szCs w:val="20"/>
                <w:color w:val="auto"/>
              </w:rPr>
            </w:pPr>
            <w:r>
              <w:rPr>
                <w:rFonts w:ascii="Times New Roman" w:cs="Times New Roman" w:eastAsia="Times New Roman" w:hAnsi="Times New Roman"/>
                <w:sz w:val="11"/>
                <w:szCs w:val="11"/>
                <w:color w:val="auto"/>
              </w:rPr>
              <w:t>Structured Product ($1,500 par, due 5/2031)</w:t>
            </w:r>
          </w:p>
        </w:tc>
        <w:tc>
          <w:tcPr>
            <w:tcW w:w="1220" w:type="dxa"/>
            <w:vAlign w:val="bottom"/>
          </w:tcPr>
          <w:p>
            <w:pPr>
              <w:jc w:val="right"/>
              <w:ind w:right="187"/>
              <w:spacing w:after="0" w:line="108" w:lineRule="exact"/>
              <w:rPr>
                <w:sz w:val="20"/>
                <w:szCs w:val="20"/>
                <w:color w:val="auto"/>
              </w:rPr>
            </w:pPr>
            <w:r>
              <w:rPr>
                <w:rFonts w:ascii="Times New Roman" w:cs="Times New Roman" w:eastAsia="Times New Roman" w:hAnsi="Times New Roman"/>
                <w:sz w:val="11"/>
                <w:szCs w:val="11"/>
                <w:color w:val="auto"/>
              </w:rPr>
              <w:t>6/22/2022</w:t>
            </w:r>
          </w:p>
        </w:tc>
        <w:tc>
          <w:tcPr>
            <w:tcW w:w="114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L + 3.05%</w:t>
            </w:r>
          </w:p>
        </w:tc>
        <w:tc>
          <w:tcPr>
            <w:tcW w:w="860" w:type="dxa"/>
            <w:vAlign w:val="bottom"/>
          </w:tcPr>
          <w:p>
            <w:pPr>
              <w:jc w:val="right"/>
              <w:ind w:right="69"/>
              <w:spacing w:after="0" w:line="108" w:lineRule="exact"/>
              <w:rPr>
                <w:sz w:val="20"/>
                <w:szCs w:val="20"/>
                <w:color w:val="auto"/>
              </w:rPr>
            </w:pPr>
            <w:r>
              <w:rPr>
                <w:rFonts w:ascii="Times New Roman" w:cs="Times New Roman" w:eastAsia="Times New Roman" w:hAnsi="Times New Roman"/>
                <w:sz w:val="11"/>
                <w:szCs w:val="11"/>
                <w:color w:val="auto"/>
              </w:rPr>
              <w:t>6.06 %</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1,344</w:t>
            </w:r>
          </w:p>
        </w:tc>
        <w:tc>
          <w:tcPr>
            <w:tcW w:w="9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1,302</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08"/>
        </w:trPr>
        <w:tc>
          <w:tcPr>
            <w:tcW w:w="2320" w:type="dxa"/>
            <w:vAlign w:val="bottom"/>
          </w:tcPr>
          <w:p>
            <w:pPr>
              <w:ind w:left="100"/>
              <w:spacing w:after="0" w:line="109" w:lineRule="exact"/>
              <w:rPr>
                <w:sz w:val="20"/>
                <w:szCs w:val="20"/>
                <w:color w:val="auto"/>
              </w:rPr>
            </w:pPr>
            <w:r>
              <w:rPr>
                <w:rFonts w:ascii="Times New Roman" w:cs="Times New Roman" w:eastAsia="Times New Roman" w:hAnsi="Times New Roman"/>
                <w:sz w:val="11"/>
                <w:szCs w:val="11"/>
                <w:color w:val="auto"/>
              </w:rPr>
              <w:t>CLO Ltd, Series 2016-18A</w:t>
            </w:r>
          </w:p>
        </w:tc>
        <w:tc>
          <w:tcPr>
            <w:tcW w:w="2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4"/>
        </w:trPr>
        <w:tc>
          <w:tcPr>
            <w:tcW w:w="2320" w:type="dxa"/>
            <w:vAlign w:val="bottom"/>
          </w:tcPr>
          <w:p>
            <w:pPr>
              <w:ind w:left="100"/>
              <w:spacing w:after="0"/>
              <w:rPr>
                <w:sz w:val="20"/>
                <w:szCs w:val="20"/>
                <w:color w:val="auto"/>
              </w:rPr>
            </w:pPr>
            <w:r>
              <w:rPr>
                <w:rFonts w:ascii="Times New Roman" w:cs="Times New Roman" w:eastAsia="Times New Roman" w:hAnsi="Times New Roman"/>
                <w:sz w:val="7"/>
                <w:szCs w:val="7"/>
                <w:color w:val="auto"/>
              </w:rPr>
              <w:t>(3)(4)(10)</w:t>
            </w:r>
          </w:p>
        </w:tc>
        <w:tc>
          <w:tcPr>
            <w:tcW w:w="2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54"/>
        </w:trPr>
        <w:tc>
          <w:tcPr>
            <w:tcW w:w="23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120" w:type="dxa"/>
            <w:vAlign w:val="bottom"/>
            <w:gridSpan w:val="3"/>
          </w:tcPr>
          <w:p>
            <w:pPr>
              <w:spacing w:after="0"/>
              <w:rPr>
                <w:sz w:val="4"/>
                <w:szCs w:val="4"/>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Ares CLO Ltd, Series 2021-59A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Structured Product ($1,000 par, due 4/2034)</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6/23/2022</w:t>
            </w:r>
          </w:p>
        </w:tc>
        <w:tc>
          <w:tcPr>
            <w:tcW w:w="1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L + 6.25%</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1"/>
                <w:szCs w:val="11"/>
                <w:color w:val="auto"/>
              </w:rPr>
              <w:t>9.03 %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95"/>
        </w:trPr>
        <w:tc>
          <w:tcPr>
            <w:tcW w:w="2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Ares Loan Funding I Ltd,</w:t>
            </w:r>
          </w:p>
        </w:tc>
        <w:tc>
          <w:tcPr>
            <w:tcW w:w="2860" w:type="dxa"/>
            <w:vAlign w:val="bottom"/>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10/2034)</w:t>
            </w:r>
          </w:p>
        </w:tc>
        <w:tc>
          <w:tcPr>
            <w:tcW w:w="122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6/24/2022</w:t>
            </w:r>
          </w:p>
        </w:tc>
        <w:tc>
          <w:tcPr>
            <w:tcW w:w="1140" w:type="dxa"/>
            <w:vAlign w:val="bottom"/>
          </w:tcPr>
          <w:p>
            <w:pPr>
              <w:ind w:left="240"/>
              <w:spacing w:after="0" w:line="95" w:lineRule="exact"/>
              <w:rPr>
                <w:sz w:val="20"/>
                <w:szCs w:val="20"/>
                <w:color w:val="auto"/>
              </w:rPr>
            </w:pPr>
            <w:r>
              <w:rPr>
                <w:rFonts w:ascii="Times New Roman" w:cs="Times New Roman" w:eastAsia="Times New Roman" w:hAnsi="Times New Roman"/>
                <w:sz w:val="10"/>
                <w:szCs w:val="10"/>
                <w:color w:val="auto"/>
              </w:rPr>
              <w:t>L + 6.70%</w:t>
            </w:r>
          </w:p>
        </w:tc>
        <w:tc>
          <w:tcPr>
            <w:tcW w:w="860" w:type="dxa"/>
            <w:vAlign w:val="bottom"/>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9.21 %</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909</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867</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2021-ALFA, Class E </w:t>
            </w:r>
            <w:r>
              <w:rPr>
                <w:rFonts w:ascii="Times New Roman" w:cs="Times New Roman" w:eastAsia="Times New Roman" w:hAnsi="Times New Roman"/>
                <w:sz w:val="14"/>
                <w:szCs w:val="14"/>
                <w:color w:val="auto"/>
                <w:vertAlign w:val="superscript"/>
              </w:rPr>
              <w:t>(3)(4)(10)</w:t>
            </w:r>
          </w:p>
        </w:tc>
        <w:tc>
          <w:tcPr>
            <w:tcW w:w="2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5"/>
        </w:trPr>
        <w:tc>
          <w:tcPr>
            <w:tcW w:w="23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Bain Capital Credit CLO Ltd,</w:t>
            </w:r>
          </w:p>
        </w:tc>
        <w:tc>
          <w:tcPr>
            <w:tcW w:w="2860" w:type="dxa"/>
            <w:vAlign w:val="bottom"/>
            <w:shd w:val="clear" w:color="auto" w:fill="CFF0FC"/>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($500 par, due 4/2031)</w:t>
            </w:r>
          </w:p>
        </w:tc>
        <w:tc>
          <w:tcPr>
            <w:tcW w:w="1220" w:type="dxa"/>
            <w:vAlign w:val="bottom"/>
            <w:shd w:val="clear" w:color="auto" w:fill="CFF0FC"/>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10/15/2020</w:t>
            </w:r>
          </w:p>
        </w:tc>
        <w:tc>
          <w:tcPr>
            <w:tcW w:w="1140" w:type="dxa"/>
            <w:vAlign w:val="bottom"/>
            <w:shd w:val="clear" w:color="auto" w:fill="CFF0FC"/>
          </w:tcPr>
          <w:p>
            <w:pPr>
              <w:ind w:left="240"/>
              <w:spacing w:after="0" w:line="95" w:lineRule="exact"/>
              <w:rPr>
                <w:sz w:val="20"/>
                <w:szCs w:val="20"/>
                <w:color w:val="auto"/>
              </w:rPr>
            </w:pPr>
            <w:r>
              <w:rPr>
                <w:rFonts w:ascii="Times New Roman" w:cs="Times New Roman" w:eastAsia="Times New Roman" w:hAnsi="Times New Roman"/>
                <w:sz w:val="10"/>
                <w:szCs w:val="10"/>
                <w:color w:val="auto"/>
              </w:rPr>
              <w:t>L + 5.35%</w:t>
            </w:r>
          </w:p>
        </w:tc>
        <w:tc>
          <w:tcPr>
            <w:tcW w:w="860" w:type="dxa"/>
            <w:vAlign w:val="bottom"/>
            <w:shd w:val="clear" w:color="auto" w:fill="CFF0FC"/>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8.13 %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422</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381</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0.0 %</w:t>
            </w:r>
          </w:p>
        </w:tc>
      </w:tr>
      <w:tr>
        <w:trPr>
          <w:trHeight w:val="162"/>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2018-1A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95"/>
        </w:trPr>
        <w:tc>
          <w:tcPr>
            <w:tcW w:w="2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Battalion CLO Ltd,</w:t>
            </w:r>
          </w:p>
        </w:tc>
        <w:tc>
          <w:tcPr>
            <w:tcW w:w="2860" w:type="dxa"/>
            <w:vAlign w:val="bottom"/>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($1,300 par, due 7/2034)</w:t>
            </w:r>
          </w:p>
        </w:tc>
        <w:tc>
          <w:tcPr>
            <w:tcW w:w="122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7/13/2022</w:t>
            </w:r>
          </w:p>
        </w:tc>
        <w:tc>
          <w:tcPr>
            <w:tcW w:w="1140" w:type="dxa"/>
            <w:vAlign w:val="bottom"/>
          </w:tcPr>
          <w:p>
            <w:pPr>
              <w:ind w:left="240"/>
              <w:spacing w:after="0" w:line="95" w:lineRule="exact"/>
              <w:rPr>
                <w:sz w:val="20"/>
                <w:szCs w:val="20"/>
                <w:color w:val="auto"/>
              </w:rPr>
            </w:pPr>
            <w:r>
              <w:rPr>
                <w:rFonts w:ascii="Times New Roman" w:cs="Times New Roman" w:eastAsia="Times New Roman" w:hAnsi="Times New Roman"/>
                <w:sz w:val="10"/>
                <w:szCs w:val="10"/>
                <w:color w:val="auto"/>
              </w:rPr>
              <w:t>L + 3.30%</w:t>
            </w:r>
          </w:p>
        </w:tc>
        <w:tc>
          <w:tcPr>
            <w:tcW w:w="860" w:type="dxa"/>
            <w:vAlign w:val="bottom"/>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5.81 %</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1,143</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1,140</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2021-21A </w:t>
            </w:r>
            <w:r>
              <w:rPr>
                <w:rFonts w:ascii="Times New Roman" w:cs="Times New Roman" w:eastAsia="Times New Roman" w:hAnsi="Times New Roman"/>
                <w:sz w:val="14"/>
                <w:szCs w:val="14"/>
                <w:color w:val="auto"/>
                <w:vertAlign w:val="superscript"/>
              </w:rPr>
              <w:t>(3)(4)(10)</w:t>
            </w:r>
          </w:p>
        </w:tc>
        <w:tc>
          <w:tcPr>
            <w:tcW w:w="2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4"/>
        </w:trPr>
        <w:tc>
          <w:tcPr>
            <w:tcW w:w="23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Benefit Street Partners CLO Ltd,</w:t>
            </w:r>
          </w:p>
        </w:tc>
        <w:tc>
          <w:tcPr>
            <w:tcW w:w="2860" w:type="dxa"/>
            <w:vAlign w:val="bottom"/>
            <w:shd w:val="clear" w:color="auto" w:fill="CFF0FC"/>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($2,500 par, due 7/2034)</w:t>
            </w:r>
          </w:p>
        </w:tc>
        <w:tc>
          <w:tcPr>
            <w:tcW w:w="1220" w:type="dxa"/>
            <w:vAlign w:val="bottom"/>
            <w:shd w:val="clear" w:color="auto" w:fill="CFF0FC"/>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7/13/2022</w:t>
            </w:r>
          </w:p>
        </w:tc>
        <w:tc>
          <w:tcPr>
            <w:tcW w:w="1140" w:type="dxa"/>
            <w:vAlign w:val="bottom"/>
            <w:shd w:val="clear" w:color="auto" w:fill="CFF0FC"/>
          </w:tcPr>
          <w:p>
            <w:pPr>
              <w:ind w:left="240"/>
              <w:spacing w:after="0" w:line="95" w:lineRule="exact"/>
              <w:rPr>
                <w:sz w:val="20"/>
                <w:szCs w:val="20"/>
                <w:color w:val="auto"/>
              </w:rPr>
            </w:pPr>
            <w:r>
              <w:rPr>
                <w:rFonts w:ascii="Times New Roman" w:cs="Times New Roman" w:eastAsia="Times New Roman" w:hAnsi="Times New Roman"/>
                <w:sz w:val="10"/>
                <w:szCs w:val="10"/>
                <w:color w:val="auto"/>
              </w:rPr>
              <w:t>L + 3.85%</w:t>
            </w:r>
          </w:p>
        </w:tc>
        <w:tc>
          <w:tcPr>
            <w:tcW w:w="860" w:type="dxa"/>
            <w:vAlign w:val="bottom"/>
            <w:shd w:val="clear" w:color="auto" w:fill="CFF0FC"/>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6.56 %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2,157</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2,220</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0.2 %</w:t>
            </w:r>
          </w:p>
        </w:tc>
      </w:tr>
      <w:tr>
        <w:trPr>
          <w:trHeight w:val="162"/>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2015-6BR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95"/>
        </w:trPr>
        <w:tc>
          <w:tcPr>
            <w:tcW w:w="2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Benefit Street Partners CLO Ltd,</w:t>
            </w:r>
          </w:p>
        </w:tc>
        <w:tc>
          <w:tcPr>
            <w:tcW w:w="2860" w:type="dxa"/>
            <w:vAlign w:val="bottom"/>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($1,425 par, due 1/2031)</w:t>
            </w:r>
          </w:p>
        </w:tc>
        <w:tc>
          <w:tcPr>
            <w:tcW w:w="122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9/13/2022</w:t>
            </w:r>
          </w:p>
        </w:tc>
        <w:tc>
          <w:tcPr>
            <w:tcW w:w="1140" w:type="dxa"/>
            <w:vAlign w:val="bottom"/>
          </w:tcPr>
          <w:p>
            <w:pPr>
              <w:ind w:left="240"/>
              <w:spacing w:after="0" w:line="95" w:lineRule="exact"/>
              <w:rPr>
                <w:sz w:val="20"/>
                <w:szCs w:val="20"/>
                <w:color w:val="auto"/>
              </w:rPr>
            </w:pPr>
            <w:r>
              <w:rPr>
                <w:rFonts w:ascii="Times New Roman" w:cs="Times New Roman" w:eastAsia="Times New Roman" w:hAnsi="Times New Roman"/>
                <w:sz w:val="10"/>
                <w:szCs w:val="10"/>
                <w:color w:val="auto"/>
              </w:rPr>
              <w:t>L + 2.75%</w:t>
            </w:r>
          </w:p>
        </w:tc>
        <w:tc>
          <w:tcPr>
            <w:tcW w:w="860" w:type="dxa"/>
            <w:vAlign w:val="bottom"/>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5.46 %</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1,258</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1,219</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2015-8A </w:t>
            </w:r>
            <w:r>
              <w:rPr>
                <w:rFonts w:ascii="Times New Roman" w:cs="Times New Roman" w:eastAsia="Times New Roman" w:hAnsi="Times New Roman"/>
                <w:sz w:val="14"/>
                <w:szCs w:val="14"/>
                <w:color w:val="auto"/>
                <w:vertAlign w:val="superscript"/>
              </w:rPr>
              <w:t>(3)(4)(10)</w:t>
            </w:r>
          </w:p>
        </w:tc>
        <w:tc>
          <w:tcPr>
            <w:tcW w:w="2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8"/>
        </w:trPr>
        <w:tc>
          <w:tcPr>
            <w:tcW w:w="23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Carlyle Global Market Strategies</w:t>
            </w:r>
          </w:p>
        </w:tc>
        <w:tc>
          <w:tcPr>
            <w:tcW w:w="2860" w:type="dxa"/>
            <w:vAlign w:val="bottom"/>
            <w:shd w:val="clear" w:color="auto" w:fill="CFF0FC"/>
          </w:tcPr>
          <w:p>
            <w:pPr>
              <w:ind w:left="400"/>
              <w:spacing w:after="0" w:line="108" w:lineRule="exact"/>
              <w:rPr>
                <w:sz w:val="20"/>
                <w:szCs w:val="20"/>
                <w:color w:val="auto"/>
              </w:rPr>
            </w:pPr>
            <w:r>
              <w:rPr>
                <w:rFonts w:ascii="Times New Roman" w:cs="Times New Roman" w:eastAsia="Times New Roman" w:hAnsi="Times New Roman"/>
                <w:sz w:val="11"/>
                <w:szCs w:val="11"/>
                <w:color w:val="auto"/>
              </w:rPr>
              <w:t>Structured Product ($1,000 par, due 7/2030)</w:t>
            </w:r>
          </w:p>
        </w:tc>
        <w:tc>
          <w:tcPr>
            <w:tcW w:w="1220" w:type="dxa"/>
            <w:vAlign w:val="bottom"/>
            <w:shd w:val="clear" w:color="auto" w:fill="CFF0FC"/>
          </w:tcPr>
          <w:p>
            <w:pPr>
              <w:jc w:val="right"/>
              <w:ind w:right="187"/>
              <w:spacing w:after="0" w:line="108" w:lineRule="exact"/>
              <w:rPr>
                <w:sz w:val="20"/>
                <w:szCs w:val="20"/>
                <w:color w:val="auto"/>
              </w:rPr>
            </w:pPr>
            <w:r>
              <w:rPr>
                <w:rFonts w:ascii="Times New Roman" w:cs="Times New Roman" w:eastAsia="Times New Roman" w:hAnsi="Times New Roman"/>
                <w:sz w:val="11"/>
                <w:szCs w:val="11"/>
                <w:color w:val="auto"/>
              </w:rPr>
              <w:t>5/26/2022</w:t>
            </w:r>
          </w:p>
        </w:tc>
        <w:tc>
          <w:tcPr>
            <w:tcW w:w="1140" w:type="dxa"/>
            <w:vAlign w:val="bottom"/>
            <w:shd w:val="clear" w:color="auto" w:fill="CFF0FC"/>
          </w:tcPr>
          <w:p>
            <w:pPr>
              <w:ind w:left="240"/>
              <w:spacing w:after="0" w:line="108" w:lineRule="exact"/>
              <w:rPr>
                <w:sz w:val="20"/>
                <w:szCs w:val="20"/>
                <w:color w:val="auto"/>
              </w:rPr>
            </w:pPr>
            <w:r>
              <w:rPr>
                <w:rFonts w:ascii="Times New Roman" w:cs="Times New Roman" w:eastAsia="Times New Roman" w:hAnsi="Times New Roman"/>
                <w:sz w:val="11"/>
                <w:szCs w:val="11"/>
                <w:color w:val="auto"/>
              </w:rPr>
              <w:t>L + 2.90%</w:t>
            </w:r>
          </w:p>
        </w:tc>
        <w:tc>
          <w:tcPr>
            <w:tcW w:w="860" w:type="dxa"/>
            <w:vAlign w:val="bottom"/>
            <w:shd w:val="clear" w:color="auto" w:fill="CFF0FC"/>
          </w:tcPr>
          <w:p>
            <w:pPr>
              <w:jc w:val="right"/>
              <w:ind w:right="69"/>
              <w:spacing w:after="0" w:line="108" w:lineRule="exact"/>
              <w:rPr>
                <w:sz w:val="20"/>
                <w:szCs w:val="20"/>
                <w:color w:val="auto"/>
              </w:rPr>
            </w:pPr>
            <w:r>
              <w:rPr>
                <w:rFonts w:ascii="Times New Roman" w:cs="Times New Roman" w:eastAsia="Times New Roman" w:hAnsi="Times New Roman"/>
                <w:sz w:val="11"/>
                <w:szCs w:val="11"/>
                <w:color w:val="auto"/>
              </w:rPr>
              <w:t>5.41 %</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887</w:t>
            </w:r>
          </w:p>
        </w:tc>
        <w:tc>
          <w:tcPr>
            <w:tcW w:w="9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850</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08"/>
        </w:trPr>
        <w:tc>
          <w:tcPr>
            <w:tcW w:w="2320" w:type="dxa"/>
            <w:vAlign w:val="bottom"/>
            <w:shd w:val="clear" w:color="auto" w:fill="CFF0FC"/>
          </w:tcPr>
          <w:p>
            <w:pPr>
              <w:ind w:left="100"/>
              <w:spacing w:after="0" w:line="109" w:lineRule="exact"/>
              <w:rPr>
                <w:sz w:val="20"/>
                <w:szCs w:val="20"/>
                <w:color w:val="auto"/>
              </w:rPr>
            </w:pPr>
            <w:r>
              <w:rPr>
                <w:rFonts w:ascii="Times New Roman" w:cs="Times New Roman" w:eastAsia="Times New Roman" w:hAnsi="Times New Roman"/>
                <w:sz w:val="11"/>
                <w:szCs w:val="11"/>
                <w:color w:val="auto"/>
              </w:rPr>
              <w:t>CLO Ltd, Series 2014-4RA</w:t>
            </w:r>
          </w:p>
        </w:tc>
        <w:tc>
          <w:tcPr>
            <w:tcW w:w="286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8"/>
        </w:trPr>
        <w:tc>
          <w:tcPr>
            <w:tcW w:w="2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7"/>
                <w:szCs w:val="7"/>
                <w:color w:val="auto"/>
              </w:rPr>
              <w:t>(3)(4)(10)</w:t>
            </w:r>
          </w:p>
        </w:tc>
        <w:tc>
          <w:tcPr>
            <w:tcW w:w="286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r>
      <w:tr>
        <w:trPr>
          <w:trHeight w:val="108"/>
        </w:trPr>
        <w:tc>
          <w:tcPr>
            <w:tcW w:w="23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Carlyle Global Market Strategies</w:t>
            </w:r>
          </w:p>
        </w:tc>
        <w:tc>
          <w:tcPr>
            <w:tcW w:w="2860" w:type="dxa"/>
            <w:vAlign w:val="bottom"/>
          </w:tcPr>
          <w:p>
            <w:pPr>
              <w:ind w:left="400"/>
              <w:spacing w:after="0" w:line="108" w:lineRule="exact"/>
              <w:rPr>
                <w:sz w:val="20"/>
                <w:szCs w:val="20"/>
                <w:color w:val="auto"/>
              </w:rPr>
            </w:pPr>
            <w:r>
              <w:rPr>
                <w:rFonts w:ascii="Times New Roman" w:cs="Times New Roman" w:eastAsia="Times New Roman" w:hAnsi="Times New Roman"/>
                <w:sz w:val="11"/>
                <w:szCs w:val="11"/>
                <w:color w:val="auto"/>
              </w:rPr>
              <w:t>Structured Product ($1,550 par, due 4/2031)</w:t>
            </w:r>
          </w:p>
        </w:tc>
        <w:tc>
          <w:tcPr>
            <w:tcW w:w="1220" w:type="dxa"/>
            <w:vAlign w:val="bottom"/>
          </w:tcPr>
          <w:p>
            <w:pPr>
              <w:jc w:val="right"/>
              <w:ind w:right="187"/>
              <w:spacing w:after="0" w:line="108" w:lineRule="exact"/>
              <w:rPr>
                <w:sz w:val="20"/>
                <w:szCs w:val="20"/>
                <w:color w:val="auto"/>
              </w:rPr>
            </w:pPr>
            <w:r>
              <w:rPr>
                <w:rFonts w:ascii="Times New Roman" w:cs="Times New Roman" w:eastAsia="Times New Roman" w:hAnsi="Times New Roman"/>
                <w:sz w:val="11"/>
                <w:szCs w:val="11"/>
                <w:color w:val="auto"/>
              </w:rPr>
              <w:t>8/11/2020</w:t>
            </w:r>
          </w:p>
        </w:tc>
        <w:tc>
          <w:tcPr>
            <w:tcW w:w="114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L + 5.75%</w:t>
            </w:r>
          </w:p>
        </w:tc>
        <w:tc>
          <w:tcPr>
            <w:tcW w:w="860" w:type="dxa"/>
            <w:vAlign w:val="bottom"/>
          </w:tcPr>
          <w:p>
            <w:pPr>
              <w:jc w:val="right"/>
              <w:ind w:right="69"/>
              <w:spacing w:after="0" w:line="108" w:lineRule="exact"/>
              <w:rPr>
                <w:sz w:val="20"/>
                <w:szCs w:val="20"/>
                <w:color w:val="auto"/>
              </w:rPr>
            </w:pPr>
            <w:r>
              <w:rPr>
                <w:rFonts w:ascii="Times New Roman" w:cs="Times New Roman" w:eastAsia="Times New Roman" w:hAnsi="Times New Roman"/>
                <w:sz w:val="11"/>
                <w:szCs w:val="11"/>
                <w:color w:val="auto"/>
              </w:rPr>
              <w:t>8.46 %</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1,241</w:t>
            </w:r>
          </w:p>
        </w:tc>
        <w:tc>
          <w:tcPr>
            <w:tcW w:w="9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1,201</w:t>
            </w:r>
          </w:p>
        </w:tc>
        <w:tc>
          <w:tcPr>
            <w:tcW w:w="11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0.1 %</w:t>
            </w:r>
          </w:p>
        </w:tc>
      </w:tr>
      <w:tr>
        <w:trPr>
          <w:trHeight w:val="108"/>
        </w:trPr>
        <w:tc>
          <w:tcPr>
            <w:tcW w:w="2320" w:type="dxa"/>
            <w:vAlign w:val="bottom"/>
          </w:tcPr>
          <w:p>
            <w:pPr>
              <w:ind w:left="100"/>
              <w:spacing w:after="0" w:line="109" w:lineRule="exact"/>
              <w:rPr>
                <w:sz w:val="20"/>
                <w:szCs w:val="20"/>
                <w:color w:val="auto"/>
              </w:rPr>
            </w:pPr>
            <w:r>
              <w:rPr>
                <w:rFonts w:ascii="Times New Roman" w:cs="Times New Roman" w:eastAsia="Times New Roman" w:hAnsi="Times New Roman"/>
                <w:sz w:val="11"/>
                <w:szCs w:val="11"/>
                <w:color w:val="auto"/>
              </w:rPr>
              <w:t>CLO Ltd, Series 2018-1A</w:t>
            </w:r>
          </w:p>
        </w:tc>
        <w:tc>
          <w:tcPr>
            <w:tcW w:w="2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4"/>
        </w:trPr>
        <w:tc>
          <w:tcPr>
            <w:tcW w:w="2320" w:type="dxa"/>
            <w:vAlign w:val="bottom"/>
          </w:tcPr>
          <w:p>
            <w:pPr>
              <w:ind w:left="100"/>
              <w:spacing w:after="0"/>
              <w:rPr>
                <w:sz w:val="20"/>
                <w:szCs w:val="20"/>
                <w:color w:val="auto"/>
              </w:rPr>
            </w:pPr>
            <w:r>
              <w:rPr>
                <w:rFonts w:ascii="Times New Roman" w:cs="Times New Roman" w:eastAsia="Times New Roman" w:hAnsi="Times New Roman"/>
                <w:sz w:val="7"/>
                <w:szCs w:val="7"/>
                <w:color w:val="auto"/>
              </w:rPr>
              <w:t>(3)(4)(10)</w:t>
            </w:r>
          </w:p>
        </w:tc>
        <w:tc>
          <w:tcPr>
            <w:tcW w:w="2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54"/>
        </w:trPr>
        <w:tc>
          <w:tcPr>
            <w:tcW w:w="23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120" w:type="dxa"/>
            <w:vAlign w:val="bottom"/>
            <w:gridSpan w:val="3"/>
          </w:tcPr>
          <w:p>
            <w:pPr>
              <w:spacing w:after="0"/>
              <w:rPr>
                <w:sz w:val="4"/>
                <w:szCs w:val="4"/>
                <w:color w:val="auto"/>
              </w:rPr>
            </w:pPr>
          </w:p>
        </w:tc>
      </w:tr>
      <w:tr>
        <w:trPr>
          <w:trHeight w:val="108"/>
        </w:trPr>
        <w:tc>
          <w:tcPr>
            <w:tcW w:w="23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Carlyle Global Market Strategies</w:t>
            </w:r>
          </w:p>
        </w:tc>
        <w:tc>
          <w:tcPr>
            <w:tcW w:w="2860" w:type="dxa"/>
            <w:vAlign w:val="bottom"/>
            <w:shd w:val="clear" w:color="auto" w:fill="CFF0FC"/>
          </w:tcPr>
          <w:p>
            <w:pPr>
              <w:ind w:left="400"/>
              <w:spacing w:after="0" w:line="108" w:lineRule="exact"/>
              <w:rPr>
                <w:sz w:val="20"/>
                <w:szCs w:val="20"/>
                <w:color w:val="auto"/>
              </w:rPr>
            </w:pPr>
            <w:r>
              <w:rPr>
                <w:rFonts w:ascii="Times New Roman" w:cs="Times New Roman" w:eastAsia="Times New Roman" w:hAnsi="Times New Roman"/>
                <w:sz w:val="11"/>
                <w:szCs w:val="11"/>
                <w:color w:val="auto"/>
              </w:rPr>
              <w:t>Structured Product ($4,150 par, due 1/2030)</w:t>
            </w:r>
          </w:p>
        </w:tc>
        <w:tc>
          <w:tcPr>
            <w:tcW w:w="1220" w:type="dxa"/>
            <w:vAlign w:val="bottom"/>
            <w:shd w:val="clear" w:color="auto" w:fill="CFF0FC"/>
          </w:tcPr>
          <w:p>
            <w:pPr>
              <w:jc w:val="right"/>
              <w:ind w:right="187"/>
              <w:spacing w:after="0" w:line="108" w:lineRule="exact"/>
              <w:rPr>
                <w:sz w:val="20"/>
                <w:szCs w:val="20"/>
                <w:color w:val="auto"/>
              </w:rPr>
            </w:pPr>
            <w:r>
              <w:rPr>
                <w:rFonts w:ascii="Times New Roman" w:cs="Times New Roman" w:eastAsia="Times New Roman" w:hAnsi="Times New Roman"/>
                <w:sz w:val="11"/>
                <w:szCs w:val="11"/>
                <w:color w:val="auto"/>
              </w:rPr>
              <w:t>9/3/2020</w:t>
            </w:r>
          </w:p>
        </w:tc>
        <w:tc>
          <w:tcPr>
            <w:tcW w:w="1140" w:type="dxa"/>
            <w:vAlign w:val="bottom"/>
            <w:shd w:val="clear" w:color="auto" w:fill="CFF0FC"/>
          </w:tcPr>
          <w:p>
            <w:pPr>
              <w:ind w:left="240"/>
              <w:spacing w:after="0" w:line="108" w:lineRule="exact"/>
              <w:rPr>
                <w:sz w:val="20"/>
                <w:szCs w:val="20"/>
                <w:color w:val="auto"/>
              </w:rPr>
            </w:pPr>
            <w:r>
              <w:rPr>
                <w:rFonts w:ascii="Times New Roman" w:cs="Times New Roman" w:eastAsia="Times New Roman" w:hAnsi="Times New Roman"/>
                <w:sz w:val="11"/>
                <w:szCs w:val="11"/>
                <w:color w:val="auto"/>
              </w:rPr>
              <w:t>L + 6.15%</w:t>
            </w:r>
          </w:p>
        </w:tc>
        <w:tc>
          <w:tcPr>
            <w:tcW w:w="860" w:type="dxa"/>
            <w:vAlign w:val="bottom"/>
            <w:shd w:val="clear" w:color="auto" w:fill="CFF0FC"/>
          </w:tcPr>
          <w:p>
            <w:pPr>
              <w:jc w:val="right"/>
              <w:ind w:right="69"/>
              <w:spacing w:after="0" w:line="108" w:lineRule="exact"/>
              <w:rPr>
                <w:sz w:val="20"/>
                <w:szCs w:val="20"/>
                <w:color w:val="auto"/>
              </w:rPr>
            </w:pPr>
            <w:r>
              <w:rPr>
                <w:rFonts w:ascii="Times New Roman" w:cs="Times New Roman" w:eastAsia="Times New Roman" w:hAnsi="Times New Roman"/>
                <w:sz w:val="11"/>
                <w:szCs w:val="11"/>
                <w:color w:val="auto"/>
              </w:rPr>
              <w:t>8.66 %</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3,498</w:t>
            </w:r>
          </w:p>
        </w:tc>
        <w:tc>
          <w:tcPr>
            <w:tcW w:w="9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3,275</w:t>
            </w:r>
          </w:p>
        </w:tc>
        <w:tc>
          <w:tcPr>
            <w:tcW w:w="112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0.2 %</w:t>
            </w:r>
          </w:p>
        </w:tc>
      </w:tr>
      <w:tr>
        <w:trPr>
          <w:trHeight w:val="108"/>
        </w:trPr>
        <w:tc>
          <w:tcPr>
            <w:tcW w:w="2320" w:type="dxa"/>
            <w:vAlign w:val="bottom"/>
            <w:shd w:val="clear" w:color="auto" w:fill="CFF0FC"/>
          </w:tcPr>
          <w:p>
            <w:pPr>
              <w:ind w:left="100"/>
              <w:spacing w:after="0" w:line="109" w:lineRule="exact"/>
              <w:rPr>
                <w:sz w:val="20"/>
                <w:szCs w:val="20"/>
                <w:color w:val="auto"/>
              </w:rPr>
            </w:pPr>
            <w:r>
              <w:rPr>
                <w:rFonts w:ascii="Times New Roman" w:cs="Times New Roman" w:eastAsia="Times New Roman" w:hAnsi="Times New Roman"/>
                <w:sz w:val="11"/>
                <w:szCs w:val="11"/>
                <w:color w:val="auto"/>
              </w:rPr>
              <w:t>CLO Ltd, Series 2017-4A</w:t>
            </w:r>
          </w:p>
        </w:tc>
        <w:tc>
          <w:tcPr>
            <w:tcW w:w="286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8"/>
        </w:trPr>
        <w:tc>
          <w:tcPr>
            <w:tcW w:w="2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7"/>
                <w:szCs w:val="7"/>
                <w:color w:val="auto"/>
              </w:rPr>
              <w:t>(3)(4)(10)</w:t>
            </w:r>
          </w:p>
        </w:tc>
        <w:tc>
          <w:tcPr>
            <w:tcW w:w="286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CarVal CLO III Ltd, Series 2019-2A </w:t>
            </w:r>
            <w:r>
              <w:rPr>
                <w:rFonts w:ascii="Times New Roman" w:cs="Times New Roman" w:eastAsia="Times New Roman" w:hAnsi="Times New Roman"/>
                <w:sz w:val="14"/>
                <w:szCs w:val="14"/>
                <w:color w:val="auto"/>
                <w:vertAlign w:val="superscript"/>
              </w:rPr>
              <w:t>(3)(4)(10)</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Structured Product ($1,000 par, due 7/2032)</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6/30/2022</w:t>
            </w:r>
          </w:p>
        </w:tc>
        <w:tc>
          <w:tcPr>
            <w:tcW w:w="1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+ 6.44%</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1"/>
                <w:szCs w:val="11"/>
                <w:color w:val="auto"/>
              </w:rPr>
              <w:t>9.15 %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94"/>
        </w:trPr>
        <w:tc>
          <w:tcPr>
            <w:tcW w:w="23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Cedar Funding CLO Ltd,</w:t>
            </w:r>
          </w:p>
        </w:tc>
        <w:tc>
          <w:tcPr>
            <w:tcW w:w="2860" w:type="dxa"/>
            <w:vAlign w:val="bottom"/>
            <w:shd w:val="clear" w:color="auto" w:fill="CFF0FC"/>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1/2031)</w:t>
            </w:r>
          </w:p>
        </w:tc>
        <w:tc>
          <w:tcPr>
            <w:tcW w:w="1220" w:type="dxa"/>
            <w:vAlign w:val="bottom"/>
            <w:shd w:val="clear" w:color="auto" w:fill="CFF0FC"/>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7/21/2022</w:t>
            </w:r>
          </w:p>
        </w:tc>
        <w:tc>
          <w:tcPr>
            <w:tcW w:w="1140" w:type="dxa"/>
            <w:vAlign w:val="bottom"/>
            <w:shd w:val="clear" w:color="auto" w:fill="CFF0FC"/>
          </w:tcPr>
          <w:p>
            <w:pPr>
              <w:ind w:left="240"/>
              <w:spacing w:after="0" w:line="95" w:lineRule="exact"/>
              <w:rPr>
                <w:sz w:val="20"/>
                <w:szCs w:val="20"/>
                <w:color w:val="auto"/>
              </w:rPr>
            </w:pPr>
            <w:r>
              <w:rPr>
                <w:rFonts w:ascii="Times New Roman" w:cs="Times New Roman" w:eastAsia="Times New Roman" w:hAnsi="Times New Roman"/>
                <w:sz w:val="10"/>
                <w:szCs w:val="10"/>
                <w:color w:val="auto"/>
              </w:rPr>
              <w:t>L + 4.55%</w:t>
            </w:r>
          </w:p>
        </w:tc>
        <w:tc>
          <w:tcPr>
            <w:tcW w:w="860" w:type="dxa"/>
            <w:vAlign w:val="bottom"/>
            <w:shd w:val="clear" w:color="auto" w:fill="CFF0FC"/>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7.26 %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851</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784</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0.0 %</w:t>
            </w:r>
          </w:p>
        </w:tc>
      </w:tr>
      <w:tr>
        <w:trPr>
          <w:trHeight w:val="162"/>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2018-7A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CIFC CLO Ltd, Series 2018-3A </w:t>
            </w:r>
            <w:r>
              <w:rPr>
                <w:rFonts w:ascii="Times New Roman" w:cs="Times New Roman" w:eastAsia="Times New Roman" w:hAnsi="Times New Roman"/>
                <w:sz w:val="14"/>
                <w:szCs w:val="14"/>
                <w:color w:val="auto"/>
                <w:vertAlign w:val="superscript"/>
              </w:rPr>
              <w:t>(3)(4)(10)</w:t>
            </w:r>
          </w:p>
        </w:tc>
        <w:tc>
          <w:tcPr>
            <w:tcW w:w="28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Structured Product ($1,000 par, due 7/2031)</w:t>
            </w:r>
          </w:p>
        </w:tc>
        <w:tc>
          <w:tcPr>
            <w:tcW w:w="12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6/16/2022</w:t>
            </w:r>
          </w:p>
        </w:tc>
        <w:tc>
          <w:tcPr>
            <w:tcW w:w="1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 + 5.50%</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1"/>
                <w:szCs w:val="11"/>
                <w:color w:val="auto"/>
              </w:rPr>
              <w:t>8.24 %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CIFC CLO Ltd, Series 2021-4A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Structured Product ($1,000 par, due 7/2033)</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7/14/2022</w:t>
            </w:r>
          </w:p>
        </w:tc>
        <w:tc>
          <w:tcPr>
            <w:tcW w:w="1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L + 6.00%</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1"/>
                <w:szCs w:val="11"/>
                <w:color w:val="auto"/>
              </w:rPr>
              <w:t>8.51 %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r>
      <w:tr>
        <w:trPr>
          <w:trHeight w:val="94"/>
        </w:trPr>
        <w:tc>
          <w:tcPr>
            <w:tcW w:w="2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Crown Point CLO Ltd,</w:t>
            </w:r>
          </w:p>
        </w:tc>
        <w:tc>
          <w:tcPr>
            <w:tcW w:w="2860" w:type="dxa"/>
            <w:vAlign w:val="bottom"/>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7/2034)</w:t>
            </w:r>
          </w:p>
        </w:tc>
        <w:tc>
          <w:tcPr>
            <w:tcW w:w="122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6/14/2022</w:t>
            </w:r>
          </w:p>
        </w:tc>
        <w:tc>
          <w:tcPr>
            <w:tcW w:w="1140" w:type="dxa"/>
            <w:vAlign w:val="bottom"/>
          </w:tcPr>
          <w:p>
            <w:pPr>
              <w:ind w:left="240"/>
              <w:spacing w:after="0" w:line="95" w:lineRule="exact"/>
              <w:rPr>
                <w:sz w:val="20"/>
                <w:szCs w:val="20"/>
                <w:color w:val="auto"/>
              </w:rPr>
            </w:pPr>
            <w:r>
              <w:rPr>
                <w:rFonts w:ascii="Times New Roman" w:cs="Times New Roman" w:eastAsia="Times New Roman" w:hAnsi="Times New Roman"/>
                <w:sz w:val="10"/>
                <w:szCs w:val="10"/>
                <w:color w:val="auto"/>
              </w:rPr>
              <w:t>L + 6.85%</w:t>
            </w:r>
          </w:p>
        </w:tc>
        <w:tc>
          <w:tcPr>
            <w:tcW w:w="860" w:type="dxa"/>
            <w:vAlign w:val="bottom"/>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9.56 %</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899</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835</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2021-10A </w:t>
            </w:r>
            <w:r>
              <w:rPr>
                <w:rFonts w:ascii="Times New Roman" w:cs="Times New Roman" w:eastAsia="Times New Roman" w:hAnsi="Times New Roman"/>
                <w:sz w:val="14"/>
                <w:szCs w:val="14"/>
                <w:color w:val="auto"/>
                <w:vertAlign w:val="superscript"/>
              </w:rPr>
              <w:t>(3)(4)(10)</w:t>
            </w:r>
          </w:p>
        </w:tc>
        <w:tc>
          <w:tcPr>
            <w:tcW w:w="2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4"/>
        </w:trPr>
        <w:tc>
          <w:tcPr>
            <w:tcW w:w="23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Dryden Senior Loan Fund,</w:t>
            </w:r>
          </w:p>
        </w:tc>
        <w:tc>
          <w:tcPr>
            <w:tcW w:w="2860" w:type="dxa"/>
            <w:vAlign w:val="bottom"/>
            <w:shd w:val="clear" w:color="auto" w:fill="CFF0FC"/>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4/2031)</w:t>
            </w:r>
          </w:p>
        </w:tc>
        <w:tc>
          <w:tcPr>
            <w:tcW w:w="1220" w:type="dxa"/>
            <w:vAlign w:val="bottom"/>
            <w:shd w:val="clear" w:color="auto" w:fill="CFF0FC"/>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7/25/2022</w:t>
            </w:r>
          </w:p>
        </w:tc>
        <w:tc>
          <w:tcPr>
            <w:tcW w:w="1140" w:type="dxa"/>
            <w:vAlign w:val="bottom"/>
            <w:shd w:val="clear" w:color="auto" w:fill="CFF0FC"/>
          </w:tcPr>
          <w:p>
            <w:pPr>
              <w:ind w:left="240"/>
              <w:spacing w:after="0" w:line="95" w:lineRule="exact"/>
              <w:rPr>
                <w:sz w:val="20"/>
                <w:szCs w:val="20"/>
                <w:color w:val="auto"/>
              </w:rPr>
            </w:pPr>
            <w:r>
              <w:rPr>
                <w:rFonts w:ascii="Times New Roman" w:cs="Times New Roman" w:eastAsia="Times New Roman" w:hAnsi="Times New Roman"/>
                <w:sz w:val="10"/>
                <w:szCs w:val="10"/>
                <w:color w:val="auto"/>
              </w:rPr>
              <w:t>L + 2.85%</w:t>
            </w:r>
          </w:p>
        </w:tc>
        <w:tc>
          <w:tcPr>
            <w:tcW w:w="860" w:type="dxa"/>
            <w:vAlign w:val="bottom"/>
            <w:shd w:val="clear" w:color="auto" w:fill="CFF0FC"/>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5.36 %</w:t>
            </w:r>
          </w:p>
        </w:tc>
        <w:tc>
          <w:tcPr>
            <w:tcW w:w="7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893</w:t>
            </w:r>
          </w:p>
        </w:tc>
        <w:tc>
          <w:tcPr>
            <w:tcW w:w="98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860</w:t>
            </w:r>
          </w:p>
        </w:tc>
        <w:tc>
          <w:tcPr>
            <w:tcW w:w="112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2018-55A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95"/>
        </w:trPr>
        <w:tc>
          <w:tcPr>
            <w:tcW w:w="2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Dryden Senior Loan Fund,</w:t>
            </w:r>
          </w:p>
        </w:tc>
        <w:tc>
          <w:tcPr>
            <w:tcW w:w="2860" w:type="dxa"/>
            <w:vAlign w:val="bottom"/>
          </w:tcPr>
          <w:p>
            <w:pPr>
              <w:ind w:left="400"/>
              <w:spacing w:after="0" w:line="95" w:lineRule="exact"/>
              <w:rPr>
                <w:sz w:val="20"/>
                <w:szCs w:val="20"/>
                <w:color w:val="auto"/>
              </w:rPr>
            </w:pPr>
            <w:r>
              <w:rPr>
                <w:rFonts w:ascii="Times New Roman" w:cs="Times New Roman" w:eastAsia="Times New Roman" w:hAnsi="Times New Roman"/>
                <w:sz w:val="10"/>
                <w:szCs w:val="10"/>
                <w:color w:val="auto"/>
              </w:rPr>
              <w:t>Structured Product ($1,500 par, due 7/2034)</w:t>
            </w:r>
          </w:p>
        </w:tc>
        <w:tc>
          <w:tcPr>
            <w:tcW w:w="1220" w:type="dxa"/>
            <w:vAlign w:val="bottom"/>
          </w:tcPr>
          <w:p>
            <w:pPr>
              <w:jc w:val="right"/>
              <w:ind w:right="187"/>
              <w:spacing w:after="0" w:line="95" w:lineRule="exact"/>
              <w:rPr>
                <w:sz w:val="20"/>
                <w:szCs w:val="20"/>
                <w:color w:val="auto"/>
              </w:rPr>
            </w:pPr>
            <w:r>
              <w:rPr>
                <w:rFonts w:ascii="Times New Roman" w:cs="Times New Roman" w:eastAsia="Times New Roman" w:hAnsi="Times New Roman"/>
                <w:sz w:val="10"/>
                <w:szCs w:val="10"/>
                <w:color w:val="auto"/>
              </w:rPr>
              <w:t>8/17/2022</w:t>
            </w:r>
          </w:p>
        </w:tc>
        <w:tc>
          <w:tcPr>
            <w:tcW w:w="1140" w:type="dxa"/>
            <w:vAlign w:val="bottom"/>
          </w:tcPr>
          <w:p>
            <w:pPr>
              <w:ind w:left="240"/>
              <w:spacing w:after="0" w:line="95" w:lineRule="exact"/>
              <w:rPr>
                <w:sz w:val="20"/>
                <w:szCs w:val="20"/>
                <w:color w:val="auto"/>
              </w:rPr>
            </w:pPr>
            <w:r>
              <w:rPr>
                <w:rFonts w:ascii="Times New Roman" w:cs="Times New Roman" w:eastAsia="Times New Roman" w:hAnsi="Times New Roman"/>
                <w:sz w:val="10"/>
                <w:szCs w:val="10"/>
                <w:color w:val="auto"/>
              </w:rPr>
              <w:t>L + 6.50%</w:t>
            </w:r>
          </w:p>
        </w:tc>
        <w:tc>
          <w:tcPr>
            <w:tcW w:w="860" w:type="dxa"/>
            <w:vAlign w:val="bottom"/>
          </w:tcPr>
          <w:p>
            <w:pPr>
              <w:jc w:val="right"/>
              <w:ind w:right="69"/>
              <w:spacing w:after="0" w:line="95" w:lineRule="exact"/>
              <w:rPr>
                <w:sz w:val="20"/>
                <w:szCs w:val="20"/>
                <w:color w:val="auto"/>
              </w:rPr>
            </w:pPr>
            <w:r>
              <w:rPr>
                <w:rFonts w:ascii="Times New Roman" w:cs="Times New Roman" w:eastAsia="Times New Roman" w:hAnsi="Times New Roman"/>
                <w:sz w:val="10"/>
                <w:szCs w:val="10"/>
                <w:color w:val="auto"/>
              </w:rPr>
              <w:t>9.24 %</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1,403</w:t>
            </w: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1,230</w:t>
            </w:r>
          </w:p>
        </w:tc>
        <w:tc>
          <w:tcPr>
            <w:tcW w:w="11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r>
      <w:tr>
        <w:trPr>
          <w:trHeight w:val="162"/>
        </w:trPr>
        <w:tc>
          <w:tcPr>
            <w:tcW w:w="2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2020-86A </w:t>
            </w:r>
            <w:r>
              <w:rPr>
                <w:rFonts w:ascii="Times New Roman" w:cs="Times New Roman" w:eastAsia="Times New Roman" w:hAnsi="Times New Roman"/>
                <w:sz w:val="14"/>
                <w:szCs w:val="14"/>
                <w:color w:val="auto"/>
                <w:vertAlign w:val="superscript"/>
              </w:rPr>
              <w:t>(3)(4)(10)</w:t>
            </w:r>
          </w:p>
        </w:tc>
        <w:tc>
          <w:tcPr>
            <w:tcW w:w="2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Eaton CLO Ltd, Series 2015-1A </w:t>
            </w:r>
            <w:r>
              <w:rPr>
                <w:rFonts w:ascii="Times New Roman" w:cs="Times New Roman" w:eastAsia="Times New Roman" w:hAnsi="Times New Roman"/>
                <w:sz w:val="14"/>
                <w:szCs w:val="14"/>
                <w:color w:val="auto"/>
                <w:vertAlign w:val="superscript"/>
              </w:rPr>
              <w:t>(3)(4)(10)</w:t>
            </w:r>
          </w:p>
        </w:tc>
        <w:tc>
          <w:tcPr>
            <w:tcW w:w="2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Structured Product ($2,500 par, due 1/2030)</w:t>
            </w:r>
          </w:p>
        </w:tc>
        <w:tc>
          <w:tcPr>
            <w:tcW w:w="12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rPr>
              <w:t>6/23/2022</w:t>
            </w:r>
          </w:p>
        </w:tc>
        <w:tc>
          <w:tcPr>
            <w:tcW w:w="1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L + 2.50%</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1"/>
                <w:szCs w:val="11"/>
                <w:color w:val="auto"/>
              </w:rPr>
              <w:t>5.21 %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2,172</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-7808595</wp:posOffset>
            </wp:positionV>
            <wp:extent cx="6858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-7808595</wp:posOffset>
            </wp:positionV>
            <wp:extent cx="6858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-7200265</wp:posOffset>
            </wp:positionV>
            <wp:extent cx="68580" cy="93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-7200265</wp:posOffset>
            </wp:positionV>
            <wp:extent cx="6858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-7200265</wp:posOffset>
            </wp:positionV>
            <wp:extent cx="68580"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-6600190</wp:posOffset>
            </wp:positionV>
            <wp:extent cx="6858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-6600190</wp:posOffset>
            </wp:positionV>
            <wp:extent cx="6858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-5888355</wp:posOffset>
            </wp:positionV>
            <wp:extent cx="6858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-5888355</wp:posOffset>
            </wp:positionV>
            <wp:extent cx="68580"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-5888355</wp:posOffset>
            </wp:positionV>
            <wp:extent cx="68580"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-5528310</wp:posOffset>
            </wp:positionV>
            <wp:extent cx="68580" cy="93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-5528310</wp:posOffset>
            </wp:positionV>
            <wp:extent cx="68580" cy="93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-5528310</wp:posOffset>
            </wp:positionV>
            <wp:extent cx="68580" cy="93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-4919980</wp:posOffset>
            </wp:positionV>
            <wp:extent cx="6858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-4919980</wp:posOffset>
            </wp:positionV>
            <wp:extent cx="6858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-4491355</wp:posOffset>
            </wp:positionV>
            <wp:extent cx="6858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-4491355</wp:posOffset>
            </wp:positionV>
            <wp:extent cx="6858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-3959860</wp:posOffset>
            </wp:positionV>
            <wp:extent cx="6858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-3959860</wp:posOffset>
            </wp:positionV>
            <wp:extent cx="6858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-3256915</wp:posOffset>
            </wp:positionV>
            <wp:extent cx="6858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-3256915</wp:posOffset>
            </wp:positionV>
            <wp:extent cx="6858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Eaton CLO Ltd, Series 2020-1A </w:t>
            </w:r>
            <w:r>
              <w:rPr>
                <w:rFonts w:ascii="Times New Roman" w:cs="Times New Roman" w:eastAsia="Times New Roman" w:hAnsi="Times New Roman"/>
                <w:sz w:val="14"/>
                <w:szCs w:val="14"/>
                <w:color w:val="auto"/>
                <w:vertAlign w:val="superscript"/>
              </w:rPr>
              <w:t>(3)(4)(10)</w:t>
            </w:r>
          </w:p>
        </w:tc>
        <w:tc>
          <w:tcPr>
            <w:tcW w:w="2700" w:type="dxa"/>
            <w:vAlign w:val="bottom"/>
            <w:gridSpan w:val="4"/>
          </w:tcPr>
          <w:p>
            <w:pPr>
              <w:ind w:left="600"/>
              <w:spacing w:after="0"/>
              <w:rPr>
                <w:sz w:val="20"/>
                <w:szCs w:val="20"/>
                <w:color w:val="auto"/>
              </w:rPr>
            </w:pPr>
            <w:r>
              <w:rPr>
                <w:rFonts w:ascii="Times New Roman" w:cs="Times New Roman" w:eastAsia="Times New Roman" w:hAnsi="Times New Roman"/>
                <w:sz w:val="11"/>
                <w:szCs w:val="11"/>
                <w:color w:val="auto"/>
              </w:rPr>
              <w:t>Structured Product ($1,000 par, due 10/2034)</w:t>
            </w:r>
          </w:p>
        </w:tc>
        <w:tc>
          <w:tcPr>
            <w:tcW w:w="152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color w:val="auto"/>
              </w:rPr>
              <w:t>8/11/2022</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rPr>
              <w:t>L + 6.25%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1"/>
                <w:szCs w:val="11"/>
                <w:color w:val="auto"/>
              </w:rPr>
              <w:t>8.76 %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14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GoldenTree CLO Ltd,</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4/2034)</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6/17/2022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+ 6.50%</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9.21 %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916</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871</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2020-7A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Gulf Stream Meridian,</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($1,015 par, due 7/2036)</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6/3/2022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+ 6.35%</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8.86 %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931</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838</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2021-4A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Gulf Stream Meridian,</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($2,000 par, due 1/2037)</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9/12/2022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+ 6.36%</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8.87 %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1,780</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1,654</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2021-6A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Jefferson Mill CLO Ltd,</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10/2031)</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5/23/2022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+ 3.55%</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6.26 %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898</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842</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2015-1A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KKR CLO Ltd, 49A </w:t>
            </w:r>
            <w:r>
              <w:rPr>
                <w:rFonts w:ascii="Times New Roman" w:cs="Times New Roman" w:eastAsia="Times New Roman" w:hAnsi="Times New Roman"/>
                <w:sz w:val="14"/>
                <w:szCs w:val="14"/>
                <w:color w:val="auto"/>
                <w:vertAlign w:val="superscript"/>
              </w:rPr>
              <w:t>(3)(4)(10)</w:t>
            </w:r>
          </w:p>
        </w:tc>
        <w:tc>
          <w:tcPr>
            <w:tcW w:w="2700" w:type="dxa"/>
            <w:vAlign w:val="bottom"/>
            <w:gridSpan w:val="4"/>
            <w:shd w:val="clear" w:color="auto" w:fill="CFF0FC"/>
          </w:tcPr>
          <w:p>
            <w:pPr>
              <w:ind w:left="600"/>
              <w:spacing w:after="0"/>
              <w:rPr>
                <w:sz w:val="20"/>
                <w:szCs w:val="20"/>
                <w:color w:val="auto"/>
              </w:rPr>
            </w:pPr>
            <w:r>
              <w:rPr>
                <w:rFonts w:ascii="Times New Roman" w:cs="Times New Roman" w:eastAsia="Times New Roman" w:hAnsi="Times New Roman"/>
                <w:sz w:val="11"/>
                <w:szCs w:val="11"/>
                <w:color w:val="auto"/>
              </w:rPr>
              <w:t>Structured Product ($1,000 par, due 7/2035)</w:t>
            </w:r>
          </w:p>
        </w:tc>
        <w:tc>
          <w:tcPr>
            <w:tcW w:w="1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1"/>
                <w:szCs w:val="11"/>
                <w:color w:val="auto"/>
              </w:rPr>
              <w:t>6/2/2022</w:t>
            </w:r>
          </w:p>
        </w:tc>
        <w:tc>
          <w:tcPr>
            <w:tcW w:w="8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L + 8.00%</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1"/>
                <w:szCs w:val="11"/>
                <w:color w:val="auto"/>
              </w:rPr>
              <w:t>10.17 %</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140" w:type="dxa"/>
            <w:vAlign w:val="bottom"/>
            <w:tcBorders>
              <w:left w:val="single" w:sz="8" w:color="CFF0FC"/>
            </w:tcBorders>
            <w:shd w:val="clear" w:color="auto" w:fill="CFF0FC"/>
          </w:tcPr>
          <w:p>
            <w:pPr>
              <w:spacing w:after="0"/>
              <w:rPr>
                <w:sz w:val="11"/>
                <w:szCs w:val="11"/>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Madison Park CLO,</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7/2030)</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6/28/2022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+ 5.25%</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7.76 %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873</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829</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2018-28A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Magnetite CLO Ltd,</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10/2034)</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6/13/2022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+ 6.20%</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8.98 %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916</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864</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2021-30A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MidOcean Credit CLO Ltd,</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($3,500 par, due 4/2033)</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5/23/2022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+ 3.52%</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6.23 %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3,145</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2,919</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0.2 %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2016-6A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MidOcean Credit CLO Ltd,</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($1,100 par, due 7/2031)</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6/1/2022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+ 6.05%</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8.76 %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957</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818</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0.0 %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2018-9A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Octagon 57 LLC,</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10/2034)</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5/24/2022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+ 6.60%</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9.11 %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916</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852</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2021-1A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Octagon Investment Partners 18 Ltd,</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4/2031)</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7/26/2022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+ 2.70%</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5.44 %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885</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856</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2018-18A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Octagon Investment Partners 38 Ltd,</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($2,800 par, due 7/2030)</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9/20/2022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+ 2.95%</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5.66 %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2,438</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2,430</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0.2 %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2018-1A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Park Avenue Institutional Advisers</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10/2031)</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9/23/2022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+ 3.33%</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6.04 %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857</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856</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CLO Ltd, Series 2018-1A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Pikes Peak CLO, Series 2021-9A </w:t>
            </w:r>
            <w:r>
              <w:rPr>
                <w:rFonts w:ascii="Times New Roman" w:cs="Times New Roman" w:eastAsia="Times New Roman" w:hAnsi="Times New Roman"/>
                <w:sz w:val="14"/>
                <w:szCs w:val="14"/>
                <w:color w:val="auto"/>
                <w:vertAlign w:val="superscript"/>
              </w:rPr>
              <w:t>(3)(4)(10)</w:t>
            </w:r>
          </w:p>
        </w:tc>
        <w:tc>
          <w:tcPr>
            <w:tcW w:w="2700" w:type="dxa"/>
            <w:vAlign w:val="bottom"/>
            <w:gridSpan w:val="4"/>
          </w:tcPr>
          <w:p>
            <w:pPr>
              <w:ind w:left="600"/>
              <w:spacing w:after="0"/>
              <w:rPr>
                <w:sz w:val="20"/>
                <w:szCs w:val="20"/>
                <w:color w:val="auto"/>
              </w:rPr>
            </w:pPr>
            <w:r>
              <w:rPr>
                <w:rFonts w:ascii="Times New Roman" w:cs="Times New Roman" w:eastAsia="Times New Roman" w:hAnsi="Times New Roman"/>
                <w:sz w:val="11"/>
                <w:szCs w:val="11"/>
                <w:color w:val="auto"/>
              </w:rPr>
              <w:t>Structured Product ($2,000 par, due 10/2034)</w:t>
            </w:r>
          </w:p>
        </w:tc>
        <w:tc>
          <w:tcPr>
            <w:tcW w:w="152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color w:val="auto"/>
              </w:rPr>
              <w:t>8/31/2022</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rPr>
              <w:t>L + 6.58%</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1"/>
                <w:szCs w:val="11"/>
                <w:color w:val="auto"/>
              </w:rPr>
              <w:t>9.35 %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14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RR Ltd, Series 2020-8A </w:t>
            </w:r>
            <w:r>
              <w:rPr>
                <w:rFonts w:ascii="Times New Roman" w:cs="Times New Roman" w:eastAsia="Times New Roman" w:hAnsi="Times New Roman"/>
                <w:sz w:val="14"/>
                <w:szCs w:val="14"/>
                <w:color w:val="auto"/>
                <w:vertAlign w:val="superscript"/>
              </w:rPr>
              <w:t>(3)(4)(10)</w:t>
            </w:r>
          </w:p>
        </w:tc>
        <w:tc>
          <w:tcPr>
            <w:tcW w:w="2700" w:type="dxa"/>
            <w:vAlign w:val="bottom"/>
            <w:gridSpan w:val="4"/>
            <w:shd w:val="clear" w:color="auto" w:fill="CFF0FC"/>
          </w:tcPr>
          <w:p>
            <w:pPr>
              <w:ind w:left="600"/>
              <w:spacing w:after="0"/>
              <w:rPr>
                <w:sz w:val="20"/>
                <w:szCs w:val="20"/>
                <w:color w:val="auto"/>
              </w:rPr>
            </w:pPr>
            <w:r>
              <w:rPr>
                <w:rFonts w:ascii="Times New Roman" w:cs="Times New Roman" w:eastAsia="Times New Roman" w:hAnsi="Times New Roman"/>
                <w:sz w:val="11"/>
                <w:szCs w:val="11"/>
                <w:color w:val="auto"/>
              </w:rPr>
              <w:t>Structured Product ($1,000 par, due 4/2033)</w:t>
            </w:r>
          </w:p>
        </w:tc>
        <w:tc>
          <w:tcPr>
            <w:tcW w:w="1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1"/>
                <w:szCs w:val="11"/>
                <w:color w:val="auto"/>
              </w:rPr>
              <w:t>8/22/2022</w:t>
            </w:r>
          </w:p>
        </w:tc>
        <w:tc>
          <w:tcPr>
            <w:tcW w:w="8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L + 6.40%</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1"/>
                <w:szCs w:val="11"/>
                <w:color w:val="auto"/>
              </w:rPr>
              <w:t>8.91 %</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919</w:t>
            </w: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40" w:type="dxa"/>
            <w:vAlign w:val="bottom"/>
            <w:tcBorders>
              <w:left w:val="single" w:sz="8" w:color="CFF0FC"/>
            </w:tcBorders>
            <w:shd w:val="clear" w:color="auto" w:fill="CFF0FC"/>
          </w:tcPr>
          <w:p>
            <w:pPr>
              <w:spacing w:after="0"/>
              <w:rPr>
                <w:sz w:val="11"/>
                <w:szCs w:val="11"/>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Shackelton CLO Ltd,</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7/2031)</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5/23/2022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+ 3.33%</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5.84 %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888</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845</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2015-7RA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Signal Peak CLO LLC,</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4/2031)</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8/9/2022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+ 5.65%</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8.43 %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888</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829</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2018-5A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Southwick Park CLO Ltd,</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7/2032)</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5/25/2022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+ 6.25%</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8.96 %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927</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843</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2019-4A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Stewart Park CLO Ltd,</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($1,000 par, due 1/2030)</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7/25/2022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+ 2.60%</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5.11 %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889</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865</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2015-1A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Voya CLO Ltd, Series 2018-3A </w:t>
            </w:r>
            <w:r>
              <w:rPr>
                <w:rFonts w:ascii="Times New Roman" w:cs="Times New Roman" w:eastAsia="Times New Roman" w:hAnsi="Times New Roman"/>
                <w:sz w:val="14"/>
                <w:szCs w:val="14"/>
                <w:color w:val="auto"/>
                <w:vertAlign w:val="superscript"/>
              </w:rPr>
              <w:t>(3)(4)(10)</w:t>
            </w:r>
          </w:p>
        </w:tc>
        <w:tc>
          <w:tcPr>
            <w:tcW w:w="2700" w:type="dxa"/>
            <w:vAlign w:val="bottom"/>
            <w:gridSpan w:val="4"/>
          </w:tcPr>
          <w:p>
            <w:pPr>
              <w:ind w:left="600"/>
              <w:spacing w:after="0"/>
              <w:rPr>
                <w:sz w:val="20"/>
                <w:szCs w:val="20"/>
                <w:color w:val="auto"/>
              </w:rPr>
            </w:pPr>
            <w:r>
              <w:rPr>
                <w:rFonts w:ascii="Times New Roman" w:cs="Times New Roman" w:eastAsia="Times New Roman" w:hAnsi="Times New Roman"/>
                <w:sz w:val="11"/>
                <w:szCs w:val="11"/>
                <w:color w:val="auto"/>
              </w:rPr>
              <w:t>Structured Product ($2,750 par, due 10/2031)</w:t>
            </w:r>
          </w:p>
        </w:tc>
        <w:tc>
          <w:tcPr>
            <w:tcW w:w="152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color w:val="auto"/>
              </w:rPr>
              <w:t>6/22/2022</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rPr>
              <w:t>L + 5.75%</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1"/>
                <w:szCs w:val="11"/>
                <w:color w:val="auto"/>
              </w:rPr>
              <w:t>8.26 %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2,151</w:t>
            </w:r>
          </w:p>
        </w:tc>
        <w:tc>
          <w:tcPr>
            <w:tcW w:w="14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Whitebox CLO I Ltd,</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($1,125 par, due 10/2034)</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7/12/2022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+ 3.35%</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6.13 %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1,003</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1,021</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 xml:space="preserve">Series 2020-2A </w:t>
            </w:r>
            <w:r>
              <w:rPr>
                <w:rFonts w:ascii="Times New Roman" w:cs="Times New Roman" w:eastAsia="Times New Roman" w:hAnsi="Times New Roman"/>
                <w:sz w:val="14"/>
                <w:szCs w:val="14"/>
                <w:color w:val="auto"/>
                <w:vertAlign w:val="superscript"/>
              </w:rPr>
              <w:t>(3)(4)(10)</w:t>
            </w: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1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Wind River CLO Ltd,</w:t>
            </w:r>
          </w:p>
        </w:tc>
        <w:tc>
          <w:tcPr>
            <w:tcW w:w="2700" w:type="dxa"/>
            <w:vAlign w:val="bottom"/>
            <w:gridSpan w:val="4"/>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($1,500 par, due 1/2031)</w:t>
            </w:r>
          </w:p>
        </w:tc>
        <w:tc>
          <w:tcPr>
            <w:tcW w:w="1520" w:type="dxa"/>
            <w:vAlign w:val="bottom"/>
            <w:gridSpan w:val="3"/>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6/23/2022</w:t>
            </w:r>
          </w:p>
        </w:tc>
        <w:tc>
          <w:tcPr>
            <w:tcW w:w="840" w:type="dxa"/>
            <w:vAlign w:val="bottom"/>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+ 2.90%</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5.41 %</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1,330</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1,290</w:t>
            </w:r>
          </w:p>
        </w:tc>
        <w:tc>
          <w:tcPr>
            <w:tcW w:w="140" w:type="dxa"/>
            <w:vAlign w:val="bottom"/>
          </w:tcPr>
          <w:p>
            <w:pPr>
              <w:spacing w:after="0"/>
              <w:rPr>
                <w:sz w:val="8"/>
                <w:szCs w:val="8"/>
                <w:color w:val="auto"/>
              </w:rPr>
            </w:pPr>
          </w:p>
        </w:tc>
        <w:tc>
          <w:tcPr>
            <w:tcW w:w="10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10"/>
                <w:szCs w:val="10"/>
                <w:color w:val="auto"/>
              </w:rPr>
              <w:t>0.0 %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Series 2014-2A </w:t>
            </w:r>
            <w:r>
              <w:rPr>
                <w:rFonts w:ascii="Times New Roman" w:cs="Times New Roman" w:eastAsia="Times New Roman" w:hAnsi="Times New Roman"/>
                <w:sz w:val="14"/>
                <w:szCs w:val="14"/>
                <w:color w:val="auto"/>
                <w:vertAlign w:val="superscript"/>
              </w:rPr>
              <w:t>(3)(4)(10)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Wind River CLO Ltd,</w:t>
            </w:r>
          </w:p>
        </w:tc>
        <w:tc>
          <w:tcPr>
            <w:tcW w:w="2700" w:type="dxa"/>
            <w:vAlign w:val="bottom"/>
            <w:gridSpan w:val="4"/>
            <w:shd w:val="clear" w:color="auto" w:fill="CFF0FC"/>
          </w:tcPr>
          <w:p>
            <w:pPr>
              <w:ind w:left="600"/>
              <w:spacing w:after="0" w:line="95" w:lineRule="exact"/>
              <w:rPr>
                <w:sz w:val="20"/>
                <w:szCs w:val="20"/>
                <w:color w:val="auto"/>
              </w:rPr>
            </w:pPr>
            <w:r>
              <w:rPr>
                <w:rFonts w:ascii="Times New Roman" w:cs="Times New Roman" w:eastAsia="Times New Roman" w:hAnsi="Times New Roman"/>
                <w:sz w:val="10"/>
                <w:szCs w:val="10"/>
                <w:color w:val="auto"/>
              </w:rPr>
              <w:t>Structured Product ($3,000 par, due 4/2036)</w:t>
            </w:r>
          </w:p>
        </w:tc>
        <w:tc>
          <w:tcPr>
            <w:tcW w:w="1520" w:type="dxa"/>
            <w:vAlign w:val="bottom"/>
            <w:gridSpan w:val="3"/>
            <w:shd w:val="clear" w:color="auto" w:fill="CFF0FC"/>
          </w:tcPr>
          <w:p>
            <w:pPr>
              <w:jc w:val="right"/>
              <w:ind w:right="90"/>
              <w:spacing w:after="0" w:line="95" w:lineRule="exact"/>
              <w:rPr>
                <w:sz w:val="20"/>
                <w:szCs w:val="20"/>
                <w:color w:val="auto"/>
              </w:rPr>
            </w:pPr>
            <w:r>
              <w:rPr>
                <w:rFonts w:ascii="Times New Roman" w:cs="Times New Roman" w:eastAsia="Times New Roman" w:hAnsi="Times New Roman"/>
                <w:sz w:val="10"/>
                <w:szCs w:val="10"/>
                <w:color w:val="auto"/>
              </w:rPr>
              <w:t>7/14/2022</w:t>
            </w:r>
          </w:p>
        </w:tc>
        <w:tc>
          <w:tcPr>
            <w:tcW w:w="840" w:type="dxa"/>
            <w:vAlign w:val="bottom"/>
            <w:shd w:val="clear" w:color="auto" w:fill="CFF0FC"/>
          </w:tcPr>
          <w:p>
            <w:pPr>
              <w:jc w:val="right"/>
              <w:ind w:right="14"/>
              <w:spacing w:after="0" w:line="95" w:lineRule="exact"/>
              <w:rPr>
                <w:sz w:val="20"/>
                <w:szCs w:val="20"/>
                <w:color w:val="auto"/>
              </w:rPr>
            </w:pPr>
            <w:r>
              <w:rPr>
                <w:rFonts w:ascii="Times New Roman" w:cs="Times New Roman" w:eastAsia="Times New Roman" w:hAnsi="Times New Roman"/>
                <w:sz w:val="10"/>
                <w:szCs w:val="10"/>
                <w:color w:val="auto"/>
              </w:rPr>
              <w:t>L + 3.72%</w:t>
            </w: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54"/>
              <w:spacing w:after="0" w:line="95" w:lineRule="exact"/>
              <w:rPr>
                <w:sz w:val="20"/>
                <w:szCs w:val="20"/>
                <w:color w:val="auto"/>
              </w:rPr>
            </w:pPr>
            <w:r>
              <w:rPr>
                <w:rFonts w:ascii="Times New Roman" w:cs="Times New Roman" w:eastAsia="Times New Roman" w:hAnsi="Times New Roman"/>
                <w:sz w:val="10"/>
                <w:szCs w:val="10"/>
                <w:color w:val="auto"/>
              </w:rPr>
              <w:t>6.46 %</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2,591</w:t>
            </w: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2,649</w:t>
            </w:r>
          </w:p>
        </w:tc>
        <w:tc>
          <w:tcPr>
            <w:tcW w:w="140" w:type="dxa"/>
            <w:vAlign w:val="bottom"/>
            <w:tcBorders>
              <w:left w:val="single" w:sz="8" w:color="CFF0FC"/>
            </w:tcBorders>
            <w:shd w:val="clear" w:color="auto" w:fill="CFF0FC"/>
          </w:tcPr>
          <w:p>
            <w:pPr>
              <w:spacing w:after="0"/>
              <w:rPr>
                <w:sz w:val="8"/>
                <w:szCs w:val="8"/>
                <w:color w:val="auto"/>
              </w:rPr>
            </w:pPr>
          </w:p>
        </w:tc>
        <w:tc>
          <w:tcPr>
            <w:tcW w:w="1040" w:type="dxa"/>
            <w:vAlign w:val="bottom"/>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Series 2017-1A </w:t>
            </w:r>
            <w:r>
              <w:rPr>
                <w:rFonts w:ascii="Times New Roman" w:cs="Times New Roman" w:eastAsia="Times New Roman" w:hAnsi="Times New Roman"/>
                <w:sz w:val="14"/>
                <w:szCs w:val="14"/>
                <w:color w:val="auto"/>
                <w:vertAlign w:val="superscript"/>
              </w:rPr>
              <w:t>(3)(4)(10)</w:t>
            </w:r>
          </w:p>
        </w:tc>
        <w:tc>
          <w:tcPr>
            <w:tcW w:w="1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54,520</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51,962</w:t>
            </w:r>
          </w:p>
        </w:tc>
        <w:tc>
          <w:tcPr>
            <w:tcW w:w="14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4.4 </w:t>
            </w:r>
            <w:r>
              <w:rPr>
                <w:rFonts w:ascii="Times New Roman" w:cs="Times New Roman" w:eastAsia="Times New Roman" w:hAnsi="Times New Roman"/>
                <w:sz w:val="11"/>
                <w:szCs w:val="11"/>
                <w:color w:val="auto"/>
                <w:highlight w:val="white"/>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1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Total Equity and Other</w:t>
            </w:r>
          </w:p>
        </w:tc>
        <w:tc>
          <w:tcPr>
            <w:tcW w:w="1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193,718</w:t>
            </w:r>
          </w:p>
        </w:tc>
        <w:tc>
          <w:tcPr>
            <w:tcW w:w="220" w:type="dxa"/>
            <w:vAlign w:val="bottom"/>
            <w:shd w:val="clear" w:color="auto" w:fill="CFF0FC"/>
          </w:tcPr>
          <w:p>
            <w:pPr>
              <w:spacing w:after="0"/>
              <w:rPr>
                <w:sz w:val="8"/>
                <w:szCs w:val="8"/>
                <w:color w:val="auto"/>
              </w:rPr>
            </w:pPr>
          </w:p>
        </w:tc>
        <w:tc>
          <w:tcPr>
            <w:tcW w:w="700" w:type="dxa"/>
            <w:vAlign w:val="bottom"/>
            <w:tcBorders>
              <w:top w:val="single" w:sz="8" w:color="auto"/>
            </w:tcBorders>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216,311</w:t>
            </w:r>
          </w:p>
        </w:tc>
        <w:tc>
          <w:tcPr>
            <w:tcW w:w="140" w:type="dxa"/>
            <w:vAlign w:val="bottom"/>
            <w:tcBorders>
              <w:lef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color w:val="auto"/>
                <w:w w:val="86"/>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left w:val="single" w:sz="8" w:color="CFF0FC"/>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2,792,773</w:t>
            </w:r>
          </w:p>
        </w:tc>
        <w:tc>
          <w:tcPr>
            <w:tcW w:w="22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$2,806,063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211.2 %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Interest Rate Swaps as of September 30, 2022</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1"/>
                <w:szCs w:val="11"/>
                <w:color w:val="auto"/>
              </w:rPr>
            </w:pPr>
          </w:p>
        </w:tc>
        <w:tc>
          <w:tcPr>
            <w:tcW w:w="10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Upfront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3"/>
                <w:szCs w:val="13"/>
                <w:color w:val="auto"/>
              </w:rPr>
            </w:pPr>
          </w:p>
        </w:tc>
        <w:tc>
          <w:tcPr>
            <w:tcW w:w="13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52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40" w:type="dxa"/>
            <w:vAlign w:val="bottom"/>
          </w:tcPr>
          <w:p>
            <w:pPr>
              <w:jc w:val="right"/>
              <w:ind w:right="174"/>
              <w:spacing w:after="0" w:line="160"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270"/>
              <w:spacing w:after="0" w:line="160"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3"/>
                <w:szCs w:val="13"/>
                <w:color w:val="auto"/>
              </w:rPr>
            </w:pPr>
          </w:p>
        </w:tc>
        <w:tc>
          <w:tcPr>
            <w:tcW w:w="10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4"/>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4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Pays</w:t>
            </w:r>
          </w:p>
        </w:tc>
        <w:tc>
          <w:tcPr>
            <w:tcW w:w="1520" w:type="dxa"/>
            <w:vAlign w:val="bottom"/>
            <w:gridSpan w:val="3"/>
            <w:vMerge w:val="continue"/>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60" w:type="dxa"/>
            <w:vAlign w:val="bottom"/>
          </w:tcPr>
          <w:p>
            <w:pPr>
              <w:spacing w:after="0"/>
              <w:rPr>
                <w:sz w:val="16"/>
                <w:szCs w:val="16"/>
                <w:color w:val="auto"/>
              </w:rPr>
            </w:pPr>
          </w:p>
        </w:tc>
        <w:tc>
          <w:tcPr>
            <w:tcW w:w="12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0" w:type="dxa"/>
            <w:vAlign w:val="bottom"/>
          </w:tcPr>
          <w:p>
            <w:pPr>
              <w:spacing w:after="0"/>
              <w:rPr>
                <w:sz w:val="1"/>
                <w:szCs w:val="1"/>
                <w:color w:val="auto"/>
              </w:rPr>
            </w:pPr>
          </w:p>
        </w:tc>
      </w:tr>
      <w:tr>
        <w:trPr>
          <w:trHeight w:val="210"/>
        </w:trPr>
        <w:tc>
          <w:tcPr>
            <w:tcW w:w="21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+ 1.99%</w:t>
            </w:r>
          </w:p>
        </w:tc>
        <w:tc>
          <w:tcPr>
            <w:tcW w:w="16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+ 2.28%</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3.875%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 + 2.37%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4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 + 1.59%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 + 1.60%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4.50%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4.50%</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+ 2.11%</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4.50%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0.16%</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7/30/2022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(7,184 )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1040" w:type="dxa"/>
            <w:vAlign w:val="bottom"/>
            <w:gridSpan w:val="3"/>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4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 + 2.25%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(16,878 )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(20,874 )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 + 2.46%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(3,023 )</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4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 + 1.91%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(38,361 )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(28,122 )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(58,262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left w:val="single" w:sz="8" w:color="CFF0FC"/>
            </w:tcBorders>
            <w:shd w:val="clear" w:color="auto" w:fill="CFF0FC"/>
          </w:tcPr>
          <w:p>
            <w:pPr>
              <w:spacing w:after="0"/>
              <w:rPr>
                <w:sz w:val="18"/>
                <w:szCs w:val="18"/>
                <w:color w:val="auto"/>
              </w:rPr>
            </w:pP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collateral</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802,500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-3325495</wp:posOffset>
            </wp:positionV>
            <wp:extent cx="6858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-3325495</wp:posOffset>
            </wp:positionV>
            <wp:extent cx="68580"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-3068320</wp:posOffset>
            </wp:positionV>
            <wp:extent cx="6858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-3068320</wp:posOffset>
            </wp:positionV>
            <wp:extent cx="6858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-1148080</wp:posOffset>
            </wp:positionV>
            <wp:extent cx="6858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-1148080</wp:posOffset>
            </wp:positionV>
            <wp:extent cx="6858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-1148080</wp:posOffset>
            </wp:positionV>
            <wp:extent cx="6858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2" w:lineRule="exact"/>
        <w:rPr>
          <w:rFonts w:ascii="Times New Roman" w:cs="Times New Roman" w:eastAsia="Times New Roman" w:hAnsi="Times New Roman"/>
          <w:sz w:val="18"/>
          <w:szCs w:val="18"/>
          <w:color w:val="auto"/>
        </w:rPr>
      </w:pPr>
    </w:p>
    <w:p>
      <w:pPr>
        <w:ind w:left="1020" w:hanging="503"/>
        <w:spacing w:after="0" w:line="21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was terminated or matured during the period.</w:t>
      </w:r>
    </w:p>
    <w:p>
      <w:pPr>
        <w:ind w:left="1020" w:right="200" w:hanging="503"/>
        <w:spacing w:after="0" w:line="21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ind w:left="1020" w:right="18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9" w:name="page10"/>
    <w:bookmarkEnd w:id="9"/>
    <w:p>
      <w:pPr>
        <w:ind w:left="1020" w:hanging="503"/>
        <w:spacing w:after="0" w:line="250"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this instrument is presented net with the $2.5 million in aggregate notional value of instruments no longer designated as instruments in a hedge accounting relationship.</w:t>
      </w:r>
    </w:p>
    <w:p>
      <w:pPr>
        <w:spacing w:after="0" w:line="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5" w:lineRule="exact"/>
        <w:rPr>
          <w:rFonts w:ascii="Times New Roman" w:cs="Times New Roman" w:eastAsia="Times New Roman" w:hAnsi="Times New Roman"/>
          <w:sz w:val="18"/>
          <w:szCs w:val="18"/>
          <w:color w:val="auto"/>
        </w:rPr>
      </w:pPr>
    </w:p>
    <w:p>
      <w:pPr>
        <w:ind w:left="520" w:hanging="512"/>
        <w:spacing w:after="0" w:line="234"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 w:lineRule="exact"/>
        <w:rPr>
          <w:rFonts w:ascii="Times New Roman" w:cs="Times New Roman" w:eastAsia="Times New Roman" w:hAnsi="Times New Roman"/>
          <w:sz w:val="18"/>
          <w:szCs w:val="18"/>
          <w:color w:val="auto"/>
        </w:rPr>
      </w:pPr>
    </w:p>
    <w:p>
      <w:pPr>
        <w:ind w:left="520" w:right="80" w:hanging="512"/>
        <w:spacing w:after="0" w:line="24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2022.</w:t>
      </w:r>
    </w:p>
    <w:p>
      <w:pPr>
        <w:spacing w:after="0" w:line="1" w:lineRule="exact"/>
        <w:rPr>
          <w:rFonts w:ascii="Times New Roman" w:cs="Times New Roman" w:eastAsia="Times New Roman" w:hAnsi="Times New Roman"/>
          <w:sz w:val="18"/>
          <w:szCs w:val="18"/>
          <w:color w:val="auto"/>
        </w:rPr>
      </w:pPr>
    </w:p>
    <w:p>
      <w:pPr>
        <w:ind w:left="520" w:right="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12.5% of total assets as of September 30, 2022.</w:t>
      </w:r>
    </w:p>
    <w:p>
      <w:pPr>
        <w:ind w:left="520" w:right="40" w:hanging="512"/>
        <w:spacing w:after="0" w:line="239"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20" w:right="40" w:hanging="512"/>
        <w:spacing w:after="0" w:line="239"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of, as defined in the 1940 Act, a portfolio company, as the Company owns more than 5% of a portfolio company’s outstanding voting securities. Transactions during the nine months ended September 30, 2022 in which the Company was an Affiliated Person of a portfolio company are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nine months ended September 30,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Change</w:t>
            </w:r>
          </w:p>
        </w:tc>
        <w:tc>
          <w:tcPr>
            <w:tcW w:w="100" w:type="dxa"/>
            <w:vAlign w:val="bottom"/>
          </w:tcPr>
          <w:p>
            <w:pPr>
              <w:spacing w:after="0"/>
              <w:rPr>
                <w:sz w:val="11"/>
                <w:szCs w:val="11"/>
                <w:color w:val="auto"/>
              </w:rPr>
            </w:pPr>
          </w:p>
        </w:tc>
        <w:tc>
          <w:tcPr>
            <w:tcW w:w="7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 Unrealized</w:t>
            </w: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Additions (a)</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Reductions (b)</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MD America Energy,</w:t>
            </w:r>
          </w:p>
        </w:tc>
        <w:tc>
          <w:tcPr>
            <w:tcW w:w="100" w:type="dxa"/>
            <w:vAlign w:val="bottom"/>
            <w:vMerge w:val="restart"/>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27,017</w:t>
            </w:r>
          </w:p>
        </w:tc>
        <w:tc>
          <w:tcPr>
            <w:tcW w:w="220" w:type="dxa"/>
            <w:vAlign w:val="bottom"/>
            <w:vMerge w:val="restart"/>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(12,667 )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(14,350 )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13,673</w:t>
            </w:r>
          </w:p>
        </w:tc>
        <w:tc>
          <w:tcPr>
            <w:tcW w:w="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(c)</w:t>
            </w:r>
          </w:p>
        </w:tc>
        <w:tc>
          <w:tcPr>
            <w:tcW w:w="10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12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280" w:type="dxa"/>
            <w:vAlign w:val="bottom"/>
            <w:gridSpan w:val="2"/>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280" w:type="dxa"/>
            <w:vAlign w:val="bottom"/>
            <w:gridSpan w:val="2"/>
            <w:vMerge w:val="continue"/>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27,017</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(12,667 )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(14,350 )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13,673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-136525</wp:posOffset>
            </wp:positionV>
            <wp:extent cx="7683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-136525</wp:posOffset>
            </wp:positionV>
            <wp:extent cx="7683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-136525</wp:posOffset>
            </wp:positionV>
            <wp:extent cx="7747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-136525</wp:posOffset>
            </wp:positionV>
            <wp:extent cx="6858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-136525</wp:posOffset>
            </wp:positionV>
            <wp:extent cx="6858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-136525</wp:posOffset>
            </wp:positionV>
            <wp:extent cx="6858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-136525</wp:posOffset>
            </wp:positionV>
            <wp:extent cx="6858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-136525</wp:posOffset>
            </wp:positionV>
            <wp:extent cx="6858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59" w:lineRule="exact"/>
        <w:rPr>
          <w:sz w:val="20"/>
          <w:szCs w:val="20"/>
          <w:color w:val="auto"/>
        </w:rPr>
      </w:pPr>
    </w:p>
    <w:p>
      <w:pPr>
        <w:ind w:left="1020" w:right="80" w:hanging="503"/>
        <w:spacing w:after="0" w:line="253"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ind w:left="102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SMPA Holdings, LLC of 15,000 common equity units.</w:t>
      </w:r>
    </w:p>
    <w:p>
      <w:pPr>
        <w:spacing w:after="0" w:line="85" w:lineRule="exact"/>
        <w:rPr>
          <w:rFonts w:ascii="Times New Roman" w:cs="Times New Roman" w:eastAsia="Times New Roman" w:hAnsi="Times New Roman"/>
          <w:sz w:val="18"/>
          <w:szCs w:val="18"/>
          <w:color w:val="auto"/>
        </w:rPr>
      </w:pPr>
    </w:p>
    <w:p>
      <w:pPr>
        <w:ind w:left="520" w:right="100" w:hanging="512"/>
        <w:spacing w:after="0" w:line="270" w:lineRule="auto"/>
        <w:tabs>
          <w:tab w:leader="none" w:pos="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2022 in which the Company was an Affiliated Person of and was deemed to Control a portfolio company are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nine months ended September 30,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Change</w:t>
            </w:r>
          </w:p>
        </w:tc>
        <w:tc>
          <w:tcPr>
            <w:tcW w:w="220" w:type="dxa"/>
            <w:vAlign w:val="bottom"/>
          </w:tcPr>
          <w:p>
            <w:pPr>
              <w:spacing w:after="0"/>
              <w:rPr>
                <w:sz w:val="11"/>
                <w:szCs w:val="11"/>
                <w:color w:val="auto"/>
              </w:rPr>
            </w:pPr>
          </w:p>
        </w:tc>
        <w:tc>
          <w:tcPr>
            <w:tcW w:w="7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4"/>
              </w:rPr>
              <w:t>In Unrealized</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Additions (a)</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5"/>
              </w:rPr>
              <w:t>Reductions (b)</w:t>
            </w: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IRGSE Holding Corp.</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59,779</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7,990</w:t>
            </w:r>
          </w:p>
        </w:tc>
        <w:tc>
          <w:tcPr>
            <w:tcW w:w="2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70,269</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Mississippi Resources,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(1,553 )</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55</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LLC</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59,779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2,500</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(1,553</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9,488</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w w:val="91"/>
              </w:rPr>
              <w:t>55</w:t>
            </w: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70,269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3,520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-24765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ind w:left="1012" w:right="20" w:hanging="503"/>
        <w:spacing w:after="0" w:line="254"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12" w:right="140" w:hanging="503"/>
        <w:spacing w:after="0" w:line="246"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72" w:lineRule="exact"/>
        <w:rPr>
          <w:rFonts w:ascii="Times New Roman" w:cs="Times New Roman" w:eastAsia="Times New Roman" w:hAnsi="Times New Roman"/>
          <w:sz w:val="18"/>
          <w:szCs w:val="18"/>
          <w:color w:val="auto"/>
        </w:rPr>
      </w:pPr>
    </w:p>
    <w:p>
      <w:pPr>
        <w:ind w:left="512" w:right="540" w:hanging="512"/>
        <w:spacing w:after="0" w:line="253"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estimated cost basis of investments for U.S. federal tax purposes was $2,807,880, resulting in estimated gross unrealized gains and losses of $117,489 and $109,905, respectively.</w:t>
      </w:r>
    </w:p>
    <w:p>
      <w:pPr>
        <w:ind w:left="512" w:hanging="512"/>
        <w:spacing w:after="0" w:line="235"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40" w:hanging="512"/>
        <w:spacing w:after="0" w:line="242"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40" w:hanging="512"/>
        <w:spacing w:after="0" w:line="241"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hanging="512"/>
        <w:spacing w:after="0" w:line="236"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ind w:left="512" w:right="160" w:hanging="512"/>
        <w:spacing w:after="0"/>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September 30, 2022, the aggregate fair value of these securities is $70,609, or 5.3% of the Company’s net assets.</w:t>
      </w:r>
    </w:p>
    <w:p>
      <w:pPr>
        <w:ind w:left="512" w:hanging="512"/>
        <w:spacing w:after="0" w:line="234"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ind w:left="512" w:hanging="512"/>
        <w:spacing w:after="0"/>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2022.</w:t>
      </w:r>
    </w:p>
    <w:p>
      <w:pPr>
        <w:spacing w:after="0" w:line="84"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432" w:right="3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2021</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22"/>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(10)</w:t>
            </w:r>
          </w:p>
        </w:tc>
        <w:tc>
          <w:tcPr>
            <w:tcW w:w="2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667"/>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760" w:type="dxa"/>
            <w:vAlign w:val="bottom"/>
          </w:tcPr>
          <w:p>
            <w:pPr>
              <w:jc w:val="right"/>
              <w:ind w:right="138"/>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Cost</w:t>
            </w:r>
            <w:r>
              <w:rPr>
                <w:rFonts w:ascii="Times New Roman" w:cs="Times New Roman" w:eastAsia="Times New Roman" w:hAnsi="Times New Roman"/>
                <w:sz w:val="8"/>
                <w:szCs w:val="8"/>
                <w:b w:val="1"/>
                <w:bCs w:val="1"/>
                <w:color w:val="auto"/>
              </w:rPr>
              <w:t xml:space="preserve"> (2)(8)</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0" w:type="dxa"/>
            <w:vAlign w:val="bottom"/>
          </w:tcPr>
          <w:p>
            <w:pPr>
              <w:spacing w:after="0"/>
              <w:rPr>
                <w:sz w:val="1"/>
                <w:szCs w:val="1"/>
                <w:color w:val="auto"/>
              </w:rPr>
            </w:pPr>
          </w:p>
        </w:tc>
      </w:tr>
      <w:tr>
        <w:trPr>
          <w:trHeight w:val="156"/>
        </w:trPr>
        <w:tc>
          <w:tcPr>
            <w:tcW w:w="2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 w:type="dxa"/>
            <w:vAlign w:val="bottom"/>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8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Acceo Solutions,</w:t>
            </w:r>
          </w:p>
        </w:tc>
        <w:tc>
          <w:tcPr>
            <w:tcW w:w="120" w:type="dxa"/>
            <w:vAlign w:val="bottom"/>
          </w:tcPr>
          <w:p>
            <w:pPr>
              <w:spacing w:after="0"/>
              <w:rPr>
                <w:sz w:val="10"/>
                <w:szCs w:val="10"/>
                <w:color w:val="auto"/>
              </w:rPr>
            </w:pPr>
          </w:p>
        </w:tc>
        <w:tc>
          <w:tcPr>
            <w:tcW w:w="20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First-lien loan (CAD 74,062 par, due</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7/6/2018</w:t>
            </w:r>
          </w:p>
        </w:tc>
        <w:tc>
          <w:tcPr>
            <w:tcW w:w="120" w:type="dxa"/>
            <w:vAlign w:val="bottom"/>
          </w:tcPr>
          <w:p>
            <w:pPr>
              <w:spacing w:after="0"/>
              <w:rPr>
                <w:sz w:val="10"/>
                <w:szCs w:val="10"/>
                <w:color w:val="auto"/>
              </w:rPr>
            </w:pPr>
          </w:p>
        </w:tc>
        <w:tc>
          <w:tcPr>
            <w:tcW w:w="112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3"/>
                <w:szCs w:val="13"/>
                <w:color w:val="auto"/>
              </w:rPr>
              <w:t>C + 4.75%</w:t>
            </w:r>
          </w:p>
        </w:tc>
        <w:tc>
          <w:tcPr>
            <w:tcW w:w="1380" w:type="dxa"/>
            <w:vAlign w:val="bottom"/>
            <w:gridSpan w:val="3"/>
          </w:tcPr>
          <w:p>
            <w:pPr>
              <w:jc w:val="right"/>
              <w:ind w:right="40"/>
              <w:spacing w:after="0" w:line="126" w:lineRule="exact"/>
              <w:rPr>
                <w:sz w:val="20"/>
                <w:szCs w:val="20"/>
                <w:color w:val="auto"/>
              </w:rPr>
            </w:pPr>
            <w:r>
              <w:rPr>
                <w:rFonts w:ascii="Times New Roman" w:cs="Times New Roman" w:eastAsia="Times New Roman" w:hAnsi="Times New Roman"/>
                <w:sz w:val="13"/>
                <w:szCs w:val="13"/>
                <w:color w:val="auto"/>
              </w:rPr>
              <w:t>5.75 %  $</w:t>
            </w: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55,724</w:t>
            </w:r>
          </w:p>
        </w:tc>
        <w:tc>
          <w:tcPr>
            <w:tcW w:w="12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$60,246</w:t>
            </w:r>
          </w:p>
        </w:tc>
        <w:tc>
          <w:tcPr>
            <w:tcW w:w="128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3"/>
                <w:szCs w:val="13"/>
                <w:color w:val="auto"/>
              </w:rPr>
              <w:t>4.7 %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20"/>
              <w:spacing w:after="0" w:line="146" w:lineRule="exact"/>
              <w:rPr>
                <w:sz w:val="20"/>
                <w:szCs w:val="20"/>
                <w:color w:val="auto"/>
              </w:rPr>
            </w:pPr>
            <w:r>
              <w:rPr>
                <w:rFonts w:ascii="Times New Roman" w:cs="Times New Roman" w:eastAsia="Times New Roman" w:hAnsi="Times New Roman"/>
                <w:sz w:val="16"/>
                <w:szCs w:val="16"/>
                <w:color w:val="auto"/>
                <w:vertAlign w:val="subscript"/>
              </w:rPr>
              <w:t>Inc.</w:t>
            </w:r>
            <w:r>
              <w:rPr>
                <w:rFonts w:ascii="Times New Roman" w:cs="Times New Roman" w:eastAsia="Times New Roman" w:hAnsi="Times New Roman"/>
                <w:sz w:val="7"/>
                <w:szCs w:val="7"/>
                <w:color w:val="auto"/>
              </w:rPr>
              <w:t xml:space="preserve"> (3)(4)(5)</w:t>
            </w:r>
          </w:p>
        </w:tc>
        <w:tc>
          <w:tcPr>
            <w:tcW w:w="60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3"/>
                <w:szCs w:val="13"/>
                <w:color w:val="auto"/>
                <w:w w:val="93"/>
              </w:rPr>
              <w:t>10/2025)</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(CAD 76,099)</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Alpha Midco, Inc. </w:t>
            </w:r>
            <w:r>
              <w:rPr>
                <w:rFonts w:ascii="Times New Roman" w:cs="Times New Roman" w:eastAsia="Times New Roman" w:hAnsi="Times New Roman"/>
                <w:sz w:val="16"/>
                <w:szCs w:val="16"/>
                <w:color w:val="auto"/>
                <w:vertAlign w:val="superscript"/>
              </w:rPr>
              <w:t>(3)(5)</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 loan ($64,435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8/15/2019</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+ 7.50%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8.50 %</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65,469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Dye &amp; Durham Corp. </w:t>
            </w:r>
            <w:r>
              <w:rPr>
                <w:rFonts w:ascii="Times New Roman" w:cs="Times New Roman" w:eastAsia="Times New Roman" w:hAnsi="Times New Roman"/>
                <w:sz w:val="16"/>
                <w:szCs w:val="16"/>
                <w:color w:val="auto"/>
                <w:vertAlign w:val="superscript"/>
              </w:rPr>
              <w:t>(3)(4)</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8/2025)</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(CAD 55,042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12/3/2021</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C + 5.75%</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6.50 %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41,946</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43,961</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3.4 %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ExtraHop Networks, Inc.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12/2027)</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(CAD 55,529)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($50,611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7/22/2021</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+ 7.50%</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8.50 %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49,283</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49,659</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3.9 %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ForeScout Technologies, Inc. </w:t>
            </w:r>
            <w:r>
              <w:rPr>
                <w:rFonts w:ascii="Times New Roman" w:cs="Times New Roman" w:eastAsia="Times New Roman" w:hAnsi="Times New Roman"/>
                <w:sz w:val="16"/>
                <w:szCs w:val="16"/>
                <w:color w:val="auto"/>
                <w:vertAlign w:val="superscript"/>
              </w:rPr>
              <w:t>(3)</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7/2027)</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w w:val="97"/>
              </w:rPr>
              <w:t>First-lien loan ($5,127 par, due 8/2026)</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8/17/2020</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+ 9.50%</w:t>
            </w:r>
          </w:p>
        </w:tc>
        <w:tc>
          <w:tcPr>
            <w:tcW w:w="1380" w:type="dxa"/>
            <w:vAlign w:val="bottom"/>
            <w:gridSpan w:val="3"/>
          </w:tcPr>
          <w:p>
            <w:pPr>
              <w:jc w:val="right"/>
              <w:ind w:right="380"/>
              <w:spacing w:after="0" w:line="133" w:lineRule="exact"/>
              <w:rPr>
                <w:sz w:val="20"/>
                <w:szCs w:val="20"/>
                <w:color w:val="auto"/>
              </w:rPr>
            </w:pPr>
            <w:r>
              <w:rPr>
                <w:rFonts w:ascii="Times New Roman" w:cs="Times New Roman" w:eastAsia="Times New Roman" w:hAnsi="Times New Roman"/>
                <w:sz w:val="13"/>
                <w:szCs w:val="13"/>
                <w:color w:val="auto"/>
              </w:rPr>
              <w:t>10.50% (incl.</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5,025</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5,155</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9.50% PIK)</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Information Clearinghouse, LLC</w:t>
            </w: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($18,000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12/20/2021</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+ 6.50%</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7.50 %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17,530</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17,505</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1.4 %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8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and MS Market Service,</w:t>
            </w:r>
          </w:p>
        </w:tc>
        <w:tc>
          <w:tcPr>
            <w:tcW w:w="6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color w:val="auto"/>
                <w:w w:val="93"/>
              </w:rPr>
              <w:t>12/2026)</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20"/>
              <w:spacing w:after="0" w:line="146" w:lineRule="exact"/>
              <w:rPr>
                <w:sz w:val="20"/>
                <w:szCs w:val="20"/>
                <w:color w:val="auto"/>
              </w:rPr>
            </w:pPr>
            <w:r>
              <w:rPr>
                <w:rFonts w:ascii="Times New Roman" w:cs="Times New Roman" w:eastAsia="Times New Roman" w:hAnsi="Times New Roman"/>
                <w:sz w:val="16"/>
                <w:szCs w:val="16"/>
                <w:color w:val="auto"/>
                <w:vertAlign w:val="subscript"/>
              </w:rPr>
              <w:t>LLC</w:t>
            </w:r>
            <w:r>
              <w:rPr>
                <w:rFonts w:ascii="Times New Roman" w:cs="Times New Roman" w:eastAsia="Times New Roman" w:hAnsi="Times New Roman"/>
                <w:sz w:val="7"/>
                <w:szCs w:val="7"/>
                <w:color w:val="auto"/>
              </w:rPr>
              <w:t xml:space="preserve"> (3)(5)</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Netwrix Corp. </w:t>
            </w:r>
            <w:r>
              <w:rPr>
                <w:rFonts w:ascii="Times New Roman" w:cs="Times New Roman" w:eastAsia="Times New Roman" w:hAnsi="Times New Roman"/>
                <w:sz w:val="16"/>
                <w:szCs w:val="16"/>
                <w:color w:val="auto"/>
                <w:vertAlign w:val="superscript"/>
              </w:rPr>
              <w:t>(3)(5)</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 loan ($68,160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9/30/2020</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+ 6.00%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7.00 %</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66,948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68,533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ReliaQuest Holdings, LLC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9/2026)</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($46,948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10/8/2020</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+ 8.25%</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9.25 %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45,954</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47,716</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3.7 %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WideOrbit, Inc. </w:t>
            </w:r>
            <w:r>
              <w:rPr>
                <w:rFonts w:ascii="Times New Roman" w:cs="Times New Roman" w:eastAsia="Times New Roman" w:hAnsi="Times New Roman"/>
                <w:sz w:val="16"/>
                <w:szCs w:val="16"/>
                <w:color w:val="auto"/>
                <w:vertAlign w:val="superscript"/>
              </w:rPr>
              <w:t>(3)</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10/2026)</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First-lienloan($50,332par,due7/2025)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7/8/2020</w:t>
            </w: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+ 8.50%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9.75 %</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49,713</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51,434</w:t>
            </w:r>
          </w:p>
        </w:tc>
        <w:tc>
          <w:tcPr>
            <w:tcW w:w="2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395,435</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409,678</w:t>
            </w: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color w:val="auto"/>
                <w:highlight w:val="white"/>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28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Celtra Technologies, Inc. </w:t>
            </w:r>
            <w:r>
              <w:rPr>
                <w:rFonts w:ascii="Times New Roman" w:cs="Times New Roman" w:eastAsia="Times New Roman" w:hAnsi="Times New Roman"/>
                <w:sz w:val="16"/>
                <w:szCs w:val="16"/>
                <w:color w:val="auto"/>
                <w:vertAlign w:val="superscript"/>
              </w:rPr>
              <w:t>(3)(5)</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 loan ($35,000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11/19/2021</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+ 7.00%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8.00 %</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33,863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11/2026)</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2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IntelePeer Holdings, Inc.</w:t>
            </w:r>
          </w:p>
        </w:tc>
        <w:tc>
          <w:tcPr>
            <w:tcW w:w="120" w:type="dxa"/>
            <w:vAlign w:val="bottom"/>
            <w:shd w:val="clear" w:color="auto" w:fill="CFF0FC"/>
          </w:tcPr>
          <w:p>
            <w:pPr>
              <w:spacing w:after="0"/>
              <w:rPr>
                <w:sz w:val="9"/>
                <w:szCs w:val="9"/>
                <w:color w:val="auto"/>
              </w:rPr>
            </w:pPr>
          </w:p>
        </w:tc>
        <w:tc>
          <w:tcPr>
            <w:tcW w:w="204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loan ($44,657 par, due</w:t>
            </w:r>
          </w:p>
        </w:tc>
        <w:tc>
          <w:tcPr>
            <w:tcW w:w="9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12/2/2019</w:t>
            </w:r>
          </w:p>
        </w:tc>
        <w:tc>
          <w:tcPr>
            <w:tcW w:w="12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40"/>
              <w:spacing w:after="0" w:line="108" w:lineRule="exact"/>
              <w:rPr>
                <w:sz w:val="20"/>
                <w:szCs w:val="20"/>
                <w:color w:val="auto"/>
              </w:rPr>
            </w:pPr>
            <w:r>
              <w:rPr>
                <w:rFonts w:ascii="Times New Roman" w:cs="Times New Roman" w:eastAsia="Times New Roman" w:hAnsi="Times New Roman"/>
                <w:sz w:val="12"/>
                <w:szCs w:val="12"/>
                <w:color w:val="auto"/>
              </w:rPr>
              <w:t>L + 8.25%</w:t>
            </w:r>
          </w:p>
        </w:tc>
        <w:tc>
          <w:tcPr>
            <w:tcW w:w="1260" w:type="dxa"/>
            <w:vAlign w:val="bottom"/>
            <w:gridSpan w:val="2"/>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9.75 %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44,564</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44,184</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3.5 %</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3"/>
              </w:rPr>
              <w:t>12/2024)</w:t>
            </w:r>
          </w:p>
        </w:tc>
        <w:tc>
          <w:tcPr>
            <w:tcW w:w="1560" w:type="dxa"/>
            <w:vAlign w:val="bottom"/>
            <w:tcBorders>
              <w:bottom w:val="single" w:sz="8" w:color="CFF0FC"/>
            </w:tcBorders>
            <w:shd w:val="clear" w:color="auto" w:fill="CFF0FC"/>
          </w:tcPr>
          <w:p>
            <w:pPr>
              <w:jc w:val="right"/>
              <w:ind w:right="1387"/>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Convertible note ($4,124 par, due</w:t>
            </w: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5/12/2021</w:t>
            </w:r>
          </w:p>
        </w:tc>
        <w:tc>
          <w:tcPr>
            <w:tcW w:w="1240" w:type="dxa"/>
            <w:vAlign w:val="bottom"/>
            <w:gridSpan w:val="3"/>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6.00 %</w:t>
            </w:r>
          </w:p>
        </w:tc>
        <w:tc>
          <w:tcPr>
            <w:tcW w:w="1380" w:type="dxa"/>
            <w:vAlign w:val="bottom"/>
            <w:gridSpan w:val="3"/>
          </w:tcPr>
          <w:p>
            <w:pPr>
              <w:jc w:val="right"/>
              <w:ind w:right="340"/>
              <w:spacing w:after="0" w:line="108" w:lineRule="exact"/>
              <w:rPr>
                <w:sz w:val="20"/>
                <w:szCs w:val="20"/>
                <w:color w:val="auto"/>
              </w:rPr>
            </w:pPr>
            <w:r>
              <w:rPr>
                <w:rFonts w:ascii="Times New Roman" w:cs="Times New Roman" w:eastAsia="Times New Roman" w:hAnsi="Times New Roman"/>
                <w:sz w:val="12"/>
                <w:szCs w:val="12"/>
                <w:color w:val="auto"/>
              </w:rPr>
              <w:t>6.00% PIK</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4,087</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4,114</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0.3 %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5/2028)</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15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82,572</w:t>
            </w: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82,161</w:t>
            </w: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28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Astra Acquisition Corp. </w:t>
            </w:r>
            <w:r>
              <w:rPr>
                <w:rFonts w:ascii="Times New Roman" w:cs="Times New Roman" w:eastAsia="Times New Roman" w:hAnsi="Times New Roman"/>
                <w:sz w:val="16"/>
                <w:szCs w:val="16"/>
                <w:color w:val="auto"/>
                <w:vertAlign w:val="superscript"/>
              </w:rPr>
              <w:t>(3)(11)</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Second-lien loan ($43,490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10/25/2021</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+ 8.88%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9.63 %</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42,729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10/2029)</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Destiny Solutions Parent</w:t>
            </w: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($53,522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6/8/2021</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+ 6.00%</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7.00 %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52,318</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52,622</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4.1 %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 xml:space="preserve">Holding Company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3"/>
                <w:szCs w:val="13"/>
                <w:color w:val="auto"/>
              </w:rPr>
              <w:t>6/2026)</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 loan ($56,216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12/22/2021</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+ 6.25%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7.25 %</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54,916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12/2027)</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Frontline Technologies</w:t>
            </w: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($86,466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9/18/2017</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+ 5.25%</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6.25 %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86,237</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86,682</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6.8 %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Group, LLC </w:t>
            </w:r>
            <w:r>
              <w:rPr>
                <w:rFonts w:ascii="Times New Roman" w:cs="Times New Roman" w:eastAsia="Times New Roman" w:hAnsi="Times New Roman"/>
                <w:sz w:val="16"/>
                <w:szCs w:val="16"/>
                <w:color w:val="auto"/>
                <w:vertAlign w:val="superscript"/>
              </w:rPr>
              <w:t>(3)</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9/2023)</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Illuminate Education,</w:t>
            </w:r>
          </w:p>
        </w:tc>
        <w:tc>
          <w:tcPr>
            <w:tcW w:w="120" w:type="dxa"/>
            <w:vAlign w:val="bottom"/>
            <w:shd w:val="clear" w:color="auto" w:fill="CFF0FC"/>
          </w:tcPr>
          <w:p>
            <w:pPr>
              <w:spacing w:after="0"/>
              <w:rPr>
                <w:sz w:val="9"/>
                <w:szCs w:val="9"/>
                <w:color w:val="auto"/>
              </w:rPr>
            </w:pPr>
          </w:p>
        </w:tc>
        <w:tc>
          <w:tcPr>
            <w:tcW w:w="204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loan ($62,725 par, due</w:t>
            </w:r>
          </w:p>
        </w:tc>
        <w:tc>
          <w:tcPr>
            <w:tcW w:w="9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8/25/2017</w:t>
            </w:r>
          </w:p>
        </w:tc>
        <w:tc>
          <w:tcPr>
            <w:tcW w:w="12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40"/>
              <w:spacing w:after="0" w:line="108" w:lineRule="exact"/>
              <w:rPr>
                <w:sz w:val="20"/>
                <w:szCs w:val="20"/>
                <w:color w:val="auto"/>
              </w:rPr>
            </w:pPr>
            <w:r>
              <w:rPr>
                <w:rFonts w:ascii="Times New Roman" w:cs="Times New Roman" w:eastAsia="Times New Roman" w:hAnsi="Times New Roman"/>
                <w:sz w:val="12"/>
                <w:szCs w:val="12"/>
                <w:color w:val="auto"/>
              </w:rPr>
              <w:t>L + 6.00%</w:t>
            </w:r>
          </w:p>
        </w:tc>
        <w:tc>
          <w:tcPr>
            <w:tcW w:w="1260" w:type="dxa"/>
            <w:vAlign w:val="bottom"/>
            <w:gridSpan w:val="2"/>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7.00 %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62,519</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62,882</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4.9 %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280" w:type="dxa"/>
            <w:vAlign w:val="bottom"/>
            <w:tcBorders>
              <w:bottom w:val="single" w:sz="8" w:color="CFF0FC"/>
            </w:tcBorders>
            <w:shd w:val="clear" w:color="auto" w:fill="CFF0FC"/>
          </w:tcPr>
          <w:p>
            <w:pPr>
              <w:ind w:left="120"/>
              <w:spacing w:after="0" w:line="176" w:lineRule="exact"/>
              <w:rPr>
                <w:sz w:val="20"/>
                <w:szCs w:val="20"/>
                <w:color w:val="auto"/>
              </w:rPr>
            </w:pPr>
            <w:r>
              <w:rPr>
                <w:rFonts w:ascii="Times New Roman" w:cs="Times New Roman" w:eastAsia="Times New Roman" w:hAnsi="Times New Roman"/>
                <w:sz w:val="20"/>
                <w:szCs w:val="20"/>
                <w:color w:val="auto"/>
                <w:vertAlign w:val="subscript"/>
              </w:rPr>
              <w:t>Inc.</w:t>
            </w:r>
            <w:r>
              <w:rPr>
                <w:rFonts w:ascii="Times New Roman" w:cs="Times New Roman" w:eastAsia="Times New Roman" w:hAnsi="Times New Roman"/>
                <w:sz w:val="8"/>
                <w:szCs w:val="8"/>
                <w:color w:val="auto"/>
              </w:rPr>
              <w:t xml:space="preserve"> (3)(5)</w:t>
            </w:r>
          </w:p>
        </w:tc>
        <w:tc>
          <w:tcPr>
            <w:tcW w:w="6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8/2022)</w:t>
            </w:r>
          </w:p>
        </w:tc>
        <w:tc>
          <w:tcPr>
            <w:tcW w:w="15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298,624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299,831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23.6 </w:t>
            </w:r>
            <w:r>
              <w:rPr>
                <w:rFonts w:ascii="Times New Roman" w:cs="Times New Roman" w:eastAsia="Times New Roman" w:hAnsi="Times New Roman"/>
                <w:sz w:val="13"/>
                <w:szCs w:val="13"/>
                <w:color w:val="auto"/>
                <w:highlight w:val="white"/>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28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AvidXchange, Inc. </w:t>
            </w:r>
            <w:r>
              <w:rPr>
                <w:rFonts w:ascii="Times New Roman" w:cs="Times New Roman" w:eastAsia="Times New Roman" w:hAnsi="Times New Roman"/>
                <w:sz w:val="16"/>
                <w:szCs w:val="16"/>
                <w:color w:val="auto"/>
                <w:vertAlign w:val="superscript"/>
              </w:rPr>
              <w:t>(3)(5)</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 loan ($11,205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10/1/2019</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+ 9.00%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11,327</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Bear OpCo, LLC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4/2024)</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($19,575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10/10/2019</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+ 6.50%</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7.50 %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19,247</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19,428</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1.5 %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BlueSnap, Inc.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10/2024)</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($35,000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10/25/2019</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+ 6.75%</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7.75 %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34,426</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35,475</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2.8 %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G Treasury SS, LLC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10/2024)</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($59,318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4/9/2018</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+ 8.25%</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9.25 %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58,570</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60,479</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4.7 %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Ibis Intermediate Co.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4/2023)</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First-lien loan ($1,542 par, due 5/2027)</w:t>
            </w:r>
          </w:p>
        </w:tc>
        <w:tc>
          <w:tcPr>
            <w:tcW w:w="9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5/28/2021</w:t>
            </w: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3"/>
                <w:szCs w:val="13"/>
                <w:color w:val="auto"/>
              </w:rPr>
              <w:t>L + 5.00%</w:t>
            </w:r>
          </w:p>
        </w:tc>
        <w:tc>
          <w:tcPr>
            <w:tcW w:w="12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5.50 %</w:t>
            </w:r>
          </w:p>
        </w:tc>
        <w:tc>
          <w:tcPr>
            <w:tcW w:w="12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1,410</w:t>
            </w:r>
          </w:p>
        </w:tc>
        <w:tc>
          <w:tcPr>
            <w:tcW w:w="12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1,640</w:t>
            </w:r>
          </w:p>
        </w:tc>
        <w:tc>
          <w:tcPr>
            <w:tcW w:w="128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Ibis US Blocker Co.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 loan ($12,669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5/28/2021</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+ 8.25%</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8.75% PIK</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12,479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5/2028)</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Jonas Collections and</w:t>
            </w: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($27,375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6/21/2021</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+ 5.75%</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6.75 %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26,854</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26,964</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2.1 %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 xml:space="preserve">Recovery, Inc.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3"/>
                <w:szCs w:val="13"/>
                <w:color w:val="auto"/>
              </w:rPr>
              <w:t>6/2026)</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Kyriba Corp.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First-lien loan ($17,412 par,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4/9/2019</w:t>
            </w:r>
          </w:p>
        </w:tc>
        <w:tc>
          <w:tcPr>
            <w:tcW w:w="12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L + 9.00%</w:t>
            </w: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10.50% (incl.</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17,673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4/2025)</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9.00% PIK)</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(EUR 9,070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4/9/2019</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E + 9.00%</w:t>
            </w:r>
          </w:p>
        </w:tc>
        <w:tc>
          <w:tcPr>
            <w:tcW w:w="1380" w:type="dxa"/>
            <w:vAlign w:val="bottom"/>
            <w:gridSpan w:val="3"/>
          </w:tcPr>
          <w:p>
            <w:pPr>
              <w:jc w:val="right"/>
              <w:ind w:right="340"/>
              <w:spacing w:after="0" w:line="133" w:lineRule="exact"/>
              <w:rPr>
                <w:sz w:val="20"/>
                <w:szCs w:val="20"/>
                <w:color w:val="auto"/>
              </w:rPr>
            </w:pPr>
            <w:r>
              <w:rPr>
                <w:rFonts w:ascii="Times New Roman" w:cs="Times New Roman" w:eastAsia="Times New Roman" w:hAnsi="Times New Roman"/>
                <w:sz w:val="13"/>
                <w:szCs w:val="13"/>
                <w:color w:val="auto"/>
              </w:rPr>
              <w:t>9.00% PIK</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10,070</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10,470</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0.8 %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4/2025)</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9,206)</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4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revolving loan ($1,411 par,</w:t>
            </w:r>
          </w:p>
        </w:tc>
        <w:tc>
          <w:tcPr>
            <w:tcW w:w="9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4/9/2019</w:t>
            </w:r>
          </w:p>
        </w:tc>
        <w:tc>
          <w:tcPr>
            <w:tcW w:w="12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40"/>
              <w:spacing w:after="0" w:line="108" w:lineRule="exact"/>
              <w:rPr>
                <w:sz w:val="20"/>
                <w:szCs w:val="20"/>
                <w:color w:val="auto"/>
              </w:rPr>
            </w:pPr>
            <w:r>
              <w:rPr>
                <w:rFonts w:ascii="Times New Roman" w:cs="Times New Roman" w:eastAsia="Times New Roman" w:hAnsi="Times New Roman"/>
                <w:sz w:val="12"/>
                <w:szCs w:val="12"/>
                <w:color w:val="auto"/>
              </w:rPr>
              <w:t>L + 7.25%</w:t>
            </w:r>
          </w:p>
        </w:tc>
        <w:tc>
          <w:tcPr>
            <w:tcW w:w="1260" w:type="dxa"/>
            <w:vAlign w:val="bottom"/>
            <w:gridSpan w:val="2"/>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8.75 %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1,387</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1,438</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0.1 %</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4/2025)</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First-lien revolving loan (EUR 336 par,</w:t>
            </w: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4/9/2019</w:t>
            </w:r>
          </w:p>
        </w:tc>
        <w:tc>
          <w:tcPr>
            <w:tcW w:w="120" w:type="dxa"/>
            <w:vAlign w:val="bottom"/>
          </w:tcPr>
          <w:p>
            <w:pPr>
              <w:spacing w:after="0"/>
              <w:rPr>
                <w:sz w:val="9"/>
                <w:szCs w:val="9"/>
                <w:color w:val="auto"/>
              </w:rPr>
            </w:pPr>
          </w:p>
        </w:tc>
        <w:tc>
          <w:tcPr>
            <w:tcW w:w="112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2"/>
                <w:szCs w:val="12"/>
                <w:color w:val="auto"/>
              </w:rPr>
              <w:t>E + 7.25%</w:t>
            </w:r>
          </w:p>
        </w:tc>
        <w:tc>
          <w:tcPr>
            <w:tcW w:w="12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8.75 %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370</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382</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Passport Labs, Inc.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due 4/2025)</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336)</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($17,018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4/28/2021</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+ 8.25%</w:t>
            </w:r>
          </w:p>
        </w:tc>
        <w:tc>
          <w:tcPr>
            <w:tcW w:w="1380" w:type="dxa"/>
            <w:vAlign w:val="bottom"/>
            <w:gridSpan w:val="3"/>
          </w:tcPr>
          <w:p>
            <w:pPr>
              <w:jc w:val="right"/>
              <w:ind w:right="380"/>
              <w:spacing w:after="0" w:line="133" w:lineRule="exact"/>
              <w:rPr>
                <w:sz w:val="20"/>
                <w:szCs w:val="20"/>
                <w:color w:val="auto"/>
              </w:rPr>
            </w:pPr>
            <w:r>
              <w:rPr>
                <w:rFonts w:ascii="Times New Roman" w:cs="Times New Roman" w:eastAsia="Times New Roman" w:hAnsi="Times New Roman"/>
                <w:sz w:val="13"/>
                <w:szCs w:val="13"/>
                <w:color w:val="auto"/>
              </w:rPr>
              <w:t>9.25% (incl.</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16,721</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16,864</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1.3 %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PrimeRevenue, Inc. </w:t>
            </w:r>
            <w:r>
              <w:rPr>
                <w:rFonts w:ascii="Times New Roman" w:cs="Times New Roman" w:eastAsia="Times New Roman" w:hAnsi="Times New Roman"/>
                <w:sz w:val="16"/>
                <w:szCs w:val="16"/>
                <w:color w:val="auto"/>
                <w:vertAlign w:val="superscript"/>
              </w:rPr>
              <w:t>(3)</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4/2026)</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4.125% PIK)</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($22,507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12/31/2018</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+ 7.00%</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8.50 %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22,365</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23,015</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1.8 %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TradingScreen, Inc. </w:t>
            </w:r>
            <w:r>
              <w:rPr>
                <w:rFonts w:ascii="Times New Roman" w:cs="Times New Roman" w:eastAsia="Times New Roman" w:hAnsi="Times New Roman"/>
                <w:sz w:val="16"/>
                <w:szCs w:val="16"/>
                <w:color w:val="auto"/>
                <w:vertAlign w:val="superscript"/>
              </w:rPr>
              <w:t>(3)(5)</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3"/>
              </w:rPr>
              <w:t>12/2023)</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($45,000 par, due</w:t>
            </w: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4/30/2021</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L + 6.25%</w:t>
            </w:r>
          </w:p>
        </w:tc>
        <w:tc>
          <w:tcPr>
            <w:tcW w:w="12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7.25 %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43,771</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44,325</w:t>
            </w:r>
          </w:p>
        </w:tc>
        <w:tc>
          <w:tcPr>
            <w:tcW w:w="12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3.5 %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4/2027)</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281,959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22.0 </w:t>
            </w:r>
            <w:r>
              <w:rPr>
                <w:rFonts w:ascii="Times New Roman" w:cs="Times New Roman" w:eastAsia="Times New Roman" w:hAnsi="Times New Roman"/>
                <w:sz w:val="13"/>
                <w:szCs w:val="13"/>
                <w:color w:val="auto"/>
                <w:highlight w:val="white"/>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-6617335</wp:posOffset>
            </wp:positionV>
            <wp:extent cx="713232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-6240145</wp:posOffset>
            </wp:positionV>
            <wp:extent cx="713232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-5862955</wp:posOffset>
            </wp:positionV>
            <wp:extent cx="713232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-5408295</wp:posOffset>
            </wp:positionV>
            <wp:extent cx="713232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-5031105</wp:posOffset>
            </wp:positionV>
            <wp:extent cx="7132320" cy="3257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-4036695</wp:posOffset>
            </wp:positionV>
            <wp:extent cx="7132320" cy="300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222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300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BCTO Ace Purchaser, Inc. </w:t>
            </w:r>
            <w:r>
              <w:rPr>
                <w:rFonts w:ascii="Times New Roman" w:cs="Times New Roman" w:eastAsia="Times New Roman" w:hAnsi="Times New Roman"/>
                <w:sz w:val="16"/>
                <w:szCs w:val="16"/>
                <w:color w:val="auto"/>
                <w:vertAlign w:val="superscript"/>
              </w:rPr>
              <w:t>(3)(5)</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First-lien loan ($53,094 par, due</w:t>
            </w:r>
          </w:p>
        </w:tc>
        <w:tc>
          <w:tcPr>
            <w:tcW w:w="100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11/23/2020</w:t>
            </w: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3"/>
                <w:szCs w:val="13"/>
                <w:color w:val="auto"/>
              </w:rPr>
              <w:t>L + 6.50%</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7.50 %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53,493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11/2026)</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Caris Life Sciences, Inc.</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First-lien loan ($5,000 par, due 9/2023)</w:t>
            </w:r>
          </w:p>
        </w:tc>
        <w:tc>
          <w:tcPr>
            <w:tcW w:w="10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9/21/2018</w:t>
            </w:r>
          </w:p>
        </w:tc>
        <w:tc>
          <w:tcPr>
            <w:tcW w:w="112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11.30 %</w:t>
            </w: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11.30 %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5,250</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5"/>
                <w:szCs w:val="15"/>
                <w:color w:val="auto"/>
              </w:rPr>
            </w:pPr>
          </w:p>
        </w:tc>
      </w:tr>
      <w:tr>
        <w:trPr>
          <w:trHeight w:val="162"/>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First-lien loan ($3,750 par, due 4/2025)</w:t>
            </w:r>
          </w:p>
        </w:tc>
        <w:tc>
          <w:tcPr>
            <w:tcW w:w="100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4/2/2020</w:t>
            </w:r>
          </w:p>
        </w:tc>
        <w:tc>
          <w:tcPr>
            <w:tcW w:w="1120" w:type="dxa"/>
            <w:vAlign w:val="bottom"/>
          </w:tcPr>
          <w:p>
            <w:pPr>
              <w:jc w:val="right"/>
              <w:ind w:right="158"/>
              <w:spacing w:after="0"/>
              <w:rPr>
                <w:sz w:val="20"/>
                <w:szCs w:val="20"/>
                <w:color w:val="auto"/>
              </w:rPr>
            </w:pPr>
            <w:r>
              <w:rPr>
                <w:rFonts w:ascii="Times New Roman" w:cs="Times New Roman" w:eastAsia="Times New Roman" w:hAnsi="Times New Roman"/>
                <w:sz w:val="13"/>
                <w:szCs w:val="13"/>
                <w:color w:val="auto"/>
              </w:rPr>
              <w:t>11.30 %</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11.30 %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4"/>
                <w:szCs w:val="14"/>
                <w:color w:val="auto"/>
              </w:rPr>
            </w:pPr>
          </w:p>
        </w:tc>
      </w:tr>
      <w:tr>
        <w:trPr>
          <w:trHeight w:val="117"/>
        </w:trPr>
        <w:tc>
          <w:tcPr>
            <w:tcW w:w="2160" w:type="dxa"/>
            <w:vAlign w:val="bottom"/>
            <w:shd w:val="clear" w:color="auto" w:fill="CFF0FC"/>
          </w:tcPr>
          <w:p>
            <w:pPr>
              <w:spacing w:after="0"/>
              <w:rPr>
                <w:sz w:val="10"/>
                <w:szCs w:val="10"/>
                <w:color w:val="auto"/>
              </w:rPr>
            </w:pPr>
          </w:p>
        </w:tc>
        <w:tc>
          <w:tcPr>
            <w:tcW w:w="2420" w:type="dxa"/>
            <w:vAlign w:val="bottom"/>
            <w:shd w:val="clear" w:color="auto" w:fill="CFF0FC"/>
          </w:tcPr>
          <w:p>
            <w:pPr>
              <w:ind w:left="260"/>
              <w:spacing w:after="0" w:line="117" w:lineRule="exact"/>
              <w:rPr>
                <w:sz w:val="20"/>
                <w:szCs w:val="20"/>
                <w:color w:val="auto"/>
              </w:rPr>
            </w:pPr>
            <w:r>
              <w:rPr>
                <w:rFonts w:ascii="Times New Roman" w:cs="Times New Roman" w:eastAsia="Times New Roman" w:hAnsi="Times New Roman"/>
                <w:sz w:val="13"/>
                <w:szCs w:val="13"/>
                <w:color w:val="auto"/>
              </w:rPr>
              <w:t>Convertible note ($2,602 par, due</w:t>
            </w:r>
          </w:p>
        </w:tc>
        <w:tc>
          <w:tcPr>
            <w:tcW w:w="1000" w:type="dxa"/>
            <w:vAlign w:val="bottom"/>
            <w:shd w:val="clear" w:color="auto" w:fill="CFF0FC"/>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9/21/2018</w:t>
            </w:r>
          </w:p>
        </w:tc>
        <w:tc>
          <w:tcPr>
            <w:tcW w:w="1120" w:type="dxa"/>
            <w:vAlign w:val="bottom"/>
            <w:shd w:val="clear" w:color="auto" w:fill="CFF0FC"/>
          </w:tcPr>
          <w:p>
            <w:pPr>
              <w:jc w:val="right"/>
              <w:ind w:right="158"/>
              <w:spacing w:after="0" w:line="117" w:lineRule="exact"/>
              <w:rPr>
                <w:sz w:val="20"/>
                <w:szCs w:val="20"/>
                <w:color w:val="auto"/>
              </w:rPr>
            </w:pPr>
            <w:r>
              <w:rPr>
                <w:rFonts w:ascii="Times New Roman" w:cs="Times New Roman" w:eastAsia="Times New Roman" w:hAnsi="Times New Roman"/>
                <w:sz w:val="13"/>
                <w:szCs w:val="13"/>
                <w:color w:val="auto"/>
              </w:rPr>
              <w:t>8.00 %</w:t>
            </w:r>
          </w:p>
        </w:tc>
        <w:tc>
          <w:tcPr>
            <w:tcW w:w="116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8.00 %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2,602</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12,230</w:t>
            </w:r>
          </w:p>
        </w:tc>
        <w:tc>
          <w:tcPr>
            <w:tcW w:w="128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1.0 %</w:t>
            </w:r>
          </w:p>
        </w:tc>
        <w:tc>
          <w:tcPr>
            <w:tcW w:w="20" w:type="dxa"/>
            <w:vAlign w:val="bottom"/>
          </w:tcPr>
          <w:p>
            <w:pPr>
              <w:spacing w:after="0"/>
              <w:rPr>
                <w:sz w:val="10"/>
                <w:szCs w:val="10"/>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9/2023)</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Clinicient, Inc. </w:t>
            </w:r>
            <w:r>
              <w:rPr>
                <w:rFonts w:ascii="Times New Roman" w:cs="Times New Roman" w:eastAsia="Times New Roman" w:hAnsi="Times New Roman"/>
                <w:sz w:val="13"/>
                <w:szCs w:val="13"/>
                <w:color w:val="auto"/>
                <w:vertAlign w:val="superscript"/>
              </w:rPr>
              <w:t>(3)</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($15,000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5/31/2019</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+ 7.00%</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14,920</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15,150</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1.2 %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5/2024)</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160" w:type="dxa"/>
            <w:vAlign w:val="bottom"/>
            <w:shd w:val="clear" w:color="auto" w:fill="CFF0FC"/>
          </w:tcPr>
          <w:p>
            <w:pPr>
              <w:spacing w:after="0"/>
              <w:rPr>
                <w:sz w:val="11"/>
                <w:szCs w:val="11"/>
                <w:color w:val="auto"/>
              </w:rPr>
            </w:pP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First-lien revolving loan ($2,400 par,</w:t>
            </w:r>
          </w:p>
        </w:tc>
        <w:tc>
          <w:tcPr>
            <w:tcW w:w="1000" w:type="dxa"/>
            <w:vAlign w:val="bottom"/>
            <w:shd w:val="clear" w:color="auto" w:fill="CFF0FC"/>
          </w:tcPr>
          <w:p>
            <w:pPr>
              <w:jc w:val="right"/>
              <w:ind w:right="178"/>
              <w:spacing w:after="0" w:line="133" w:lineRule="exact"/>
              <w:rPr>
                <w:sz w:val="20"/>
                <w:szCs w:val="20"/>
                <w:color w:val="auto"/>
              </w:rPr>
            </w:pPr>
            <w:r>
              <w:rPr>
                <w:rFonts w:ascii="Times New Roman" w:cs="Times New Roman" w:eastAsia="Times New Roman" w:hAnsi="Times New Roman"/>
                <w:sz w:val="13"/>
                <w:szCs w:val="13"/>
                <w:color w:val="auto"/>
              </w:rPr>
              <w:t>5/31/2019</w:t>
            </w:r>
          </w:p>
        </w:tc>
        <w:tc>
          <w:tcPr>
            <w:tcW w:w="1120" w:type="dxa"/>
            <w:vAlign w:val="bottom"/>
            <w:shd w:val="clear" w:color="auto" w:fill="CFF0FC"/>
          </w:tcPr>
          <w:p>
            <w:pPr>
              <w:jc w:val="right"/>
              <w:ind w:right="278"/>
              <w:spacing w:after="0" w:line="133" w:lineRule="exact"/>
              <w:rPr>
                <w:sz w:val="20"/>
                <w:szCs w:val="20"/>
                <w:color w:val="auto"/>
              </w:rPr>
            </w:pPr>
            <w:r>
              <w:rPr>
                <w:rFonts w:ascii="Times New Roman" w:cs="Times New Roman" w:eastAsia="Times New Roman" w:hAnsi="Times New Roman"/>
                <w:sz w:val="13"/>
                <w:szCs w:val="13"/>
                <w:color w:val="auto"/>
              </w:rPr>
              <w:t>L + 7.00%</w:t>
            </w:r>
          </w:p>
        </w:tc>
        <w:tc>
          <w:tcPr>
            <w:tcW w:w="11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8.50 %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2,381</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2,440</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1"/>
                <w:szCs w:val="1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due 5/2024)</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Homecare Software Solutions,</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($50,000 par, due</w:t>
            </w:r>
          </w:p>
        </w:tc>
        <w:tc>
          <w:tcPr>
            <w:tcW w:w="1000" w:type="dxa"/>
            <w:vAlign w:val="bottom"/>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10/6/2021</w:t>
            </w:r>
          </w:p>
        </w:tc>
        <w:tc>
          <w:tcPr>
            <w:tcW w:w="1120" w:type="dxa"/>
            <w:vAlign w:val="bottom"/>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L + 5.25%</w:t>
            </w:r>
          </w:p>
        </w:tc>
        <w:tc>
          <w:tcPr>
            <w:tcW w:w="116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6.25 %</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48,891</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49,000</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3.8 %</w:t>
            </w:r>
          </w:p>
        </w:tc>
        <w:tc>
          <w:tcPr>
            <w:tcW w:w="20" w:type="dxa"/>
            <w:vAlign w:val="bottom"/>
          </w:tcPr>
          <w:p>
            <w:pPr>
              <w:spacing w:after="0"/>
              <w:rPr>
                <w:sz w:val="9"/>
                <w:szCs w:val="9"/>
                <w:color w:val="auto"/>
              </w:rPr>
            </w:pPr>
          </w:p>
        </w:tc>
      </w:tr>
      <w:tr>
        <w:trPr>
          <w:trHeight w:val="189"/>
        </w:trPr>
        <w:tc>
          <w:tcPr>
            <w:tcW w:w="2160" w:type="dxa"/>
            <w:vAlign w:val="bottom"/>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(3)(5)</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10/2026)</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8"/>
        </w:trPr>
        <w:tc>
          <w:tcPr>
            <w:tcW w:w="2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Integrated Practice</w:t>
            </w:r>
          </w:p>
        </w:tc>
        <w:tc>
          <w:tcPr>
            <w:tcW w:w="2420" w:type="dxa"/>
            <w:vAlign w:val="bottom"/>
            <w:shd w:val="clear" w:color="auto" w:fill="CFF0FC"/>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($48,688 par, due</w:t>
            </w:r>
          </w:p>
        </w:tc>
        <w:tc>
          <w:tcPr>
            <w:tcW w:w="1000" w:type="dxa"/>
            <w:vAlign w:val="bottom"/>
            <w:shd w:val="clear" w:color="auto" w:fill="CFF0FC"/>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6/30/2017</w:t>
            </w:r>
          </w:p>
        </w:tc>
        <w:tc>
          <w:tcPr>
            <w:tcW w:w="1120" w:type="dxa"/>
            <w:vAlign w:val="bottom"/>
            <w:shd w:val="clear" w:color="auto" w:fill="CFF0FC"/>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L + 7.50%</w:t>
            </w:r>
          </w:p>
        </w:tc>
        <w:tc>
          <w:tcPr>
            <w:tcW w:w="116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8.50 %</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47,578</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49,783</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3.9 %</w:t>
            </w:r>
          </w:p>
        </w:tc>
        <w:tc>
          <w:tcPr>
            <w:tcW w:w="20" w:type="dxa"/>
            <w:vAlign w:val="bottom"/>
          </w:tcPr>
          <w:p>
            <w:pPr>
              <w:spacing w:after="0"/>
              <w:rPr>
                <w:sz w:val="9"/>
                <w:szCs w:val="9"/>
                <w:color w:val="auto"/>
              </w:rPr>
            </w:pPr>
          </w:p>
        </w:tc>
      </w:tr>
      <w:tr>
        <w:trPr>
          <w:trHeight w:val="175"/>
        </w:trPr>
        <w:tc>
          <w:tcPr>
            <w:tcW w:w="2160" w:type="dxa"/>
            <w:vAlign w:val="bottom"/>
            <w:tcBorders>
              <w:bottom w:val="single" w:sz="8" w:color="CFF0FC"/>
            </w:tcBorders>
            <w:shd w:val="clear" w:color="auto" w:fill="CFF0FC"/>
          </w:tcPr>
          <w:p>
            <w:pPr>
              <w:ind w:left="120"/>
              <w:spacing w:after="0" w:line="175" w:lineRule="exact"/>
              <w:rPr>
                <w:sz w:val="20"/>
                <w:szCs w:val="20"/>
                <w:color w:val="auto"/>
              </w:rPr>
            </w:pPr>
            <w:r>
              <w:rPr>
                <w:rFonts w:ascii="Times New Roman" w:cs="Times New Roman" w:eastAsia="Times New Roman" w:hAnsi="Times New Roman"/>
                <w:sz w:val="13"/>
                <w:szCs w:val="13"/>
                <w:color w:val="auto"/>
              </w:rPr>
              <w:t xml:space="preserve">Solutions, Inc. </w:t>
            </w:r>
            <w:r>
              <w:rPr>
                <w:rFonts w:ascii="Times New Roman" w:cs="Times New Roman" w:eastAsia="Times New Roman" w:hAnsi="Times New Roman"/>
                <w:sz w:val="16"/>
                <w:szCs w:val="16"/>
                <w:color w:val="auto"/>
                <w:vertAlign w:val="superscript"/>
              </w:rPr>
              <w:t>(3)(5)</w:t>
            </w:r>
          </w:p>
        </w:tc>
        <w:tc>
          <w:tcPr>
            <w:tcW w:w="24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10/2024)</w:t>
            </w:r>
          </w:p>
        </w:tc>
        <w:tc>
          <w:tcPr>
            <w:tcW w:w="10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191,377</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15.0 </w:t>
            </w:r>
            <w:r>
              <w:rPr>
                <w:rFonts w:ascii="Times New Roman" w:cs="Times New Roman" w:eastAsia="Times New Roman" w:hAnsi="Times New Roman"/>
                <w:sz w:val="13"/>
                <w:szCs w:val="13"/>
                <w:color w:val="auto"/>
                <w:highlight w:val="white"/>
              </w:rPr>
              <w:t>%</w:t>
            </w:r>
          </w:p>
        </w:tc>
        <w:tc>
          <w:tcPr>
            <w:tcW w:w="20" w:type="dxa"/>
            <w:vAlign w:val="bottom"/>
          </w:tcPr>
          <w:p>
            <w:pPr>
              <w:spacing w:after="0"/>
              <w:rPr>
                <w:sz w:val="13"/>
                <w:szCs w:val="13"/>
                <w:color w:val="auto"/>
              </w:rPr>
            </w:pPr>
          </w:p>
        </w:tc>
      </w:tr>
      <w:tr>
        <w:trPr>
          <w:trHeight w:val="15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4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IRGSE Holding Corp. </w:t>
            </w:r>
            <w:r>
              <w:rPr>
                <w:rFonts w:ascii="Times New Roman" w:cs="Times New Roman" w:eastAsia="Times New Roman" w:hAnsi="Times New Roman"/>
                <w:sz w:val="13"/>
                <w:szCs w:val="13"/>
                <w:color w:val="auto"/>
                <w:vertAlign w:val="superscript"/>
              </w:rPr>
              <w:t>(3)(7)</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($30,261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9/29/2015</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+ 9.50%</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10.00 %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28,594</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30,261</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6/2022)</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160" w:type="dxa"/>
            <w:vAlign w:val="bottom"/>
            <w:shd w:val="clear" w:color="auto" w:fill="CFF0FC"/>
          </w:tcPr>
          <w:p>
            <w:pPr>
              <w:spacing w:after="0"/>
              <w:rPr>
                <w:sz w:val="11"/>
                <w:szCs w:val="11"/>
                <w:color w:val="auto"/>
              </w:rPr>
            </w:pP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First-lien revolving loan ($12,327 par,</w:t>
            </w:r>
          </w:p>
        </w:tc>
        <w:tc>
          <w:tcPr>
            <w:tcW w:w="1000" w:type="dxa"/>
            <w:vAlign w:val="bottom"/>
            <w:shd w:val="clear" w:color="auto" w:fill="CFF0FC"/>
          </w:tcPr>
          <w:p>
            <w:pPr>
              <w:jc w:val="right"/>
              <w:ind w:right="178"/>
              <w:spacing w:after="0" w:line="133" w:lineRule="exact"/>
              <w:rPr>
                <w:sz w:val="20"/>
                <w:szCs w:val="20"/>
                <w:color w:val="auto"/>
              </w:rPr>
            </w:pPr>
            <w:r>
              <w:rPr>
                <w:rFonts w:ascii="Times New Roman" w:cs="Times New Roman" w:eastAsia="Times New Roman" w:hAnsi="Times New Roman"/>
                <w:sz w:val="13"/>
                <w:szCs w:val="13"/>
                <w:color w:val="auto"/>
              </w:rPr>
              <w:t>9/29/2015</w:t>
            </w:r>
          </w:p>
        </w:tc>
        <w:tc>
          <w:tcPr>
            <w:tcW w:w="1120" w:type="dxa"/>
            <w:vAlign w:val="bottom"/>
            <w:shd w:val="clear" w:color="auto" w:fill="CFF0FC"/>
          </w:tcPr>
          <w:p>
            <w:pPr>
              <w:jc w:val="right"/>
              <w:ind w:right="278"/>
              <w:spacing w:after="0" w:line="133" w:lineRule="exact"/>
              <w:rPr>
                <w:sz w:val="20"/>
                <w:szCs w:val="20"/>
                <w:color w:val="auto"/>
              </w:rPr>
            </w:pPr>
            <w:r>
              <w:rPr>
                <w:rFonts w:ascii="Times New Roman" w:cs="Times New Roman" w:eastAsia="Times New Roman" w:hAnsi="Times New Roman"/>
                <w:sz w:val="13"/>
                <w:szCs w:val="13"/>
                <w:color w:val="auto"/>
              </w:rPr>
              <w:t>L + 9.50%</w:t>
            </w:r>
          </w:p>
        </w:tc>
        <w:tc>
          <w:tcPr>
            <w:tcW w:w="11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10.00 %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12,327</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12,327</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1.0 %</w:t>
            </w:r>
          </w:p>
        </w:tc>
        <w:tc>
          <w:tcPr>
            <w:tcW w:w="20" w:type="dxa"/>
            <w:vAlign w:val="bottom"/>
          </w:tcPr>
          <w:p>
            <w:pPr>
              <w:spacing w:after="0"/>
              <w:rPr>
                <w:sz w:val="11"/>
                <w:szCs w:val="11"/>
                <w:color w:val="auto"/>
              </w:rPr>
            </w:pPr>
          </w:p>
        </w:tc>
      </w:tr>
      <w:tr>
        <w:trPr>
          <w:trHeight w:val="165"/>
        </w:trPr>
        <w:tc>
          <w:tcPr>
            <w:tcW w:w="2160" w:type="dxa"/>
            <w:vAlign w:val="bottom"/>
            <w:tcBorders>
              <w:bottom w:val="single" w:sz="8" w:color="CFF0FC"/>
            </w:tcBorders>
            <w:shd w:val="clear" w:color="auto" w:fill="CFF0FC"/>
          </w:tcPr>
          <w:p>
            <w:pPr>
              <w:spacing w:after="0"/>
              <w:rPr>
                <w:sz w:val="14"/>
                <w:szCs w:val="14"/>
                <w:color w:val="auto"/>
              </w:rPr>
            </w:pPr>
          </w:p>
        </w:tc>
        <w:tc>
          <w:tcPr>
            <w:tcW w:w="24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due 6/2022)</w:t>
            </w:r>
          </w:p>
        </w:tc>
        <w:tc>
          <w:tcPr>
            <w:tcW w:w="10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42,588</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color w:val="auto"/>
                <w:highlight w:val="white"/>
              </w:rPr>
              <w:t>%</w:t>
            </w:r>
          </w:p>
        </w:tc>
        <w:tc>
          <w:tcPr>
            <w:tcW w:w="20" w:type="dxa"/>
            <w:vAlign w:val="bottom"/>
          </w:tcPr>
          <w:p>
            <w:pPr>
              <w:spacing w:after="0"/>
              <w:rPr>
                <w:sz w:val="13"/>
                <w:szCs w:val="13"/>
                <w:color w:val="auto"/>
              </w:rPr>
            </w:pPr>
          </w:p>
        </w:tc>
      </w:tr>
      <w:tr>
        <w:trPr>
          <w:trHeight w:val="155"/>
        </w:trPr>
        <w:tc>
          <w:tcPr>
            <w:tcW w:w="216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7"/>
        </w:trPr>
        <w:tc>
          <w:tcPr>
            <w:tcW w:w="21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Axonify, Inc. </w:t>
            </w:r>
            <w:r>
              <w:rPr>
                <w:rFonts w:ascii="Times New Roman" w:cs="Times New Roman" w:eastAsia="Times New Roman" w:hAnsi="Times New Roman"/>
                <w:sz w:val="13"/>
                <w:szCs w:val="13"/>
                <w:color w:val="auto"/>
                <w:vertAlign w:val="superscript"/>
              </w:rPr>
              <w:t>(3)(4)(5)</w:t>
            </w:r>
          </w:p>
        </w:tc>
        <w:tc>
          <w:tcPr>
            <w:tcW w:w="2420" w:type="dxa"/>
            <w:vAlign w:val="bottom"/>
            <w:shd w:val="clear" w:color="auto" w:fill="CFF0FC"/>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($31,580 par, due</w:t>
            </w:r>
          </w:p>
        </w:tc>
        <w:tc>
          <w:tcPr>
            <w:tcW w:w="1000" w:type="dxa"/>
            <w:vAlign w:val="bottom"/>
            <w:shd w:val="clear" w:color="auto" w:fill="CFF0FC"/>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5/5/2021</w:t>
            </w:r>
          </w:p>
        </w:tc>
        <w:tc>
          <w:tcPr>
            <w:tcW w:w="1120" w:type="dxa"/>
            <w:vAlign w:val="bottom"/>
            <w:shd w:val="clear" w:color="auto" w:fill="CFF0FC"/>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+ 7.50%</w:t>
            </w:r>
          </w:p>
        </w:tc>
        <w:tc>
          <w:tcPr>
            <w:tcW w:w="116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8.50 %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30,807</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31,100</w:t>
            </w:r>
          </w:p>
        </w:tc>
        <w:tc>
          <w:tcPr>
            <w:tcW w:w="128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0"/>
                <w:szCs w:val="10"/>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5/2026)</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DaySmart Holdings, LLC </w:t>
            </w:r>
            <w:r>
              <w:rPr>
                <w:rFonts w:ascii="Times New Roman" w:cs="Times New Roman" w:eastAsia="Times New Roman" w:hAnsi="Times New Roman"/>
                <w:sz w:val="13"/>
                <w:szCs w:val="13"/>
                <w:color w:val="auto"/>
                <w:vertAlign w:val="superscript"/>
              </w:rPr>
              <w:t>(3)(5)</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($47,999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12/18/2020</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+ 7.25%</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47,891</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48,262</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3.8 %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10/2025)</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160" w:type="dxa"/>
            <w:vAlign w:val="bottom"/>
            <w:shd w:val="clear" w:color="auto" w:fill="CFF0FC"/>
          </w:tcPr>
          <w:p>
            <w:pPr>
              <w:spacing w:after="0"/>
              <w:rPr>
                <w:sz w:val="11"/>
                <w:szCs w:val="11"/>
                <w:color w:val="auto"/>
              </w:rPr>
            </w:pP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First-lien revolving loan ($3,000 par,</w:t>
            </w:r>
          </w:p>
        </w:tc>
        <w:tc>
          <w:tcPr>
            <w:tcW w:w="1000" w:type="dxa"/>
            <w:vAlign w:val="bottom"/>
            <w:shd w:val="clear" w:color="auto" w:fill="CFF0FC"/>
          </w:tcPr>
          <w:p>
            <w:pPr>
              <w:jc w:val="right"/>
              <w:ind w:right="178"/>
              <w:spacing w:after="0" w:line="133" w:lineRule="exact"/>
              <w:rPr>
                <w:sz w:val="20"/>
                <w:szCs w:val="20"/>
                <w:color w:val="auto"/>
              </w:rPr>
            </w:pPr>
            <w:r>
              <w:rPr>
                <w:rFonts w:ascii="Times New Roman" w:cs="Times New Roman" w:eastAsia="Times New Roman" w:hAnsi="Times New Roman"/>
                <w:sz w:val="13"/>
                <w:szCs w:val="13"/>
                <w:color w:val="auto"/>
              </w:rPr>
              <w:t>12/18/2020</w:t>
            </w:r>
          </w:p>
        </w:tc>
        <w:tc>
          <w:tcPr>
            <w:tcW w:w="1120" w:type="dxa"/>
            <w:vAlign w:val="bottom"/>
            <w:shd w:val="clear" w:color="auto" w:fill="CFF0FC"/>
          </w:tcPr>
          <w:p>
            <w:pPr>
              <w:jc w:val="right"/>
              <w:ind w:right="278"/>
              <w:spacing w:after="0" w:line="133" w:lineRule="exact"/>
              <w:rPr>
                <w:sz w:val="20"/>
                <w:szCs w:val="20"/>
                <w:color w:val="auto"/>
              </w:rPr>
            </w:pPr>
            <w:r>
              <w:rPr>
                <w:rFonts w:ascii="Times New Roman" w:cs="Times New Roman" w:eastAsia="Times New Roman" w:hAnsi="Times New Roman"/>
                <w:sz w:val="13"/>
                <w:szCs w:val="13"/>
                <w:color w:val="auto"/>
              </w:rPr>
              <w:t>L + 7.25%</w:t>
            </w:r>
          </w:p>
        </w:tc>
        <w:tc>
          <w:tcPr>
            <w:tcW w:w="11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8.75 %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3,003</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3,015</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1"/>
                <w:szCs w:val="1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due 10/2025)</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Employment Hero Holdings Pty</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(AUD 40,000 par, due</w:t>
            </w:r>
          </w:p>
        </w:tc>
        <w:tc>
          <w:tcPr>
            <w:tcW w:w="1000" w:type="dxa"/>
            <w:vAlign w:val="bottom"/>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12/6/2021</w:t>
            </w:r>
          </w:p>
        </w:tc>
        <w:tc>
          <w:tcPr>
            <w:tcW w:w="1120" w:type="dxa"/>
            <w:vAlign w:val="bottom"/>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B + 6.50%</w:t>
            </w:r>
          </w:p>
        </w:tc>
        <w:tc>
          <w:tcPr>
            <w:tcW w:w="116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7.50 %</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27,317</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28,166</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2.2 %</w:t>
            </w:r>
          </w:p>
        </w:tc>
        <w:tc>
          <w:tcPr>
            <w:tcW w:w="20" w:type="dxa"/>
            <w:vAlign w:val="bottom"/>
          </w:tcPr>
          <w:p>
            <w:pPr>
              <w:spacing w:after="0"/>
              <w:rPr>
                <w:sz w:val="9"/>
                <w:szCs w:val="9"/>
                <w:color w:val="auto"/>
              </w:rPr>
            </w:pPr>
          </w:p>
        </w:tc>
      </w:tr>
      <w:tr>
        <w:trPr>
          <w:trHeight w:val="189"/>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6"/>
                <w:szCs w:val="16"/>
                <w:color w:val="auto"/>
                <w:vertAlign w:val="superscript"/>
              </w:rPr>
              <w:t>(4)</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 xml:space="preserve">12/2026) </w:t>
            </w:r>
            <w:r>
              <w:rPr>
                <w:rFonts w:ascii="Times New Roman" w:cs="Times New Roman" w:eastAsia="Times New Roman" w:hAnsi="Times New Roman"/>
                <w:sz w:val="16"/>
                <w:szCs w:val="16"/>
                <w:color w:val="auto"/>
                <w:vertAlign w:val="superscript"/>
              </w:rPr>
              <w:t>(3)</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(AUD 38,740)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8"/>
        </w:trPr>
        <w:tc>
          <w:tcPr>
            <w:tcW w:w="2160" w:type="dxa"/>
            <w:vAlign w:val="bottom"/>
            <w:shd w:val="clear" w:color="auto" w:fill="CFF0FC"/>
          </w:tcPr>
          <w:p>
            <w:pPr>
              <w:spacing w:after="0"/>
              <w:rPr>
                <w:sz w:val="9"/>
                <w:szCs w:val="9"/>
                <w:color w:val="auto"/>
              </w:rPr>
            </w:pPr>
          </w:p>
        </w:tc>
        <w:tc>
          <w:tcPr>
            <w:tcW w:w="2420" w:type="dxa"/>
            <w:vAlign w:val="bottom"/>
            <w:shd w:val="clear" w:color="auto" w:fill="CFF0FC"/>
          </w:tcPr>
          <w:p>
            <w:pPr>
              <w:ind w:left="260"/>
              <w:spacing w:after="0" w:line="108" w:lineRule="exact"/>
              <w:rPr>
                <w:sz w:val="20"/>
                <w:szCs w:val="20"/>
                <w:color w:val="auto"/>
              </w:rPr>
            </w:pPr>
            <w:r>
              <w:rPr>
                <w:rFonts w:ascii="Times New Roman" w:cs="Times New Roman" w:eastAsia="Times New Roman" w:hAnsi="Times New Roman"/>
                <w:sz w:val="12"/>
                <w:szCs w:val="12"/>
                <w:color w:val="auto"/>
              </w:rPr>
              <w:t>Convertible note (AUD 3,000 par, due</w:t>
            </w:r>
          </w:p>
        </w:tc>
        <w:tc>
          <w:tcPr>
            <w:tcW w:w="1000" w:type="dxa"/>
            <w:vAlign w:val="bottom"/>
            <w:shd w:val="clear" w:color="auto" w:fill="CFF0FC"/>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12/13/2021</w:t>
            </w:r>
          </w:p>
        </w:tc>
        <w:tc>
          <w:tcPr>
            <w:tcW w:w="1120" w:type="dxa"/>
            <w:vAlign w:val="bottom"/>
            <w:shd w:val="clear" w:color="auto" w:fill="CFF0FC"/>
          </w:tcPr>
          <w:p>
            <w:pPr>
              <w:jc w:val="right"/>
              <w:ind w:right="158"/>
              <w:spacing w:after="0" w:line="108" w:lineRule="exact"/>
              <w:rPr>
                <w:sz w:val="20"/>
                <w:szCs w:val="20"/>
                <w:color w:val="auto"/>
              </w:rPr>
            </w:pPr>
            <w:r>
              <w:rPr>
                <w:rFonts w:ascii="Times New Roman" w:cs="Times New Roman" w:eastAsia="Times New Roman" w:hAnsi="Times New Roman"/>
                <w:sz w:val="12"/>
                <w:szCs w:val="12"/>
                <w:color w:val="auto"/>
              </w:rPr>
              <w:t>0.00 %</w:t>
            </w:r>
          </w:p>
        </w:tc>
        <w:tc>
          <w:tcPr>
            <w:tcW w:w="116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0.00 %</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2,134</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2,134</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0.2 %</w:t>
            </w:r>
          </w:p>
        </w:tc>
        <w:tc>
          <w:tcPr>
            <w:tcW w:w="20" w:type="dxa"/>
            <w:vAlign w:val="bottom"/>
          </w:tcPr>
          <w:p>
            <w:pPr>
              <w:spacing w:after="0"/>
              <w:rPr>
                <w:sz w:val="9"/>
                <w:szCs w:val="9"/>
                <w:color w:val="auto"/>
              </w:rPr>
            </w:pPr>
          </w:p>
        </w:tc>
      </w:tr>
      <w:tr>
        <w:trPr>
          <w:trHeight w:val="189"/>
        </w:trPr>
        <w:tc>
          <w:tcPr>
            <w:tcW w:w="2160" w:type="dxa"/>
            <w:vAlign w:val="bottom"/>
            <w:shd w:val="clear" w:color="auto" w:fill="CFF0FC"/>
          </w:tcPr>
          <w:p>
            <w:pPr>
              <w:spacing w:after="0"/>
              <w:rPr>
                <w:sz w:val="16"/>
                <w:szCs w:val="16"/>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 xml:space="preserve">6/2027) </w:t>
            </w:r>
            <w:r>
              <w:rPr>
                <w:rFonts w:ascii="Times New Roman" w:cs="Times New Roman" w:eastAsia="Times New Roman" w:hAnsi="Times New Roman"/>
                <w:sz w:val="16"/>
                <w:szCs w:val="16"/>
                <w:color w:val="auto"/>
                <w:vertAlign w:val="superscript"/>
              </w:rPr>
              <w:t>(13)</w:t>
            </w:r>
          </w:p>
        </w:tc>
        <w:tc>
          <w:tcPr>
            <w:tcW w:w="10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(AUD 2,936)</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PageUp People, Ltd. </w:t>
            </w:r>
            <w:r>
              <w:rPr>
                <w:rFonts w:ascii="Times New Roman" w:cs="Times New Roman" w:eastAsia="Times New Roman" w:hAnsi="Times New Roman"/>
                <w:sz w:val="13"/>
                <w:szCs w:val="13"/>
                <w:color w:val="auto"/>
                <w:vertAlign w:val="superscript"/>
              </w:rPr>
              <w:t>(3)(4)(5)</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(AUD 17,400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1/11/2018</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B + 5.50%</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6.25 %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12,806</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12,115</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0.9 %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12/2025)</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(AUD 16,664)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160" w:type="dxa"/>
            <w:vAlign w:val="bottom"/>
            <w:shd w:val="clear" w:color="auto" w:fill="CFF0FC"/>
          </w:tcPr>
          <w:p>
            <w:pPr>
              <w:spacing w:after="0"/>
              <w:rPr>
                <w:sz w:val="11"/>
                <w:szCs w:val="11"/>
                <w:color w:val="auto"/>
              </w:rPr>
            </w:pP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First-lien loan (GBP 4,723 par, due</w:t>
            </w:r>
          </w:p>
        </w:tc>
        <w:tc>
          <w:tcPr>
            <w:tcW w:w="1000" w:type="dxa"/>
            <w:vAlign w:val="bottom"/>
            <w:shd w:val="clear" w:color="auto" w:fill="CFF0FC"/>
          </w:tcPr>
          <w:p>
            <w:pPr>
              <w:jc w:val="right"/>
              <w:ind w:right="178"/>
              <w:spacing w:after="0" w:line="133" w:lineRule="exact"/>
              <w:rPr>
                <w:sz w:val="20"/>
                <w:szCs w:val="20"/>
                <w:color w:val="auto"/>
              </w:rPr>
            </w:pPr>
            <w:r>
              <w:rPr>
                <w:rFonts w:ascii="Times New Roman" w:cs="Times New Roman" w:eastAsia="Times New Roman" w:hAnsi="Times New Roman"/>
                <w:sz w:val="13"/>
                <w:szCs w:val="13"/>
                <w:color w:val="auto"/>
              </w:rPr>
              <w:t>10/28/2021</w:t>
            </w:r>
          </w:p>
        </w:tc>
        <w:tc>
          <w:tcPr>
            <w:tcW w:w="1120" w:type="dxa"/>
            <w:vAlign w:val="bottom"/>
            <w:shd w:val="clear" w:color="auto" w:fill="CFF0FC"/>
          </w:tcPr>
          <w:p>
            <w:pPr>
              <w:jc w:val="right"/>
              <w:ind w:right="278"/>
              <w:spacing w:after="0" w:line="133" w:lineRule="exact"/>
              <w:rPr>
                <w:sz w:val="20"/>
                <w:szCs w:val="20"/>
                <w:color w:val="auto"/>
              </w:rPr>
            </w:pPr>
            <w:r>
              <w:rPr>
                <w:rFonts w:ascii="Times New Roman" w:cs="Times New Roman" w:eastAsia="Times New Roman" w:hAnsi="Times New Roman"/>
                <w:sz w:val="13"/>
                <w:szCs w:val="13"/>
                <w:color w:val="auto"/>
              </w:rPr>
              <w:t>S + 5.50%</w:t>
            </w:r>
          </w:p>
        </w:tc>
        <w:tc>
          <w:tcPr>
            <w:tcW w:w="11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6.37 %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6,499</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6,317</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0.5 %</w:t>
            </w:r>
          </w:p>
        </w:tc>
        <w:tc>
          <w:tcPr>
            <w:tcW w:w="20" w:type="dxa"/>
            <w:vAlign w:val="bottom"/>
          </w:tcPr>
          <w:p>
            <w:pPr>
              <w:spacing w:after="0"/>
              <w:rPr>
                <w:sz w:val="11"/>
                <w:szCs w:val="1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12/2025)</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4,664)</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2160" w:type="dxa"/>
            <w:vAlign w:val="bottom"/>
          </w:tcPr>
          <w:p>
            <w:pPr>
              <w:spacing w:after="0"/>
              <w:rPr>
                <w:sz w:val="10"/>
                <w:szCs w:val="10"/>
                <w:color w:val="auto"/>
              </w:rPr>
            </w:pP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($12,989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10/28/2021</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+ 5.50%</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6.25 %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12,970</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12,827</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1.0 %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12/2025)</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1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PayScale Holdings, Inc. </w:t>
            </w:r>
            <w:r>
              <w:rPr>
                <w:rFonts w:ascii="Times New Roman" w:cs="Times New Roman" w:eastAsia="Times New Roman" w:hAnsi="Times New Roman"/>
                <w:sz w:val="15"/>
                <w:szCs w:val="15"/>
                <w:color w:val="auto"/>
                <w:vertAlign w:val="superscript"/>
              </w:rPr>
              <w:t>(3)(5)</w:t>
            </w: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First-lien loan ($69,475 par, due</w:t>
            </w:r>
          </w:p>
        </w:tc>
        <w:tc>
          <w:tcPr>
            <w:tcW w:w="1000" w:type="dxa"/>
            <w:vAlign w:val="bottom"/>
            <w:shd w:val="clear" w:color="auto" w:fill="CFF0FC"/>
          </w:tcPr>
          <w:p>
            <w:pPr>
              <w:jc w:val="right"/>
              <w:ind w:right="178"/>
              <w:spacing w:after="0" w:line="133" w:lineRule="exact"/>
              <w:rPr>
                <w:sz w:val="20"/>
                <w:szCs w:val="20"/>
                <w:color w:val="auto"/>
              </w:rPr>
            </w:pPr>
            <w:r>
              <w:rPr>
                <w:rFonts w:ascii="Times New Roman" w:cs="Times New Roman" w:eastAsia="Times New Roman" w:hAnsi="Times New Roman"/>
                <w:sz w:val="13"/>
                <w:szCs w:val="13"/>
                <w:color w:val="auto"/>
              </w:rPr>
              <w:t>5/3/2019</w:t>
            </w:r>
          </w:p>
        </w:tc>
        <w:tc>
          <w:tcPr>
            <w:tcW w:w="1120" w:type="dxa"/>
            <w:vAlign w:val="bottom"/>
            <w:shd w:val="clear" w:color="auto" w:fill="CFF0FC"/>
          </w:tcPr>
          <w:p>
            <w:pPr>
              <w:jc w:val="right"/>
              <w:ind w:right="278"/>
              <w:spacing w:after="0" w:line="133" w:lineRule="exact"/>
              <w:rPr>
                <w:sz w:val="20"/>
                <w:szCs w:val="20"/>
                <w:color w:val="auto"/>
              </w:rPr>
            </w:pPr>
            <w:r>
              <w:rPr>
                <w:rFonts w:ascii="Times New Roman" w:cs="Times New Roman" w:eastAsia="Times New Roman" w:hAnsi="Times New Roman"/>
                <w:sz w:val="13"/>
                <w:szCs w:val="13"/>
                <w:color w:val="auto"/>
              </w:rPr>
              <w:t>L + 6.00%</w:t>
            </w:r>
          </w:p>
        </w:tc>
        <w:tc>
          <w:tcPr>
            <w:tcW w:w="11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7.00 %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68,493</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69,822</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5.5 %</w:t>
            </w:r>
          </w:p>
        </w:tc>
        <w:tc>
          <w:tcPr>
            <w:tcW w:w="20" w:type="dxa"/>
            <w:vAlign w:val="bottom"/>
          </w:tcPr>
          <w:p>
            <w:pPr>
              <w:spacing w:after="0"/>
              <w:rPr>
                <w:sz w:val="11"/>
                <w:szCs w:val="1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5/2024)</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PrimePay Intermediate,</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($27,000 par, due</w:t>
            </w:r>
          </w:p>
        </w:tc>
        <w:tc>
          <w:tcPr>
            <w:tcW w:w="1000" w:type="dxa"/>
            <w:vAlign w:val="bottom"/>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12/17/2021</w:t>
            </w:r>
          </w:p>
        </w:tc>
        <w:tc>
          <w:tcPr>
            <w:tcW w:w="1120" w:type="dxa"/>
            <w:vAlign w:val="bottom"/>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L + 7.00%</w:t>
            </w:r>
          </w:p>
        </w:tc>
        <w:tc>
          <w:tcPr>
            <w:tcW w:w="116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8.00 %</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25,787</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25,775</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2.0 %</w:t>
            </w:r>
          </w:p>
        </w:tc>
        <w:tc>
          <w:tcPr>
            <w:tcW w:w="20" w:type="dxa"/>
            <w:vAlign w:val="bottom"/>
          </w:tcPr>
          <w:p>
            <w:pPr>
              <w:spacing w:after="0"/>
              <w:rPr>
                <w:sz w:val="9"/>
                <w:szCs w:val="9"/>
                <w:color w:val="auto"/>
              </w:rPr>
            </w:pPr>
          </w:p>
        </w:tc>
      </w:tr>
      <w:tr>
        <w:trPr>
          <w:trHeight w:val="189"/>
        </w:trPr>
        <w:tc>
          <w:tcPr>
            <w:tcW w:w="2160" w:type="dxa"/>
            <w:vAlign w:val="bottom"/>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(3)(5)</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12/2026)</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7"/>
        </w:trPr>
        <w:tc>
          <w:tcPr>
            <w:tcW w:w="21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Modern Hire, Inc. </w:t>
            </w:r>
            <w:r>
              <w:rPr>
                <w:rFonts w:ascii="Times New Roman" w:cs="Times New Roman" w:eastAsia="Times New Roman" w:hAnsi="Times New Roman"/>
                <w:sz w:val="13"/>
                <w:szCs w:val="13"/>
                <w:color w:val="auto"/>
                <w:vertAlign w:val="superscript"/>
              </w:rPr>
              <w:t>(3)(5)</w:t>
            </w:r>
          </w:p>
        </w:tc>
        <w:tc>
          <w:tcPr>
            <w:tcW w:w="2420" w:type="dxa"/>
            <w:vAlign w:val="bottom"/>
            <w:shd w:val="clear" w:color="auto" w:fill="CFF0FC"/>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($29,639 par, due</w:t>
            </w:r>
          </w:p>
        </w:tc>
        <w:tc>
          <w:tcPr>
            <w:tcW w:w="1000" w:type="dxa"/>
            <w:vAlign w:val="bottom"/>
            <w:shd w:val="clear" w:color="auto" w:fill="CFF0FC"/>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5/15/2019</w:t>
            </w:r>
          </w:p>
        </w:tc>
        <w:tc>
          <w:tcPr>
            <w:tcW w:w="1120" w:type="dxa"/>
            <w:vAlign w:val="bottom"/>
            <w:shd w:val="clear" w:color="auto" w:fill="CFF0FC"/>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+ 7.00%</w:t>
            </w:r>
          </w:p>
        </w:tc>
        <w:tc>
          <w:tcPr>
            <w:tcW w:w="116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8.50 %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29,206</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30,232</w:t>
            </w:r>
          </w:p>
        </w:tc>
        <w:tc>
          <w:tcPr>
            <w:tcW w:w="128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0"/>
                <w:szCs w:val="10"/>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5/2024)</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Workwell Acquisition Co. </w:t>
            </w:r>
            <w:r>
              <w:rPr>
                <w:rFonts w:ascii="Times New Roman" w:cs="Times New Roman" w:eastAsia="Times New Roman" w:hAnsi="Times New Roman"/>
                <w:sz w:val="13"/>
                <w:szCs w:val="13"/>
                <w:color w:val="auto"/>
                <w:vertAlign w:val="superscript"/>
              </w:rPr>
              <w:t>(3)(5)</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($19,750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10/19/2020</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+ 7.50%</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19,239</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19,899</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1.6 %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10/2025)</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2160" w:type="dxa"/>
            <w:vAlign w:val="bottom"/>
            <w:tcBorders>
              <w:bottom w:val="single" w:sz="8" w:color="CFF0FC"/>
            </w:tcBorders>
            <w:shd w:val="clear" w:color="auto" w:fill="CFF0FC"/>
          </w:tcPr>
          <w:p>
            <w:pPr>
              <w:spacing w:after="0"/>
              <w:rPr>
                <w:sz w:val="13"/>
                <w:szCs w:val="13"/>
                <w:color w:val="auto"/>
              </w:rPr>
            </w:pPr>
          </w:p>
        </w:tc>
        <w:tc>
          <w:tcPr>
            <w:tcW w:w="24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286,152</w:t>
            </w: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289,664</w:t>
            </w:r>
          </w:p>
        </w:tc>
        <w:tc>
          <w:tcPr>
            <w:tcW w:w="2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r>
      <w:tr>
        <w:trPr>
          <w:trHeight w:val="155"/>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2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Bayshore Intermediate #2,</w:t>
            </w:r>
          </w:p>
        </w:tc>
        <w:tc>
          <w:tcPr>
            <w:tcW w:w="2420" w:type="dxa"/>
            <w:vAlign w:val="bottom"/>
            <w:shd w:val="clear" w:color="auto" w:fill="CFF0FC"/>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($28,772 par, due</w:t>
            </w:r>
          </w:p>
        </w:tc>
        <w:tc>
          <w:tcPr>
            <w:tcW w:w="1000" w:type="dxa"/>
            <w:vAlign w:val="bottom"/>
            <w:shd w:val="clear" w:color="auto" w:fill="CFF0FC"/>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10/1/2021</w:t>
            </w:r>
          </w:p>
        </w:tc>
        <w:tc>
          <w:tcPr>
            <w:tcW w:w="1120" w:type="dxa"/>
            <w:vAlign w:val="bottom"/>
            <w:shd w:val="clear" w:color="auto" w:fill="CFF0FC"/>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L + 7.75%</w:t>
            </w:r>
          </w:p>
        </w:tc>
        <w:tc>
          <w:tcPr>
            <w:tcW w:w="1160" w:type="dxa"/>
            <w:vAlign w:val="bottom"/>
            <w:shd w:val="clear" w:color="auto" w:fill="CFF0FC"/>
          </w:tcPr>
          <w:p>
            <w:pPr>
              <w:jc w:val="right"/>
              <w:ind w:right="158"/>
              <w:spacing w:after="0" w:line="108" w:lineRule="exact"/>
              <w:rPr>
                <w:sz w:val="20"/>
                <w:szCs w:val="20"/>
                <w:color w:val="auto"/>
              </w:rPr>
            </w:pPr>
            <w:r>
              <w:rPr>
                <w:rFonts w:ascii="Times New Roman" w:cs="Times New Roman" w:eastAsia="Times New Roman" w:hAnsi="Times New Roman"/>
                <w:sz w:val="12"/>
                <w:szCs w:val="12"/>
                <w:color w:val="auto"/>
              </w:rPr>
              <w:t>8.50% PIK</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28,090</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28,148</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2.2 %</w:t>
            </w:r>
          </w:p>
        </w:tc>
        <w:tc>
          <w:tcPr>
            <w:tcW w:w="20" w:type="dxa"/>
            <w:vAlign w:val="bottom"/>
          </w:tcPr>
          <w:p>
            <w:pPr>
              <w:spacing w:after="0"/>
              <w:rPr>
                <w:sz w:val="9"/>
                <w:szCs w:val="9"/>
                <w:color w:val="auto"/>
              </w:rPr>
            </w:pPr>
          </w:p>
        </w:tc>
      </w:tr>
      <w:tr>
        <w:trPr>
          <w:trHeight w:val="189"/>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 xml:space="preserve">L.P. </w:t>
            </w:r>
            <w:r>
              <w:rPr>
                <w:rFonts w:ascii="Times New Roman" w:cs="Times New Roman" w:eastAsia="Times New Roman" w:hAnsi="Times New Roman"/>
                <w:sz w:val="16"/>
                <w:szCs w:val="16"/>
                <w:color w:val="auto"/>
                <w:vertAlign w:val="superscript"/>
              </w:rPr>
              <w:t>(3)</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10/2028)</w:t>
            </w:r>
          </w:p>
        </w:tc>
        <w:tc>
          <w:tcPr>
            <w:tcW w:w="10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Higher Logic, LLC </w:t>
            </w:r>
            <w:r>
              <w:rPr>
                <w:rFonts w:ascii="Times New Roman" w:cs="Times New Roman" w:eastAsia="Times New Roman" w:hAnsi="Times New Roman"/>
                <w:sz w:val="13"/>
                <w:szCs w:val="13"/>
                <w:color w:val="auto"/>
                <w:vertAlign w:val="superscript"/>
              </w:rPr>
              <w:t>(3)(5)</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($57,262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6/18/2018</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+ 7.25%</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56,753</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57,835</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4.5 %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1/2024)</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4"/>
        </w:trPr>
        <w:tc>
          <w:tcPr>
            <w:tcW w:w="216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Lithium Technologies,</w:t>
            </w:r>
          </w:p>
        </w:tc>
        <w:tc>
          <w:tcPr>
            <w:tcW w:w="2420" w:type="dxa"/>
            <w:vAlign w:val="bottom"/>
            <w:shd w:val="clear" w:color="auto" w:fill="CFF0FC"/>
          </w:tcPr>
          <w:p>
            <w:pPr>
              <w:ind w:left="260"/>
              <w:spacing w:after="0" w:line="124" w:lineRule="exact"/>
              <w:rPr>
                <w:sz w:val="20"/>
                <w:szCs w:val="20"/>
                <w:color w:val="auto"/>
              </w:rPr>
            </w:pPr>
            <w:r>
              <w:rPr>
                <w:rFonts w:ascii="Times New Roman" w:cs="Times New Roman" w:eastAsia="Times New Roman" w:hAnsi="Times New Roman"/>
                <w:sz w:val="13"/>
                <w:szCs w:val="13"/>
                <w:color w:val="auto"/>
              </w:rPr>
              <w:t>First-lien loan ($56,020 par, due</w:t>
            </w:r>
          </w:p>
        </w:tc>
        <w:tc>
          <w:tcPr>
            <w:tcW w:w="1000" w:type="dxa"/>
            <w:vAlign w:val="bottom"/>
            <w:shd w:val="clear" w:color="auto" w:fill="CFF0FC"/>
          </w:tcPr>
          <w:p>
            <w:pPr>
              <w:jc w:val="right"/>
              <w:ind w:right="178"/>
              <w:spacing w:after="0" w:line="124" w:lineRule="exact"/>
              <w:rPr>
                <w:sz w:val="20"/>
                <w:szCs w:val="20"/>
                <w:color w:val="auto"/>
              </w:rPr>
            </w:pPr>
            <w:r>
              <w:rPr>
                <w:rFonts w:ascii="Times New Roman" w:cs="Times New Roman" w:eastAsia="Times New Roman" w:hAnsi="Times New Roman"/>
                <w:sz w:val="13"/>
                <w:szCs w:val="13"/>
                <w:color w:val="auto"/>
              </w:rPr>
              <w:t>10/3/2017</w:t>
            </w:r>
          </w:p>
        </w:tc>
        <w:tc>
          <w:tcPr>
            <w:tcW w:w="1120" w:type="dxa"/>
            <w:vAlign w:val="bottom"/>
            <w:shd w:val="clear" w:color="auto" w:fill="CFF0FC"/>
          </w:tcPr>
          <w:p>
            <w:pPr>
              <w:jc w:val="right"/>
              <w:ind w:right="278"/>
              <w:spacing w:after="0" w:line="124" w:lineRule="exact"/>
              <w:rPr>
                <w:sz w:val="20"/>
                <w:szCs w:val="20"/>
                <w:color w:val="auto"/>
              </w:rPr>
            </w:pPr>
            <w:r>
              <w:rPr>
                <w:rFonts w:ascii="Times New Roman" w:cs="Times New Roman" w:eastAsia="Times New Roman" w:hAnsi="Times New Roman"/>
                <w:sz w:val="13"/>
                <w:szCs w:val="13"/>
                <w:color w:val="auto"/>
              </w:rPr>
              <w:t>L + 8.00%</w:t>
            </w:r>
          </w:p>
        </w:tc>
        <w:tc>
          <w:tcPr>
            <w:tcW w:w="1160" w:type="dxa"/>
            <w:vAlign w:val="bottom"/>
            <w:shd w:val="clear" w:color="auto" w:fill="CFF0FC"/>
          </w:tcPr>
          <w:p>
            <w:pPr>
              <w:jc w:val="right"/>
              <w:ind w:right="38"/>
              <w:spacing w:after="0" w:line="124" w:lineRule="exact"/>
              <w:rPr>
                <w:sz w:val="20"/>
                <w:szCs w:val="20"/>
                <w:color w:val="auto"/>
              </w:rPr>
            </w:pPr>
            <w:r>
              <w:rPr>
                <w:rFonts w:ascii="Times New Roman" w:cs="Times New Roman" w:eastAsia="Times New Roman" w:hAnsi="Times New Roman"/>
                <w:sz w:val="13"/>
                <w:szCs w:val="13"/>
                <w:color w:val="auto"/>
              </w:rPr>
              <w:t>9.00 %</w:t>
            </w:r>
          </w:p>
        </w:tc>
        <w:tc>
          <w:tcPr>
            <w:tcW w:w="8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55,783</w:t>
            </w:r>
          </w:p>
        </w:tc>
        <w:tc>
          <w:tcPr>
            <w:tcW w:w="12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55,439</w:t>
            </w:r>
          </w:p>
        </w:tc>
        <w:tc>
          <w:tcPr>
            <w:tcW w:w="12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4.4 %</w:t>
            </w:r>
          </w:p>
        </w:tc>
        <w:tc>
          <w:tcPr>
            <w:tcW w:w="20" w:type="dxa"/>
            <w:vAlign w:val="bottom"/>
          </w:tcPr>
          <w:p>
            <w:pPr>
              <w:spacing w:after="0"/>
              <w:rPr>
                <w:sz w:val="10"/>
                <w:szCs w:val="10"/>
                <w:color w:val="auto"/>
              </w:rPr>
            </w:pPr>
          </w:p>
        </w:tc>
      </w:tr>
      <w:tr>
        <w:trPr>
          <w:trHeight w:val="189"/>
        </w:trPr>
        <w:tc>
          <w:tcPr>
            <w:tcW w:w="21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(3)</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10/2022)</w:t>
            </w:r>
          </w:p>
        </w:tc>
        <w:tc>
          <w:tcPr>
            <w:tcW w:w="10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3"/>
                <w:szCs w:val="13"/>
                <w:color w:val="auto"/>
                <w:vertAlign w:val="superscript"/>
              </w:rPr>
              <w:t>(9)</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($13,848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7/31/2019</w:t>
            </w:r>
          </w:p>
        </w:tc>
        <w:tc>
          <w:tcPr>
            <w:tcW w:w="1120" w:type="dxa"/>
            <w:vAlign w:val="bottom"/>
          </w:tcPr>
          <w:p>
            <w:pPr>
              <w:jc w:val="right"/>
              <w:ind w:right="158"/>
              <w:spacing w:after="0" w:line="117" w:lineRule="exact"/>
              <w:rPr>
                <w:sz w:val="20"/>
                <w:szCs w:val="20"/>
                <w:color w:val="auto"/>
              </w:rPr>
            </w:pPr>
            <w:r>
              <w:rPr>
                <w:rFonts w:ascii="Times New Roman" w:cs="Times New Roman" w:eastAsia="Times New Roman" w:hAnsi="Times New Roman"/>
                <w:sz w:val="13"/>
                <w:szCs w:val="13"/>
                <w:color w:val="auto"/>
              </w:rPr>
              <w:t>12.00 %</w:t>
            </w:r>
          </w:p>
        </w:tc>
        <w:tc>
          <w:tcPr>
            <w:tcW w:w="116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12.00% (incl.</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13,766</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13,917</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1.1 %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7/2024)</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58"/>
              <w:spacing w:after="0"/>
              <w:rPr>
                <w:sz w:val="20"/>
                <w:szCs w:val="20"/>
                <w:color w:val="auto"/>
              </w:rPr>
            </w:pPr>
            <w:r>
              <w:rPr>
                <w:rFonts w:ascii="Times New Roman" w:cs="Times New Roman" w:eastAsia="Times New Roman" w:hAnsi="Times New Roman"/>
                <w:sz w:val="13"/>
                <w:szCs w:val="13"/>
                <w:color w:val="auto"/>
              </w:rPr>
              <w:t>7.00% PIK)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1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Piano Software, Inc. </w:t>
            </w:r>
            <w:r>
              <w:rPr>
                <w:rFonts w:ascii="Times New Roman" w:cs="Times New Roman" w:eastAsia="Times New Roman" w:hAnsi="Times New Roman"/>
                <w:sz w:val="15"/>
                <w:szCs w:val="15"/>
                <w:color w:val="auto"/>
                <w:vertAlign w:val="superscript"/>
              </w:rPr>
              <w:t>(3)(5)</w:t>
            </w: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First-lien loan ($49,328 par, due</w:t>
            </w:r>
          </w:p>
        </w:tc>
        <w:tc>
          <w:tcPr>
            <w:tcW w:w="1000" w:type="dxa"/>
            <w:vAlign w:val="bottom"/>
            <w:shd w:val="clear" w:color="auto" w:fill="CFF0FC"/>
          </w:tcPr>
          <w:p>
            <w:pPr>
              <w:jc w:val="right"/>
              <w:ind w:right="178"/>
              <w:spacing w:after="0" w:line="133" w:lineRule="exact"/>
              <w:rPr>
                <w:sz w:val="20"/>
                <w:szCs w:val="20"/>
                <w:color w:val="auto"/>
              </w:rPr>
            </w:pPr>
            <w:r>
              <w:rPr>
                <w:rFonts w:ascii="Times New Roman" w:cs="Times New Roman" w:eastAsia="Times New Roman" w:hAnsi="Times New Roman"/>
                <w:sz w:val="13"/>
                <w:szCs w:val="13"/>
                <w:color w:val="auto"/>
              </w:rPr>
              <w:t>2/25/2021</w:t>
            </w:r>
          </w:p>
        </w:tc>
        <w:tc>
          <w:tcPr>
            <w:tcW w:w="1120" w:type="dxa"/>
            <w:vAlign w:val="bottom"/>
            <w:shd w:val="clear" w:color="auto" w:fill="CFF0FC"/>
          </w:tcPr>
          <w:p>
            <w:pPr>
              <w:jc w:val="right"/>
              <w:ind w:right="278"/>
              <w:spacing w:after="0" w:line="133" w:lineRule="exact"/>
              <w:rPr>
                <w:sz w:val="20"/>
                <w:szCs w:val="20"/>
                <w:color w:val="auto"/>
              </w:rPr>
            </w:pPr>
            <w:r>
              <w:rPr>
                <w:rFonts w:ascii="Times New Roman" w:cs="Times New Roman" w:eastAsia="Times New Roman" w:hAnsi="Times New Roman"/>
                <w:sz w:val="13"/>
                <w:szCs w:val="13"/>
                <w:color w:val="auto"/>
              </w:rPr>
              <w:t>L + 6.50%</w:t>
            </w:r>
          </w:p>
        </w:tc>
        <w:tc>
          <w:tcPr>
            <w:tcW w:w="11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7.50 %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48,292</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48,711</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3.8 %</w:t>
            </w:r>
          </w:p>
        </w:tc>
        <w:tc>
          <w:tcPr>
            <w:tcW w:w="20" w:type="dxa"/>
            <w:vAlign w:val="bottom"/>
          </w:tcPr>
          <w:p>
            <w:pPr>
              <w:spacing w:after="0"/>
              <w:rPr>
                <w:sz w:val="11"/>
                <w:szCs w:val="11"/>
                <w:color w:val="auto"/>
              </w:rPr>
            </w:pPr>
          </w:p>
        </w:tc>
      </w:tr>
      <w:tr>
        <w:trPr>
          <w:trHeight w:val="165"/>
        </w:trPr>
        <w:tc>
          <w:tcPr>
            <w:tcW w:w="2160" w:type="dxa"/>
            <w:vAlign w:val="bottom"/>
            <w:tcBorders>
              <w:bottom w:val="single" w:sz="8" w:color="CFF0FC"/>
            </w:tcBorders>
            <w:shd w:val="clear" w:color="auto" w:fill="CFF0FC"/>
          </w:tcPr>
          <w:p>
            <w:pPr>
              <w:spacing w:after="0"/>
              <w:rPr>
                <w:sz w:val="14"/>
                <w:szCs w:val="14"/>
                <w:color w:val="auto"/>
              </w:rPr>
            </w:pPr>
          </w:p>
        </w:tc>
        <w:tc>
          <w:tcPr>
            <w:tcW w:w="24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2/2026)</w:t>
            </w:r>
          </w:p>
        </w:tc>
        <w:tc>
          <w:tcPr>
            <w:tcW w:w="10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204,050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16.0 </w:t>
            </w:r>
            <w:r>
              <w:rPr>
                <w:rFonts w:ascii="Times New Roman" w:cs="Times New Roman" w:eastAsia="Times New Roman" w:hAnsi="Times New Roman"/>
                <w:sz w:val="13"/>
                <w:szCs w:val="13"/>
                <w:color w:val="auto"/>
                <w:highlight w:val="white"/>
              </w:rPr>
              <w:t>%</w:t>
            </w:r>
          </w:p>
        </w:tc>
        <w:tc>
          <w:tcPr>
            <w:tcW w:w="20" w:type="dxa"/>
            <w:vAlign w:val="bottom"/>
          </w:tcPr>
          <w:p>
            <w:pPr>
              <w:spacing w:after="0"/>
              <w:rPr>
                <w:sz w:val="13"/>
                <w:szCs w:val="13"/>
                <w:color w:val="auto"/>
              </w:rPr>
            </w:pPr>
          </w:p>
        </w:tc>
      </w:tr>
      <w:tr>
        <w:trPr>
          <w:trHeight w:val="15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Marketing Services</w:t>
            </w:r>
          </w:p>
        </w:tc>
        <w:tc>
          <w:tcPr>
            <w:tcW w:w="24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Acoustic, L.P. </w:t>
            </w:r>
            <w:r>
              <w:rPr>
                <w:rFonts w:ascii="Times New Roman" w:cs="Times New Roman" w:eastAsia="Times New Roman" w:hAnsi="Times New Roman"/>
                <w:sz w:val="13"/>
                <w:szCs w:val="13"/>
                <w:color w:val="auto"/>
                <w:vertAlign w:val="superscript"/>
              </w:rPr>
              <w:t>(3)</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note ($33,330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12/17/2019</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+ 7.00%</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32,544</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31,747</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2.5 %</w:t>
            </w:r>
          </w:p>
        </w:tc>
        <w:tc>
          <w:tcPr>
            <w:tcW w:w="20" w:type="dxa"/>
            <w:vAlign w:val="bottom"/>
          </w:tcPr>
          <w:p>
            <w:pPr>
              <w:spacing w:after="0"/>
              <w:rPr>
                <w:sz w:val="10"/>
                <w:szCs w:val="10"/>
                <w:color w:val="auto"/>
              </w:rPr>
            </w:pPr>
          </w:p>
        </w:tc>
      </w:tr>
      <w:tr>
        <w:trPr>
          <w:trHeight w:val="172"/>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6/2024)</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Office Products</w:t>
            </w:r>
          </w:p>
        </w:tc>
        <w:tc>
          <w:tcPr>
            <w:tcW w:w="2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USR Parent, Inc. </w:t>
            </w:r>
            <w:r>
              <w:rPr>
                <w:rFonts w:ascii="Times New Roman" w:cs="Times New Roman" w:eastAsia="Times New Roman" w:hAnsi="Times New Roman"/>
                <w:sz w:val="13"/>
                <w:szCs w:val="13"/>
                <w:color w:val="auto"/>
                <w:vertAlign w:val="superscript"/>
              </w:rPr>
              <w:t>(3)(5)</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ABL FILO term loan ($5,732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9/12/2017</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+ 7.75%</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8.75 %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5,709</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5,732</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0"/>
                <w:szCs w:val="10"/>
                <w:color w:val="auto"/>
              </w:rPr>
            </w:pPr>
          </w:p>
        </w:tc>
      </w:tr>
      <w:tr>
        <w:trPr>
          <w:trHeight w:val="172"/>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9/2022)</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MD America Energy,</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($8,775 par, due</w:t>
            </w:r>
          </w:p>
        </w:tc>
        <w:tc>
          <w:tcPr>
            <w:tcW w:w="1000" w:type="dxa"/>
            <w:vAlign w:val="bottom"/>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11/14/2018</w:t>
            </w:r>
          </w:p>
        </w:tc>
        <w:tc>
          <w:tcPr>
            <w:tcW w:w="1120" w:type="dxa"/>
            <w:vAlign w:val="bottom"/>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L + 7.75%</w:t>
            </w:r>
          </w:p>
        </w:tc>
        <w:tc>
          <w:tcPr>
            <w:tcW w:w="116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9.25 %</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8,775</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8,775</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0.7 %</w:t>
            </w:r>
          </w:p>
        </w:tc>
        <w:tc>
          <w:tcPr>
            <w:tcW w:w="20" w:type="dxa"/>
            <w:vAlign w:val="bottom"/>
          </w:tcPr>
          <w:p>
            <w:pPr>
              <w:spacing w:after="0"/>
              <w:rPr>
                <w:sz w:val="9"/>
                <w:szCs w:val="9"/>
                <w:color w:val="auto"/>
              </w:rPr>
            </w:pPr>
          </w:p>
        </w:tc>
      </w:tr>
      <w:tr>
        <w:trPr>
          <w:trHeight w:val="189"/>
        </w:trPr>
        <w:tc>
          <w:tcPr>
            <w:tcW w:w="2160" w:type="dxa"/>
            <w:vAlign w:val="bottom"/>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(3)(6)</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12/2024)</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8"/>
        </w:trPr>
        <w:tc>
          <w:tcPr>
            <w:tcW w:w="2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Mississippi Resources,</w:t>
            </w:r>
          </w:p>
        </w:tc>
        <w:tc>
          <w:tcPr>
            <w:tcW w:w="2420" w:type="dxa"/>
            <w:vAlign w:val="bottom"/>
            <w:shd w:val="clear" w:color="auto" w:fill="CFF0FC"/>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($1,500 par, due</w:t>
            </w:r>
          </w:p>
        </w:tc>
        <w:tc>
          <w:tcPr>
            <w:tcW w:w="1000" w:type="dxa"/>
            <w:vAlign w:val="bottom"/>
            <w:shd w:val="clear" w:color="auto" w:fill="CFF0FC"/>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6/29/2018</w:t>
            </w:r>
          </w:p>
        </w:tc>
        <w:tc>
          <w:tcPr>
            <w:tcW w:w="1120" w:type="dxa"/>
            <w:vAlign w:val="bottom"/>
            <w:shd w:val="clear" w:color="auto" w:fill="CFF0FC"/>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P + 8.00%</w:t>
            </w:r>
          </w:p>
        </w:tc>
        <w:tc>
          <w:tcPr>
            <w:tcW w:w="1160" w:type="dxa"/>
            <w:vAlign w:val="bottom"/>
            <w:shd w:val="clear" w:color="auto" w:fill="CFF0FC"/>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12.00 %</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1,498</w:t>
            </w:r>
          </w:p>
        </w:tc>
        <w:tc>
          <w:tcPr>
            <w:tcW w:w="220" w:type="dxa"/>
            <w:vAlign w:val="bottom"/>
            <w:shd w:val="clear" w:color="auto" w:fill="CFF0FC"/>
          </w:tcPr>
          <w:p>
            <w:pPr>
              <w:spacing w:after="0"/>
              <w:rPr>
                <w:sz w:val="9"/>
                <w:szCs w:val="9"/>
                <w:color w:val="auto"/>
              </w:rPr>
            </w:pPr>
          </w:p>
        </w:tc>
        <w:tc>
          <w:tcPr>
            <w:tcW w:w="10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0.0 %</w:t>
            </w:r>
          </w:p>
        </w:tc>
        <w:tc>
          <w:tcPr>
            <w:tcW w:w="20" w:type="dxa"/>
            <w:vAlign w:val="bottom"/>
          </w:tcPr>
          <w:p>
            <w:pPr>
              <w:spacing w:after="0"/>
              <w:rPr>
                <w:sz w:val="9"/>
                <w:szCs w:val="9"/>
                <w:color w:val="auto"/>
              </w:rPr>
            </w:pPr>
          </w:p>
        </w:tc>
      </w:tr>
      <w:tr>
        <w:trPr>
          <w:trHeight w:val="189"/>
        </w:trPr>
        <w:tc>
          <w:tcPr>
            <w:tcW w:w="21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(3)(7)(16)</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12/2022)</w:t>
            </w:r>
          </w:p>
        </w:tc>
        <w:tc>
          <w:tcPr>
            <w:tcW w:w="10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TRP Assets, LLC </w:t>
            </w:r>
            <w:r>
              <w:rPr>
                <w:rFonts w:ascii="Times New Roman" w:cs="Times New Roman" w:eastAsia="Times New Roman" w:hAnsi="Times New Roman"/>
                <w:sz w:val="13"/>
                <w:szCs w:val="13"/>
                <w:color w:val="auto"/>
                <w:vertAlign w:val="superscript"/>
              </w:rPr>
              <w:t>(3)</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($42,000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12/3/2021</w:t>
            </w:r>
          </w:p>
        </w:tc>
        <w:tc>
          <w:tcPr>
            <w:tcW w:w="1120" w:type="dxa"/>
            <w:vAlign w:val="bottom"/>
          </w:tcPr>
          <w:p>
            <w:pPr>
              <w:jc w:val="right"/>
              <w:ind w:right="3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9.76 %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41,003</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40,950</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3.2 %</w:t>
            </w:r>
          </w:p>
        </w:tc>
        <w:tc>
          <w:tcPr>
            <w:tcW w:w="20" w:type="dxa"/>
            <w:vAlign w:val="bottom"/>
          </w:tcPr>
          <w:p>
            <w:pPr>
              <w:spacing w:after="0"/>
              <w:rPr>
                <w:sz w:val="10"/>
                <w:szCs w:val="10"/>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12/2025)</w:t>
            </w:r>
          </w:p>
        </w:tc>
        <w:tc>
          <w:tcPr>
            <w:tcW w:w="1000" w:type="dxa"/>
            <w:vAlign w:val="bottom"/>
          </w:tcPr>
          <w:p>
            <w:pPr>
              <w:spacing w:after="0"/>
              <w:rPr>
                <w:sz w:val="14"/>
                <w:szCs w:val="14"/>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3"/>
                <w:szCs w:val="13"/>
                <w:color w:val="auto"/>
              </w:rPr>
              <w:t>7.50%</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4"/>
        </w:trPr>
        <w:tc>
          <w:tcPr>
            <w:tcW w:w="216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Verdad Resources Intermediate</w:t>
            </w:r>
          </w:p>
        </w:tc>
        <w:tc>
          <w:tcPr>
            <w:tcW w:w="2420" w:type="dxa"/>
            <w:vAlign w:val="bottom"/>
            <w:shd w:val="clear" w:color="auto" w:fill="CFF0FC"/>
          </w:tcPr>
          <w:p>
            <w:pPr>
              <w:ind w:left="260"/>
              <w:spacing w:after="0" w:line="124" w:lineRule="exact"/>
              <w:rPr>
                <w:sz w:val="20"/>
                <w:szCs w:val="20"/>
                <w:color w:val="auto"/>
              </w:rPr>
            </w:pPr>
            <w:r>
              <w:rPr>
                <w:rFonts w:ascii="Times New Roman" w:cs="Times New Roman" w:eastAsia="Times New Roman" w:hAnsi="Times New Roman"/>
                <w:sz w:val="13"/>
                <w:szCs w:val="13"/>
                <w:color w:val="auto"/>
              </w:rPr>
              <w:t>First-lien loan ($25,233 par, due</w:t>
            </w:r>
          </w:p>
        </w:tc>
        <w:tc>
          <w:tcPr>
            <w:tcW w:w="1000" w:type="dxa"/>
            <w:vAlign w:val="bottom"/>
            <w:shd w:val="clear" w:color="auto" w:fill="CFF0FC"/>
          </w:tcPr>
          <w:p>
            <w:pPr>
              <w:jc w:val="right"/>
              <w:ind w:right="178"/>
              <w:spacing w:after="0" w:line="124" w:lineRule="exact"/>
              <w:rPr>
                <w:sz w:val="20"/>
                <w:szCs w:val="20"/>
                <w:color w:val="auto"/>
              </w:rPr>
            </w:pPr>
            <w:r>
              <w:rPr>
                <w:rFonts w:ascii="Times New Roman" w:cs="Times New Roman" w:eastAsia="Times New Roman" w:hAnsi="Times New Roman"/>
                <w:sz w:val="13"/>
                <w:szCs w:val="13"/>
                <w:color w:val="auto"/>
              </w:rPr>
              <w:t>4/10/2019</w:t>
            </w:r>
          </w:p>
        </w:tc>
        <w:tc>
          <w:tcPr>
            <w:tcW w:w="1120" w:type="dxa"/>
            <w:vAlign w:val="bottom"/>
            <w:shd w:val="clear" w:color="auto" w:fill="CFF0FC"/>
          </w:tcPr>
          <w:p>
            <w:pPr>
              <w:jc w:val="right"/>
              <w:ind w:right="278"/>
              <w:spacing w:after="0" w:line="124" w:lineRule="exact"/>
              <w:rPr>
                <w:sz w:val="20"/>
                <w:szCs w:val="20"/>
                <w:color w:val="auto"/>
              </w:rPr>
            </w:pPr>
            <w:r>
              <w:rPr>
                <w:rFonts w:ascii="Times New Roman" w:cs="Times New Roman" w:eastAsia="Times New Roman" w:hAnsi="Times New Roman"/>
                <w:sz w:val="13"/>
                <w:szCs w:val="13"/>
                <w:color w:val="auto"/>
              </w:rPr>
              <w:t>L + 7.50%</w:t>
            </w:r>
          </w:p>
        </w:tc>
        <w:tc>
          <w:tcPr>
            <w:tcW w:w="1160" w:type="dxa"/>
            <w:vAlign w:val="bottom"/>
            <w:shd w:val="clear" w:color="auto" w:fill="CFF0FC"/>
          </w:tcPr>
          <w:p>
            <w:pPr>
              <w:jc w:val="right"/>
              <w:ind w:right="38"/>
              <w:spacing w:after="0" w:line="124" w:lineRule="exact"/>
              <w:rPr>
                <w:sz w:val="20"/>
                <w:szCs w:val="20"/>
                <w:color w:val="auto"/>
              </w:rPr>
            </w:pPr>
            <w:r>
              <w:rPr>
                <w:rFonts w:ascii="Times New Roman" w:cs="Times New Roman" w:eastAsia="Times New Roman" w:hAnsi="Times New Roman"/>
                <w:sz w:val="13"/>
                <w:szCs w:val="13"/>
                <w:color w:val="auto"/>
              </w:rPr>
              <w:t>9.50 %</w:t>
            </w:r>
          </w:p>
        </w:tc>
        <w:tc>
          <w:tcPr>
            <w:tcW w:w="8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24,925</w:t>
            </w:r>
          </w:p>
        </w:tc>
        <w:tc>
          <w:tcPr>
            <w:tcW w:w="12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25,485</w:t>
            </w:r>
          </w:p>
        </w:tc>
        <w:tc>
          <w:tcPr>
            <w:tcW w:w="12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2.0 %</w:t>
            </w:r>
          </w:p>
        </w:tc>
        <w:tc>
          <w:tcPr>
            <w:tcW w:w="20" w:type="dxa"/>
            <w:vAlign w:val="bottom"/>
          </w:tcPr>
          <w:p>
            <w:pPr>
              <w:spacing w:after="0"/>
              <w:rPr>
                <w:sz w:val="10"/>
                <w:szCs w:val="10"/>
                <w:color w:val="auto"/>
              </w:rPr>
            </w:pPr>
          </w:p>
        </w:tc>
      </w:tr>
      <w:tr>
        <w:trPr>
          <w:trHeight w:val="175"/>
        </w:trPr>
        <w:tc>
          <w:tcPr>
            <w:tcW w:w="2160" w:type="dxa"/>
            <w:vAlign w:val="bottom"/>
            <w:tcBorders>
              <w:bottom w:val="single" w:sz="8" w:color="CFF0FC"/>
            </w:tcBorders>
            <w:shd w:val="clear" w:color="auto" w:fill="CFF0FC"/>
          </w:tcPr>
          <w:p>
            <w:pPr>
              <w:ind w:left="120"/>
              <w:spacing w:after="0" w:line="175" w:lineRule="exact"/>
              <w:rPr>
                <w:sz w:val="20"/>
                <w:szCs w:val="20"/>
                <w:color w:val="auto"/>
              </w:rPr>
            </w:pPr>
            <w:r>
              <w:rPr>
                <w:rFonts w:ascii="Times New Roman" w:cs="Times New Roman" w:eastAsia="Times New Roman" w:hAnsi="Times New Roman"/>
                <w:sz w:val="13"/>
                <w:szCs w:val="13"/>
                <w:color w:val="auto"/>
              </w:rPr>
              <w:t xml:space="preserve">Holdings, LLC </w:t>
            </w:r>
            <w:r>
              <w:rPr>
                <w:rFonts w:ascii="Times New Roman" w:cs="Times New Roman" w:eastAsia="Times New Roman" w:hAnsi="Times New Roman"/>
                <w:sz w:val="16"/>
                <w:szCs w:val="16"/>
                <w:color w:val="auto"/>
                <w:vertAlign w:val="superscript"/>
              </w:rPr>
              <w:t>(3)</w:t>
            </w:r>
          </w:p>
        </w:tc>
        <w:tc>
          <w:tcPr>
            <w:tcW w:w="24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10/2024)</w:t>
            </w:r>
          </w:p>
        </w:tc>
        <w:tc>
          <w:tcPr>
            <w:tcW w:w="10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75,210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color w:val="auto"/>
                <w:highlight w:val="white"/>
              </w:rPr>
              <w:t>%</w:t>
            </w:r>
          </w:p>
        </w:tc>
        <w:tc>
          <w:tcPr>
            <w:tcW w:w="20" w:type="dxa"/>
            <w:vAlign w:val="bottom"/>
          </w:tcPr>
          <w:p>
            <w:pPr>
              <w:spacing w:after="0"/>
              <w:rPr>
                <w:sz w:val="13"/>
                <w:szCs w:val="13"/>
                <w:color w:val="auto"/>
              </w:rPr>
            </w:pPr>
          </w:p>
        </w:tc>
      </w:tr>
      <w:tr>
        <w:trPr>
          <w:trHeight w:val="15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Omnigo Software, LLC </w:t>
            </w:r>
            <w:r>
              <w:rPr>
                <w:rFonts w:ascii="Times New Roman" w:cs="Times New Roman" w:eastAsia="Times New Roman" w:hAnsi="Times New Roman"/>
                <w:sz w:val="13"/>
                <w:szCs w:val="13"/>
                <w:color w:val="auto"/>
                <w:vertAlign w:val="superscript"/>
              </w:rPr>
              <w:t>(3)(5)</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($33,745 par, due</w:t>
            </w:r>
          </w:p>
        </w:tc>
        <w:tc>
          <w:tcPr>
            <w:tcW w:w="1000" w:type="dxa"/>
            <w:vAlign w:val="bottom"/>
          </w:tcPr>
          <w:p>
            <w:pPr>
              <w:jc w:val="right"/>
              <w:ind w:right="178"/>
              <w:spacing w:after="0" w:line="117" w:lineRule="exact"/>
              <w:rPr>
                <w:sz w:val="20"/>
                <w:szCs w:val="20"/>
                <w:color w:val="auto"/>
              </w:rPr>
            </w:pPr>
            <w:r>
              <w:rPr>
                <w:rFonts w:ascii="Times New Roman" w:cs="Times New Roman" w:eastAsia="Times New Roman" w:hAnsi="Times New Roman"/>
                <w:sz w:val="13"/>
                <w:szCs w:val="13"/>
                <w:color w:val="auto"/>
              </w:rPr>
              <w:t>3/31/2021</w:t>
            </w:r>
          </w:p>
        </w:tc>
        <w:tc>
          <w:tcPr>
            <w:tcW w:w="1120" w:type="dxa"/>
            <w:vAlign w:val="bottom"/>
          </w:tcPr>
          <w:p>
            <w:pPr>
              <w:jc w:val="right"/>
              <w:ind w:right="278"/>
              <w:spacing w:after="0" w:line="117" w:lineRule="exact"/>
              <w:rPr>
                <w:sz w:val="20"/>
                <w:szCs w:val="20"/>
                <w:color w:val="auto"/>
              </w:rPr>
            </w:pPr>
            <w:r>
              <w:rPr>
                <w:rFonts w:ascii="Times New Roman" w:cs="Times New Roman" w:eastAsia="Times New Roman" w:hAnsi="Times New Roman"/>
                <w:sz w:val="13"/>
                <w:szCs w:val="13"/>
                <w:color w:val="auto"/>
              </w:rPr>
              <w:t>L + 6.50%</w:t>
            </w:r>
          </w:p>
        </w:tc>
        <w:tc>
          <w:tcPr>
            <w:tcW w:w="11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7.50 %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33,067</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33,408</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2.6 %</w:t>
            </w:r>
          </w:p>
        </w:tc>
        <w:tc>
          <w:tcPr>
            <w:tcW w:w="20" w:type="dxa"/>
            <w:vAlign w:val="bottom"/>
          </w:tcPr>
          <w:p>
            <w:pPr>
              <w:spacing w:after="0"/>
              <w:rPr>
                <w:sz w:val="10"/>
                <w:szCs w:val="10"/>
                <w:color w:val="auto"/>
              </w:rPr>
            </w:pPr>
          </w:p>
        </w:tc>
      </w:tr>
      <w:tr>
        <w:trPr>
          <w:trHeight w:val="172"/>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3/2026)</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Pharmaceuticals</w:t>
            </w:r>
          </w:p>
        </w:tc>
        <w:tc>
          <w:tcPr>
            <w:tcW w:w="2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Biohaven Pharmaceuticals,</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($41,768 par, due</w:t>
            </w:r>
          </w:p>
        </w:tc>
        <w:tc>
          <w:tcPr>
            <w:tcW w:w="1000" w:type="dxa"/>
            <w:vAlign w:val="bottom"/>
          </w:tcPr>
          <w:p>
            <w:pPr>
              <w:jc w:val="right"/>
              <w:ind w:right="178"/>
              <w:spacing w:after="0" w:line="108" w:lineRule="exact"/>
              <w:rPr>
                <w:sz w:val="20"/>
                <w:szCs w:val="20"/>
                <w:color w:val="auto"/>
              </w:rPr>
            </w:pPr>
            <w:r>
              <w:rPr>
                <w:rFonts w:ascii="Times New Roman" w:cs="Times New Roman" w:eastAsia="Times New Roman" w:hAnsi="Times New Roman"/>
                <w:sz w:val="12"/>
                <w:szCs w:val="12"/>
                <w:color w:val="auto"/>
              </w:rPr>
              <w:t>8/7/2020</w:t>
            </w:r>
          </w:p>
        </w:tc>
        <w:tc>
          <w:tcPr>
            <w:tcW w:w="1120" w:type="dxa"/>
            <w:vAlign w:val="bottom"/>
          </w:tcPr>
          <w:p>
            <w:pPr>
              <w:jc w:val="right"/>
              <w:ind w:right="278"/>
              <w:spacing w:after="0" w:line="108" w:lineRule="exact"/>
              <w:rPr>
                <w:sz w:val="20"/>
                <w:szCs w:val="20"/>
                <w:color w:val="auto"/>
              </w:rPr>
            </w:pPr>
            <w:r>
              <w:rPr>
                <w:rFonts w:ascii="Times New Roman" w:cs="Times New Roman" w:eastAsia="Times New Roman" w:hAnsi="Times New Roman"/>
                <w:sz w:val="12"/>
                <w:szCs w:val="12"/>
                <w:color w:val="auto"/>
              </w:rPr>
              <w:t>L + 9.00%</w:t>
            </w:r>
          </w:p>
        </w:tc>
        <w:tc>
          <w:tcPr>
            <w:tcW w:w="1160" w:type="dxa"/>
            <w:vAlign w:val="bottom"/>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10.00% (incl.</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50,761</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52,782</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4.1 %</w:t>
            </w:r>
          </w:p>
        </w:tc>
        <w:tc>
          <w:tcPr>
            <w:tcW w:w="20" w:type="dxa"/>
            <w:vAlign w:val="bottom"/>
          </w:tcPr>
          <w:p>
            <w:pPr>
              <w:spacing w:after="0"/>
              <w:rPr>
                <w:sz w:val="9"/>
                <w:szCs w:val="9"/>
                <w:color w:val="auto"/>
              </w:rPr>
            </w:pPr>
          </w:p>
        </w:tc>
      </w:tr>
      <w:tr>
        <w:trPr>
          <w:trHeight w:val="333"/>
        </w:trPr>
        <w:tc>
          <w:tcPr>
            <w:tcW w:w="2160" w:type="dxa"/>
            <w:vAlign w:val="bottom"/>
          </w:tcPr>
          <w:p>
            <w:pPr>
              <w:ind w:left="120"/>
              <w:spacing w:after="0"/>
              <w:rPr>
                <w:sz w:val="20"/>
                <w:szCs w:val="20"/>
                <w:color w:val="auto"/>
              </w:rPr>
            </w:pPr>
            <w:r>
              <w:rPr>
                <w:rFonts w:ascii="Times New Roman" w:cs="Times New Roman" w:eastAsia="Times New Roman" w:hAnsi="Times New Roman"/>
                <w:sz w:val="25"/>
                <w:szCs w:val="25"/>
                <w:color w:val="auto"/>
                <w:vertAlign w:val="subscript"/>
              </w:rPr>
              <w:t>Inc.</w:t>
            </w:r>
            <w:r>
              <w:rPr>
                <w:rFonts w:ascii="Times New Roman" w:cs="Times New Roman" w:eastAsia="Times New Roman" w:hAnsi="Times New Roman"/>
                <w:sz w:val="8"/>
                <w:szCs w:val="8"/>
                <w:color w:val="auto"/>
              </w:rPr>
              <w:t xml:space="preserve"> (3)(4)</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8/2025)</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jc w:val="right"/>
              <w:ind w:right="158"/>
              <w:spacing w:after="0"/>
              <w:rPr>
                <w:sz w:val="20"/>
                <w:szCs w:val="20"/>
                <w:color w:val="auto"/>
              </w:rPr>
            </w:pPr>
            <w:r>
              <w:rPr>
                <w:rFonts w:ascii="Times New Roman" w:cs="Times New Roman" w:eastAsia="Times New Roman" w:hAnsi="Times New Roman"/>
                <w:sz w:val="13"/>
                <w:szCs w:val="13"/>
                <w:color w:val="auto"/>
              </w:rPr>
              <w:t>4.00% PIK)</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-6674485</wp:posOffset>
            </wp:positionV>
            <wp:extent cx="6858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-6674485</wp:posOffset>
            </wp:positionV>
            <wp:extent cx="6858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-6082665</wp:posOffset>
            </wp:positionV>
            <wp:extent cx="68580"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-6082665</wp:posOffset>
            </wp:positionV>
            <wp:extent cx="68580" cy="120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-3390900</wp:posOffset>
            </wp:positionV>
            <wp:extent cx="68580" cy="1111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-3390900</wp:posOffset>
            </wp:positionV>
            <wp:extent cx="68580" cy="1111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-3390900</wp:posOffset>
            </wp:positionV>
            <wp:extent cx="68580" cy="1111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-2345055</wp:posOffset>
            </wp:positionV>
            <wp:extent cx="68580"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-2345055</wp:posOffset>
            </wp:positionV>
            <wp:extent cx="6858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-793750</wp:posOffset>
            </wp:positionV>
            <wp:extent cx="6858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-793750</wp:posOffset>
            </wp:positionV>
            <wp:extent cx="6858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5"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2160" w:type="dxa"/>
            <w:vAlign w:val="bottom"/>
            <w:shd w:val="clear" w:color="auto" w:fill="CFF0FC"/>
          </w:tcPr>
          <w:p>
            <w:pPr>
              <w:spacing w:after="0"/>
              <w:rPr>
                <w:sz w:val="12"/>
                <w:szCs w:val="12"/>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First-lien loan ($22,730 par, due</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9/30/2021</w:t>
            </w:r>
          </w:p>
        </w:tc>
        <w:tc>
          <w:tcPr>
            <w:tcW w:w="9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L + 8.25%</w:t>
            </w:r>
          </w:p>
        </w:tc>
        <w:tc>
          <w:tcPr>
            <w:tcW w:w="136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9.25% (incl. 4.00%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12,816</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9/2026)</w:t>
            </w:r>
          </w:p>
        </w:tc>
        <w:tc>
          <w:tcPr>
            <w:tcW w:w="9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TherapeuticsMD, Inc. </w:t>
            </w:r>
            <w:r>
              <w:rPr>
                <w:rFonts w:ascii="Times New Roman" w:cs="Times New Roman" w:eastAsia="Times New Roman" w:hAnsi="Times New Roman"/>
                <w:sz w:val="13"/>
                <w:szCs w:val="13"/>
                <w:color w:val="auto"/>
                <w:vertAlign w:val="superscript"/>
              </w:rPr>
              <w:t>(3)(4)</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($30,000 par, due</w:t>
            </w:r>
          </w:p>
        </w:tc>
        <w:tc>
          <w:tcPr>
            <w:tcW w:w="9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4/24/2019</w:t>
            </w:r>
          </w:p>
        </w:tc>
        <w:tc>
          <w:tcPr>
            <w:tcW w:w="9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L + 7.75%</w:t>
            </w:r>
          </w:p>
        </w:tc>
        <w:tc>
          <w:tcPr>
            <w:tcW w:w="13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10.45 %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29,068</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30,000</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3/2024)</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60" w:type="dxa"/>
            <w:vAlign w:val="bottom"/>
            <w:tcBorders>
              <w:bottom w:val="single" w:sz="8" w:color="CFF0FC"/>
            </w:tcBorders>
            <w:shd w:val="clear" w:color="auto" w:fill="CFF0FC"/>
          </w:tcPr>
          <w:p>
            <w:pPr>
              <w:spacing w:after="0"/>
              <w:rPr>
                <w:sz w:val="13"/>
                <w:szCs w:val="13"/>
                <w:color w:val="auto"/>
              </w:rPr>
            </w:pPr>
          </w:p>
        </w:tc>
        <w:tc>
          <w:tcPr>
            <w:tcW w:w="24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13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91,732</w:t>
            </w: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95,598</w:t>
            </w:r>
          </w:p>
        </w:tc>
        <w:tc>
          <w:tcPr>
            <w:tcW w:w="2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4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99 Cents Only Stores</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ABL FILO term loan ($25,000 par, due</w:t>
            </w:r>
          </w:p>
        </w:tc>
        <w:tc>
          <w:tcPr>
            <w:tcW w:w="960" w:type="dxa"/>
            <w:vAlign w:val="bottom"/>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9/6/2017</w:t>
            </w:r>
          </w:p>
        </w:tc>
        <w:tc>
          <w:tcPr>
            <w:tcW w:w="96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L + 8.50%</w:t>
            </w:r>
          </w:p>
        </w:tc>
        <w:tc>
          <w:tcPr>
            <w:tcW w:w="136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9.50 %</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24,704</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25,625</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2.0 %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(3)</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5/2025)</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American Achievement,</w:t>
            </w:r>
          </w:p>
        </w:tc>
        <w:tc>
          <w:tcPr>
            <w:tcW w:w="2420" w:type="dxa"/>
            <w:vAlign w:val="bottom"/>
            <w:shd w:val="clear" w:color="auto" w:fill="CFF0FC"/>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($25,185 par, due</w:t>
            </w:r>
          </w:p>
        </w:tc>
        <w:tc>
          <w:tcPr>
            <w:tcW w:w="960" w:type="dxa"/>
            <w:vAlign w:val="bottom"/>
            <w:shd w:val="clear" w:color="auto" w:fill="CFF0FC"/>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9/30/2015</w:t>
            </w:r>
          </w:p>
        </w:tc>
        <w:tc>
          <w:tcPr>
            <w:tcW w:w="960" w:type="dxa"/>
            <w:vAlign w:val="bottom"/>
            <w:shd w:val="clear" w:color="auto" w:fill="CFF0FC"/>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L + 6.25%</w:t>
            </w:r>
          </w:p>
        </w:tc>
        <w:tc>
          <w:tcPr>
            <w:tcW w:w="1360" w:type="dxa"/>
            <w:vAlign w:val="bottom"/>
            <w:shd w:val="clear" w:color="auto" w:fill="CFF0FC"/>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7.25% (incl. 6.75%</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24,259</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18,952</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1.5 %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 xml:space="preserve">Corp. </w:t>
            </w:r>
            <w:r>
              <w:rPr>
                <w:rFonts w:ascii="Times New Roman" w:cs="Times New Roman" w:eastAsia="Times New Roman" w:hAnsi="Times New Roman"/>
                <w:sz w:val="16"/>
                <w:szCs w:val="16"/>
                <w:color w:val="auto"/>
                <w:vertAlign w:val="superscript"/>
              </w:rPr>
              <w:t>(3)</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9/2026)</w:t>
            </w:r>
          </w:p>
        </w:tc>
        <w:tc>
          <w:tcPr>
            <w:tcW w:w="9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($1,370 par, due 9/2026)</w:t>
            </w:r>
          </w:p>
        </w:tc>
        <w:tc>
          <w:tcPr>
            <w:tcW w:w="9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6/10/2021</w:t>
            </w:r>
          </w:p>
        </w:tc>
        <w:tc>
          <w:tcPr>
            <w:tcW w:w="9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L + 14.00%</w:t>
            </w:r>
          </w:p>
        </w:tc>
        <w:tc>
          <w:tcPr>
            <w:tcW w:w="136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15.00% (incl.</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1,370</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92</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(16)</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3"/>
                <w:szCs w:val="13"/>
                <w:color w:val="auto"/>
              </w:rPr>
              <w:t>14.50% PIK)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160" w:type="dxa"/>
            <w:vAlign w:val="bottom"/>
            <w:shd w:val="clear" w:color="auto" w:fill="CFF0FC"/>
          </w:tcPr>
          <w:p>
            <w:pPr>
              <w:spacing w:after="0"/>
              <w:rPr>
                <w:sz w:val="10"/>
                <w:szCs w:val="10"/>
                <w:color w:val="auto"/>
              </w:rPr>
            </w:pPr>
          </w:p>
        </w:tc>
        <w:tc>
          <w:tcPr>
            <w:tcW w:w="2420" w:type="dxa"/>
            <w:vAlign w:val="bottom"/>
            <w:shd w:val="clear" w:color="auto" w:fill="CFF0FC"/>
          </w:tcPr>
          <w:p>
            <w:pPr>
              <w:ind w:left="260"/>
              <w:spacing w:after="0" w:line="124" w:lineRule="exact"/>
              <w:rPr>
                <w:sz w:val="20"/>
                <w:szCs w:val="20"/>
                <w:color w:val="auto"/>
              </w:rPr>
            </w:pPr>
            <w:r>
              <w:rPr>
                <w:rFonts w:ascii="Times New Roman" w:cs="Times New Roman" w:eastAsia="Times New Roman" w:hAnsi="Times New Roman"/>
                <w:sz w:val="13"/>
                <w:szCs w:val="13"/>
                <w:color w:val="auto"/>
              </w:rPr>
              <w:t>Subordinated note ($4,740 par, due</w:t>
            </w:r>
          </w:p>
        </w:tc>
        <w:tc>
          <w:tcPr>
            <w:tcW w:w="960" w:type="dxa"/>
            <w:vAlign w:val="bottom"/>
            <w:shd w:val="clear" w:color="auto" w:fill="CFF0FC"/>
          </w:tcPr>
          <w:p>
            <w:pPr>
              <w:jc w:val="right"/>
              <w:ind w:right="138"/>
              <w:spacing w:after="0" w:line="124" w:lineRule="exact"/>
              <w:rPr>
                <w:sz w:val="20"/>
                <w:szCs w:val="20"/>
                <w:color w:val="auto"/>
              </w:rPr>
            </w:pPr>
            <w:r>
              <w:rPr>
                <w:rFonts w:ascii="Times New Roman" w:cs="Times New Roman" w:eastAsia="Times New Roman" w:hAnsi="Times New Roman"/>
                <w:sz w:val="13"/>
                <w:szCs w:val="13"/>
                <w:color w:val="auto"/>
              </w:rPr>
              <w:t>3/16/2021</w:t>
            </w:r>
          </w:p>
        </w:tc>
        <w:tc>
          <w:tcPr>
            <w:tcW w:w="960" w:type="dxa"/>
            <w:vAlign w:val="bottom"/>
            <w:shd w:val="clear" w:color="auto" w:fill="CFF0FC"/>
          </w:tcPr>
          <w:p>
            <w:pPr>
              <w:jc w:val="right"/>
              <w:ind w:right="78"/>
              <w:spacing w:after="0" w:line="124" w:lineRule="exact"/>
              <w:rPr>
                <w:sz w:val="20"/>
                <w:szCs w:val="20"/>
                <w:color w:val="auto"/>
              </w:rPr>
            </w:pPr>
            <w:r>
              <w:rPr>
                <w:rFonts w:ascii="Times New Roman" w:cs="Times New Roman" w:eastAsia="Times New Roman" w:hAnsi="Times New Roman"/>
                <w:sz w:val="13"/>
                <w:szCs w:val="13"/>
                <w:color w:val="auto"/>
              </w:rPr>
              <w:t>L + 1.00%</w:t>
            </w:r>
          </w:p>
        </w:tc>
        <w:tc>
          <w:tcPr>
            <w:tcW w:w="1360" w:type="dxa"/>
            <w:vAlign w:val="bottom"/>
            <w:shd w:val="clear" w:color="auto" w:fill="CFF0FC"/>
          </w:tcPr>
          <w:p>
            <w:pPr>
              <w:jc w:val="right"/>
              <w:ind w:right="158"/>
              <w:spacing w:after="0" w:line="124" w:lineRule="exact"/>
              <w:rPr>
                <w:sz w:val="20"/>
                <w:szCs w:val="20"/>
                <w:color w:val="auto"/>
              </w:rPr>
            </w:pPr>
            <w:r>
              <w:rPr>
                <w:rFonts w:ascii="Times New Roman" w:cs="Times New Roman" w:eastAsia="Times New Roman" w:hAnsi="Times New Roman"/>
                <w:sz w:val="13"/>
                <w:szCs w:val="13"/>
                <w:color w:val="auto"/>
              </w:rPr>
              <w:t>2.00% PIK</w:t>
            </w:r>
          </w:p>
        </w:tc>
        <w:tc>
          <w:tcPr>
            <w:tcW w:w="8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545</w:t>
            </w:r>
          </w:p>
        </w:tc>
        <w:tc>
          <w:tcPr>
            <w:tcW w:w="12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71</w:t>
            </w:r>
          </w:p>
        </w:tc>
        <w:tc>
          <w:tcPr>
            <w:tcW w:w="12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spacing w:after="0"/>
              <w:rPr>
                <w:sz w:val="16"/>
                <w:szCs w:val="16"/>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 xml:space="preserve">9/2026) </w:t>
            </w:r>
            <w:r>
              <w:rPr>
                <w:rFonts w:ascii="Times New Roman" w:cs="Times New Roman" w:eastAsia="Times New Roman" w:hAnsi="Times New Roman"/>
                <w:sz w:val="16"/>
                <w:szCs w:val="16"/>
                <w:color w:val="auto"/>
                <w:vertAlign w:val="superscript"/>
              </w:rPr>
              <w:t>(16)</w:t>
            </w:r>
          </w:p>
        </w:tc>
        <w:tc>
          <w:tcPr>
            <w:tcW w:w="9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Designer Brands, Inc. </w:t>
            </w:r>
            <w:r>
              <w:rPr>
                <w:rFonts w:ascii="Times New Roman" w:cs="Times New Roman" w:eastAsia="Times New Roman" w:hAnsi="Times New Roman"/>
                <w:sz w:val="13"/>
                <w:szCs w:val="13"/>
                <w:color w:val="auto"/>
                <w:vertAlign w:val="superscript"/>
              </w:rPr>
              <w:t>(3)(4)</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ABL First-lien loan ($46,875 par, due</w:t>
            </w:r>
          </w:p>
        </w:tc>
        <w:tc>
          <w:tcPr>
            <w:tcW w:w="9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8/7/2020</w:t>
            </w:r>
          </w:p>
        </w:tc>
        <w:tc>
          <w:tcPr>
            <w:tcW w:w="9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L + 8.50%</w:t>
            </w:r>
          </w:p>
        </w:tc>
        <w:tc>
          <w:tcPr>
            <w:tcW w:w="13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9.75 %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45,974</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48,398</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3.8 %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8/2025)</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Moran Foods, LLC </w:t>
            </w:r>
            <w:r>
              <w:rPr>
                <w:rFonts w:ascii="Times New Roman" w:cs="Times New Roman" w:eastAsia="Times New Roman" w:hAnsi="Times New Roman"/>
                <w:sz w:val="15"/>
                <w:szCs w:val="15"/>
                <w:color w:val="auto"/>
                <w:vertAlign w:val="superscript"/>
              </w:rPr>
              <w:t>(3)</w:t>
            </w: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ABL FILO term loan ($33,267 par, due</w:t>
            </w:r>
          </w:p>
        </w:tc>
        <w:tc>
          <w:tcPr>
            <w:tcW w:w="960" w:type="dxa"/>
            <w:vAlign w:val="bottom"/>
            <w:shd w:val="clear" w:color="auto" w:fill="CFF0FC"/>
          </w:tcPr>
          <w:p>
            <w:pPr>
              <w:jc w:val="right"/>
              <w:ind w:right="138"/>
              <w:spacing w:after="0" w:line="133" w:lineRule="exact"/>
              <w:rPr>
                <w:sz w:val="20"/>
                <w:szCs w:val="20"/>
                <w:color w:val="auto"/>
              </w:rPr>
            </w:pPr>
            <w:r>
              <w:rPr>
                <w:rFonts w:ascii="Times New Roman" w:cs="Times New Roman" w:eastAsia="Times New Roman" w:hAnsi="Times New Roman"/>
                <w:sz w:val="13"/>
                <w:szCs w:val="13"/>
                <w:color w:val="auto"/>
              </w:rPr>
              <w:t>4/1/2020</w:t>
            </w:r>
          </w:p>
        </w:tc>
        <w:tc>
          <w:tcPr>
            <w:tcW w:w="960" w:type="dxa"/>
            <w:vAlign w:val="bottom"/>
            <w:shd w:val="clear" w:color="auto" w:fill="CFF0FC"/>
          </w:tcPr>
          <w:p>
            <w:pPr>
              <w:jc w:val="right"/>
              <w:ind w:right="78"/>
              <w:spacing w:after="0" w:line="133" w:lineRule="exact"/>
              <w:rPr>
                <w:sz w:val="20"/>
                <w:szCs w:val="20"/>
                <w:color w:val="auto"/>
              </w:rPr>
            </w:pPr>
            <w:r>
              <w:rPr>
                <w:rFonts w:ascii="Times New Roman" w:cs="Times New Roman" w:eastAsia="Times New Roman" w:hAnsi="Times New Roman"/>
                <w:sz w:val="13"/>
                <w:szCs w:val="13"/>
                <w:color w:val="auto"/>
              </w:rPr>
              <w:t>L + 7.50%</w:t>
            </w:r>
          </w:p>
        </w:tc>
        <w:tc>
          <w:tcPr>
            <w:tcW w:w="13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9.00 %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32,864</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33,683</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4/2024)</w:t>
            </w:r>
          </w:p>
        </w:tc>
        <w:tc>
          <w:tcPr>
            <w:tcW w:w="9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Neuintel, LLC </w:t>
            </w:r>
            <w:r>
              <w:rPr>
                <w:rFonts w:ascii="Times New Roman" w:cs="Times New Roman" w:eastAsia="Times New Roman" w:hAnsi="Times New Roman"/>
                <w:sz w:val="13"/>
                <w:szCs w:val="13"/>
                <w:color w:val="auto"/>
                <w:vertAlign w:val="superscript"/>
              </w:rPr>
              <w:t>(3)(5)</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($52,000 par, due</w:t>
            </w:r>
          </w:p>
        </w:tc>
        <w:tc>
          <w:tcPr>
            <w:tcW w:w="9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12/20/2021</w:t>
            </w:r>
          </w:p>
        </w:tc>
        <w:tc>
          <w:tcPr>
            <w:tcW w:w="9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L + 6.25%</w:t>
            </w:r>
          </w:p>
        </w:tc>
        <w:tc>
          <w:tcPr>
            <w:tcW w:w="1360" w:type="dxa"/>
            <w:vAlign w:val="bottom"/>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7.25 %</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50,811</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50,700</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4.0 %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12/2026)</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Project P Intermediate 2, LLC </w:t>
            </w:r>
            <w:r>
              <w:rPr>
                <w:rFonts w:ascii="Times New Roman" w:cs="Times New Roman" w:eastAsia="Times New Roman" w:hAnsi="Times New Roman"/>
                <w:sz w:val="15"/>
                <w:szCs w:val="15"/>
                <w:color w:val="auto"/>
                <w:vertAlign w:val="superscript"/>
              </w:rPr>
              <w:t>(3)</w:t>
            </w:r>
          </w:p>
        </w:tc>
        <w:tc>
          <w:tcPr>
            <w:tcW w:w="242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3"/>
                <w:szCs w:val="13"/>
                <w:color w:val="auto"/>
              </w:rPr>
              <w:t>ABL FILO term loan ($75,000 par, due</w:t>
            </w:r>
          </w:p>
        </w:tc>
        <w:tc>
          <w:tcPr>
            <w:tcW w:w="960" w:type="dxa"/>
            <w:vAlign w:val="bottom"/>
            <w:shd w:val="clear" w:color="auto" w:fill="CFF0FC"/>
          </w:tcPr>
          <w:p>
            <w:pPr>
              <w:jc w:val="right"/>
              <w:ind w:right="138"/>
              <w:spacing w:after="0" w:line="133" w:lineRule="exact"/>
              <w:rPr>
                <w:sz w:val="20"/>
                <w:szCs w:val="20"/>
                <w:color w:val="auto"/>
              </w:rPr>
            </w:pPr>
            <w:r>
              <w:rPr>
                <w:rFonts w:ascii="Times New Roman" w:cs="Times New Roman" w:eastAsia="Times New Roman" w:hAnsi="Times New Roman"/>
                <w:sz w:val="13"/>
                <w:szCs w:val="13"/>
                <w:color w:val="auto"/>
              </w:rPr>
              <w:t>11/8/2021</w:t>
            </w:r>
          </w:p>
        </w:tc>
        <w:tc>
          <w:tcPr>
            <w:tcW w:w="960" w:type="dxa"/>
            <w:vAlign w:val="bottom"/>
            <w:shd w:val="clear" w:color="auto" w:fill="CFF0FC"/>
          </w:tcPr>
          <w:p>
            <w:pPr>
              <w:jc w:val="right"/>
              <w:ind w:right="78"/>
              <w:spacing w:after="0" w:line="133" w:lineRule="exact"/>
              <w:rPr>
                <w:sz w:val="20"/>
                <w:szCs w:val="20"/>
                <w:color w:val="auto"/>
              </w:rPr>
            </w:pPr>
            <w:r>
              <w:rPr>
                <w:rFonts w:ascii="Times New Roman" w:cs="Times New Roman" w:eastAsia="Times New Roman" w:hAnsi="Times New Roman"/>
                <w:sz w:val="13"/>
                <w:szCs w:val="13"/>
                <w:color w:val="auto"/>
              </w:rPr>
              <w:t>L + 8.00%</w:t>
            </w:r>
          </w:p>
        </w:tc>
        <w:tc>
          <w:tcPr>
            <w:tcW w:w="1360" w:type="dxa"/>
            <w:vAlign w:val="bottom"/>
            <w:shd w:val="clear" w:color="auto" w:fill="CFF0FC"/>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9.25 %</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73,541</w:t>
            </w:r>
          </w:p>
        </w:tc>
        <w:tc>
          <w:tcPr>
            <w:tcW w:w="1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74,250</w:t>
            </w:r>
          </w:p>
        </w:tc>
        <w:tc>
          <w:tcPr>
            <w:tcW w:w="12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5/2026)</w:t>
            </w:r>
          </w:p>
        </w:tc>
        <w:tc>
          <w:tcPr>
            <w:tcW w:w="9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Tango Management Consulting,</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First-lien loan ($32,500 par, due</w:t>
            </w:r>
          </w:p>
        </w:tc>
        <w:tc>
          <w:tcPr>
            <w:tcW w:w="960" w:type="dxa"/>
            <w:vAlign w:val="bottom"/>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12/1/2021</w:t>
            </w:r>
          </w:p>
        </w:tc>
        <w:tc>
          <w:tcPr>
            <w:tcW w:w="96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L + 6.75%</w:t>
            </w:r>
          </w:p>
        </w:tc>
        <w:tc>
          <w:tcPr>
            <w:tcW w:w="1360" w:type="dxa"/>
            <w:vAlign w:val="bottom"/>
          </w:tcPr>
          <w:p>
            <w:pPr>
              <w:jc w:val="right"/>
              <w:ind w:right="38"/>
              <w:spacing w:after="0" w:line="108" w:lineRule="exact"/>
              <w:rPr>
                <w:sz w:val="20"/>
                <w:szCs w:val="20"/>
                <w:color w:val="auto"/>
              </w:rPr>
            </w:pPr>
            <w:r>
              <w:rPr>
                <w:rFonts w:ascii="Times New Roman" w:cs="Times New Roman" w:eastAsia="Times New Roman" w:hAnsi="Times New Roman"/>
                <w:sz w:val="12"/>
                <w:szCs w:val="12"/>
                <w:color w:val="auto"/>
              </w:rPr>
              <w:t>7.50 %</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31,487</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31,459</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2.5 %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120"/>
              <w:spacing w:after="0" w:line="176"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8"/>
                <w:szCs w:val="8"/>
                <w:color w:val="auto"/>
              </w:rPr>
              <w:t xml:space="preserve"> (3)(5)</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12/2027)</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285,555</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283,230</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Project44, Inc. </w:t>
            </w:r>
            <w:r>
              <w:rPr>
                <w:rFonts w:ascii="Times New Roman" w:cs="Times New Roman" w:eastAsia="Times New Roman" w:hAnsi="Times New Roman"/>
                <w:sz w:val="13"/>
                <w:szCs w:val="13"/>
                <w:color w:val="auto"/>
                <w:vertAlign w:val="superscript"/>
              </w:rPr>
              <w:t>(3)(5)</w:t>
            </w:r>
          </w:p>
        </w:tc>
        <w:tc>
          <w:tcPr>
            <w:tcW w:w="2420" w:type="dxa"/>
            <w:vAlign w:val="bottom"/>
            <w:shd w:val="clear" w:color="auto" w:fill="CFF0FC"/>
          </w:tcPr>
          <w:p>
            <w:pPr>
              <w:ind w:left="260"/>
              <w:spacing w:after="0" w:line="117" w:lineRule="exact"/>
              <w:rPr>
                <w:sz w:val="20"/>
                <w:szCs w:val="20"/>
                <w:color w:val="auto"/>
              </w:rPr>
            </w:pPr>
            <w:r>
              <w:rPr>
                <w:rFonts w:ascii="Times New Roman" w:cs="Times New Roman" w:eastAsia="Times New Roman" w:hAnsi="Times New Roman"/>
                <w:sz w:val="13"/>
                <w:szCs w:val="13"/>
                <w:color w:val="auto"/>
              </w:rPr>
              <w:t>First-lien loan ($35,139 par, due</w:t>
            </w:r>
          </w:p>
        </w:tc>
        <w:tc>
          <w:tcPr>
            <w:tcW w:w="96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11/12/2021</w:t>
            </w:r>
          </w:p>
        </w:tc>
        <w:tc>
          <w:tcPr>
            <w:tcW w:w="9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L + 6.25%</w:t>
            </w:r>
          </w:p>
        </w:tc>
        <w:tc>
          <w:tcPr>
            <w:tcW w:w="1360" w:type="dxa"/>
            <w:vAlign w:val="bottom"/>
            <w:shd w:val="clear" w:color="auto" w:fill="CFF0FC"/>
          </w:tcPr>
          <w:p>
            <w:pPr>
              <w:jc w:val="right"/>
              <w:ind w:right="38"/>
              <w:spacing w:after="0" w:line="117" w:lineRule="exact"/>
              <w:rPr>
                <w:sz w:val="20"/>
                <w:szCs w:val="20"/>
                <w:color w:val="auto"/>
              </w:rPr>
            </w:pPr>
            <w:r>
              <w:rPr>
                <w:rFonts w:ascii="Times New Roman" w:cs="Times New Roman" w:eastAsia="Times New Roman" w:hAnsi="Times New Roman"/>
                <w:sz w:val="13"/>
                <w:szCs w:val="13"/>
                <w:color w:val="auto"/>
              </w:rPr>
              <w:t>7.25 %</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33,821</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33,901</w:t>
            </w:r>
          </w:p>
        </w:tc>
        <w:tc>
          <w:tcPr>
            <w:tcW w:w="128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2.7 %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Borders>
              <w:bottom w:val="single" w:sz="8" w:color="CFF0FC"/>
            </w:tcBorders>
            <w:shd w:val="clear" w:color="auto" w:fill="CFF0FC"/>
          </w:tcPr>
          <w:p>
            <w:pPr>
              <w:spacing w:after="0"/>
              <w:rPr>
                <w:sz w:val="14"/>
                <w:szCs w:val="14"/>
                <w:color w:val="auto"/>
              </w:rPr>
            </w:pPr>
          </w:p>
        </w:tc>
        <w:tc>
          <w:tcPr>
            <w:tcW w:w="24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11/2027)</w:t>
            </w:r>
          </w:p>
        </w:tc>
        <w:tc>
          <w:tcPr>
            <w:tcW w:w="96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2,317,552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2,360,134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185.0 </w:t>
            </w:r>
            <w:r>
              <w:rPr>
                <w:rFonts w:ascii="Times New Roman" w:cs="Times New Roman" w:eastAsia="Times New Roman" w:hAnsi="Times New Roman"/>
                <w:sz w:val="13"/>
                <w:szCs w:val="13"/>
                <w:color w:val="auto"/>
                <w:highlight w:val="white"/>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shd w:val="clear" w:color="auto" w:fill="CFF0FC"/>
          </w:tcPr>
          <w:p>
            <w:pPr>
              <w:spacing w:after="0"/>
              <w:rPr>
                <w:sz w:val="13"/>
                <w:szCs w:val="13"/>
                <w:color w:val="auto"/>
              </w:rPr>
            </w:pPr>
          </w:p>
        </w:tc>
        <w:tc>
          <w:tcPr>
            <w:tcW w:w="24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Equity and Other Investments</w:t>
            </w: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24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Dye &amp; Durham, Ltd. </w:t>
            </w:r>
            <w:r>
              <w:rPr>
                <w:rFonts w:ascii="Times New Roman" w:cs="Times New Roman" w:eastAsia="Times New Roman" w:hAnsi="Times New Roman"/>
                <w:sz w:val="13"/>
                <w:szCs w:val="13"/>
                <w:color w:val="auto"/>
                <w:vertAlign w:val="superscript"/>
              </w:rPr>
              <w:t>(4)(12)(14)</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Common Shares (126,968 shares)</w:t>
            </w:r>
          </w:p>
        </w:tc>
        <w:tc>
          <w:tcPr>
            <w:tcW w:w="9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12/3/2021</w:t>
            </w: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3,909</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4,455</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(CAD 5,627)</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3"/>
                <w:szCs w:val="13"/>
                <w:color w:val="auto"/>
              </w:rPr>
              <w:t xml:space="preserve">ReliaQuest, LLC </w:t>
            </w:r>
            <w:r>
              <w:rPr>
                <w:rFonts w:ascii="Times New Roman" w:cs="Times New Roman" w:eastAsia="Times New Roman" w:hAnsi="Times New Roman"/>
                <w:sz w:val="16"/>
                <w:szCs w:val="16"/>
                <w:color w:val="auto"/>
                <w:vertAlign w:val="superscript"/>
              </w:rPr>
              <w:t>(13)(14)(15)</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Class A-1 Units (567,683 units)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11/23/2021</w:t>
            </w:r>
          </w:p>
        </w:tc>
        <w:tc>
          <w:tcPr>
            <w:tcW w:w="9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Sprinklr, Inc. </w:t>
            </w:r>
            <w:r>
              <w:rPr>
                <w:rFonts w:ascii="Times New Roman" w:cs="Times New Roman" w:eastAsia="Times New Roman" w:hAnsi="Times New Roman"/>
                <w:sz w:val="16"/>
                <w:szCs w:val="16"/>
                <w:color w:val="auto"/>
                <w:vertAlign w:val="superscript"/>
              </w:rPr>
              <w:t>(12)(13)(14)</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Shares (484,700 shares)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6/24/2021</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7,692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WideOrbit, Inc. </w:t>
            </w:r>
            <w:r>
              <w:rPr>
                <w:rFonts w:ascii="Times New Roman" w:cs="Times New Roman" w:eastAsia="Times New Roman" w:hAnsi="Times New Roman"/>
                <w:sz w:val="16"/>
                <w:szCs w:val="16"/>
                <w:color w:val="auto"/>
                <w:vertAlign w:val="superscript"/>
              </w:rPr>
              <w:t>(13)</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1,567,807 Warrants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7/8/2020</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9,536</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13,594</w:t>
            </w: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color w:val="auto"/>
                <w:highlight w:val="white"/>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24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Celtra Technologies, Inc. </w:t>
            </w:r>
            <w:r>
              <w:rPr>
                <w:rFonts w:ascii="Times New Roman" w:cs="Times New Roman" w:eastAsia="Times New Roman" w:hAnsi="Times New Roman"/>
                <w:sz w:val="16"/>
                <w:szCs w:val="16"/>
                <w:color w:val="auto"/>
                <w:vertAlign w:val="superscript"/>
              </w:rPr>
              <w:t>(13)(14)</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Class A Units (1,250,000 units)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11/19/2021</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 xml:space="preserve">IntelePeer Holdings, Inc. </w:t>
            </w:r>
            <w:r>
              <w:rPr>
                <w:rFonts w:ascii="Times New Roman" w:cs="Times New Roman" w:eastAsia="Times New Roman" w:hAnsi="Times New Roman"/>
                <w:sz w:val="12"/>
                <w:szCs w:val="12"/>
                <w:color w:val="auto"/>
                <w:vertAlign w:val="superscript"/>
              </w:rPr>
              <w:t>(13)</w:t>
            </w:r>
          </w:p>
        </w:tc>
        <w:tc>
          <w:tcPr>
            <w:tcW w:w="2420" w:type="dxa"/>
            <w:vAlign w:val="bottom"/>
            <w:shd w:val="clear" w:color="auto" w:fill="CFF0FC"/>
          </w:tcPr>
          <w:p>
            <w:pPr>
              <w:ind w:left="260"/>
              <w:spacing w:after="0" w:line="108" w:lineRule="exact"/>
              <w:rPr>
                <w:sz w:val="20"/>
                <w:szCs w:val="20"/>
                <w:color w:val="auto"/>
              </w:rPr>
            </w:pPr>
            <w:r>
              <w:rPr>
                <w:rFonts w:ascii="Times New Roman" w:cs="Times New Roman" w:eastAsia="Times New Roman" w:hAnsi="Times New Roman"/>
                <w:sz w:val="12"/>
                <w:szCs w:val="12"/>
                <w:color w:val="auto"/>
              </w:rPr>
              <w:t>Series C Preferred Shares</w:t>
            </w:r>
          </w:p>
        </w:tc>
        <w:tc>
          <w:tcPr>
            <w:tcW w:w="960" w:type="dxa"/>
            <w:vAlign w:val="bottom"/>
            <w:shd w:val="clear" w:color="auto" w:fill="CFF0FC"/>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4/8/2021</w:t>
            </w:r>
          </w:p>
        </w:tc>
        <w:tc>
          <w:tcPr>
            <w:tcW w:w="96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1,816</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2,829</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spacing w:after="0"/>
              <w:rPr>
                <w:sz w:val="16"/>
                <w:szCs w:val="16"/>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 xml:space="preserve">(1,816,295 shares) </w:t>
            </w:r>
            <w:r>
              <w:rPr>
                <w:rFonts w:ascii="Times New Roman" w:cs="Times New Roman" w:eastAsia="Times New Roman" w:hAnsi="Times New Roman"/>
                <w:sz w:val="16"/>
                <w:szCs w:val="16"/>
                <w:color w:val="auto"/>
                <w:vertAlign w:val="superscript"/>
              </w:rPr>
              <w:t>(14)</w:t>
            </w:r>
          </w:p>
        </w:tc>
        <w:tc>
          <w:tcPr>
            <w:tcW w:w="9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Series D Preferred Shares</w:t>
            </w:r>
          </w:p>
        </w:tc>
        <w:tc>
          <w:tcPr>
            <w:tcW w:w="960" w:type="dxa"/>
            <w:vAlign w:val="bottom"/>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4/8/2021</w:t>
            </w:r>
          </w:p>
        </w:tc>
        <w:tc>
          <w:tcPr>
            <w:tcW w:w="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1,950</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1,950</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0.2 %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 xml:space="preserve">(1,065,916 shares) </w:t>
            </w:r>
            <w:r>
              <w:rPr>
                <w:rFonts w:ascii="Times New Roman" w:cs="Times New Roman" w:eastAsia="Times New Roman" w:hAnsi="Times New Roman"/>
                <w:sz w:val="16"/>
                <w:szCs w:val="16"/>
                <w:color w:val="auto"/>
                <w:vertAlign w:val="superscript"/>
              </w:rPr>
              <w:t>(14)</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280,000 Warrants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2/28/2020</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106,592 Warrants (14)</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4/8/2021</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60" w:type="dxa"/>
            <w:vAlign w:val="bottom"/>
            <w:tcBorders>
              <w:bottom w:val="single" w:sz="8" w:color="CFF0FC"/>
            </w:tcBorders>
            <w:shd w:val="clear" w:color="auto" w:fill="CFF0FC"/>
          </w:tcPr>
          <w:p>
            <w:pPr>
              <w:spacing w:after="0"/>
              <w:rPr>
                <w:sz w:val="13"/>
                <w:szCs w:val="13"/>
                <w:color w:val="auto"/>
              </w:rPr>
            </w:pPr>
          </w:p>
        </w:tc>
        <w:tc>
          <w:tcPr>
            <w:tcW w:w="24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13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5,199</w:t>
            </w: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6,358</w:t>
            </w:r>
          </w:p>
        </w:tc>
        <w:tc>
          <w:tcPr>
            <w:tcW w:w="2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6"/>
                <w:szCs w:val="16"/>
                <w:color w:val="auto"/>
                <w:vertAlign w:val="superscript"/>
              </w:rPr>
              <w:t>(13)(14)</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Class B Units (5,522,526 units)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12/22/2021</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5,523</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RMCF IV CIV XXXV,</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2"/>
                <w:szCs w:val="12"/>
                <w:color w:val="auto"/>
              </w:rPr>
              <w:t>Partnership Interest (11.94%</w:t>
            </w:r>
          </w:p>
        </w:tc>
        <w:tc>
          <w:tcPr>
            <w:tcW w:w="960" w:type="dxa"/>
            <w:vAlign w:val="bottom"/>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6/8/2021</w:t>
            </w:r>
          </w:p>
        </w:tc>
        <w:tc>
          <w:tcPr>
            <w:tcW w:w="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1,000</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1,000</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0.1 %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line="176" w:lineRule="exact"/>
              <w:rPr>
                <w:sz w:val="20"/>
                <w:szCs w:val="20"/>
                <w:color w:val="auto"/>
              </w:rPr>
            </w:pPr>
            <w:r>
              <w:rPr>
                <w:rFonts w:ascii="Times New Roman" w:cs="Times New Roman" w:eastAsia="Times New Roman" w:hAnsi="Times New Roman"/>
                <w:sz w:val="20"/>
                <w:szCs w:val="20"/>
                <w:color w:val="auto"/>
                <w:vertAlign w:val="subscript"/>
              </w:rPr>
              <w:t>LP.</w:t>
            </w:r>
            <w:r>
              <w:rPr>
                <w:rFonts w:ascii="Times New Roman" w:cs="Times New Roman" w:eastAsia="Times New Roman" w:hAnsi="Times New Roman"/>
                <w:sz w:val="8"/>
                <w:szCs w:val="8"/>
                <w:color w:val="auto"/>
              </w:rPr>
              <w:t xml:space="preserve"> (13)(14)</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ownership)</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60" w:type="dxa"/>
            <w:vAlign w:val="bottom"/>
            <w:tcBorders>
              <w:bottom w:val="single" w:sz="8" w:color="CFF0FC"/>
            </w:tcBorders>
            <w:shd w:val="clear" w:color="auto" w:fill="CFF0FC"/>
          </w:tcPr>
          <w:p>
            <w:pPr>
              <w:spacing w:after="0"/>
              <w:rPr>
                <w:sz w:val="13"/>
                <w:szCs w:val="13"/>
                <w:color w:val="auto"/>
              </w:rPr>
            </w:pPr>
          </w:p>
        </w:tc>
        <w:tc>
          <w:tcPr>
            <w:tcW w:w="24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13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6,523</w:t>
            </w: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6,523</w:t>
            </w:r>
          </w:p>
        </w:tc>
        <w:tc>
          <w:tcPr>
            <w:tcW w:w="2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AvidXchange, Inc. </w:t>
            </w:r>
            <w:r>
              <w:rPr>
                <w:rFonts w:ascii="Times New Roman" w:cs="Times New Roman" w:eastAsia="Times New Roman" w:hAnsi="Times New Roman"/>
                <w:sz w:val="16"/>
                <w:szCs w:val="16"/>
                <w:color w:val="auto"/>
                <w:vertAlign w:val="superscript"/>
              </w:rPr>
              <w:t>(11)(13)(14)</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Shares (200,721 shares)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10/15/2021</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Newport Parent Holdings, LP </w:t>
            </w:r>
            <w:r>
              <w:rPr>
                <w:rFonts w:ascii="Times New Roman" w:cs="Times New Roman" w:eastAsia="Times New Roman" w:hAnsi="Times New Roman"/>
                <w:sz w:val="16"/>
                <w:szCs w:val="16"/>
                <w:color w:val="auto"/>
                <w:vertAlign w:val="superscript"/>
              </w:rPr>
              <w:t>(13)</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Class A-2 Units (131,569 units)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12/10/2020</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Oxford Square Capital</w:t>
            </w:r>
          </w:p>
        </w:tc>
        <w:tc>
          <w:tcPr>
            <w:tcW w:w="2420" w:type="dxa"/>
            <w:vAlign w:val="bottom"/>
            <w:shd w:val="clear" w:color="auto" w:fill="CFF0FC"/>
          </w:tcPr>
          <w:p>
            <w:pPr>
              <w:ind w:left="260"/>
              <w:spacing w:after="0" w:line="108" w:lineRule="exact"/>
              <w:rPr>
                <w:sz w:val="20"/>
                <w:szCs w:val="20"/>
                <w:color w:val="auto"/>
              </w:rPr>
            </w:pPr>
            <w:r>
              <w:rPr>
                <w:rFonts w:ascii="Times New Roman" w:cs="Times New Roman" w:eastAsia="Times New Roman" w:hAnsi="Times New Roman"/>
                <w:sz w:val="12"/>
                <w:szCs w:val="12"/>
                <w:color w:val="auto"/>
              </w:rPr>
              <w:t>Common Shares (1,620 shares)</w:t>
            </w:r>
          </w:p>
        </w:tc>
        <w:tc>
          <w:tcPr>
            <w:tcW w:w="960" w:type="dxa"/>
            <w:vAlign w:val="bottom"/>
            <w:shd w:val="clear" w:color="auto" w:fill="CFF0FC"/>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8/5/2015</w:t>
            </w:r>
          </w:p>
        </w:tc>
        <w:tc>
          <w:tcPr>
            <w:tcW w:w="96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6</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w:t>
            </w:r>
          </w:p>
        </w:tc>
        <w:tc>
          <w:tcPr>
            <w:tcW w:w="12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Corp.</w:t>
            </w:r>
            <w:r>
              <w:rPr>
                <w:rFonts w:ascii="Times New Roman" w:cs="Times New Roman" w:eastAsia="Times New Roman" w:hAnsi="Times New Roman"/>
                <w:sz w:val="8"/>
                <w:szCs w:val="8"/>
                <w:color w:val="auto"/>
              </w:rPr>
              <w:t xml:space="preserve"> (4)(12)</w:t>
            </w:r>
          </w:p>
        </w:tc>
        <w:tc>
          <w:tcPr>
            <w:tcW w:w="24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Passport Labs, Inc. </w:t>
            </w:r>
            <w:r>
              <w:rPr>
                <w:rFonts w:ascii="Times New Roman" w:cs="Times New Roman" w:eastAsia="Times New Roman" w:hAnsi="Times New Roman"/>
                <w:sz w:val="16"/>
                <w:szCs w:val="16"/>
                <w:color w:val="auto"/>
                <w:vertAlign w:val="superscript"/>
              </w:rPr>
              <w:t>(13)(14)</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17,534 Warrants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4/28/2021</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TradingScreen, Inc. </w:t>
            </w:r>
            <w:r>
              <w:rPr>
                <w:rFonts w:ascii="Times New Roman" w:cs="Times New Roman" w:eastAsia="Times New Roman" w:hAnsi="Times New Roman"/>
                <w:sz w:val="16"/>
                <w:szCs w:val="16"/>
                <w:color w:val="auto"/>
                <w:vertAlign w:val="superscript"/>
              </w:rPr>
              <w:t>(13)(14)(15)</w:t>
            </w: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Class A Units (600,000 units)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5/14/2021</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5,997</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6,027</w:t>
            </w: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0.5 </w:t>
            </w:r>
            <w:r>
              <w:rPr>
                <w:rFonts w:ascii="Times New Roman" w:cs="Times New Roman" w:eastAsia="Times New Roman" w:hAnsi="Times New Roman"/>
                <w:sz w:val="13"/>
                <w:szCs w:val="13"/>
                <w:color w:val="auto"/>
                <w:highlight w:val="white"/>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4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Caris Life Sciences, Inc. </w:t>
            </w:r>
            <w:r>
              <w:rPr>
                <w:rFonts w:ascii="Times New Roman" w:cs="Times New Roman" w:eastAsia="Times New Roman" w:hAnsi="Times New Roman"/>
                <w:sz w:val="13"/>
                <w:szCs w:val="13"/>
                <w:color w:val="auto"/>
                <w:vertAlign w:val="superscript"/>
              </w:rPr>
              <w:t>(13)</w:t>
            </w:r>
          </w:p>
        </w:tc>
        <w:tc>
          <w:tcPr>
            <w:tcW w:w="2420" w:type="dxa"/>
            <w:vAlign w:val="bottom"/>
          </w:tcPr>
          <w:p>
            <w:pPr>
              <w:ind w:left="260"/>
              <w:spacing w:after="0" w:line="117" w:lineRule="exact"/>
              <w:rPr>
                <w:sz w:val="20"/>
                <w:szCs w:val="20"/>
                <w:color w:val="auto"/>
              </w:rPr>
            </w:pPr>
            <w:r>
              <w:rPr>
                <w:rFonts w:ascii="Times New Roman" w:cs="Times New Roman" w:eastAsia="Times New Roman" w:hAnsi="Times New Roman"/>
                <w:sz w:val="13"/>
                <w:szCs w:val="13"/>
                <w:color w:val="auto"/>
              </w:rPr>
              <w:t>Series C Preferred Shares</w:t>
            </w:r>
          </w:p>
        </w:tc>
        <w:tc>
          <w:tcPr>
            <w:tcW w:w="96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10/13/2020</w:t>
            </w: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1,000</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2,787</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(362,319 shares)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160" w:type="dxa"/>
            <w:vAlign w:val="bottom"/>
            <w:shd w:val="clear" w:color="auto" w:fill="CFF0FC"/>
          </w:tcPr>
          <w:p>
            <w:pPr>
              <w:spacing w:after="0"/>
              <w:rPr>
                <w:sz w:val="10"/>
                <w:szCs w:val="10"/>
                <w:color w:val="auto"/>
              </w:rPr>
            </w:pPr>
          </w:p>
        </w:tc>
        <w:tc>
          <w:tcPr>
            <w:tcW w:w="2420" w:type="dxa"/>
            <w:vAlign w:val="bottom"/>
            <w:shd w:val="clear" w:color="auto" w:fill="CFF0FC"/>
          </w:tcPr>
          <w:p>
            <w:pPr>
              <w:ind w:left="260"/>
              <w:spacing w:after="0" w:line="124" w:lineRule="exact"/>
              <w:rPr>
                <w:sz w:val="20"/>
                <w:szCs w:val="20"/>
                <w:color w:val="auto"/>
              </w:rPr>
            </w:pPr>
            <w:r>
              <w:rPr>
                <w:rFonts w:ascii="Times New Roman" w:cs="Times New Roman" w:eastAsia="Times New Roman" w:hAnsi="Times New Roman"/>
                <w:sz w:val="13"/>
                <w:szCs w:val="13"/>
                <w:color w:val="auto"/>
              </w:rPr>
              <w:t>Series D Preferred Shares</w:t>
            </w:r>
          </w:p>
        </w:tc>
        <w:tc>
          <w:tcPr>
            <w:tcW w:w="960" w:type="dxa"/>
            <w:vAlign w:val="bottom"/>
            <w:shd w:val="clear" w:color="auto" w:fill="CFF0FC"/>
          </w:tcPr>
          <w:p>
            <w:pPr>
              <w:jc w:val="right"/>
              <w:ind w:right="138"/>
              <w:spacing w:after="0" w:line="124" w:lineRule="exact"/>
              <w:rPr>
                <w:sz w:val="20"/>
                <w:szCs w:val="20"/>
                <w:color w:val="auto"/>
              </w:rPr>
            </w:pPr>
            <w:r>
              <w:rPr>
                <w:rFonts w:ascii="Times New Roman" w:cs="Times New Roman" w:eastAsia="Times New Roman" w:hAnsi="Times New Roman"/>
                <w:sz w:val="13"/>
                <w:szCs w:val="13"/>
                <w:color w:val="auto"/>
              </w:rPr>
              <w:t>5/11/2021</w:t>
            </w:r>
          </w:p>
        </w:tc>
        <w:tc>
          <w:tcPr>
            <w:tcW w:w="96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10,050</w:t>
            </w:r>
          </w:p>
        </w:tc>
        <w:tc>
          <w:tcPr>
            <w:tcW w:w="12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10,050</w:t>
            </w:r>
          </w:p>
        </w:tc>
        <w:tc>
          <w:tcPr>
            <w:tcW w:w="12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spacing w:after="0"/>
              <w:rPr>
                <w:sz w:val="16"/>
                <w:szCs w:val="16"/>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 xml:space="preserve">(1,240,740 shares) </w:t>
            </w:r>
            <w:r>
              <w:rPr>
                <w:rFonts w:ascii="Times New Roman" w:cs="Times New Roman" w:eastAsia="Times New Roman" w:hAnsi="Times New Roman"/>
                <w:sz w:val="16"/>
                <w:szCs w:val="16"/>
                <w:color w:val="auto"/>
                <w:vertAlign w:val="superscript"/>
              </w:rPr>
              <w:t>(14)</w:t>
            </w:r>
          </w:p>
        </w:tc>
        <w:tc>
          <w:tcPr>
            <w:tcW w:w="9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633,376 Warrants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9/21/2018</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3,602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569,991 Warrants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4/2/2020</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3,170</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Valant Medical Solutions,</w:t>
            </w:r>
          </w:p>
        </w:tc>
        <w:tc>
          <w:tcPr>
            <w:tcW w:w="2420" w:type="dxa"/>
            <w:vAlign w:val="bottom"/>
          </w:tcPr>
          <w:p>
            <w:pPr>
              <w:ind w:left="260"/>
              <w:spacing w:after="0" w:line="108" w:lineRule="exact"/>
              <w:rPr>
                <w:sz w:val="20"/>
                <w:szCs w:val="20"/>
                <w:color w:val="auto"/>
              </w:rPr>
            </w:pPr>
            <w:r>
              <w:rPr>
                <w:rFonts w:ascii="Times New Roman" w:cs="Times New Roman" w:eastAsia="Times New Roman" w:hAnsi="Times New Roman"/>
                <w:sz w:val="10"/>
                <w:szCs w:val="10"/>
                <w:color w:val="auto"/>
              </w:rPr>
              <w:t xml:space="preserve">Class A Units (77,144 units) </w:t>
            </w:r>
            <w:r>
              <w:rPr>
                <w:rFonts w:ascii="Times New Roman" w:cs="Times New Roman" w:eastAsia="Times New Roman" w:hAnsi="Times New Roman"/>
                <w:sz w:val="12"/>
                <w:szCs w:val="12"/>
                <w:color w:val="auto"/>
                <w:vertAlign w:val="superscript"/>
              </w:rPr>
              <w:t>(14)</w:t>
            </w:r>
          </w:p>
        </w:tc>
        <w:tc>
          <w:tcPr>
            <w:tcW w:w="960" w:type="dxa"/>
            <w:vAlign w:val="bottom"/>
          </w:tcPr>
          <w:p>
            <w:pPr>
              <w:jc w:val="right"/>
              <w:ind w:right="138"/>
              <w:spacing w:after="0" w:line="108" w:lineRule="exact"/>
              <w:rPr>
                <w:sz w:val="20"/>
                <w:szCs w:val="20"/>
                <w:color w:val="auto"/>
              </w:rPr>
            </w:pPr>
            <w:r>
              <w:rPr>
                <w:rFonts w:ascii="Times New Roman" w:cs="Times New Roman" w:eastAsia="Times New Roman" w:hAnsi="Times New Roman"/>
                <w:sz w:val="12"/>
                <w:szCs w:val="12"/>
                <w:color w:val="auto"/>
              </w:rPr>
              <w:t>3/10/2021</w:t>
            </w:r>
          </w:p>
        </w:tc>
        <w:tc>
          <w:tcPr>
            <w:tcW w:w="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77</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118</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Inc.</w:t>
            </w:r>
            <w:r>
              <w:rPr>
                <w:rFonts w:ascii="Times New Roman" w:cs="Times New Roman" w:eastAsia="Times New Roman" w:hAnsi="Times New Roman"/>
                <w:sz w:val="8"/>
                <w:szCs w:val="8"/>
                <w:color w:val="auto"/>
              </w:rPr>
              <w:t xml:space="preserve"> (13)(15)</w:t>
            </w:r>
          </w:p>
        </w:tc>
        <w:tc>
          <w:tcPr>
            <w:tcW w:w="2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954,478 Warrants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4/8/2019</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11,850</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20,229</w:t>
            </w: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1.5 </w:t>
            </w:r>
            <w:r>
              <w:rPr>
                <w:rFonts w:ascii="Times New Roman" w:cs="Times New Roman" w:eastAsia="Times New Roman" w:hAnsi="Times New Roman"/>
                <w:sz w:val="13"/>
                <w:szCs w:val="13"/>
                <w:color w:val="auto"/>
                <w:highlight w:val="white"/>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4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6"/>
                <w:szCs w:val="16"/>
                <w:color w:val="auto"/>
                <w:vertAlign w:val="superscript"/>
              </w:rPr>
              <w:t>(7)(13)</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Class A Units (33,790,171 units)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12/21/2018</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17,148</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Class C-1 Units (8,800,000 units)</w:t>
            </w:r>
          </w:p>
        </w:tc>
        <w:tc>
          <w:tcPr>
            <w:tcW w:w="96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12/21/2018</w:t>
            </w:r>
          </w:p>
        </w:tc>
        <w:tc>
          <w:tcPr>
            <w:tcW w:w="9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21,942</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17,191</w:t>
            </w: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1.4 </w:t>
            </w:r>
            <w:r>
              <w:rPr>
                <w:rFonts w:ascii="Times New Roman" w:cs="Times New Roman" w:eastAsia="Times New Roman" w:hAnsi="Times New Roman"/>
                <w:sz w:val="13"/>
                <w:szCs w:val="13"/>
                <w:color w:val="auto"/>
                <w:highlight w:val="white"/>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4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Axonify, Inc.</w:t>
            </w:r>
            <w:r>
              <w:rPr>
                <w:rFonts w:ascii="Times New Roman" w:cs="Times New Roman" w:eastAsia="Times New Roman" w:hAnsi="Times New Roman"/>
                <w:sz w:val="7"/>
                <w:szCs w:val="7"/>
                <w:color w:val="auto"/>
              </w:rPr>
              <w:t xml:space="preserve"> (4)(13)(14)(15)</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Class A-1 Units (3,780,000 units)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5/5/2021</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ClearCompany, LLC </w:t>
            </w:r>
            <w:r>
              <w:rPr>
                <w:rFonts w:ascii="Times New Roman" w:cs="Times New Roman" w:eastAsia="Times New Roman" w:hAnsi="Times New Roman"/>
                <w:sz w:val="13"/>
                <w:szCs w:val="13"/>
                <w:color w:val="auto"/>
                <w:vertAlign w:val="superscript"/>
              </w:rPr>
              <w:t>(13)(15)</w:t>
            </w:r>
          </w:p>
        </w:tc>
        <w:tc>
          <w:tcPr>
            <w:tcW w:w="2420" w:type="dxa"/>
            <w:vAlign w:val="bottom"/>
            <w:shd w:val="clear" w:color="auto" w:fill="CFF0FC"/>
          </w:tcPr>
          <w:p>
            <w:pPr>
              <w:ind w:left="260"/>
              <w:spacing w:after="0" w:line="117" w:lineRule="exact"/>
              <w:rPr>
                <w:sz w:val="20"/>
                <w:szCs w:val="20"/>
                <w:color w:val="auto"/>
              </w:rPr>
            </w:pPr>
            <w:r>
              <w:rPr>
                <w:rFonts w:ascii="Times New Roman" w:cs="Times New Roman" w:eastAsia="Times New Roman" w:hAnsi="Times New Roman"/>
                <w:sz w:val="13"/>
                <w:szCs w:val="13"/>
                <w:color w:val="auto"/>
              </w:rPr>
              <w:t>Series A Preferred Units</w:t>
            </w:r>
          </w:p>
        </w:tc>
        <w:tc>
          <w:tcPr>
            <w:tcW w:w="960" w:type="dxa"/>
            <w:vAlign w:val="bottom"/>
            <w:shd w:val="clear" w:color="auto" w:fill="CFF0FC"/>
          </w:tcPr>
          <w:p>
            <w:pPr>
              <w:jc w:val="right"/>
              <w:ind w:right="138"/>
              <w:spacing w:after="0" w:line="117" w:lineRule="exact"/>
              <w:rPr>
                <w:sz w:val="20"/>
                <w:szCs w:val="20"/>
                <w:color w:val="auto"/>
              </w:rPr>
            </w:pPr>
            <w:r>
              <w:rPr>
                <w:rFonts w:ascii="Times New Roman" w:cs="Times New Roman" w:eastAsia="Times New Roman" w:hAnsi="Times New Roman"/>
                <w:sz w:val="13"/>
                <w:szCs w:val="13"/>
                <w:color w:val="auto"/>
              </w:rPr>
              <w:t>8/24/2018</w:t>
            </w:r>
          </w:p>
        </w:tc>
        <w:tc>
          <w:tcPr>
            <w:tcW w:w="96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2,014</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5,035</w:t>
            </w:r>
          </w:p>
        </w:tc>
        <w:tc>
          <w:tcPr>
            <w:tcW w:w="128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spacing w:after="0"/>
              <w:rPr>
                <w:sz w:val="15"/>
                <w:szCs w:val="15"/>
                <w:color w:val="auto"/>
              </w:rPr>
            </w:pPr>
          </w:p>
        </w:tc>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(1,429,228 units)</w:t>
            </w:r>
          </w:p>
        </w:tc>
        <w:tc>
          <w:tcPr>
            <w:tcW w:w="9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DaySmart Holdings, LLC </w:t>
            </w:r>
            <w:r>
              <w:rPr>
                <w:rFonts w:ascii="Times New Roman" w:cs="Times New Roman" w:eastAsia="Times New Roman" w:hAnsi="Times New Roman"/>
                <w:sz w:val="16"/>
                <w:szCs w:val="16"/>
                <w:color w:val="auto"/>
                <w:vertAlign w:val="superscript"/>
              </w:rPr>
              <w:t>(13)(14)(15)</w:t>
            </w:r>
          </w:p>
        </w:tc>
        <w:tc>
          <w:tcPr>
            <w:tcW w:w="2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Class A Units (166,811 units)</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10/1/2019</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tcBorders>
              <w:bottom w:val="single" w:sz="8" w:color="CFF0FC"/>
            </w:tcBorders>
            <w:shd w:val="clear" w:color="auto" w:fill="CFF0FC"/>
          </w:tcPr>
          <w:p>
            <w:pPr>
              <w:spacing w:after="0"/>
              <w:rPr>
                <w:sz w:val="13"/>
                <w:szCs w:val="13"/>
                <w:color w:val="auto"/>
              </w:rPr>
            </w:pPr>
          </w:p>
        </w:tc>
        <w:tc>
          <w:tcPr>
            <w:tcW w:w="24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13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7,141</w:t>
            </w: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10,862</w:t>
            </w:r>
          </w:p>
        </w:tc>
        <w:tc>
          <w:tcPr>
            <w:tcW w:w="2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-7828915</wp:posOffset>
            </wp:positionV>
            <wp:extent cx="68580" cy="1111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-7828915</wp:posOffset>
            </wp:positionV>
            <wp:extent cx="68580" cy="1111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-7828915</wp:posOffset>
            </wp:positionV>
            <wp:extent cx="68580"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-5531485</wp:posOffset>
            </wp:positionV>
            <wp:extent cx="6858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-5531485</wp:posOffset>
            </wp:positionV>
            <wp:extent cx="6858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-4605655</wp:posOffset>
            </wp:positionV>
            <wp:extent cx="68580"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-4605655</wp:posOffset>
            </wp:positionV>
            <wp:extent cx="6858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-3585210</wp:posOffset>
            </wp:positionV>
            <wp:extent cx="68580" cy="1111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-3585210</wp:posOffset>
            </wp:positionV>
            <wp:extent cx="68580" cy="111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-3585210</wp:posOffset>
            </wp:positionV>
            <wp:extent cx="68580" cy="111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-3079750</wp:posOffset>
            </wp:positionV>
            <wp:extent cx="68580" cy="1117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-3079750</wp:posOffset>
            </wp:positionV>
            <wp:extent cx="68580" cy="111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-3079750</wp:posOffset>
            </wp:positionV>
            <wp:extent cx="68580" cy="1117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-2367915</wp:posOffset>
            </wp:positionV>
            <wp:extent cx="68580" cy="1200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-2367915</wp:posOffset>
            </wp:positionV>
            <wp:extent cx="68580"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-1270635</wp:posOffset>
            </wp:positionV>
            <wp:extent cx="6858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-1270635</wp:posOffset>
            </wp:positionV>
            <wp:extent cx="6858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-842010</wp:posOffset>
            </wp:positionV>
            <wp:extent cx="68580"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-842010</wp:posOffset>
            </wp:positionV>
            <wp:extent cx="6858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-113665</wp:posOffset>
            </wp:positionV>
            <wp:extent cx="68580" cy="1111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-113665</wp:posOffset>
            </wp:positionV>
            <wp:extent cx="68580" cy="1111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-113665</wp:posOffset>
            </wp:positionV>
            <wp:extent cx="68580" cy="1111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Bayshore Intermediate #2,</w:t>
            </w:r>
          </w:p>
        </w:tc>
        <w:tc>
          <w:tcPr>
            <w:tcW w:w="24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Common Units (12,330,709 units)</w:t>
            </w:r>
          </w:p>
        </w:tc>
        <w:tc>
          <w:tcPr>
            <w:tcW w:w="7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3"/>
                <w:szCs w:val="13"/>
                <w:color w:val="auto"/>
              </w:rPr>
              <w:t>10/1/2021</w:t>
            </w: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12,331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12,331</w:t>
            </w:r>
          </w:p>
        </w:tc>
        <w:tc>
          <w:tcPr>
            <w:tcW w:w="10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L.P.</w:t>
            </w:r>
            <w:r>
              <w:rPr>
                <w:rFonts w:ascii="Times New Roman" w:cs="Times New Roman" w:eastAsia="Times New Roman" w:hAnsi="Times New Roman"/>
                <w:sz w:val="8"/>
                <w:szCs w:val="8"/>
                <w:color w:val="auto"/>
              </w:rPr>
              <w:t xml:space="preserve"> (13)(14)(15)</w:t>
            </w: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2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3"/>
                <w:szCs w:val="13"/>
                <w:color w:val="auto"/>
                <w:vertAlign w:val="superscript"/>
              </w:rPr>
              <w:t>(13)</w:t>
            </w:r>
          </w:p>
        </w:tc>
        <w:tc>
          <w:tcPr>
            <w:tcW w:w="2460" w:type="dxa"/>
            <w:vAlign w:val="bottom"/>
            <w:gridSpan w:val="3"/>
          </w:tcPr>
          <w:p>
            <w:pPr>
              <w:ind w:left="220"/>
              <w:spacing w:after="0" w:line="117" w:lineRule="exact"/>
              <w:rPr>
                <w:sz w:val="20"/>
                <w:szCs w:val="20"/>
                <w:color w:val="auto"/>
              </w:rPr>
            </w:pPr>
            <w:r>
              <w:rPr>
                <w:rFonts w:ascii="Times New Roman" w:cs="Times New Roman" w:eastAsia="Times New Roman" w:hAnsi="Times New Roman"/>
                <w:sz w:val="13"/>
                <w:szCs w:val="13"/>
                <w:color w:val="auto"/>
              </w:rPr>
              <w:t>Series F Preferred Shares</w:t>
            </w:r>
          </w:p>
        </w:tc>
        <w:tc>
          <w:tcPr>
            <w:tcW w:w="78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3"/>
                <w:szCs w:val="13"/>
                <w:color w:val="auto"/>
              </w:rPr>
              <w:t>8/2/2019</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0"/>
                <w:szCs w:val="10"/>
                <w:color w:val="auto"/>
              </w:rPr>
            </w:pPr>
          </w:p>
        </w:tc>
        <w:tc>
          <w:tcPr>
            <w:tcW w:w="11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0.1 %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20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(199,054 shares)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Piano Software, Inc. </w:t>
            </w:r>
            <w:r>
              <w:rPr>
                <w:rFonts w:ascii="Times New Roman" w:cs="Times New Roman" w:eastAsia="Times New Roman" w:hAnsi="Times New Roman"/>
                <w:sz w:val="15"/>
                <w:szCs w:val="15"/>
                <w:color w:val="auto"/>
                <w:vertAlign w:val="superscript"/>
              </w:rPr>
              <w:t>(13)(14)</w:t>
            </w:r>
          </w:p>
        </w:tc>
        <w:tc>
          <w:tcPr>
            <w:tcW w:w="2460" w:type="dxa"/>
            <w:vAlign w:val="bottom"/>
            <w:gridSpan w:val="3"/>
            <w:shd w:val="clear" w:color="auto" w:fill="CFF0FC"/>
          </w:tcPr>
          <w:p>
            <w:pPr>
              <w:ind w:left="220"/>
              <w:spacing w:after="0" w:line="133" w:lineRule="exact"/>
              <w:rPr>
                <w:sz w:val="20"/>
                <w:szCs w:val="20"/>
                <w:color w:val="auto"/>
              </w:rPr>
            </w:pPr>
            <w:r>
              <w:rPr>
                <w:rFonts w:ascii="Times New Roman" w:cs="Times New Roman" w:eastAsia="Times New Roman" w:hAnsi="Times New Roman"/>
                <w:sz w:val="13"/>
                <w:szCs w:val="13"/>
                <w:color w:val="auto"/>
              </w:rPr>
              <w:t>Series C-1 Preferred Shares</w:t>
            </w:r>
          </w:p>
        </w:tc>
        <w:tc>
          <w:tcPr>
            <w:tcW w:w="780" w:type="dxa"/>
            <w:vAlign w:val="bottom"/>
            <w:gridSpan w:val="2"/>
            <w:shd w:val="clear" w:color="auto" w:fill="CFF0FC"/>
          </w:tcPr>
          <w:p>
            <w:pPr>
              <w:jc w:val="right"/>
              <w:ind w:right="22"/>
              <w:spacing w:after="0" w:line="133" w:lineRule="exact"/>
              <w:rPr>
                <w:sz w:val="20"/>
                <w:szCs w:val="20"/>
                <w:color w:val="auto"/>
              </w:rPr>
            </w:pPr>
            <w:r>
              <w:rPr>
                <w:rFonts w:ascii="Times New Roman" w:cs="Times New Roman" w:eastAsia="Times New Roman" w:hAnsi="Times New Roman"/>
                <w:sz w:val="13"/>
                <w:szCs w:val="13"/>
                <w:color w:val="auto"/>
              </w:rPr>
              <w:t>12/22/2021</w:t>
            </w: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3,000</w:t>
            </w:r>
          </w:p>
        </w:tc>
        <w:tc>
          <w:tcPr>
            <w:tcW w:w="100" w:type="dxa"/>
            <w:vAlign w:val="bottom"/>
            <w:shd w:val="clear" w:color="auto" w:fill="CFF0FC"/>
          </w:tcPr>
          <w:p>
            <w:pPr>
              <w:spacing w:after="0"/>
              <w:rPr>
                <w:sz w:val="11"/>
                <w:szCs w:val="11"/>
                <w:color w:val="auto"/>
              </w:rPr>
            </w:pPr>
          </w:p>
        </w:tc>
        <w:tc>
          <w:tcPr>
            <w:tcW w:w="11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0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(418,527 shares)</w:t>
            </w:r>
          </w:p>
        </w:tc>
        <w:tc>
          <w:tcPr>
            <w:tcW w:w="1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16,151</w:t>
            </w:r>
          </w:p>
        </w:tc>
        <w:tc>
          <w:tcPr>
            <w:tcW w:w="10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color w:val="auto"/>
                <w:highlight w:val="white"/>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Marketing Services</w:t>
            </w: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0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Validity, Inc. </w:t>
            </w:r>
            <w:r>
              <w:rPr>
                <w:rFonts w:ascii="Times New Roman" w:cs="Times New Roman" w:eastAsia="Times New Roman" w:hAnsi="Times New Roman"/>
                <w:sz w:val="13"/>
                <w:szCs w:val="13"/>
                <w:color w:val="auto"/>
                <w:vertAlign w:val="superscript"/>
              </w:rPr>
              <w:t>(13)</w:t>
            </w:r>
          </w:p>
        </w:tc>
        <w:tc>
          <w:tcPr>
            <w:tcW w:w="2460" w:type="dxa"/>
            <w:vAlign w:val="bottom"/>
            <w:gridSpan w:val="3"/>
          </w:tcPr>
          <w:p>
            <w:pPr>
              <w:ind w:left="220"/>
              <w:spacing w:after="0" w:line="117" w:lineRule="exact"/>
              <w:rPr>
                <w:sz w:val="20"/>
                <w:szCs w:val="20"/>
                <w:color w:val="auto"/>
              </w:rPr>
            </w:pPr>
            <w:r>
              <w:rPr>
                <w:rFonts w:ascii="Times New Roman" w:cs="Times New Roman" w:eastAsia="Times New Roman" w:hAnsi="Times New Roman"/>
                <w:sz w:val="13"/>
                <w:szCs w:val="13"/>
                <w:color w:val="auto"/>
              </w:rPr>
              <w:t>Series A Preferred Shares</w:t>
            </w:r>
          </w:p>
        </w:tc>
        <w:tc>
          <w:tcPr>
            <w:tcW w:w="78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3"/>
                <w:szCs w:val="13"/>
                <w:color w:val="auto"/>
              </w:rPr>
              <w:t>5/31/2018</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3,840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13,824</w:t>
            </w:r>
          </w:p>
        </w:tc>
        <w:tc>
          <w:tcPr>
            <w:tcW w:w="100" w:type="dxa"/>
            <w:vAlign w:val="bottom"/>
          </w:tcPr>
          <w:p>
            <w:pPr>
              <w:spacing w:after="0"/>
              <w:rPr>
                <w:sz w:val="10"/>
                <w:szCs w:val="10"/>
                <w:color w:val="auto"/>
              </w:rPr>
            </w:pPr>
          </w:p>
        </w:tc>
        <w:tc>
          <w:tcPr>
            <w:tcW w:w="11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1.1 %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(3,840,000 shares)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SMPA Holdings, LLC </w:t>
            </w:r>
            <w:r>
              <w:rPr>
                <w:rFonts w:ascii="Times New Roman" w:cs="Times New Roman" w:eastAsia="Times New Roman" w:hAnsi="Times New Roman"/>
                <w:sz w:val="16"/>
                <w:szCs w:val="16"/>
                <w:color w:val="auto"/>
                <w:vertAlign w:val="superscript"/>
              </w:rPr>
              <w:t>(6)</w:t>
            </w:r>
          </w:p>
        </w:tc>
        <w:tc>
          <w:tcPr>
            <w:tcW w:w="246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Common Units (15,000 units)</w:t>
            </w:r>
          </w:p>
        </w:tc>
        <w:tc>
          <w:tcPr>
            <w:tcW w:w="7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12/24/2020</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18,242</w:t>
            </w: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Pharmaceuticals</w:t>
            </w: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TherapeuticsMD, Inc. </w:t>
            </w:r>
            <w:r>
              <w:rPr>
                <w:rFonts w:ascii="Times New Roman" w:cs="Times New Roman" w:eastAsia="Times New Roman" w:hAnsi="Times New Roman"/>
                <w:sz w:val="16"/>
                <w:szCs w:val="16"/>
                <w:color w:val="auto"/>
                <w:vertAlign w:val="superscript"/>
              </w:rPr>
              <w:t>(13)</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712,817 Warrants</w:t>
            </w:r>
          </w:p>
        </w:tc>
        <w:tc>
          <w:tcPr>
            <w:tcW w:w="1200" w:type="dxa"/>
            <w:vAlign w:val="bottom"/>
          </w:tcPr>
          <w:p>
            <w:pPr>
              <w:spacing w:after="0"/>
              <w:rPr>
                <w:sz w:val="14"/>
                <w:szCs w:val="14"/>
                <w:color w:val="auto"/>
              </w:rPr>
            </w:pPr>
          </w:p>
        </w:tc>
        <w:tc>
          <w:tcPr>
            <w:tcW w:w="7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8/5/2020</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American Achievement, Corp. </w:t>
            </w:r>
            <w:r>
              <w:rPr>
                <w:rFonts w:ascii="Times New Roman" w:cs="Times New Roman" w:eastAsia="Times New Roman" w:hAnsi="Times New Roman"/>
                <w:sz w:val="16"/>
                <w:szCs w:val="16"/>
                <w:color w:val="auto"/>
                <w:vertAlign w:val="superscript"/>
              </w:rPr>
              <w:t>(13)(14)</w:t>
            </w:r>
          </w:p>
        </w:tc>
        <w:tc>
          <w:tcPr>
            <w:tcW w:w="246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Class A Units (687 units)</w:t>
            </w:r>
          </w:p>
        </w:tc>
        <w:tc>
          <w:tcPr>
            <w:tcW w:w="7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3/16/2021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Copper Bidco, LLC </w:t>
            </w:r>
            <w:r>
              <w:rPr>
                <w:rFonts w:ascii="Times New Roman" w:cs="Times New Roman" w:eastAsia="Times New Roman" w:hAnsi="Times New Roman"/>
                <w:sz w:val="16"/>
                <w:szCs w:val="16"/>
                <w:color w:val="auto"/>
                <w:vertAlign w:val="superscript"/>
              </w:rPr>
              <w:t>(11)</w:t>
            </w:r>
          </w:p>
        </w:tc>
        <w:tc>
          <w:tcPr>
            <w:tcW w:w="24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Trust Certificates (132,928 Certificates)</w:t>
            </w:r>
          </w:p>
        </w:tc>
        <w:tc>
          <w:tcPr>
            <w:tcW w:w="7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3"/>
                <w:szCs w:val="13"/>
                <w:color w:val="auto"/>
              </w:rPr>
              <w:t>12/7/2020</w:t>
            </w: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1,562</w:t>
            </w:r>
          </w:p>
        </w:tc>
        <w:tc>
          <w:tcPr>
            <w:tcW w:w="10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246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2"/>
                <w:szCs w:val="12"/>
                <w:color w:val="auto"/>
              </w:rPr>
              <w:t>Trust Certificates (996,958 Certificates)</w:t>
            </w:r>
          </w:p>
        </w:tc>
        <w:tc>
          <w:tcPr>
            <w:tcW w:w="780" w:type="dxa"/>
            <w:vAlign w:val="bottom"/>
            <w:gridSpan w:val="2"/>
          </w:tcPr>
          <w:p>
            <w:pPr>
              <w:jc w:val="right"/>
              <w:ind w:right="22"/>
              <w:spacing w:after="0" w:line="108" w:lineRule="exact"/>
              <w:rPr>
                <w:sz w:val="20"/>
                <w:szCs w:val="20"/>
                <w:color w:val="auto"/>
              </w:rPr>
            </w:pPr>
            <w:r>
              <w:rPr>
                <w:rFonts w:ascii="Times New Roman" w:cs="Times New Roman" w:eastAsia="Times New Roman" w:hAnsi="Times New Roman"/>
                <w:sz w:val="12"/>
                <w:szCs w:val="12"/>
                <w:color w:val="auto"/>
              </w:rPr>
              <w:t>1/30/2021</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12,792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21,933</w:t>
            </w:r>
          </w:p>
        </w:tc>
        <w:tc>
          <w:tcPr>
            <w:tcW w:w="100" w:type="dxa"/>
            <w:vAlign w:val="bottom"/>
          </w:tcPr>
          <w:p>
            <w:pPr>
              <w:spacing w:after="0"/>
              <w:rPr>
                <w:sz w:val="9"/>
                <w:szCs w:val="9"/>
                <w:color w:val="auto"/>
              </w:rPr>
            </w:pPr>
          </w:p>
        </w:tc>
        <w:tc>
          <w:tcPr>
            <w:tcW w:w="11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color w:val="auto"/>
              </w:rPr>
              <w:t>1.7 %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00" w:type="dxa"/>
            <w:vAlign w:val="bottom"/>
          </w:tcPr>
          <w:p>
            <w:pPr>
              <w:spacing w:after="0"/>
              <w:rPr>
                <w:sz w:val="9"/>
                <w:szCs w:val="9"/>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(14)</w:t>
            </w: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Neuintel, LLC</w:t>
            </w:r>
            <w:r>
              <w:rPr>
                <w:rFonts w:ascii="Times New Roman" w:cs="Times New Roman" w:eastAsia="Times New Roman" w:hAnsi="Times New Roman"/>
                <w:sz w:val="7"/>
                <w:szCs w:val="7"/>
                <w:color w:val="auto"/>
              </w:rPr>
              <w:t xml:space="preserve"> (13)(14)(15)</w:t>
            </w:r>
          </w:p>
        </w:tc>
        <w:tc>
          <w:tcPr>
            <w:tcW w:w="24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Class A Units (1,176,494 units)</w:t>
            </w:r>
          </w:p>
        </w:tc>
        <w:tc>
          <w:tcPr>
            <w:tcW w:w="7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3"/>
                <w:szCs w:val="13"/>
                <w:color w:val="auto"/>
              </w:rPr>
              <w:t>12/21/2021</w:t>
            </w: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26,545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2.0 </w:t>
            </w:r>
            <w:r>
              <w:rPr>
                <w:rFonts w:ascii="Times New Roman" w:cs="Times New Roman" w:eastAsia="Times New Roman" w:hAnsi="Times New Roman"/>
                <w:sz w:val="13"/>
                <w:szCs w:val="13"/>
                <w:color w:val="auto"/>
                <w:highlight w:val="white"/>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Structured Products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Bain Capital Credit CLO Ltd,</w:t>
            </w:r>
          </w:p>
        </w:tc>
        <w:tc>
          <w:tcPr>
            <w:tcW w:w="2460" w:type="dxa"/>
            <w:vAlign w:val="bottom"/>
            <w:gridSpan w:val="3"/>
            <w:shd w:val="clear" w:color="auto" w:fill="CFF0FC"/>
          </w:tcPr>
          <w:p>
            <w:pPr>
              <w:ind w:left="220"/>
              <w:spacing w:after="0" w:line="108" w:lineRule="exact"/>
              <w:rPr>
                <w:sz w:val="20"/>
                <w:szCs w:val="20"/>
                <w:color w:val="auto"/>
              </w:rPr>
            </w:pPr>
            <w:r>
              <w:rPr>
                <w:rFonts w:ascii="Times New Roman" w:cs="Times New Roman" w:eastAsia="Times New Roman" w:hAnsi="Times New Roman"/>
                <w:sz w:val="12"/>
                <w:szCs w:val="12"/>
                <w:color w:val="auto"/>
              </w:rPr>
              <w:t>Structured Product ($500 par, due</w:t>
            </w:r>
          </w:p>
        </w:tc>
        <w:tc>
          <w:tcPr>
            <w:tcW w:w="780" w:type="dxa"/>
            <w:vAlign w:val="bottom"/>
            <w:gridSpan w:val="2"/>
            <w:shd w:val="clear" w:color="auto" w:fill="CFF0FC"/>
          </w:tcPr>
          <w:p>
            <w:pPr>
              <w:jc w:val="right"/>
              <w:ind w:right="22"/>
              <w:spacing w:after="0" w:line="108" w:lineRule="exact"/>
              <w:rPr>
                <w:sz w:val="20"/>
                <w:szCs w:val="20"/>
                <w:color w:val="auto"/>
              </w:rPr>
            </w:pPr>
            <w:r>
              <w:rPr>
                <w:rFonts w:ascii="Times New Roman" w:cs="Times New Roman" w:eastAsia="Times New Roman" w:hAnsi="Times New Roman"/>
                <w:sz w:val="12"/>
                <w:szCs w:val="12"/>
                <w:color w:val="auto"/>
              </w:rPr>
              <w:t>10/15/2020</w:t>
            </w:r>
          </w:p>
        </w:tc>
        <w:tc>
          <w:tcPr>
            <w:tcW w:w="940" w:type="dxa"/>
            <w:vAlign w:val="bottom"/>
            <w:gridSpan w:val="3"/>
            <w:shd w:val="clear" w:color="auto" w:fill="CFF0FC"/>
          </w:tcPr>
          <w:p>
            <w:pPr>
              <w:ind w:left="380"/>
              <w:spacing w:after="0" w:line="108" w:lineRule="exact"/>
              <w:rPr>
                <w:sz w:val="20"/>
                <w:szCs w:val="20"/>
                <w:color w:val="auto"/>
              </w:rPr>
            </w:pPr>
            <w:r>
              <w:rPr>
                <w:rFonts w:ascii="Times New Roman" w:cs="Times New Roman" w:eastAsia="Times New Roman" w:hAnsi="Times New Roman"/>
                <w:sz w:val="12"/>
                <w:szCs w:val="12"/>
                <w:color w:val="auto"/>
              </w:rPr>
              <w:t>L + 5.35%</w:t>
            </w:r>
          </w:p>
        </w:tc>
        <w:tc>
          <w:tcPr>
            <w:tcW w:w="800" w:type="dxa"/>
            <w:vAlign w:val="bottom"/>
            <w:shd w:val="clear" w:color="auto" w:fill="CFF0FC"/>
          </w:tcPr>
          <w:p>
            <w:pPr>
              <w:spacing w:after="0"/>
              <w:rPr>
                <w:sz w:val="9"/>
                <w:szCs w:val="9"/>
                <w:color w:val="auto"/>
              </w:rPr>
            </w:pPr>
          </w:p>
        </w:tc>
        <w:tc>
          <w:tcPr>
            <w:tcW w:w="680" w:type="dxa"/>
            <w:vAlign w:val="bottom"/>
            <w:gridSpan w:val="2"/>
            <w:shd w:val="clear" w:color="auto" w:fill="CFF0FC"/>
          </w:tcPr>
          <w:p>
            <w:pPr>
              <w:ind w:left="240"/>
              <w:spacing w:after="0" w:line="108" w:lineRule="exact"/>
              <w:rPr>
                <w:sz w:val="20"/>
                <w:szCs w:val="20"/>
                <w:color w:val="auto"/>
              </w:rPr>
            </w:pPr>
            <w:r>
              <w:rPr>
                <w:rFonts w:ascii="Times New Roman" w:cs="Times New Roman" w:eastAsia="Times New Roman" w:hAnsi="Times New Roman"/>
                <w:sz w:val="12"/>
                <w:szCs w:val="12"/>
                <w:color w:val="auto"/>
              </w:rPr>
              <w:t>5.47 %</w:t>
            </w:r>
          </w:p>
        </w:tc>
        <w:tc>
          <w:tcPr>
            <w:tcW w:w="12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417</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463</w:t>
            </w:r>
          </w:p>
        </w:tc>
        <w:tc>
          <w:tcPr>
            <w:tcW w:w="100" w:type="dxa"/>
            <w:vAlign w:val="bottom"/>
            <w:shd w:val="clear" w:color="auto" w:fill="CFF0FC"/>
          </w:tcPr>
          <w:p>
            <w:pPr>
              <w:spacing w:after="0"/>
              <w:rPr>
                <w:sz w:val="9"/>
                <w:szCs w:val="9"/>
                <w:color w:val="auto"/>
              </w:rPr>
            </w:pPr>
          </w:p>
        </w:tc>
        <w:tc>
          <w:tcPr>
            <w:tcW w:w="1180" w:type="dxa"/>
            <w:vAlign w:val="bottom"/>
            <w:gridSpan w:val="3"/>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0.0 %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 xml:space="preserve">Series 2018-1A </w:t>
            </w:r>
            <w:r>
              <w:rPr>
                <w:rFonts w:ascii="Times New Roman" w:cs="Times New Roman" w:eastAsia="Times New Roman" w:hAnsi="Times New Roman"/>
                <w:sz w:val="16"/>
                <w:szCs w:val="16"/>
                <w:color w:val="auto"/>
                <w:vertAlign w:val="superscript"/>
              </w:rPr>
              <w:t>(3)(4)(11)</w:t>
            </w:r>
          </w:p>
        </w:tc>
        <w:tc>
          <w:tcPr>
            <w:tcW w:w="1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4/2031)</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2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Carlyle Global Market Strategies</w:t>
            </w:r>
          </w:p>
        </w:tc>
        <w:tc>
          <w:tcPr>
            <w:tcW w:w="2460" w:type="dxa"/>
            <w:vAlign w:val="bottom"/>
            <w:gridSpan w:val="3"/>
          </w:tcPr>
          <w:p>
            <w:pPr>
              <w:ind w:left="220"/>
              <w:spacing w:after="0" w:line="117" w:lineRule="exact"/>
              <w:rPr>
                <w:sz w:val="20"/>
                <w:szCs w:val="20"/>
                <w:color w:val="auto"/>
              </w:rPr>
            </w:pPr>
            <w:r>
              <w:rPr>
                <w:rFonts w:ascii="Times New Roman" w:cs="Times New Roman" w:eastAsia="Times New Roman" w:hAnsi="Times New Roman"/>
                <w:sz w:val="13"/>
                <w:szCs w:val="13"/>
                <w:color w:val="auto"/>
              </w:rPr>
              <w:t>Structured Product ($1,550 par, due</w:t>
            </w:r>
          </w:p>
        </w:tc>
        <w:tc>
          <w:tcPr>
            <w:tcW w:w="78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3"/>
                <w:szCs w:val="13"/>
                <w:color w:val="auto"/>
              </w:rPr>
              <w:t>8/11/2020</w:t>
            </w:r>
          </w:p>
        </w:tc>
        <w:tc>
          <w:tcPr>
            <w:tcW w:w="940" w:type="dxa"/>
            <w:vAlign w:val="bottom"/>
            <w:gridSpan w:val="3"/>
          </w:tcPr>
          <w:p>
            <w:pPr>
              <w:ind w:left="380"/>
              <w:spacing w:after="0" w:line="117" w:lineRule="exact"/>
              <w:rPr>
                <w:sz w:val="20"/>
                <w:szCs w:val="20"/>
                <w:color w:val="auto"/>
              </w:rPr>
            </w:pPr>
            <w:r>
              <w:rPr>
                <w:rFonts w:ascii="Times New Roman" w:cs="Times New Roman" w:eastAsia="Times New Roman" w:hAnsi="Times New Roman"/>
                <w:sz w:val="13"/>
                <w:szCs w:val="13"/>
                <w:color w:val="auto"/>
                <w:w w:val="97"/>
              </w:rPr>
              <w:t>L + 5.75%</w:t>
            </w:r>
          </w:p>
        </w:tc>
        <w:tc>
          <w:tcPr>
            <w:tcW w:w="800" w:type="dxa"/>
            <w:vAlign w:val="bottom"/>
          </w:tcPr>
          <w:p>
            <w:pPr>
              <w:spacing w:after="0"/>
              <w:rPr>
                <w:sz w:val="10"/>
                <w:szCs w:val="10"/>
                <w:color w:val="auto"/>
              </w:rPr>
            </w:pPr>
          </w:p>
        </w:tc>
        <w:tc>
          <w:tcPr>
            <w:tcW w:w="68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5.88 %</w:t>
            </w:r>
          </w:p>
        </w:tc>
        <w:tc>
          <w:tcPr>
            <w:tcW w:w="120" w:type="dxa"/>
            <w:vAlign w:val="bottom"/>
          </w:tcPr>
          <w:p>
            <w:pPr>
              <w:spacing w:after="0"/>
              <w:rPr>
                <w:sz w:val="10"/>
                <w:szCs w:val="10"/>
                <w:color w:val="auto"/>
              </w:rPr>
            </w:pP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1,464</w:t>
            </w:r>
          </w:p>
        </w:tc>
        <w:tc>
          <w:tcPr>
            <w:tcW w:w="100" w:type="dxa"/>
            <w:vAlign w:val="bottom"/>
          </w:tcPr>
          <w:p>
            <w:pPr>
              <w:spacing w:after="0"/>
              <w:rPr>
                <w:sz w:val="10"/>
                <w:szCs w:val="10"/>
                <w:color w:val="auto"/>
              </w:rPr>
            </w:pPr>
          </w:p>
        </w:tc>
        <w:tc>
          <w:tcPr>
            <w:tcW w:w="11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0.1 %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auto"/>
              </w:rPr>
              <w:t>CLO Ltd, Series 2018-1A</w:t>
            </w:r>
          </w:p>
        </w:tc>
        <w:tc>
          <w:tcPr>
            <w:tcW w:w="1120" w:type="dxa"/>
            <w:vAlign w:val="bottom"/>
          </w:tcPr>
          <w:p>
            <w:pPr>
              <w:ind w:left="220"/>
              <w:spacing w:after="0" w:line="126" w:lineRule="exact"/>
              <w:rPr>
                <w:sz w:val="20"/>
                <w:szCs w:val="20"/>
                <w:color w:val="auto"/>
              </w:rPr>
            </w:pPr>
            <w:r>
              <w:rPr>
                <w:rFonts w:ascii="Times New Roman" w:cs="Times New Roman" w:eastAsia="Times New Roman" w:hAnsi="Times New Roman"/>
                <w:sz w:val="13"/>
                <w:szCs w:val="13"/>
                <w:color w:val="auto"/>
              </w:rPr>
              <w:t>4/2031)</w:t>
            </w: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200" w:type="dxa"/>
            <w:vAlign w:val="bottom"/>
          </w:tcPr>
          <w:p>
            <w:pPr>
              <w:ind w:left="120"/>
              <w:spacing w:after="0"/>
              <w:rPr>
                <w:sz w:val="20"/>
                <w:szCs w:val="20"/>
                <w:color w:val="auto"/>
              </w:rPr>
            </w:pPr>
            <w:r>
              <w:rPr>
                <w:rFonts w:ascii="Times New Roman" w:cs="Times New Roman" w:eastAsia="Times New Roman" w:hAnsi="Times New Roman"/>
                <w:sz w:val="8"/>
                <w:szCs w:val="8"/>
                <w:color w:val="auto"/>
              </w:rPr>
              <w:t>(3)(4)(11)</w:t>
            </w: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tcPr>
          <w:p>
            <w:pPr>
              <w:spacing w:after="0"/>
              <w:rPr>
                <w:sz w:val="5"/>
                <w:szCs w:val="5"/>
                <w:color w:val="auto"/>
              </w:rPr>
            </w:pP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2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Carlyle Global Market Strategies</w:t>
            </w:r>
          </w:p>
        </w:tc>
        <w:tc>
          <w:tcPr>
            <w:tcW w:w="2460" w:type="dxa"/>
            <w:vAlign w:val="bottom"/>
            <w:gridSpan w:val="3"/>
            <w:shd w:val="clear" w:color="auto" w:fill="CFF0FC"/>
          </w:tcPr>
          <w:p>
            <w:pPr>
              <w:ind w:left="220"/>
              <w:spacing w:after="0" w:line="117" w:lineRule="exact"/>
              <w:rPr>
                <w:sz w:val="20"/>
                <w:szCs w:val="20"/>
                <w:color w:val="auto"/>
              </w:rPr>
            </w:pPr>
            <w:r>
              <w:rPr>
                <w:rFonts w:ascii="Times New Roman" w:cs="Times New Roman" w:eastAsia="Times New Roman" w:hAnsi="Times New Roman"/>
                <w:sz w:val="13"/>
                <w:szCs w:val="13"/>
                <w:color w:val="auto"/>
              </w:rPr>
              <w:t>Structured Product ($4,150 par, due</w:t>
            </w:r>
          </w:p>
        </w:tc>
        <w:tc>
          <w:tcPr>
            <w:tcW w:w="780" w:type="dxa"/>
            <w:vAlign w:val="bottom"/>
            <w:gridSpan w:val="2"/>
            <w:shd w:val="clear" w:color="auto" w:fill="CFF0FC"/>
          </w:tcPr>
          <w:p>
            <w:pPr>
              <w:jc w:val="right"/>
              <w:ind w:right="22"/>
              <w:spacing w:after="0" w:line="117" w:lineRule="exact"/>
              <w:rPr>
                <w:sz w:val="20"/>
                <w:szCs w:val="20"/>
                <w:color w:val="auto"/>
              </w:rPr>
            </w:pPr>
            <w:r>
              <w:rPr>
                <w:rFonts w:ascii="Times New Roman" w:cs="Times New Roman" w:eastAsia="Times New Roman" w:hAnsi="Times New Roman"/>
                <w:sz w:val="13"/>
                <w:szCs w:val="13"/>
                <w:color w:val="auto"/>
              </w:rPr>
              <w:t>9/3/2020</w:t>
            </w:r>
          </w:p>
        </w:tc>
        <w:tc>
          <w:tcPr>
            <w:tcW w:w="940" w:type="dxa"/>
            <w:vAlign w:val="bottom"/>
            <w:gridSpan w:val="3"/>
            <w:shd w:val="clear" w:color="auto" w:fill="CFF0FC"/>
          </w:tcPr>
          <w:p>
            <w:pPr>
              <w:ind w:left="380"/>
              <w:spacing w:after="0" w:line="117" w:lineRule="exact"/>
              <w:rPr>
                <w:sz w:val="20"/>
                <w:szCs w:val="20"/>
                <w:color w:val="auto"/>
              </w:rPr>
            </w:pPr>
            <w:r>
              <w:rPr>
                <w:rFonts w:ascii="Times New Roman" w:cs="Times New Roman" w:eastAsia="Times New Roman" w:hAnsi="Times New Roman"/>
                <w:sz w:val="13"/>
                <w:szCs w:val="13"/>
                <w:color w:val="auto"/>
                <w:w w:val="97"/>
              </w:rPr>
              <w:t>L + 6.15%</w:t>
            </w:r>
          </w:p>
        </w:tc>
        <w:tc>
          <w:tcPr>
            <w:tcW w:w="8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ind w:left="240"/>
              <w:spacing w:after="0" w:line="117" w:lineRule="exact"/>
              <w:rPr>
                <w:sz w:val="20"/>
                <w:szCs w:val="20"/>
                <w:color w:val="auto"/>
              </w:rPr>
            </w:pPr>
            <w:r>
              <w:rPr>
                <w:rFonts w:ascii="Times New Roman" w:cs="Times New Roman" w:eastAsia="Times New Roman" w:hAnsi="Times New Roman"/>
                <w:sz w:val="13"/>
                <w:szCs w:val="13"/>
                <w:color w:val="auto"/>
              </w:rPr>
              <w:t>6.27 %</w:t>
            </w: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3,455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3,865</w:t>
            </w:r>
          </w:p>
        </w:tc>
        <w:tc>
          <w:tcPr>
            <w:tcW w:w="100" w:type="dxa"/>
            <w:vAlign w:val="bottom"/>
            <w:shd w:val="clear" w:color="auto" w:fill="CFF0FC"/>
          </w:tcPr>
          <w:p>
            <w:pPr>
              <w:spacing w:after="0"/>
              <w:rPr>
                <w:sz w:val="10"/>
                <w:szCs w:val="10"/>
                <w:color w:val="auto"/>
              </w:rPr>
            </w:pPr>
          </w:p>
        </w:tc>
        <w:tc>
          <w:tcPr>
            <w:tcW w:w="118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0.3 %</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3"/>
                <w:szCs w:val="13"/>
                <w:color w:val="auto"/>
              </w:rPr>
              <w:t>CLO Ltd, Series 2017-4A</w:t>
            </w:r>
          </w:p>
        </w:tc>
        <w:tc>
          <w:tcPr>
            <w:tcW w:w="1120" w:type="dxa"/>
            <w:vAlign w:val="bottom"/>
            <w:shd w:val="clear" w:color="auto" w:fill="CFF0FC"/>
          </w:tcPr>
          <w:p>
            <w:pPr>
              <w:ind w:left="220"/>
              <w:spacing w:after="0" w:line="126" w:lineRule="exact"/>
              <w:rPr>
                <w:sz w:val="20"/>
                <w:szCs w:val="20"/>
                <w:color w:val="auto"/>
              </w:rPr>
            </w:pPr>
            <w:r>
              <w:rPr>
                <w:rFonts w:ascii="Times New Roman" w:cs="Times New Roman" w:eastAsia="Times New Roman" w:hAnsi="Times New Roman"/>
                <w:sz w:val="13"/>
                <w:szCs w:val="13"/>
                <w:color w:val="auto"/>
              </w:rPr>
              <w:t>1/2030)</w:t>
            </w: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(3)(4)(11)</w:t>
            </w:r>
          </w:p>
        </w:tc>
        <w:tc>
          <w:tcPr>
            <w:tcW w:w="1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0.4 </w:t>
            </w:r>
            <w:r>
              <w:rPr>
                <w:rFonts w:ascii="Times New Roman" w:cs="Times New Roman" w:eastAsia="Times New Roman" w:hAnsi="Times New Roman"/>
                <w:sz w:val="13"/>
                <w:szCs w:val="13"/>
                <w:color w:val="auto"/>
                <w:highlight w:val="white"/>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0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Equity and Other</w:t>
            </w:r>
          </w:p>
        </w:tc>
        <w:tc>
          <w:tcPr>
            <w:tcW w:w="1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right w:val="single" w:sz="8" w:color="CFF0FC"/>
            </w:tcBorders>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114,460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2"/>
                <w:szCs w:val="12"/>
                <w:color w:val="auto"/>
              </w:rPr>
              <w:t>161,459</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12.6</w:t>
            </w:r>
          </w:p>
        </w:tc>
        <w:tc>
          <w:tcPr>
            <w:tcW w:w="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color w:val="auto"/>
                <w:w w:val="79"/>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2,432,012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2,521,593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197.6 %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0"/>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4"/>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Upfront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2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1600" w:type="dxa"/>
            <w:vAlign w:val="bottom"/>
            <w:gridSpan w:val="4"/>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00" w:type="dxa"/>
            <w:vAlign w:val="bottom"/>
          </w:tcPr>
          <w:p>
            <w:pPr>
              <w:jc w:val="center"/>
              <w:ind w:right="152"/>
              <w:spacing w:after="0" w:line="160"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Pr>
          <w:p>
            <w:pPr>
              <w:spacing w:after="0"/>
              <w:rPr>
                <w:sz w:val="13"/>
                <w:szCs w:val="13"/>
                <w:color w:val="auto"/>
              </w:rPr>
            </w:pPr>
          </w:p>
        </w:tc>
        <w:tc>
          <w:tcPr>
            <w:tcW w:w="1320" w:type="dxa"/>
            <w:vAlign w:val="bottom"/>
            <w:gridSpan w:val="4"/>
          </w:tcPr>
          <w:p>
            <w:pPr>
              <w:jc w:val="center"/>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3"/>
                <w:szCs w:val="13"/>
                <w:color w:val="auto"/>
              </w:rPr>
            </w:pPr>
          </w:p>
        </w:tc>
        <w:tc>
          <w:tcPr>
            <w:tcW w:w="1120" w:type="dxa"/>
            <w:vAlign w:val="bottom"/>
            <w:gridSpan w:val="4"/>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Pays</w:t>
            </w:r>
          </w:p>
        </w:tc>
        <w:tc>
          <w:tcPr>
            <w:tcW w:w="120" w:type="dxa"/>
            <w:vAlign w:val="bottom"/>
          </w:tcPr>
          <w:p>
            <w:pPr>
              <w:spacing w:after="0"/>
              <w:rPr>
                <w:sz w:val="16"/>
                <w:szCs w:val="16"/>
                <w:color w:val="auto"/>
              </w:rPr>
            </w:pPr>
          </w:p>
        </w:tc>
        <w:tc>
          <w:tcPr>
            <w:tcW w:w="1600" w:type="dxa"/>
            <w:vAlign w:val="bottom"/>
            <w:gridSpan w:val="4"/>
            <w:vMerge w:val="continue"/>
          </w:tcPr>
          <w:p>
            <w:pPr>
              <w:spacing w:after="0"/>
              <w:rPr>
                <w:sz w:val="16"/>
                <w:szCs w:val="16"/>
                <w:color w:val="auto"/>
              </w:rPr>
            </w:pPr>
          </w:p>
        </w:tc>
        <w:tc>
          <w:tcPr>
            <w:tcW w:w="8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320" w:type="dxa"/>
            <w:vAlign w:val="bottom"/>
            <w:gridSpan w:val="4"/>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10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0" w:type="dxa"/>
            <w:vAlign w:val="bottom"/>
          </w:tcPr>
          <w:p>
            <w:pPr>
              <w:spacing w:after="0"/>
              <w:rPr>
                <w:sz w:val="1"/>
                <w:szCs w:val="1"/>
                <w:color w:val="auto"/>
              </w:rPr>
            </w:pPr>
          </w:p>
        </w:tc>
      </w:tr>
      <w:tr>
        <w:trPr>
          <w:trHeight w:val="158"/>
        </w:trPr>
        <w:tc>
          <w:tcPr>
            <w:tcW w:w="2200" w:type="dxa"/>
            <w:vAlign w:val="bottom"/>
            <w:vMerge w:val="continue"/>
          </w:tcPr>
          <w:p>
            <w:pPr>
              <w:spacing w:after="0"/>
              <w:rPr>
                <w:sz w:val="13"/>
                <w:szCs w:val="13"/>
                <w:color w:val="auto"/>
              </w:rPr>
            </w:pPr>
          </w:p>
        </w:tc>
        <w:tc>
          <w:tcPr>
            <w:tcW w:w="112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rPr>
              <w:t>L</w:t>
            </w:r>
          </w:p>
        </w:tc>
        <w:tc>
          <w:tcPr>
            <w:tcW w:w="14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0.16%</w:t>
            </w:r>
          </w:p>
        </w:tc>
        <w:tc>
          <w:tcPr>
            <w:tcW w:w="120" w:type="dxa"/>
            <w:vAlign w:val="bottom"/>
          </w:tcPr>
          <w:p>
            <w:pPr>
              <w:spacing w:after="0"/>
              <w:rPr>
                <w:sz w:val="13"/>
                <w:szCs w:val="13"/>
                <w:color w:val="auto"/>
              </w:rPr>
            </w:pPr>
          </w:p>
        </w:tc>
        <w:tc>
          <w:tcPr>
            <w:tcW w:w="1200" w:type="dxa"/>
            <w:vAlign w:val="bottom"/>
            <w:tcBorders>
              <w:top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7/30/2022</w:t>
            </w:r>
          </w:p>
        </w:tc>
        <w:tc>
          <w:tcPr>
            <w:tcW w:w="140" w:type="dxa"/>
            <w:vAlign w:val="bottom"/>
          </w:tcPr>
          <w:p>
            <w:pPr>
              <w:spacing w:after="0"/>
              <w:rPr>
                <w:sz w:val="13"/>
                <w:szCs w:val="13"/>
                <w:color w:val="auto"/>
              </w:rPr>
            </w:pPr>
          </w:p>
        </w:tc>
        <w:tc>
          <w:tcPr>
            <w:tcW w:w="260" w:type="dxa"/>
            <w:vAlign w:val="bottom"/>
            <w:tcBorders>
              <w:top w:val="single" w:sz="8" w:color="auto"/>
            </w:tcBorders>
          </w:tcPr>
          <w:p>
            <w:pPr>
              <w:jc w:val="right"/>
              <w:ind w:right="7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13,440</w:t>
            </w:r>
          </w:p>
        </w:tc>
        <w:tc>
          <w:tcPr>
            <w:tcW w:w="240" w:type="dxa"/>
            <w:vAlign w:val="bottom"/>
          </w:tcPr>
          <w:p>
            <w:pPr>
              <w:spacing w:after="0"/>
              <w:rPr>
                <w:sz w:val="13"/>
                <w:szCs w:val="13"/>
                <w:color w:val="auto"/>
              </w:rPr>
            </w:pPr>
          </w:p>
        </w:tc>
        <w:tc>
          <w:tcPr>
            <w:tcW w:w="440" w:type="dxa"/>
            <w:vAlign w:val="bottom"/>
            <w:tcBorders>
              <w:top w:val="single" w:sz="8" w:color="auto"/>
            </w:tcBorders>
          </w:tcPr>
          <w:p>
            <w:pPr>
              <w:ind w:left="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3"/>
                <w:szCs w:val="13"/>
                <w:color w:val="auto"/>
              </w:rPr>
            </w:pPr>
          </w:p>
        </w:tc>
        <w:tc>
          <w:tcPr>
            <w:tcW w:w="1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+ 2.37%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+ 1.59%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+ 1.60%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 + 2.11%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 + 2.11%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 + 2.11%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+ 1.99%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 + 2.28%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2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0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(a)(b)</w:t>
            </w:r>
          </w:p>
        </w:tc>
        <w:tc>
          <w:tcPr>
            <w:tcW w:w="126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w:t>
            </w:r>
          </w:p>
        </w:tc>
        <w:tc>
          <w:tcPr>
            <w:tcW w:w="1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0.326%</w:t>
            </w:r>
          </w:p>
        </w:tc>
        <w:tc>
          <w:tcPr>
            <w:tcW w:w="132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6/9/2023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410,950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(6,699 )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+ 2.25%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(10,720 )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+ 2.46%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20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4"/>
                <w:szCs w:val="24"/>
                <w:color w:val="auto"/>
                <w:vertAlign w:val="superscript"/>
              </w:rPr>
              <w:t>(a)(c)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+ 1.91%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8/1/2026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560" w:type="dxa"/>
            <w:vAlign w:val="bottom"/>
            <w:gridSpan w:val="5"/>
          </w:tcPr>
          <w:p>
            <w:pPr>
              <w:jc w:val="right"/>
              <w:ind w:right="104"/>
              <w:spacing w:after="0"/>
              <w:rPr>
                <w:sz w:val="20"/>
                <w:szCs w:val="20"/>
                <w:color w:val="auto"/>
              </w:rPr>
            </w:pPr>
            <w:r>
              <w:rPr>
                <w:rFonts w:ascii="Times New Roman" w:cs="Times New Roman" w:eastAsia="Times New Roman" w:hAnsi="Times New Roman"/>
                <w:sz w:val="18"/>
                <w:szCs w:val="18"/>
                <w:color w:val="auto"/>
              </w:rPr>
              <w:t>(10,239 )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(10,239 )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260" w:type="dxa"/>
            <w:vAlign w:val="bottom"/>
            <w:tcBorders>
              <w:right w:val="single" w:sz="8" w:color="CFF0FC"/>
            </w:tcBorders>
            <w:shd w:val="clear" w:color="auto" w:fill="CFF0FC"/>
          </w:tcPr>
          <w:p>
            <w:pPr>
              <w:jc w:val="right"/>
              <w:ind w:right="10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collateral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1,060,950</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(29,334</w:t>
            </w:r>
          </w:p>
        </w:tc>
        <w:tc>
          <w:tcPr>
            <w:tcW w:w="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-6574155</wp:posOffset>
            </wp:positionV>
            <wp:extent cx="68580"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-6574155</wp:posOffset>
            </wp:positionV>
            <wp:extent cx="68580"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-5185410</wp:posOffset>
            </wp:positionV>
            <wp:extent cx="6858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-5185410</wp:posOffset>
            </wp:positionV>
            <wp:extent cx="68580"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-4148455</wp:posOffset>
            </wp:positionV>
            <wp:extent cx="68580" cy="120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-4148455</wp:posOffset>
            </wp:positionV>
            <wp:extent cx="68580"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-3848100</wp:posOffset>
            </wp:positionV>
            <wp:extent cx="6858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-3848100</wp:posOffset>
            </wp:positionV>
            <wp:extent cx="6858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-3136900</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2825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-505460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-488315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-505460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-488315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-505460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-488315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01" w:right="299" w:bottom="1440" w:gutter="0" w:footer="0" w:header="0"/>
        </w:sectPr>
      </w:pPr>
    </w:p>
    <w:bookmarkStart w:id="15" w:name="page16"/>
    <w:bookmarkEnd w:id="15"/>
    <w:p>
      <w:pPr>
        <w:ind w:left="1020" w:hanging="503"/>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was terminated or matured during the period.</w:t>
      </w:r>
    </w:p>
    <w:p>
      <w:pPr>
        <w:spacing w:after="0" w:line="7"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 w:lineRule="exact"/>
        <w:rPr>
          <w:rFonts w:ascii="Times New Roman" w:cs="Times New Roman" w:eastAsia="Times New Roman" w:hAnsi="Times New Roman"/>
          <w:sz w:val="18"/>
          <w:szCs w:val="18"/>
          <w:color w:val="auto"/>
        </w:rPr>
      </w:pPr>
    </w:p>
    <w:p>
      <w:pPr>
        <w:ind w:left="1020" w:right="160" w:hanging="503"/>
        <w:spacing w:after="0" w:line="24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this instrument is presented net with the $2.5 million in aggregate notional value of instruments no longer designated as instruments in a hedge accounting relationship.</w:t>
      </w:r>
    </w:p>
    <w:p>
      <w:pPr>
        <w:spacing w:after="0" w:line="16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5" w:lineRule="exact"/>
        <w:rPr>
          <w:rFonts w:ascii="Times New Roman" w:cs="Times New Roman" w:eastAsia="Times New Roman" w:hAnsi="Times New Roman"/>
          <w:sz w:val="18"/>
          <w:szCs w:val="18"/>
          <w:color w:val="auto"/>
        </w:rPr>
      </w:pPr>
    </w:p>
    <w:p>
      <w:pPr>
        <w:ind w:left="520" w:hanging="512"/>
        <w:spacing w:after="0" w:line="24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 w:lineRule="exact"/>
        <w:rPr>
          <w:rFonts w:ascii="Times New Roman" w:cs="Times New Roman" w:eastAsia="Times New Roman" w:hAnsi="Times New Roman"/>
          <w:sz w:val="18"/>
          <w:szCs w:val="18"/>
          <w:color w:val="auto"/>
        </w:rPr>
      </w:pPr>
    </w:p>
    <w:p>
      <w:pPr>
        <w:ind w:left="520" w:right="80" w:hanging="512"/>
        <w:spacing w:after="0" w:line="239"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2021.</w:t>
      </w:r>
    </w:p>
    <w:p>
      <w:pPr>
        <w:spacing w:after="0" w:line="1" w:lineRule="exact"/>
        <w:rPr>
          <w:rFonts w:ascii="Times New Roman" w:cs="Times New Roman" w:eastAsia="Times New Roman" w:hAnsi="Times New Roman"/>
          <w:sz w:val="18"/>
          <w:szCs w:val="18"/>
          <w:color w:val="auto"/>
        </w:rPr>
      </w:pPr>
    </w:p>
    <w:p>
      <w:pPr>
        <w:ind w:left="520" w:right="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13.9% of total assets as of December 31, 2021.</w:t>
      </w:r>
    </w:p>
    <w:p>
      <w:pPr>
        <w:ind w:left="520" w:right="40" w:hanging="512"/>
        <w:spacing w:after="0" w:line="23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rFonts w:ascii="Times New Roman" w:cs="Times New Roman" w:eastAsia="Times New Roman" w:hAnsi="Times New Roman"/>
          <w:sz w:val="18"/>
          <w:szCs w:val="18"/>
          <w:color w:val="auto"/>
        </w:rPr>
      </w:pPr>
    </w:p>
    <w:p>
      <w:pPr>
        <w:jc w:val="both"/>
        <w:ind w:left="520" w:right="260" w:hanging="512"/>
        <w:spacing w:after="0" w:line="24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2021in which the Company was an Affiliated Person of the portfolio company are as follows: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8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Change</w:t>
            </w:r>
          </w:p>
        </w:tc>
        <w:tc>
          <w:tcPr>
            <w:tcW w:w="220" w:type="dxa"/>
            <w:vAlign w:val="bottom"/>
          </w:tcPr>
          <w:p>
            <w:pPr>
              <w:spacing w:after="0"/>
              <w:rPr>
                <w:sz w:val="11"/>
                <w:szCs w:val="11"/>
                <w:color w:val="auto"/>
              </w:rPr>
            </w:pPr>
          </w:p>
        </w:tc>
        <w:tc>
          <w:tcPr>
            <w:tcW w:w="9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0"/>
              </w:rPr>
              <w:t>Other</w:t>
            </w:r>
          </w:p>
        </w:tc>
        <w:tc>
          <w:tcPr>
            <w:tcW w:w="220" w:type="dxa"/>
            <w:vAlign w:val="bottom"/>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4"/>
              </w:rPr>
              <w:t>In Unrealized</w:t>
            </w: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8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Additions (a)</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Reductions (b)</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Gain/(Loss)(d)</w:t>
            </w:r>
          </w:p>
        </w:tc>
        <w:tc>
          <w:tcPr>
            <w:tcW w:w="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0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800" w:type="dxa"/>
            <w:vAlign w:val="bottom"/>
            <w:shd w:val="clear" w:color="auto" w:fill="CFF0FC"/>
          </w:tcPr>
          <w:p>
            <w:pPr>
              <w:ind w:left="20"/>
              <w:spacing w:after="0" w:line="103" w:lineRule="exact"/>
              <w:rPr>
                <w:sz w:val="20"/>
                <w:szCs w:val="20"/>
                <w:color w:val="auto"/>
              </w:rPr>
            </w:pPr>
            <w:r>
              <w:rPr>
                <w:rFonts w:ascii="Times New Roman" w:cs="Times New Roman" w:eastAsia="Times New Roman" w:hAnsi="Times New Roman"/>
                <w:sz w:val="10"/>
                <w:szCs w:val="10"/>
                <w:color w:val="auto"/>
              </w:rPr>
              <w:t>MD America Energy,</w:t>
            </w:r>
          </w:p>
        </w:tc>
        <w:tc>
          <w:tcPr>
            <w:tcW w:w="12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12,892</w:t>
            </w:r>
          </w:p>
        </w:tc>
        <w:tc>
          <w:tcPr>
            <w:tcW w:w="24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vMerge w:val="restart"/>
            <w:shd w:val="clear" w:color="auto" w:fill="CFF0FC"/>
          </w:tcPr>
          <w:p>
            <w:pPr>
              <w:ind w:left="70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(225 )</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14,350</w:t>
            </w:r>
          </w:p>
        </w:tc>
        <w:tc>
          <w:tcPr>
            <w:tcW w:w="1180" w:type="dxa"/>
            <w:vAlign w:val="bottom"/>
            <w:gridSpan w:val="2"/>
            <w:vMerge w:val="restart"/>
            <w:shd w:val="clear" w:color="auto" w:fill="CFF0FC"/>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27,017</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40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80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8"/>
                <w:szCs w:val="8"/>
                <w:color w:val="auto"/>
              </w:rPr>
              <w:t xml:space="preserve"> (c)</w:t>
            </w:r>
          </w:p>
        </w:tc>
        <w:tc>
          <w:tcPr>
            <w:tcW w:w="120" w:type="dxa"/>
            <w:vAlign w:val="bottom"/>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140" w:type="dxa"/>
            <w:vAlign w:val="bottom"/>
            <w:gridSpan w:val="2"/>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180" w:type="dxa"/>
            <w:vAlign w:val="bottom"/>
            <w:gridSpan w:val="2"/>
            <w:vMerge w:val="continue"/>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280" w:type="dxa"/>
            <w:vAlign w:val="bottom"/>
            <w:gridSpan w:val="2"/>
            <w:vMerge w:val="continue"/>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400" w:type="dxa"/>
            <w:vAlign w:val="bottom"/>
            <w:gridSpan w:val="2"/>
            <w:vMerge w:val="continue"/>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12,892</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(225 )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14,350</w:t>
            </w:r>
          </w:p>
        </w:tc>
        <w:tc>
          <w:tcPr>
            <w:tcW w:w="1180" w:type="dxa"/>
            <w:vAlign w:val="bottom"/>
            <w:gridSpan w:val="2"/>
          </w:tcPr>
          <w:p>
            <w:pPr>
              <w:jc w:val="right"/>
              <w:ind w:right="8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740</w:t>
            </w:r>
          </w:p>
        </w:tc>
        <w:tc>
          <w:tcPr>
            <w:tcW w:w="4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-136525</wp:posOffset>
            </wp:positionV>
            <wp:extent cx="7683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-136525</wp:posOffset>
            </wp:positionV>
            <wp:extent cx="7683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-136525</wp:posOffset>
            </wp:positionV>
            <wp:extent cx="7747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-136525</wp:posOffset>
            </wp:positionV>
            <wp:extent cx="7747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-136525</wp:posOffset>
            </wp:positionV>
            <wp:extent cx="6858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-136525</wp:posOffset>
            </wp:positionV>
            <wp:extent cx="6858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-136525</wp:posOffset>
            </wp:positionV>
            <wp:extent cx="6858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64" w:lineRule="exact"/>
        <w:rPr>
          <w:sz w:val="20"/>
          <w:szCs w:val="20"/>
          <w:color w:val="auto"/>
        </w:rPr>
      </w:pPr>
    </w:p>
    <w:p>
      <w:pPr>
        <w:ind w:left="1020" w:right="80" w:hanging="503"/>
        <w:spacing w:after="0" w:line="24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ind w:left="1020" w:hanging="503"/>
        <w:spacing w:after="0" w:line="234"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SMPA Holdings, LLC of 15,000 common equity units.</w:t>
      </w:r>
    </w:p>
    <w:p>
      <w:pPr>
        <w:ind w:left="1020" w:right="660" w:hanging="503"/>
        <w:spacing w:after="0" w:line="288"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consolidated statement of operations for the nine months ended September 30, 2021, there is a realized loss on non-controlled, affiliated investments of $33 related to an escrow receivable for an investment in AFS Technologies, Inc. that is no longer held.</w:t>
      </w:r>
    </w:p>
    <w:p>
      <w:pPr>
        <w:spacing w:after="0" w:line="37" w:lineRule="exact"/>
        <w:rPr>
          <w:rFonts w:ascii="Times New Roman" w:cs="Times New Roman" w:eastAsia="Times New Roman" w:hAnsi="Times New Roman"/>
          <w:sz w:val="17"/>
          <w:szCs w:val="17"/>
          <w:color w:val="auto"/>
        </w:rPr>
      </w:pPr>
    </w:p>
    <w:p>
      <w:pPr>
        <w:ind w:left="520" w:right="20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2021 in which the Company was an Affiliated Person of and was deemed to Control a portfolio company are as follows: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Change</w:t>
            </w:r>
          </w:p>
        </w:tc>
        <w:tc>
          <w:tcPr>
            <w:tcW w:w="200" w:type="dxa"/>
            <w:vAlign w:val="bottom"/>
          </w:tcPr>
          <w:p>
            <w:pPr>
              <w:spacing w:after="0"/>
              <w:rPr>
                <w:sz w:val="11"/>
                <w:szCs w:val="11"/>
                <w:color w:val="auto"/>
              </w:rPr>
            </w:pPr>
          </w:p>
        </w:tc>
        <w:tc>
          <w:tcPr>
            <w:tcW w:w="9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7"/>
              <w:spacing w:after="0" w:line="128" w:lineRule="exact"/>
              <w:rPr>
                <w:sz w:val="20"/>
                <w:szCs w:val="20"/>
                <w:color w:val="auto"/>
              </w:rPr>
            </w:pPr>
            <w:r>
              <w:rPr>
                <w:rFonts w:ascii="Times New Roman" w:cs="Times New Roman" w:eastAsia="Times New Roman" w:hAnsi="Times New Roman"/>
                <w:sz w:val="13"/>
                <w:szCs w:val="13"/>
                <w:b w:val="1"/>
                <w:bCs w:val="1"/>
                <w:color w:val="auto"/>
              </w:rPr>
              <w:t>In Unrealized</w:t>
            </w: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3"/>
              </w:rPr>
              <w:t>Additions (a)</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Reductions (b)</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Gain/(Losses)</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5"/>
                <w:szCs w:val="15"/>
                <w:color w:val="auto"/>
              </w:rPr>
            </w:pPr>
          </w:p>
        </w:tc>
        <w:tc>
          <w:tcPr>
            <w:tcW w:w="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IRGSE Holding Corp.</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36,676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w w:val="76"/>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17,450</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59,779</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Mississippi Resources,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ind w:left="860"/>
              <w:spacing w:after="0"/>
              <w:rPr>
                <w:sz w:val="20"/>
                <w:szCs w:val="20"/>
                <w:color w:val="auto"/>
              </w:rPr>
            </w:pPr>
            <w:r>
              <w:rPr>
                <w:rFonts w:ascii="Times New Roman" w:cs="Times New Roman" w:eastAsia="Times New Roman" w:hAnsi="Times New Roman"/>
                <w:sz w:val="13"/>
                <w:szCs w:val="13"/>
                <w:color w:val="auto"/>
                <w:w w:val="76"/>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LLC</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36,676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5,653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17,450</w:t>
            </w: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59,779</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-24765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right="80" w:hanging="503"/>
        <w:spacing w:after="0" w:line="24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line="24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53" w:lineRule="exact"/>
        <w:rPr>
          <w:rFonts w:ascii="Times New Roman" w:cs="Times New Roman" w:eastAsia="Times New Roman" w:hAnsi="Times New Roman"/>
          <w:sz w:val="18"/>
          <w:szCs w:val="18"/>
          <w:color w:val="auto"/>
        </w:rPr>
      </w:pPr>
    </w:p>
    <w:p>
      <w:pPr>
        <w:ind w:left="520" w:right="620" w:hanging="512"/>
        <w:spacing w:after="0" w:line="25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estimated cost basis of investments for U.S. federal tax purposes was $2,445,863, resulting in estimated gross unrealized gains and losses of $156,819 and $79,599, respectively.</w:t>
      </w:r>
    </w:p>
    <w:p>
      <w:pPr>
        <w:ind w:left="520" w:right="60" w:hanging="512"/>
        <w:spacing w:after="0" w:line="235"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spacing w:after="0" w:line="1" w:lineRule="exact"/>
        <w:rPr>
          <w:rFonts w:ascii="Times New Roman" w:cs="Times New Roman" w:eastAsia="Times New Roman" w:hAnsi="Times New Roman"/>
          <w:sz w:val="18"/>
          <w:szCs w:val="18"/>
          <w:color w:val="auto"/>
        </w:rPr>
      </w:pPr>
    </w:p>
    <w:p>
      <w:pPr>
        <w:ind w:left="520" w:right="6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ind w:left="520" w:right="100" w:hanging="512"/>
        <w:spacing w:after="0" w:line="24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right="100" w:hanging="512"/>
        <w:spacing w:after="0" w:line="235"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7" w:lineRule="exact"/>
        <w:rPr>
          <w:rFonts w:ascii="Times New Roman" w:cs="Times New Roman" w:eastAsia="Times New Roman" w:hAnsi="Times New Roman"/>
          <w:sz w:val="18"/>
          <w:szCs w:val="18"/>
          <w:color w:val="auto"/>
        </w:rPr>
      </w:pPr>
    </w:p>
    <w:p>
      <w:pPr>
        <w:ind w:left="520" w:right="26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transaction exempt from registration under the Securities Act of 1933, and may be deemed to be “restricted securities” under the Securities Act. As of December 31, 2021, the aggregate fair value of these securities is $83,839, or 6.6%% of the Company’s net assets.</w:t>
      </w:r>
    </w:p>
    <w:p>
      <w:pPr>
        <w:ind w:left="520" w:hanging="512"/>
        <w:spacing w:after="0" w:line="23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December 31, 2021.</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1540" w:type="dxa"/>
            <w:vAlign w:val="bottom"/>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48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15"/>
        </w:trPr>
        <w:tc>
          <w:tcPr>
            <w:tcW w:w="42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37"/>
              <w:spacing w:after="0" w:line="115" w:lineRule="exact"/>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tcPr>
          <w:p>
            <w:pPr>
              <w:jc w:val="right"/>
              <w:ind w:right="440"/>
              <w:spacing w:after="0" w:line="115" w:lineRule="exact"/>
              <w:rPr>
                <w:sz w:val="20"/>
                <w:szCs w:val="20"/>
                <w:color w:val="auto"/>
              </w:rPr>
            </w:pPr>
            <w:r>
              <w:rPr>
                <w:rFonts w:ascii="Times New Roman" w:cs="Times New Roman" w:eastAsia="Times New Roman" w:hAnsi="Times New Roman"/>
                <w:sz w:val="13"/>
                <w:szCs w:val="13"/>
                <w:b w:val="1"/>
                <w:bCs w:val="1"/>
                <w:color w:val="auto"/>
              </w:rPr>
              <w:t>Paid in Capital in</w:t>
            </w:r>
          </w:p>
        </w:tc>
        <w:tc>
          <w:tcPr>
            <w:tcW w:w="100" w:type="dxa"/>
            <w:vAlign w:val="bottom"/>
          </w:tcPr>
          <w:p>
            <w:pPr>
              <w:spacing w:after="0"/>
              <w:rPr>
                <w:sz w:val="9"/>
                <w:szCs w:val="9"/>
                <w:color w:val="auto"/>
              </w:rPr>
            </w:pPr>
          </w:p>
        </w:tc>
        <w:tc>
          <w:tcPr>
            <w:tcW w:w="1040" w:type="dxa"/>
            <w:vAlign w:val="bottom"/>
            <w:gridSpan w:val="2"/>
          </w:tcPr>
          <w:p>
            <w:pPr>
              <w:jc w:val="right"/>
              <w:ind w:right="320"/>
              <w:spacing w:after="0" w:line="115" w:lineRule="exact"/>
              <w:rPr>
                <w:sz w:val="20"/>
                <w:szCs w:val="20"/>
                <w:color w:val="auto"/>
              </w:rPr>
            </w:pPr>
            <w:r>
              <w:rPr>
                <w:rFonts w:ascii="Times New Roman" w:cs="Times New Roman" w:eastAsia="Times New Roman" w:hAnsi="Times New Roman"/>
                <w:sz w:val="13"/>
                <w:szCs w:val="13"/>
                <w:b w:val="1"/>
                <w:bCs w:val="1"/>
                <w:color w:val="auto"/>
                <w:w w:val="94"/>
              </w:rPr>
              <w:t>Distributable</w:t>
            </w:r>
          </w:p>
        </w:tc>
        <w:tc>
          <w:tcPr>
            <w:tcW w:w="140" w:type="dxa"/>
            <w:vAlign w:val="bottom"/>
          </w:tcPr>
          <w:p>
            <w:pPr>
              <w:spacing w:after="0"/>
              <w:rPr>
                <w:sz w:val="9"/>
                <w:szCs w:val="9"/>
                <w:color w:val="auto"/>
              </w:rPr>
            </w:pPr>
          </w:p>
        </w:tc>
        <w:tc>
          <w:tcPr>
            <w:tcW w:w="880" w:type="dxa"/>
            <w:vAlign w:val="bottom"/>
            <w:gridSpan w:val="2"/>
          </w:tcPr>
          <w:p>
            <w:pPr>
              <w:jc w:val="right"/>
              <w:ind w:right="320"/>
              <w:spacing w:after="0" w:line="115" w:lineRule="exact"/>
              <w:rPr>
                <w:sz w:val="20"/>
                <w:szCs w:val="20"/>
                <w:color w:val="auto"/>
              </w:rPr>
            </w:pPr>
            <w:r>
              <w:rPr>
                <w:rFonts w:ascii="Times New Roman" w:cs="Times New Roman" w:eastAsia="Times New Roman" w:hAnsi="Times New Roman"/>
                <w:sz w:val="13"/>
                <w:szCs w:val="13"/>
                <w:b w:val="1"/>
                <w:bCs w:val="1"/>
                <w:color w:val="auto"/>
              </w:rPr>
              <w:t>Total Net</w:t>
            </w:r>
          </w:p>
        </w:tc>
      </w:tr>
      <w:tr>
        <w:trPr>
          <w:trHeight w:val="176"/>
        </w:trPr>
        <w:tc>
          <w:tcPr>
            <w:tcW w:w="42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10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Assets</w:t>
            </w:r>
          </w:p>
        </w:tc>
      </w:tr>
      <w:tr>
        <w:trPr>
          <w:trHeight w:val="117"/>
        </w:trPr>
        <w:tc>
          <w:tcPr>
            <w:tcW w:w="42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70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75,771,54</w:t>
            </w: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296,04</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0"/>
        </w:trPr>
        <w:tc>
          <w:tcPr>
            <w:tcW w:w="4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(4,291 )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1,189,275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90,103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1,275,848</w:t>
            </w:r>
          </w:p>
        </w:tc>
        <w:tc>
          <w:tcPr>
            <w:tcW w:w="100" w:type="dxa"/>
            <w:vAlign w:val="bottom"/>
            <w:shd w:val="clear" w:color="auto" w:fill="CFF0FC"/>
          </w:tcPr>
          <w:p>
            <w:pPr>
              <w:spacing w:after="0"/>
              <w:rPr>
                <w:sz w:val="15"/>
                <w:szCs w:val="15"/>
                <w:color w:val="auto"/>
              </w:rPr>
            </w:pPr>
          </w:p>
        </w:tc>
      </w:tr>
      <w:tr>
        <w:trPr>
          <w:trHeight w:val="162"/>
        </w:trPr>
        <w:tc>
          <w:tcPr>
            <w:tcW w:w="4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investment income</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35,712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35,712</w:t>
            </w:r>
          </w:p>
        </w:tc>
        <w:tc>
          <w:tcPr>
            <w:tcW w:w="100" w:type="dxa"/>
            <w:vAlign w:val="bottom"/>
            <w:shd w:val="clear" w:color="auto" w:fill="CFF0FC"/>
          </w:tcPr>
          <w:p>
            <w:pPr>
              <w:spacing w:after="0"/>
              <w:rPr>
                <w:sz w:val="14"/>
                <w:szCs w:val="14"/>
                <w:color w:val="auto"/>
              </w:rPr>
            </w:pPr>
          </w:p>
        </w:tc>
      </w:tr>
      <w:tr>
        <w:trPr>
          <w:trHeight w:val="117"/>
        </w:trPr>
        <w:tc>
          <w:tcPr>
            <w:tcW w:w="42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Net change in unrealized losses on investments and</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(8,495 )</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(8,495 )</w:t>
            </w:r>
          </w:p>
        </w:tc>
      </w:tr>
      <w:tr>
        <w:trPr>
          <w:trHeight w:val="125"/>
        </w:trPr>
        <w:tc>
          <w:tcPr>
            <w:tcW w:w="420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Net realized gains on investments and foreign</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currency transactions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13,668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13,668</w:t>
            </w:r>
          </w:p>
        </w:tc>
        <w:tc>
          <w:tcPr>
            <w:tcW w:w="100" w:type="dxa"/>
            <w:vAlign w:val="bottom"/>
            <w:shd w:val="clear" w:color="auto" w:fill="CFF0FC"/>
          </w:tcPr>
          <w:p>
            <w:pPr>
              <w:spacing w:after="0"/>
              <w:rPr>
                <w:sz w:val="15"/>
                <w:szCs w:val="15"/>
                <w:color w:val="auto"/>
              </w:rPr>
            </w:pPr>
          </w:p>
        </w:tc>
      </w:tr>
      <w:tr>
        <w:trPr>
          <w:trHeight w:val="162"/>
        </w:trPr>
        <w:tc>
          <w:tcPr>
            <w:tcW w:w="4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299,138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6,774</w:t>
            </w:r>
          </w:p>
        </w:tc>
        <w:tc>
          <w:tcPr>
            <w:tcW w:w="100" w:type="dxa"/>
            <w:vAlign w:val="bottom"/>
            <w:shd w:val="clear" w:color="auto" w:fill="CFF0FC"/>
          </w:tcPr>
          <w:p>
            <w:pPr>
              <w:spacing w:after="0"/>
              <w:rPr>
                <w:sz w:val="14"/>
                <w:szCs w:val="14"/>
                <w:color w:val="auto"/>
              </w:rPr>
            </w:pPr>
          </w:p>
        </w:tc>
      </w:tr>
      <w:tr>
        <w:trPr>
          <w:trHeight w:val="162"/>
        </w:trPr>
        <w:tc>
          <w:tcPr>
            <w:tcW w:w="4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(39,522 )</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(39,522 )</w:t>
            </w:r>
          </w:p>
        </w:tc>
      </w:tr>
      <w:tr>
        <w:trPr>
          <w:trHeight w:val="108"/>
        </w:trPr>
        <w:tc>
          <w:tcPr>
            <w:tcW w:w="420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2"/>
                <w:szCs w:val="12"/>
                <w:color w:val="auto"/>
              </w:rPr>
              <w:t>Tax reclassification of stockholders' equity in accordance with</w:t>
            </w: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75"/>
        </w:trPr>
        <w:tc>
          <w:tcPr>
            <w:tcW w:w="4200" w:type="dxa"/>
            <w:vAlign w:val="bottom"/>
            <w:shd w:val="clear" w:color="auto" w:fill="CFF0FC"/>
          </w:tcPr>
          <w:p>
            <w:pPr>
              <w:ind w:left="180"/>
              <w:spacing w:after="0" w:line="175" w:lineRule="exact"/>
              <w:rPr>
                <w:sz w:val="20"/>
                <w:szCs w:val="20"/>
                <w:color w:val="auto"/>
              </w:rPr>
            </w:pPr>
            <w:r>
              <w:rPr>
                <w:rFonts w:ascii="Times New Roman" w:cs="Times New Roman" w:eastAsia="Times New Roman" w:hAnsi="Times New Roman"/>
                <w:sz w:val="13"/>
                <w:szCs w:val="13"/>
                <w:color w:val="auto"/>
              </w:rPr>
              <w:t xml:space="preserve">GAAP </w:t>
            </w:r>
            <w:r>
              <w:rPr>
                <w:rFonts w:ascii="Times New Roman" w:cs="Times New Roman" w:eastAsia="Times New Roman" w:hAnsi="Times New Roman"/>
                <w:sz w:val="16"/>
                <w:szCs w:val="16"/>
                <w:color w:val="auto"/>
                <w:vertAlign w:val="superscript"/>
              </w:rPr>
              <w:t>(1)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(351 )</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08"/>
        </w:trPr>
        <w:tc>
          <w:tcPr>
            <w:tcW w:w="4200" w:type="dxa"/>
            <w:vAlign w:val="bottom"/>
            <w:tcBorders>
              <w:top w:val="single" w:sz="8" w:color="CFF0FC"/>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March 31, 2022</w:t>
            </w:r>
          </w:p>
        </w:tc>
        <w:tc>
          <w:tcPr>
            <w:tcW w:w="7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76,070,68</w:t>
            </w: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296,04</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76"/>
        </w:trPr>
        <w:tc>
          <w:tcPr>
            <w:tcW w:w="4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(4,291 )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1,195,695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91,817</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1,283,985</w:t>
            </w:r>
          </w:p>
        </w:tc>
        <w:tc>
          <w:tcPr>
            <w:tcW w:w="10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investment income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40,822</w:t>
            </w:r>
          </w:p>
        </w:tc>
        <w:tc>
          <w:tcPr>
            <w:tcW w:w="100" w:type="dxa"/>
            <w:vAlign w:val="bottom"/>
          </w:tcPr>
          <w:p>
            <w:pPr>
              <w:spacing w:after="0"/>
              <w:rPr>
                <w:sz w:val="14"/>
                <w:szCs w:val="14"/>
                <w:color w:val="auto"/>
              </w:rPr>
            </w:pPr>
          </w:p>
        </w:tc>
      </w:tr>
      <w:tr>
        <w:trPr>
          <w:trHeight w:val="117"/>
        </w:trPr>
        <w:tc>
          <w:tcPr>
            <w:tcW w:w="420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Net change in unrealized losses on investments and</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(54,751 )</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(54,751 )</w:t>
            </w:r>
          </w:p>
        </w:tc>
      </w:tr>
      <w:tr>
        <w:trPr>
          <w:trHeight w:val="117"/>
        </w:trPr>
        <w:tc>
          <w:tcPr>
            <w:tcW w:w="42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Net realized gains on investments and foreign</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currency transactions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Pr>
          <w:p>
            <w:pPr>
              <w:spacing w:after="0"/>
              <w:rPr>
                <w:sz w:val="14"/>
                <w:szCs w:val="14"/>
                <w:color w:val="auto"/>
              </w:rPr>
            </w:pPr>
          </w:p>
        </w:tc>
      </w:tr>
      <w:tr>
        <w:trPr>
          <w:trHeight w:val="170"/>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5,838</w:t>
            </w: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(34,339 )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(34,339 )</w:t>
            </w:r>
          </w:p>
        </w:tc>
      </w:tr>
      <w:tr>
        <w:trPr>
          <w:trHeight w:val="108"/>
        </w:trPr>
        <w:tc>
          <w:tcPr>
            <w:tcW w:w="4200" w:type="dxa"/>
            <w:vAlign w:val="bottom"/>
            <w:tcBorders>
              <w:top w:val="single" w:sz="8" w:color="CFF0FC"/>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June 30, 2022</w:t>
            </w:r>
          </w:p>
        </w:tc>
        <w:tc>
          <w:tcPr>
            <w:tcW w:w="7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76,339,51</w:t>
            </w: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296,04</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76"/>
        </w:trPr>
        <w:tc>
          <w:tcPr>
            <w:tcW w:w="4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(4,291 )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1,201,531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43,953</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1,241,959</w:t>
            </w:r>
          </w:p>
        </w:tc>
        <w:tc>
          <w:tcPr>
            <w:tcW w:w="10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investment income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37,180</w:t>
            </w:r>
          </w:p>
        </w:tc>
        <w:tc>
          <w:tcPr>
            <w:tcW w:w="100" w:type="dxa"/>
            <w:vAlign w:val="bottom"/>
          </w:tcPr>
          <w:p>
            <w:pPr>
              <w:spacing w:after="0"/>
              <w:rPr>
                <w:sz w:val="14"/>
                <w:szCs w:val="14"/>
                <w:color w:val="auto"/>
              </w:rPr>
            </w:pPr>
          </w:p>
        </w:tc>
      </w:tr>
      <w:tr>
        <w:trPr>
          <w:trHeight w:val="117"/>
        </w:trPr>
        <w:tc>
          <w:tcPr>
            <w:tcW w:w="420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Net change in unrealized losses on investments and</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0"/>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(5,134 )</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(5,134 )</w:t>
            </w:r>
          </w:p>
        </w:tc>
      </w:tr>
      <w:tr>
        <w:trPr>
          <w:trHeight w:val="117"/>
        </w:trPr>
        <w:tc>
          <w:tcPr>
            <w:tcW w:w="42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Net realized gains on investments and foreign</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4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currency transactions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2,385</w:t>
            </w:r>
          </w:p>
        </w:tc>
        <w:tc>
          <w:tcPr>
            <w:tcW w:w="100" w:type="dxa"/>
            <w:vAlign w:val="bottom"/>
          </w:tcPr>
          <w:p>
            <w:pPr>
              <w:spacing w:after="0"/>
              <w:rPr>
                <w:sz w:val="14"/>
                <w:szCs w:val="14"/>
                <w:color w:val="auto"/>
              </w:rPr>
            </w:pPr>
          </w:p>
        </w:tc>
      </w:tr>
      <w:tr>
        <w:trPr>
          <w:trHeight w:val="170"/>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in Net Assets Resulting from Capital share Transactions:</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4,360,125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77,642</w:t>
            </w: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Decrease in Net Assets Resulting from Capital share Transactions:</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17"/>
        </w:trPr>
        <w:tc>
          <w:tcPr>
            <w:tcW w:w="42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Purchases of treasury stock</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180,54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4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(180,542 )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(3,000 )</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(3,000 )</w:t>
            </w:r>
          </w:p>
        </w:tc>
      </w:tr>
      <w:tr>
        <w:trPr>
          <w:trHeight w:val="170"/>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2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651,867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11,038</w:t>
            </w: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(34,018 )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(34,018 )</w:t>
            </w:r>
          </w:p>
        </w:tc>
      </w:tr>
      <w:tr>
        <w:trPr>
          <w:trHeight w:val="108"/>
        </w:trPr>
        <w:tc>
          <w:tcPr>
            <w:tcW w:w="4200" w:type="dxa"/>
            <w:vAlign w:val="bottom"/>
            <w:tcBorders>
              <w:top w:val="single" w:sz="8" w:color="CFF0FC"/>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September 30, 2022</w:t>
            </w:r>
          </w:p>
        </w:tc>
        <w:tc>
          <w:tcPr>
            <w:tcW w:w="7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81,170,96</w:t>
            </w: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476,58</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76"/>
        </w:trPr>
        <w:tc>
          <w:tcPr>
            <w:tcW w:w="4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(7,291 )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1,290,161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44,366</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1,328,052</w:t>
            </w:r>
          </w:p>
        </w:tc>
        <w:tc>
          <w:tcPr>
            <w:tcW w:w="10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-2948305</wp:posOffset>
            </wp:positionV>
            <wp:extent cx="77470" cy="2228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-2948305</wp:posOffset>
            </wp:positionV>
            <wp:extent cx="76835" cy="2228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-2948305</wp:posOffset>
            </wp:positionV>
            <wp:extent cx="76835" cy="2228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-2948305</wp:posOffset>
            </wp:positionV>
            <wp:extent cx="68580" cy="2228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-2948305</wp:posOffset>
            </wp:positionV>
            <wp:extent cx="68580" cy="2228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-2948305</wp:posOffset>
            </wp:positionV>
            <wp:extent cx="68580" cy="2228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2228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-1833880</wp:posOffset>
            </wp:positionV>
            <wp:extent cx="77470" cy="2228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-1833880</wp:posOffset>
            </wp:positionV>
            <wp:extent cx="76835" cy="2228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-1833880</wp:posOffset>
            </wp:positionV>
            <wp:extent cx="76835" cy="2228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-1833880</wp:posOffset>
            </wp:positionV>
            <wp:extent cx="68580" cy="2228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-1833880</wp:posOffset>
            </wp:positionV>
            <wp:extent cx="68580" cy="2228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-1833880</wp:posOffset>
            </wp:positionV>
            <wp:extent cx="68580" cy="2228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2228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-222250</wp:posOffset>
            </wp:positionV>
            <wp:extent cx="77470" cy="2228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-222250</wp:posOffset>
            </wp:positionV>
            <wp:extent cx="76835" cy="2228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-222250</wp:posOffset>
            </wp:positionV>
            <wp:extent cx="76835" cy="2228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-222250</wp:posOffset>
            </wp:positionV>
            <wp:extent cx="68580" cy="2228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-222250</wp:posOffset>
            </wp:positionV>
            <wp:extent cx="68580" cy="2228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-222250</wp:posOffset>
            </wp:positionV>
            <wp:extent cx="68580" cy="2228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38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tax year end is March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1520" w:type="dxa"/>
            <w:vAlign w:val="bottom"/>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50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37"/>
              <w:spacing w:after="0" w:line="108" w:lineRule="exact"/>
              <w:rPr>
                <w:sz w:val="20"/>
                <w:szCs w:val="20"/>
                <w:color w:val="auto"/>
              </w:rPr>
            </w:pPr>
            <w:r>
              <w:rPr>
                <w:rFonts w:ascii="Times New Roman" w:cs="Times New Roman" w:eastAsia="Times New Roman" w:hAnsi="Times New Roman"/>
                <w:sz w:val="12"/>
                <w:szCs w:val="12"/>
                <w:b w:val="1"/>
                <w:bCs w:val="1"/>
                <w:color w:val="auto"/>
              </w:rPr>
              <w:t>Par</w:t>
            </w:r>
          </w:p>
        </w:tc>
        <w:tc>
          <w:tcPr>
            <w:tcW w:w="2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2"/>
                <w:szCs w:val="12"/>
                <w:b w:val="1"/>
                <w:bCs w:val="1"/>
                <w:color w:val="auto"/>
              </w:rPr>
              <w:t>Paid in Capital in</w:t>
            </w:r>
          </w:p>
        </w:tc>
        <w:tc>
          <w:tcPr>
            <w:tcW w:w="80" w:type="dxa"/>
            <w:vAlign w:val="bottom"/>
          </w:tcPr>
          <w:p>
            <w:pPr>
              <w:spacing w:after="0"/>
              <w:rPr>
                <w:sz w:val="9"/>
                <w:szCs w:val="9"/>
                <w:color w:val="auto"/>
              </w:rPr>
            </w:pPr>
          </w:p>
        </w:tc>
        <w:tc>
          <w:tcPr>
            <w:tcW w:w="1040" w:type="dxa"/>
            <w:vAlign w:val="bottom"/>
            <w:gridSpan w:val="2"/>
          </w:tcPr>
          <w:p>
            <w:pPr>
              <w:jc w:val="right"/>
              <w:ind w:right="320"/>
              <w:spacing w:after="0" w:line="108" w:lineRule="exact"/>
              <w:rPr>
                <w:sz w:val="20"/>
                <w:szCs w:val="20"/>
                <w:color w:val="auto"/>
              </w:rPr>
            </w:pPr>
            <w:r>
              <w:rPr>
                <w:rFonts w:ascii="Times New Roman" w:cs="Times New Roman" w:eastAsia="Times New Roman" w:hAnsi="Times New Roman"/>
                <w:sz w:val="12"/>
                <w:szCs w:val="12"/>
                <w:b w:val="1"/>
                <w:bCs w:val="1"/>
                <w:color w:val="auto"/>
              </w:rPr>
              <w:t>Distributable</w:t>
            </w:r>
          </w:p>
        </w:tc>
        <w:tc>
          <w:tcPr>
            <w:tcW w:w="140" w:type="dxa"/>
            <w:vAlign w:val="bottom"/>
          </w:tcPr>
          <w:p>
            <w:pPr>
              <w:spacing w:after="0"/>
              <w:rPr>
                <w:sz w:val="9"/>
                <w:szCs w:val="9"/>
                <w:color w:val="auto"/>
              </w:rPr>
            </w:pPr>
          </w:p>
        </w:tc>
        <w:tc>
          <w:tcPr>
            <w:tcW w:w="880" w:type="dxa"/>
            <w:vAlign w:val="bottom"/>
            <w:gridSpan w:val="2"/>
          </w:tcPr>
          <w:p>
            <w:pPr>
              <w:jc w:val="right"/>
              <w:ind w:right="320"/>
              <w:spacing w:after="0" w:line="108" w:lineRule="exact"/>
              <w:rPr>
                <w:sz w:val="20"/>
                <w:szCs w:val="20"/>
                <w:color w:val="auto"/>
              </w:rPr>
            </w:pPr>
            <w:r>
              <w:rPr>
                <w:rFonts w:ascii="Times New Roman" w:cs="Times New Roman" w:eastAsia="Times New Roman" w:hAnsi="Times New Roman"/>
                <w:sz w:val="12"/>
                <w:szCs w:val="12"/>
                <w:b w:val="1"/>
                <w:bCs w:val="1"/>
                <w:color w:val="auto"/>
              </w:rPr>
              <w:t>Total Net</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8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08"/>
        </w:trPr>
        <w:tc>
          <w:tcPr>
            <w:tcW w:w="42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680" w:type="dxa"/>
            <w:vAlign w:val="bottom"/>
            <w:tcBorders>
              <w:top w:val="single" w:sz="8" w:color="auto"/>
            </w:tcBorders>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67,684,20</w:t>
            </w:r>
          </w:p>
        </w:tc>
        <w:tc>
          <w:tcPr>
            <w:tcW w:w="26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296,04</w:t>
            </w:r>
          </w:p>
        </w:tc>
        <w:tc>
          <w:tcPr>
            <w:tcW w:w="2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12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(4,291 )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1,025,676</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139,250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1,161,315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22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Cumulative effect adjustment for the adoption of ASU</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 xml:space="preserve">2020-06 </w:t>
            </w:r>
            <w:r>
              <w:rPr>
                <w:rFonts w:ascii="Times New Roman" w:cs="Times New Roman" w:eastAsia="Times New Roman" w:hAnsi="Times New Roman"/>
                <w:sz w:val="16"/>
                <w:szCs w:val="16"/>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(457 )</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(285 )</w:t>
            </w: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investment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2"/>
                <w:szCs w:val="12"/>
                <w:color w:val="auto"/>
              </w:rPr>
              <w:t>Net change in unrealized gains on investments and</w:t>
            </w:r>
          </w:p>
        </w:tc>
        <w:tc>
          <w:tcPr>
            <w:tcW w:w="6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9,755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9,755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2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Net realized gains on investments and foreign</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currency transactions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220" w:type="dxa"/>
            <w:vAlign w:val="bottom"/>
            <w:shd w:val="clear" w:color="auto" w:fill="CFF0FC"/>
          </w:tcPr>
          <w:p>
            <w:pPr>
              <w:ind w:left="100"/>
              <w:spacing w:after="0" w:line="116" w:lineRule="exact"/>
              <w:rPr>
                <w:sz w:val="20"/>
                <w:szCs w:val="20"/>
                <w:color w:val="auto"/>
              </w:rPr>
            </w:pPr>
            <w:r>
              <w:rPr>
                <w:rFonts w:ascii="Times New Roman" w:cs="Times New Roman" w:eastAsia="Times New Roman" w:hAnsi="Times New Roman"/>
                <w:sz w:val="13"/>
                <w:szCs w:val="13"/>
                <w:color w:val="auto"/>
              </w:rPr>
              <w:t>Increase in Net Assets Resulting from Capital Share</w:t>
            </w:r>
          </w:p>
        </w:tc>
        <w:tc>
          <w:tcPr>
            <w:tcW w:w="6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Transactions:</w:t>
            </w:r>
          </w:p>
        </w:tc>
        <w:tc>
          <w:tcPr>
            <w:tcW w:w="6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2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Issuance of common stock, net of offering and</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underwriting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4,049,689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85,904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236,100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(123,004 )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(123,004 )</w:t>
            </w:r>
          </w:p>
        </w:tc>
        <w:tc>
          <w:tcPr>
            <w:tcW w:w="0" w:type="dxa"/>
            <w:vAlign w:val="bottom"/>
          </w:tcPr>
          <w:p>
            <w:pPr>
              <w:spacing w:after="0"/>
              <w:rPr>
                <w:sz w:val="1"/>
                <w:szCs w:val="1"/>
                <w:color w:val="auto"/>
              </w:rPr>
            </w:pPr>
          </w:p>
        </w:tc>
      </w:tr>
      <w:tr>
        <w:trPr>
          <w:trHeight w:val="108"/>
        </w:trPr>
        <w:tc>
          <w:tcPr>
            <w:tcW w:w="422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Tax reclassification of stockholders' equity in accordance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(460 )</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220" w:type="dxa"/>
            <w:vAlign w:val="bottom"/>
          </w:tcPr>
          <w:p>
            <w:pPr>
              <w:ind w:left="180"/>
              <w:spacing w:after="0" w:line="175" w:lineRule="exact"/>
              <w:rPr>
                <w:sz w:val="20"/>
                <w:szCs w:val="20"/>
                <w:color w:val="auto"/>
              </w:rPr>
            </w:pPr>
            <w:r>
              <w:rPr>
                <w:rFonts w:ascii="Times New Roman" w:cs="Times New Roman" w:eastAsia="Times New Roman" w:hAnsi="Times New Roman"/>
                <w:sz w:val="13"/>
                <w:szCs w:val="13"/>
                <w:color w:val="auto"/>
              </w:rPr>
              <w:t xml:space="preserve">GAAP </w:t>
            </w:r>
            <w:r>
              <w:rPr>
                <w:rFonts w:ascii="Times New Roman" w:cs="Times New Roman" w:eastAsia="Times New Roman" w:hAnsi="Times New Roman"/>
                <w:sz w:val="16"/>
                <w:szCs w:val="16"/>
                <w:color w:val="auto"/>
                <w:vertAlign w:val="superscript"/>
              </w:rPr>
              <w:t>(1)</w:t>
            </w: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22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March 31, 2021</w:t>
            </w:r>
          </w:p>
        </w:tc>
        <w:tc>
          <w:tcPr>
            <w:tcW w:w="6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71,969,99</w:t>
            </w:r>
          </w:p>
        </w:tc>
        <w:tc>
          <w:tcPr>
            <w:tcW w:w="26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296,04</w:t>
            </w:r>
          </w:p>
        </w:tc>
        <w:tc>
          <w:tcPr>
            <w:tcW w:w="24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2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723</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(4,291 )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1,115,370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73,530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1,185,332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investment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27,388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2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Net change in unrealized gains on investments and</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22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Net realized gains on investments and foreign</w:t>
            </w:r>
          </w:p>
        </w:tc>
        <w:tc>
          <w:tcPr>
            <w:tcW w:w="6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currency transactions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22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Decrease in Net Assets Resulting from Capital Share</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Transactions: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2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2"/>
                <w:szCs w:val="12"/>
                <w:color w:val="auto"/>
              </w:rPr>
              <w:t>Issuance of common stock, net of offering and</w:t>
            </w:r>
          </w:p>
        </w:tc>
        <w:tc>
          <w:tcPr>
            <w:tcW w:w="6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underwriting costs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(41 )</w:t>
            </w: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(41 )</w:t>
            </w: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679,685</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(34,130 )</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(34,130 )</w:t>
            </w:r>
          </w:p>
        </w:tc>
        <w:tc>
          <w:tcPr>
            <w:tcW w:w="0" w:type="dxa"/>
            <w:vAlign w:val="bottom"/>
          </w:tcPr>
          <w:p>
            <w:pPr>
              <w:spacing w:after="0"/>
              <w:rPr>
                <w:sz w:val="1"/>
                <w:szCs w:val="1"/>
                <w:color w:val="auto"/>
              </w:rPr>
            </w:pPr>
          </w:p>
        </w:tc>
      </w:tr>
      <w:tr>
        <w:trPr>
          <w:trHeight w:val="101"/>
        </w:trPr>
        <w:tc>
          <w:tcPr>
            <w:tcW w:w="422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June 30, 2021</w:t>
            </w:r>
          </w:p>
        </w:tc>
        <w:tc>
          <w:tcPr>
            <w:tcW w:w="6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72,649,68</w:t>
            </w:r>
          </w:p>
        </w:tc>
        <w:tc>
          <w:tcPr>
            <w:tcW w:w="26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296,04</w:t>
            </w:r>
          </w:p>
        </w:tc>
        <w:tc>
          <w:tcPr>
            <w:tcW w:w="24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2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729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(4,291 )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1,129,621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97,754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1,223,813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investment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36,470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2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Net change in unrealized gains on investments and</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22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Net realized losses on investments and foreign</w:t>
            </w:r>
          </w:p>
        </w:tc>
        <w:tc>
          <w:tcPr>
            <w:tcW w:w="6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currency transactions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(10,560 )</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(10,560 )</w:t>
            </w: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199,294</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(31,320 )</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(31,320 )</w:t>
            </w:r>
          </w:p>
        </w:tc>
        <w:tc>
          <w:tcPr>
            <w:tcW w:w="0" w:type="dxa"/>
            <w:vAlign w:val="bottom"/>
          </w:tcPr>
          <w:p>
            <w:pPr>
              <w:spacing w:after="0"/>
              <w:rPr>
                <w:sz w:val="1"/>
                <w:szCs w:val="1"/>
                <w:color w:val="auto"/>
              </w:rPr>
            </w:pPr>
          </w:p>
        </w:tc>
      </w:tr>
      <w:tr>
        <w:trPr>
          <w:trHeight w:val="102"/>
        </w:trPr>
        <w:tc>
          <w:tcPr>
            <w:tcW w:w="422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 2021</w:t>
            </w:r>
          </w:p>
        </w:tc>
        <w:tc>
          <w:tcPr>
            <w:tcW w:w="6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72,848,97</w:t>
            </w:r>
          </w:p>
        </w:tc>
        <w:tc>
          <w:tcPr>
            <w:tcW w:w="26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296,04</w:t>
            </w:r>
          </w:p>
        </w:tc>
        <w:tc>
          <w:tcPr>
            <w:tcW w:w="24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2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731</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(4,291 )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1,134,015</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121,390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1,251,845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-2630805</wp:posOffset>
            </wp:positionV>
            <wp:extent cx="402018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020185" cy="12890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-1139190</wp:posOffset>
            </wp:positionV>
            <wp:extent cx="4020185"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020185" cy="12890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-25400</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tax year end is March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w:t>
      </w: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for further information related to the adoption of ASU 2020-06.</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5"/>
                <w:szCs w:val="15"/>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68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61,791</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100" w:type="dxa"/>
            <w:vAlign w:val="bottom"/>
          </w:tcPr>
          <w:p>
            <w:pPr>
              <w:spacing w:after="0"/>
              <w:rPr>
                <w:sz w:val="18"/>
                <w:szCs w:val="18"/>
                <w:color w:val="auto"/>
              </w:rPr>
            </w:pPr>
          </w:p>
        </w:tc>
      </w:tr>
      <w:tr>
        <w:trPr>
          <w:trHeight w:val="171"/>
        </w:trPr>
        <w:tc>
          <w:tcPr>
            <w:tcW w:w="73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w:t>
            </w: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net cash provided by (used in) operating activities:</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unrealized (gains) losses on investments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(68,233 )</w:t>
            </w: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change in unrealized (gains) on foreign currency transactions</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(15,095 )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(4,289 )</w:t>
            </w: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unrealized losses on interest rate swaps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(14,436 )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(6,096 )</w:t>
            </w: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(63 )</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realized (gains) on interest rate swaps</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(2,251 )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amortization of discount on investments</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(12,957 )</w:t>
            </w: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(16,850 )</w:t>
            </w: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discount on debt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and originations of investments, net</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(735,864 )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(531,756 )</w:t>
            </w: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45,473</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392,576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476,488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Paid-in-kind interest</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(9,623 )</w:t>
            </w: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(6,645 )</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(9,439 )</w:t>
            </w: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(834 )</w:t>
            </w: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receivable paid-in-kind</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Incentive fees on net investment income payable to affiliate</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(1,907 )</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Incentive fees on net capital gains accrued to affiliate</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(7,721 )</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Payable to affiliate</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(34,241 )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(20,120 )</w:t>
            </w:r>
          </w:p>
        </w:tc>
      </w:tr>
      <w:tr>
        <w:trPr>
          <w:trHeight w:val="20"/>
        </w:trPr>
        <w:tc>
          <w:tcPr>
            <w:tcW w:w="7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(278,822 )</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75,911</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on debt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1,024,568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943,006</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on debt</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(586,635 )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(928,963 )</w:t>
            </w: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(4,296 )</w:t>
            </w: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(7,954 )</w:t>
            </w: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and underwriting costs</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85,904</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(22,348 )</w:t>
            </w:r>
          </w:p>
        </w:tc>
        <w:tc>
          <w:tcPr>
            <w:tcW w:w="160" w:type="dxa"/>
            <w:vAlign w:val="bottom"/>
          </w:tcPr>
          <w:p>
            <w:pPr>
              <w:spacing w:after="0"/>
              <w:rPr>
                <w:sz w:val="18"/>
                <w:szCs w:val="18"/>
                <w:color w:val="auto"/>
              </w:rPr>
            </w:pPr>
          </w:p>
        </w:tc>
        <w:tc>
          <w:tcPr>
            <w:tcW w:w="1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(3,000 )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(115,154 )</w:t>
            </w: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(162,916 )</w:t>
            </w:r>
          </w:p>
        </w:tc>
      </w:tr>
      <w:tr>
        <w:trPr>
          <w:trHeight w:val="209"/>
        </w:trPr>
        <w:tc>
          <w:tcPr>
            <w:tcW w:w="7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293,135</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34,012</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Excise and other taxes paid during the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107,879</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188,454</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shd w:val="clear" w:color="auto" w:fill="CFF0FC"/>
          </w:tcPr>
          <w:p>
            <w:pPr>
              <w:spacing w:after="0"/>
              <w:rPr>
                <w:sz w:val="18"/>
                <w:szCs w:val="18"/>
                <w:color w:val="auto"/>
              </w:rPr>
            </w:pPr>
          </w:p>
        </w:tc>
      </w:tr>
      <w:tr>
        <w:trPr>
          <w:trHeight w:val="234"/>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 in settlement of convertible notes during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77,642</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-2959735</wp:posOffset>
            </wp:positionV>
            <wp:extent cx="6858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-2959735</wp:posOffset>
            </wp:positionV>
            <wp:extent cx="6858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-1562735</wp:posOffset>
            </wp:positionV>
            <wp:extent cx="68580" cy="146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-1562735</wp:posOffset>
            </wp:positionV>
            <wp:extent cx="68580"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-1279525</wp:posOffset>
            </wp:positionV>
            <wp:extent cx="6858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-1279525</wp:posOffset>
            </wp:positionV>
            <wp:extent cx="6858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 w:name="page21"/>
    <w:bookmarkEnd w:id="20"/>
    <w:p>
      <w:pPr>
        <w:ind w:left="424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88" w:lineRule="exact"/>
        <w:rPr>
          <w:sz w:val="20"/>
          <w:szCs w:val="20"/>
          <w:color w:val="auto"/>
        </w:rPr>
      </w:pPr>
    </w:p>
    <w:p>
      <w:pPr>
        <w:ind w:right="8040" w:firstLine="8"/>
        <w:spacing w:after="0" w:line="370" w:lineRule="auto"/>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i w:val="1"/>
          <w:iCs w:val="1"/>
          <w:color w:val="auto"/>
        </w:rPr>
        <w:t>Organization</w:t>
      </w:r>
    </w:p>
    <w:p>
      <w:pPr>
        <w:ind w:right="80" w:firstLine="255"/>
        <w:spacing w:after="0" w:line="243" w:lineRule="auto"/>
        <w:rPr>
          <w:sz w:val="20"/>
          <w:szCs w:val="20"/>
          <w:color w:val="auto"/>
        </w:rPr>
      </w:pPr>
      <w:r>
        <w:rPr>
          <w:rFonts w:ascii="Times New Roman" w:cs="Times New Roman" w:eastAsia="Times New Roman" w:hAnsi="Times New Roman"/>
          <w:sz w:val="18"/>
          <w:szCs w:val="18"/>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86" w:lineRule="exact"/>
        <w:rPr>
          <w:sz w:val="20"/>
          <w:szCs w:val="20"/>
          <w:color w:val="auto"/>
        </w:rPr>
      </w:pPr>
    </w:p>
    <w:p>
      <w:pPr>
        <w:ind w:right="620" w:firstLine="255"/>
        <w:spacing w:after="0" w:line="266"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and the Company’s shares began trading on the New York Stock Exchange (“NYSE”) under the symbol “TSLX.”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06" w:lineRule="exact"/>
        <w:rPr>
          <w:sz w:val="20"/>
          <w:szCs w:val="20"/>
          <w:color w:val="auto"/>
        </w:rPr>
      </w:pPr>
    </w:p>
    <w:p>
      <w:pPr>
        <w:ind w:right="200" w:firstLine="255"/>
        <w:spacing w:after="0" w:line="24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95"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2021, which was filed with the Securities and Exchange Commission (“SEC”), on February 17, 2022.</w:t>
      </w:r>
    </w:p>
    <w:p>
      <w:pPr>
        <w:spacing w:after="0" w:line="181" w:lineRule="exact"/>
        <w:rPr>
          <w:sz w:val="20"/>
          <w:szCs w:val="20"/>
          <w:color w:val="auto"/>
        </w:rPr>
      </w:pPr>
    </w:p>
    <w:p>
      <w:pPr>
        <w:ind w:right="920" w:firstLine="255"/>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8" w:lineRule="exact"/>
        <w:rPr>
          <w:sz w:val="20"/>
          <w:szCs w:val="20"/>
          <w:color w:val="auto"/>
        </w:rPr>
      </w:pPr>
    </w:p>
    <w:p>
      <w:pPr>
        <w:ind w:right="8680" w:firstLine="8"/>
        <w:spacing w:after="0" w:line="362" w:lineRule="auto"/>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Use of Estimates</w:t>
      </w:r>
    </w:p>
    <w:p>
      <w:pPr>
        <w:spacing w:after="0" w:line="1" w:lineRule="exact"/>
        <w:rPr>
          <w:sz w:val="20"/>
          <w:szCs w:val="20"/>
          <w:color w:val="auto"/>
        </w:rPr>
      </w:pPr>
    </w:p>
    <w:p>
      <w:pPr>
        <w:jc w:val="both"/>
        <w:ind w:right="20" w:firstLine="255"/>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20" w:firstLine="255"/>
        <w:spacing w:after="0" w:line="250"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06" w:lineRule="exact"/>
        <w:rPr>
          <w:sz w:val="20"/>
          <w:szCs w:val="20"/>
          <w:color w:val="auto"/>
        </w:rPr>
      </w:pPr>
    </w:p>
    <w:p>
      <w:pPr>
        <w:ind w:right="40" w:firstLine="255"/>
        <w:spacing w:after="0" w:line="246"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95" w:lineRule="exact"/>
        <w:rPr>
          <w:sz w:val="20"/>
          <w:szCs w:val="20"/>
          <w:color w:val="auto"/>
        </w:rPr>
      </w:pPr>
    </w:p>
    <w:p>
      <w:pPr>
        <w:ind w:right="320" w:firstLine="255"/>
        <w:spacing w:after="0" w:line="246"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1"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04" w:lineRule="exact"/>
        <w:rPr>
          <w:sz w:val="20"/>
          <w:szCs w:val="20"/>
          <w:color w:val="auto"/>
        </w:rPr>
      </w:pPr>
    </w:p>
    <w:p>
      <w:pPr>
        <w:ind w:left="520" w:right="80" w:hanging="257"/>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4" w:lineRule="exact"/>
        <w:rPr>
          <w:rFonts w:ascii="Times New Roman" w:cs="Times New Roman" w:eastAsia="Times New Roman" w:hAnsi="Times New Roman"/>
          <w:sz w:val="18"/>
          <w:szCs w:val="18"/>
          <w:color w:val="auto"/>
        </w:rPr>
      </w:pPr>
    </w:p>
    <w:p>
      <w:pPr>
        <w:ind w:left="520" w:right="420" w:hanging="257"/>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40"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03" w:lineRule="exact"/>
        <w:rPr>
          <w:rFonts w:ascii="Times New Roman" w:cs="Times New Roman" w:eastAsia="Times New Roman" w:hAnsi="Times New Roman"/>
          <w:sz w:val="18"/>
          <w:szCs w:val="18"/>
          <w:color w:val="auto"/>
        </w:rPr>
      </w:pPr>
    </w:p>
    <w:p>
      <w:pPr>
        <w:ind w:left="520" w:right="100" w:hanging="257"/>
        <w:spacing w:after="0" w:line="258"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jc w:val="both"/>
        <w:ind w:right="140" w:firstLine="255"/>
        <w:spacing w:after="0" w:line="250"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September 30, 2022,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2" w:name="page23"/>
    <w:bookmarkEnd w:id="22"/>
    <w:p>
      <w:pPr>
        <w:ind w:right="60" w:firstLine="255"/>
        <w:spacing w:after="0" w:line="227"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12" w:lineRule="exact"/>
        <w:rPr>
          <w:sz w:val="20"/>
          <w:szCs w:val="20"/>
          <w:color w:val="auto"/>
        </w:rPr>
      </w:pPr>
    </w:p>
    <w:p>
      <w:pPr>
        <w:ind w:right="400" w:firstLine="255"/>
        <w:spacing w:after="0" w:line="222"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w:t>
      </w:r>
    </w:p>
    <w:p>
      <w:pPr>
        <w:spacing w:after="0" w:line="2"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8"/>
          <w:szCs w:val="18"/>
          <w:color w:val="auto"/>
        </w:rPr>
        <w:t>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w:t>
      </w:r>
    </w:p>
    <w:p>
      <w:pPr>
        <w:ind w:right="380"/>
        <w:spacing w:after="0" w:line="211" w:lineRule="auto"/>
        <w:rPr>
          <w:sz w:val="20"/>
          <w:szCs w:val="20"/>
          <w:color w:val="auto"/>
        </w:rPr>
      </w:pPr>
      <w:r>
        <w:rPr>
          <w:rFonts w:ascii="Times New Roman" w:cs="Times New Roman" w:eastAsia="Times New Roman" w:hAnsi="Times New Roman"/>
          <w:sz w:val="18"/>
          <w:szCs w:val="18"/>
          <w:color w:val="auto"/>
        </w:rPr>
        <w:t>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w:t>
      </w:r>
    </w:p>
    <w:p>
      <w:pPr>
        <w:spacing w:after="0" w:line="1"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160" w:firstLine="255"/>
        <w:spacing w:after="0" w:line="236" w:lineRule="auto"/>
        <w:rPr>
          <w:sz w:val="20"/>
          <w:szCs w:val="20"/>
          <w:color w:val="auto"/>
        </w:rPr>
      </w:pPr>
      <w:r>
        <w:rPr>
          <w:rFonts w:ascii="Times New Roman" w:cs="Times New Roman" w:eastAsia="Times New Roman" w:hAnsi="Times New Roman"/>
          <w:sz w:val="17"/>
          <w:szCs w:val="17"/>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w:t>
      </w:r>
    </w:p>
    <w:p>
      <w:pPr>
        <w:ind w:right="100"/>
        <w:spacing w:after="0" w:line="219" w:lineRule="auto"/>
        <w:rPr>
          <w:sz w:val="20"/>
          <w:szCs w:val="20"/>
          <w:color w:val="auto"/>
        </w:rPr>
      </w:pPr>
      <w:r>
        <w:rPr>
          <w:rFonts w:ascii="Times New Roman" w:cs="Times New Roman" w:eastAsia="Times New Roman" w:hAnsi="Times New Roman"/>
          <w:sz w:val="18"/>
          <w:szCs w:val="18"/>
          <w:color w:val="auto"/>
        </w:rPr>
        <w:t>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w:t>
      </w:r>
    </w:p>
    <w:p>
      <w:pPr>
        <w:ind w:right="180"/>
        <w:spacing w:after="0" w:line="226" w:lineRule="auto"/>
        <w:rPr>
          <w:sz w:val="20"/>
          <w:szCs w:val="20"/>
          <w:color w:val="auto"/>
        </w:rPr>
      </w:pPr>
      <w:r>
        <w:rPr>
          <w:rFonts w:ascii="Times New Roman" w:cs="Times New Roman" w:eastAsia="Times New Roman" w:hAnsi="Times New Roman"/>
          <w:sz w:val="18"/>
          <w:szCs w:val="18"/>
          <w:color w:val="auto"/>
        </w:rPr>
        <w:t>were required to liquidate a portfolio investment in a forced or liquidation sale, it could realize amounts that are different from the amounts presented and such differences could be material.</w:t>
      </w:r>
    </w:p>
    <w:p>
      <w:pPr>
        <w:spacing w:after="0" w:line="171" w:lineRule="exact"/>
        <w:rPr>
          <w:sz w:val="20"/>
          <w:szCs w:val="20"/>
          <w:color w:val="auto"/>
        </w:rPr>
      </w:pPr>
    </w:p>
    <w:p>
      <w:pPr>
        <w:ind w:right="20" w:firstLine="255"/>
        <w:spacing w:after="0" w:line="23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79" w:lineRule="exact"/>
        <w:rPr>
          <w:sz w:val="20"/>
          <w:szCs w:val="20"/>
          <w:color w:val="auto"/>
        </w:rPr>
      </w:pPr>
    </w:p>
    <w:p>
      <w:pPr>
        <w:ind w:firstLine="255"/>
        <w:spacing w:after="0" w:line="231" w:lineRule="auto"/>
        <w:rPr>
          <w:sz w:val="20"/>
          <w:szCs w:val="20"/>
          <w:color w:val="auto"/>
        </w:rPr>
      </w:pPr>
      <w:r>
        <w:rPr>
          <w:rFonts w:ascii="Times New Roman" w:cs="Times New Roman" w:eastAsia="Times New Roman" w:hAnsi="Times New Roman"/>
          <w:sz w:val="18"/>
          <w:szCs w:val="18"/>
          <w:color w:val="auto"/>
        </w:rPr>
        <w:t xml:space="preserve">The Company recognizes all derivative instruments as assets or liabilities at fair value in its consolidated financial statements, pursuant to ASC Topic 815 </w:t>
      </w:r>
      <w:r>
        <w:rPr>
          <w:rFonts w:ascii="Times New Roman" w:cs="Times New Roman" w:eastAsia="Times New Roman" w:hAnsi="Times New Roman"/>
          <w:sz w:val="18"/>
          <w:szCs w:val="18"/>
          <w:i w:val="1"/>
          <w:iCs w:val="1"/>
          <w:color w:val="auto"/>
        </w:rPr>
        <w:t>Derivatives and Hedgin</w:t>
      </w:r>
      <w:r>
        <w:rPr>
          <w:rFonts w:ascii="Times New Roman" w:cs="Times New Roman" w:eastAsia="Times New Roman" w:hAnsi="Times New Roman"/>
          <w:sz w:val="18"/>
          <w:szCs w:val="18"/>
          <w:color w:val="auto"/>
        </w:rPr>
        <w:t xml:space="preserve">g, further clarified by the FASB’s issuance of the Accounting Standards Update (“ASU”) No. 2017-12,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which was adopted in 2019 by the Company. For all derivative instruments designated in a hedge accounting relationship, the entire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w:t>
      </w:r>
    </w:p>
    <w:p>
      <w:pPr>
        <w:spacing w:after="0" w:line="2"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w:t>
      </w:r>
    </w:p>
    <w:p>
      <w:pPr>
        <w:spacing w:after="0" w:line="1"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18"/>
          <w:szCs w:val="18"/>
          <w:color w:val="auto"/>
        </w:rPr>
        <w:t>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92" w:lineRule="exact"/>
        <w:rPr>
          <w:sz w:val="20"/>
          <w:szCs w:val="20"/>
          <w:color w:val="auto"/>
        </w:rPr>
      </w:pPr>
    </w:p>
    <w:p>
      <w:pPr>
        <w:ind w:right="200" w:firstLine="255"/>
        <w:spacing w:after="0" w:line="230"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w:t>
      </w:r>
    </w:p>
    <w:p>
      <w:pPr>
        <w:spacing w:after="0" w:line="1"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the same counterparty, the Company has the legal right to offset the recognized amounts, and it intends to either settle on a net basis or realize the asset and settle the liability simultaneously.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90" w:lineRule="exact"/>
        <w:rPr>
          <w:sz w:val="20"/>
          <w:szCs w:val="20"/>
          <w:color w:val="auto"/>
        </w:rPr>
      </w:pPr>
    </w:p>
    <w:p>
      <w:pPr>
        <w:ind w:left="520" w:right="580" w:hanging="257"/>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41" w:lineRule="exact"/>
        <w:rPr>
          <w:rFonts w:ascii="Times New Roman" w:cs="Times New Roman" w:eastAsia="Times New Roman" w:hAnsi="Times New Roman"/>
          <w:sz w:val="18"/>
          <w:szCs w:val="18"/>
          <w:color w:val="auto"/>
        </w:rPr>
      </w:pPr>
    </w:p>
    <w:p>
      <w:pPr>
        <w:ind w:left="520" w:hanging="257"/>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w:t>
      </w:r>
    </w:p>
    <w:p>
      <w:pPr>
        <w:spacing w:after="0" w:line="2" w:lineRule="exact"/>
        <w:rPr>
          <w:sz w:val="20"/>
          <w:szCs w:val="20"/>
          <w:color w:val="auto"/>
        </w:rPr>
      </w:pPr>
    </w:p>
    <w:p>
      <w:pPr>
        <w:ind w:right="460"/>
        <w:spacing w:after="0" w:line="223" w:lineRule="auto"/>
        <w:rPr>
          <w:sz w:val="20"/>
          <w:szCs w:val="20"/>
          <w:color w:val="auto"/>
        </w:rPr>
      </w:pPr>
      <w:r>
        <w:rPr>
          <w:rFonts w:ascii="Times New Roman" w:cs="Times New Roman" w:eastAsia="Times New Roman" w:hAnsi="Times New Roman"/>
          <w:sz w:val="17"/>
          <w:szCs w:val="17"/>
          <w:color w:val="auto"/>
        </w:rPr>
        <w:t>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06"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06"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7"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48" w:lineRule="exact"/>
        <w:rPr>
          <w:sz w:val="20"/>
          <w:szCs w:val="20"/>
          <w:color w:val="auto"/>
        </w:rPr>
      </w:pPr>
    </w:p>
    <w:p>
      <w:pPr>
        <w:ind w:right="20" w:firstLine="255"/>
        <w:spacing w:after="0" w:line="247"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0"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14" w:lineRule="exact"/>
        <w:rPr>
          <w:sz w:val="20"/>
          <w:szCs w:val="20"/>
          <w:color w:val="auto"/>
        </w:rPr>
      </w:pPr>
    </w:p>
    <w:p>
      <w:pPr>
        <w:ind w:right="80" w:firstLine="255"/>
        <w:spacing w:after="0" w:line="244"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06"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77"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06"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77" w:lineRule="exact"/>
        <w:rPr>
          <w:sz w:val="20"/>
          <w:szCs w:val="20"/>
          <w:color w:val="auto"/>
        </w:rPr>
      </w:pPr>
    </w:p>
    <w:p>
      <w:pPr>
        <w:ind w:right="80" w:firstLine="255"/>
        <w:spacing w:after="0" w:line="246"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1"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91"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recorded a net expense of $0.4 million and $1.5 million, respectively, for U.S. federal excise tax and other taxes. For the three and nine months ended September 30, 2021, the Company recorded a net expense of $0.1 million and $0.7 million, respectively, for U.S. federal excise tax and other taxes.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260" w:firstLine="255"/>
        <w:spacing w:after="0" w:line="250"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90"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2021</w:t>
      </w:r>
    </w:p>
    <w:p>
      <w:pPr>
        <w:spacing w:after="0" w:line="214" w:lineRule="exact"/>
        <w:rPr>
          <w:sz w:val="20"/>
          <w:szCs w:val="20"/>
          <w:color w:val="auto"/>
        </w:rPr>
      </w:pPr>
    </w:p>
    <w:p>
      <w:pPr>
        <w:ind w:firstLine="255"/>
        <w:spacing w:after="0" w:line="243" w:lineRule="auto"/>
        <w:rPr>
          <w:sz w:val="20"/>
          <w:szCs w:val="20"/>
          <w:color w:val="auto"/>
        </w:rPr>
      </w:pPr>
      <w:r>
        <w:rPr>
          <w:rFonts w:ascii="Times New Roman" w:cs="Times New Roman" w:eastAsia="Times New Roman" w:hAnsi="Times New Roman"/>
          <w:sz w:val="18"/>
          <w:szCs w:val="18"/>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ind w:right="60" w:firstLine="255"/>
        <w:spacing w:after="0" w:line="242" w:lineRule="auto"/>
        <w:rPr>
          <w:sz w:val="20"/>
          <w:szCs w:val="20"/>
          <w:color w:val="auto"/>
        </w:rPr>
      </w:pPr>
      <w:r>
        <w:rPr>
          <w:rFonts w:ascii="Times New Roman" w:cs="Times New Roman" w:eastAsia="Times New Roman" w:hAnsi="Times New Roman"/>
          <w:sz w:val="18"/>
          <w:szCs w:val="18"/>
          <w:color w:val="auto"/>
        </w:rPr>
        <w:t>In March 2020, the Financial Accounting Standards Board issued Accounting Standards Update 2020-04 (“ASU 2020-04”) “Reference Rate Reform (Topic 848): Facilitation of the Effects of Reference Rate Reform on Financial Reporting,” and in January 2021, the Financial Accounting Standards Board issued Accounting Standards Update 2021-01 (“ASU 2021-01”) “Reference Rate Reform (Topic 848): Scope.”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and ASU 2021-01 are effective for all entities as of March 12, 2020 through December 31, 2022. The Company expects that the adoption of this guidance will not have a material impact on the Company’s financial position, result of operations or cash flows.</w:t>
      </w:r>
    </w:p>
    <w:p>
      <w:pPr>
        <w:spacing w:after="0" w:line="182" w:lineRule="exact"/>
        <w:rPr>
          <w:sz w:val="20"/>
          <w:szCs w:val="20"/>
          <w:color w:val="auto"/>
        </w:rPr>
      </w:pPr>
    </w:p>
    <w:p>
      <w:pPr>
        <w:ind w:right="7660" w:firstLine="8"/>
        <w:spacing w:after="0" w:line="370"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Agreements and Related Party Transactions </w:t>
      </w:r>
      <w:r>
        <w:rPr>
          <w:rFonts w:ascii="Times New Roman" w:cs="Times New Roman" w:eastAsia="Times New Roman" w:hAnsi="Times New Roman"/>
          <w:sz w:val="18"/>
          <w:szCs w:val="18"/>
          <w:i w:val="1"/>
          <w:iCs w:val="1"/>
          <w:color w:val="auto"/>
        </w:rPr>
        <w:t>Administration Agreement</w:t>
      </w:r>
    </w:p>
    <w:p>
      <w:pPr>
        <w:ind w:right="20" w:firstLine="255"/>
        <w:spacing w:after="0" w:line="244"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95" w:lineRule="exact"/>
        <w:rPr>
          <w:sz w:val="20"/>
          <w:szCs w:val="20"/>
          <w:color w:val="auto"/>
        </w:rPr>
      </w:pPr>
    </w:p>
    <w:p>
      <w:pPr>
        <w:ind w:right="200" w:firstLine="255"/>
        <w:spacing w:after="0" w:line="250"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90" w:lineRule="exact"/>
        <w:rPr>
          <w:sz w:val="20"/>
          <w:szCs w:val="20"/>
          <w:color w:val="auto"/>
        </w:rPr>
      </w:pPr>
    </w:p>
    <w:p>
      <w:pPr>
        <w:ind w:right="20" w:firstLine="255"/>
        <w:spacing w:after="0" w:line="250" w:lineRule="auto"/>
        <w:rPr>
          <w:sz w:val="20"/>
          <w:szCs w:val="20"/>
          <w:color w:val="auto"/>
        </w:rPr>
      </w:pPr>
      <w:r>
        <w:rPr>
          <w:rFonts w:ascii="Times New Roman" w:cs="Times New Roman" w:eastAsia="Times New Roman" w:hAnsi="Times New Roman"/>
          <w:sz w:val="18"/>
          <w:szCs w:val="18"/>
          <w:color w:val="auto"/>
        </w:rPr>
        <w:t>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 days’ written notice to the other party.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6" w:name="page27"/>
    <w:bookmarkEnd w:id="26"/>
    <w:p>
      <w:pPr>
        <w:ind w:firstLine="255"/>
        <w:spacing w:after="0" w:line="24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85"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incurred expenses of $0.8 million and $2.2 million, respectively, for administrative services payable to the Adviser under the terms of the Administration Agreement. For the three and nine months ended September 30, 2021 the Company incurred expenses of $1.2 million and $3.7 million, respectively, for administrative services payable to the Adviser under the terms of the Administration Agreement, which is included in other general and administrative expenses in the consolidated statements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80" w:firstLine="255"/>
        <w:spacing w:after="0" w:line="246"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6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Management Fees (gross of waivers) were $10.3 million and $28.1 million, respectively. For the three and nine months ended September 30, 2021, Management Fees (gross of waivers) were $9.5 million and $27.7 million, respectively.</w:t>
      </w:r>
    </w:p>
    <w:p>
      <w:pPr>
        <w:spacing w:after="0" w:line="176"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For the three and nine months ended September 30, 2022, Management Fees of $0.2 million have been waived pursuant to the Leverage Waiver. For the three and nine months ended September 30, 2021, Management Fees of $0.1 million and $0.2 million have been waived pursuant to the Leverage Waiver.</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04" w:lineRule="exact"/>
        <w:rPr>
          <w:sz w:val="20"/>
          <w:szCs w:val="20"/>
          <w:color w:val="auto"/>
        </w:rPr>
      </w:pPr>
    </w:p>
    <w:p>
      <w:pPr>
        <w:ind w:left="520" w:right="120" w:hanging="257"/>
        <w:spacing w:after="0" w:line="245"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7" w:name="page28"/>
    <w:bookmarkEnd w:id="27"/>
    <w:p>
      <w:pPr>
        <w:ind w:left="520" w:right="140"/>
        <w:spacing w:after="0" w:line="247"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2" w:lineRule="exact"/>
        <w:rPr>
          <w:sz w:val="20"/>
          <w:szCs w:val="20"/>
          <w:color w:val="auto"/>
        </w:rPr>
      </w:pPr>
    </w:p>
    <w:p>
      <w:pPr>
        <w:ind w:left="520" w:hanging="257"/>
        <w:spacing w:after="0" w:line="244"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w:t>
      </w:r>
    </w:p>
    <w:p>
      <w:pPr>
        <w:spacing w:after="0" w:line="185"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76"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firstLine="255"/>
        <w:spacing w:after="0" w:line="247" w:lineRule="auto"/>
        <w:rPr>
          <w:sz w:val="20"/>
          <w:szCs w:val="20"/>
          <w:color w:val="auto"/>
        </w:rPr>
      </w:pPr>
      <w:r>
        <w:rPr>
          <w:rFonts w:ascii="Times New Roman" w:cs="Times New Roman" w:eastAsia="Times New Roman" w:hAnsi="Times New Roman"/>
          <w:sz w:val="18"/>
          <w:szCs w:val="18"/>
          <w:color w:val="auto"/>
        </w:rPr>
        <w:t>For three and nine months ended September 30, 2022, Incentive Fees were $7.9 million and $14.8 million, respectively, of which $7.9 million and $22.5 million, respectively, were realized and payable to the Adviser. For the three and nine months ended September 30, 2021, Incentive Fees were $11.9 million and $36.8 million, respectively, of which $8.5 million and $23.3 million, respectively, were realized and payable to the Adviser. For the three and nine months ended September 30, 2022, less than ($0.1) million and ($7.7) million, respectively of Incentive Fees was accrued related to the reversal of Capital Gains Fees. For the three and nine months ended September 30, 2021, $3.4 million and $13.5 million, respectively of Incentive Fees was accrued related to Capital Gains Fees. As of September 30, 2022, the Capital Gains Fees accrued are not contractually payable to the Adviser.</w:t>
      </w:r>
    </w:p>
    <w:p>
      <w:pPr>
        <w:spacing w:after="0" w:line="180"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69" w:lineRule="exact"/>
        <w:rPr>
          <w:sz w:val="20"/>
          <w:szCs w:val="20"/>
          <w:color w:val="auto"/>
        </w:rPr>
      </w:pPr>
    </w:p>
    <w:p>
      <w:pPr>
        <w:ind w:right="20" w:firstLine="255"/>
        <w:spacing w:after="0" w:line="280" w:lineRule="auto"/>
        <w:rPr>
          <w:sz w:val="20"/>
          <w:szCs w:val="20"/>
          <w:color w:val="auto"/>
        </w:rPr>
      </w:pPr>
      <w:r>
        <w:rPr>
          <w:rFonts w:ascii="Times New Roman" w:cs="Times New Roman" w:eastAsia="Times New Roman" w:hAnsi="Times New Roman"/>
          <w:sz w:val="17"/>
          <w:szCs w:val="17"/>
          <w:color w:val="auto"/>
        </w:rPr>
        <w:t>In November 2022, the Board renewed the Investment Advisory Agreement. Unless earlier terminated as described below, the Investment Advisory Agreement will remain in effect until November 2023,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53"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80" w:firstLine="255"/>
        <w:spacing w:after="0" w:line="242"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September 30, 2022 and December 31, 2021:</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ind w:left="12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2,548,902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2,538,586</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(1,528 )</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2,792,773</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2,806,063</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2,265,555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2,298,856</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18,549</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161,459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2,432,012</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2,521,593</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-1207770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-1190625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-1207770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-1190625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-1207770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-1190625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596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right="1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September 30, 2022 and December 31, 2021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0" w:type="dxa"/>
            <w:vAlign w:val="bottom"/>
            <w:gridSpan w:val="3"/>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4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4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4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4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46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29</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-2442845</wp:posOffset>
            </wp:positionV>
            <wp:extent cx="5700395"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-2167890</wp:posOffset>
            </wp:positionV>
            <wp:extent cx="5700395"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-1893570</wp:posOffset>
            </wp:positionV>
            <wp:extent cx="5700395"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-1619885</wp:posOffset>
            </wp:positionV>
            <wp:extent cx="5700395"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-1345565</wp:posOffset>
            </wp:positionV>
            <wp:extent cx="5700395"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-1071245</wp:posOffset>
            </wp:positionV>
            <wp:extent cx="5700395"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-796290</wp:posOffset>
            </wp:positionV>
            <wp:extent cx="5700395" cy="3086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00395" cy="3086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September 30, 2022 and December 31, 2021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Midwest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Northeast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30.8 %</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West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27.9 %</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8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-1130935</wp:posOffset>
            </wp:positionV>
            <wp:extent cx="5700395"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-856615</wp:posOffset>
            </wp:positionV>
            <wp:extent cx="5700395"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-582295</wp:posOffset>
            </wp:positionV>
            <wp:extent cx="5700395"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06" w:lineRule="exact"/>
        <w:rPr>
          <w:sz w:val="20"/>
          <w:szCs w:val="20"/>
          <w:color w:val="auto"/>
        </w:rPr>
      </w:pPr>
    </w:p>
    <w:p>
      <w:pPr>
        <w:ind w:right="180" w:firstLine="255"/>
        <w:spacing w:after="0" w:line="250" w:lineRule="auto"/>
        <w:rPr>
          <w:sz w:val="20"/>
          <w:szCs w:val="20"/>
          <w:color w:val="auto"/>
        </w:rPr>
      </w:pPr>
      <w:r>
        <w:rPr>
          <w:rFonts w:ascii="Times New Roman" w:cs="Times New Roman" w:eastAsia="Times New Roman" w:hAnsi="Times New Roman"/>
          <w:sz w:val="18"/>
          <w:szCs w:val="18"/>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90"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amounts paid and received on the Company’s interest rate swap transactions, excluding upfront fees, for the three and nine months ended September 30,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Pr>
          <w:p>
            <w:pPr>
              <w:spacing w:after="0"/>
              <w:rPr>
                <w:sz w:val="11"/>
                <w:szCs w:val="11"/>
                <w:color w:val="auto"/>
              </w:rPr>
            </w:pPr>
          </w:p>
        </w:tc>
        <w:tc>
          <w:tcPr>
            <w:tcW w:w="7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Pr>
          <w:p>
            <w:pPr>
              <w:spacing w:after="0"/>
              <w:rPr>
                <w:sz w:val="11"/>
                <w:szCs w:val="11"/>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115,000</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(2,159</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(150 )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(706 )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(23 )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(106 )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(117 )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(16 )</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(730 )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(256 )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(9 )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(57 )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(171 )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(22 )</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(1,134 )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1/22/2023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(1,620 )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(3,591 )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11/1/2024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(3,374 )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(467 )</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(7,708 )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11/1/2024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(589 )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(105 )</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(1,356 )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11/1/2024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(24 )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(72 )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2"/>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(3,115 )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(1,261 )</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(6,894 )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(1,331 )</w:t>
            </w: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1,047,510</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(9,619 )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7,909</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(1,710 )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(24,513 )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26,681</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10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Pr>
          <w:p>
            <w:pPr>
              <w:spacing w:after="0"/>
              <w:rPr>
                <w:sz w:val="12"/>
                <w:szCs w:val="12"/>
                <w:color w:val="auto"/>
              </w:rPr>
            </w:pPr>
          </w:p>
        </w:tc>
        <w:tc>
          <w:tcPr>
            <w:tcW w:w="7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Pr>
          <w:p>
            <w:pPr>
              <w:spacing w:after="0"/>
              <w:rPr>
                <w:sz w:val="12"/>
                <w:szCs w:val="12"/>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Interest rate swap </w:t>
            </w:r>
            <w:r>
              <w:rPr>
                <w:rFonts w:ascii="Times New Roman" w:cs="Times New Roman" w:eastAsia="Times New Roman" w:hAnsi="Times New Roman"/>
                <w:sz w:val="22"/>
                <w:szCs w:val="22"/>
                <w:color w:val="auto"/>
                <w:vertAlign w:val="superscript"/>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00" w:type="dxa"/>
            <w:vAlign w:val="bottom"/>
            <w:vMerge w:val="continue"/>
          </w:tcPr>
          <w:p>
            <w:pPr>
              <w:spacing w:after="0"/>
              <w:rPr>
                <w:sz w:val="13"/>
                <w:szCs w:val="13"/>
                <w:color w:val="auto"/>
              </w:rPr>
            </w:pPr>
          </w:p>
        </w:tc>
        <w:tc>
          <w:tcPr>
            <w:tcW w:w="8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7/30/2021</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11,700</w:t>
            </w:r>
          </w:p>
        </w:tc>
        <w:tc>
          <w:tcPr>
            <w:tcW w:w="240" w:type="dxa"/>
            <w:vAlign w:val="bottom"/>
          </w:tcPr>
          <w:p>
            <w:pPr>
              <w:spacing w:after="0"/>
              <w:rPr>
                <w:sz w:val="13"/>
                <w:szCs w:val="13"/>
                <w:color w:val="auto"/>
              </w:rPr>
            </w:pPr>
          </w:p>
        </w:tc>
        <w:tc>
          <w:tcPr>
            <w:tcW w:w="1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(17</w:t>
            </w:r>
          </w:p>
        </w:tc>
        <w:tc>
          <w:tcPr>
            <w:tcW w:w="240" w:type="dxa"/>
            <w:vAlign w:val="bottom"/>
          </w:tcPr>
          <w:p>
            <w:pPr>
              <w:jc w:val="right"/>
              <w:ind w:right="75"/>
              <w:spacing w:after="0" w:line="15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3"/>
                <w:szCs w:val="13"/>
                <w:color w:val="auto"/>
              </w:rPr>
            </w:pPr>
          </w:p>
        </w:tc>
        <w:tc>
          <w:tcPr>
            <w:tcW w:w="240" w:type="dxa"/>
            <w:vAlign w:val="bottom"/>
            <w:tcBorders>
              <w:top w:val="single" w:sz="8" w:color="auto"/>
            </w:tcBorders>
          </w:tcPr>
          <w:p>
            <w:pPr>
              <w:jc w:val="right"/>
              <w:ind w:right="55"/>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jc w:val="right"/>
              <w:ind w:right="75"/>
              <w:spacing w:after="0" w:line="15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(102</w:t>
            </w:r>
          </w:p>
        </w:tc>
        <w:tc>
          <w:tcPr>
            <w:tcW w:w="220" w:type="dxa"/>
            <w:vAlign w:val="bottom"/>
          </w:tcPr>
          <w:p>
            <w:pPr>
              <w:jc w:val="right"/>
              <w:ind w:right="80"/>
              <w:spacing w:after="0" w:line="150"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3"/>
                <w:szCs w:val="13"/>
                <w:color w:val="auto"/>
              </w:rPr>
            </w:pPr>
          </w:p>
        </w:tc>
        <w:tc>
          <w:tcPr>
            <w:tcW w:w="220" w:type="dxa"/>
            <w:vAlign w:val="bottom"/>
            <w:tcBorders>
              <w:top w:val="single" w:sz="8" w:color="auto"/>
            </w:tcBorders>
          </w:tcPr>
          <w:p>
            <w:pPr>
              <w:jc w:val="right"/>
              <w:ind w:right="35"/>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jc w:val="right"/>
              <w:spacing w:after="0" w:line="150"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9"/>
        </w:trPr>
        <w:tc>
          <w:tcPr>
            <w:tcW w:w="2100" w:type="dxa"/>
            <w:vAlign w:val="bottom"/>
          </w:tcPr>
          <w:p>
            <w:pPr>
              <w:ind w:left="20"/>
              <w:spacing w:after="0" w:line="249" w:lineRule="exact"/>
              <w:rPr>
                <w:sz w:val="20"/>
                <w:szCs w:val="20"/>
                <w:color w:val="auto"/>
              </w:rPr>
            </w:pPr>
            <w:r>
              <w:rPr>
                <w:rFonts w:ascii="Times New Roman" w:cs="Times New Roman" w:eastAsia="Times New Roman" w:hAnsi="Times New Roman"/>
                <w:sz w:val="17"/>
                <w:szCs w:val="17"/>
                <w:color w:val="auto"/>
              </w:rPr>
              <w:t xml:space="preserve">Interest rate swap </w:t>
            </w:r>
            <w:r>
              <w:rPr>
                <w:rFonts w:ascii="Times New Roman" w:cs="Times New Roman" w:eastAsia="Times New Roman" w:hAnsi="Times New Roman"/>
                <w:sz w:val="22"/>
                <w:szCs w:val="22"/>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7/30/2022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(3 )</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(3 )</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(740 )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(2,248 )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(222 )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(681 )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(33 )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(103 )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(306 )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(149 )</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(922 )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(442 )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(24 )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(72 )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line="156" w:lineRule="exact"/>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7"/>
                <w:szCs w:val="17"/>
                <w:color w:val="auto"/>
              </w:rPr>
              <w:t>1/22/2023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7"/>
                <w:szCs w:val="17"/>
                <w:color w:val="auto"/>
              </w:rPr>
              <w:t>150,000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75"/>
              <w:spacing w:after="0" w:line="156" w:lineRule="exact"/>
              <w:rPr>
                <w:sz w:val="20"/>
                <w:szCs w:val="20"/>
                <w:color w:val="auto"/>
              </w:rPr>
            </w:pPr>
            <w:r>
              <w:rPr>
                <w:rFonts w:ascii="Times New Roman" w:cs="Times New Roman" w:eastAsia="Times New Roman" w:hAnsi="Times New Roman"/>
                <w:sz w:val="17"/>
                <w:szCs w:val="17"/>
                <w:color w:val="auto"/>
              </w:rPr>
              <w:t>(821 )</w:t>
            </w:r>
          </w:p>
        </w:tc>
        <w:tc>
          <w:tcPr>
            <w:tcW w:w="14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7"/>
                <w:szCs w:val="17"/>
                <w:color w:val="auto"/>
              </w:rPr>
              <w:t>1,688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7"/>
                <w:szCs w:val="17"/>
                <w:color w:val="auto"/>
              </w:rPr>
              <w:t>867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7"/>
                <w:szCs w:val="17"/>
                <w:color w:val="auto"/>
              </w:rPr>
              <w:t>(2,501 )</w:t>
            </w:r>
          </w:p>
        </w:tc>
        <w:tc>
          <w:tcPr>
            <w:tcW w:w="14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7"/>
                <w:szCs w:val="17"/>
                <w:color w:val="auto"/>
              </w:rPr>
              <w:t>5,063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7"/>
                <w:szCs w:val="17"/>
                <w:color w:val="auto"/>
              </w:rPr>
              <w:t>2,562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100" w:type="dxa"/>
            <w:vAlign w:val="bottom"/>
          </w:tcPr>
          <w:p>
            <w:pPr>
              <w:ind w:left="20"/>
              <w:spacing w:after="0" w:line="227" w:lineRule="exact"/>
              <w:rPr>
                <w:sz w:val="20"/>
                <w:szCs w:val="20"/>
                <w:color w:val="auto"/>
              </w:rPr>
            </w:pPr>
            <w:r>
              <w:rPr>
                <w:rFonts w:ascii="Times New Roman" w:cs="Times New Roman" w:eastAsia="Times New Roman" w:hAnsi="Times New Roman"/>
                <w:sz w:val="17"/>
                <w:szCs w:val="17"/>
                <w:color w:val="auto"/>
              </w:rPr>
              <w:t xml:space="preserve">Interest rate swap </w:t>
            </w:r>
            <w:r>
              <w:rPr>
                <w:rFonts w:ascii="Times New Roman" w:cs="Times New Roman" w:eastAsia="Times New Roman" w:hAnsi="Times New Roman"/>
                <w:sz w:val="22"/>
                <w:szCs w:val="22"/>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6/9/2023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11/1/2024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(1,880 )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(5,576 )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11/1/2024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(340 )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(1,004 )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11/1/2024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(25 )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(9 )</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(72 )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8/1/2026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(1,612 )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(4,083 )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4,875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1,034,831</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(6,023 )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9,124</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(17,375 )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26,517</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-2605405</wp:posOffset>
            </wp:positionV>
            <wp:extent cx="76835" cy="1631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-2605405</wp:posOffset>
            </wp:positionV>
            <wp:extent cx="68580" cy="1631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-2605405</wp:posOffset>
            </wp:positionV>
            <wp:extent cx="68580" cy="1631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-2605405</wp:posOffset>
            </wp:positionV>
            <wp:extent cx="68580" cy="1631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-2605405</wp:posOffset>
            </wp:positionV>
            <wp:extent cx="68580" cy="1631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-2605405</wp:posOffset>
            </wp:positionV>
            <wp:extent cx="68580" cy="1631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631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28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-161925</wp:posOffset>
            </wp:positionV>
            <wp:extent cx="76835"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-161925</wp:posOffset>
            </wp:positionV>
            <wp:extent cx="68580" cy="162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-161925</wp:posOffset>
            </wp:positionV>
            <wp:extent cx="68580" cy="162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-161925</wp:posOffset>
            </wp:positionV>
            <wp:extent cx="68580" cy="162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-161925</wp:posOffset>
            </wp:positionV>
            <wp:extent cx="68580" cy="162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-161925</wp:posOffset>
            </wp:positionV>
            <wp:extent cx="68580" cy="162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ind w:left="520" w:right="10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76" w:lineRule="exact"/>
        <w:rPr>
          <w:sz w:val="20"/>
          <w:szCs w:val="20"/>
          <w:color w:val="auto"/>
        </w:rPr>
      </w:pPr>
    </w:p>
    <w:p>
      <w:pPr>
        <w:ind w:right="100" w:firstLine="255"/>
        <w:spacing w:after="0" w:line="242"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recognized $2.6 million and $7.2 million, respectively, in net change in unrealized losses, on interest rate swaps not designated as hedging instruments in the consolidated statement of operations related to the swap transactions. For the three and nine months ended September 30, 2022, the Company recognized $2.3 million in realized gains on interest rate swaps not designated as hedging instruments in the consolidated statement of operations related to the unwind of unrealized gains on interest rate swaps related to upfront fee payments received on interest rates swaps associated with the 2022 Convertible Notes. For the three and nine months ended September 30, 2022, the Company recognized $17.1 million and $52.4 million in net change in unrealized losses, respectively, on interest rate swaps designated as hedging instruments as a component of interest expense in the consolidated statement of operations. For the three and nine months ended September 30, 2022, this amount is offset by a decrease of $7.4 million and $24.3 million, respectively, for a change in the carrying value of the 2024 Notes and a decrease of $9.7 million and $28.1 million, respectively, for a change in carrying value of the 2026 Notes.</w:t>
      </w:r>
    </w:p>
    <w:p>
      <w:pPr>
        <w:spacing w:after="0" w:line="18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7"/>
          <w:szCs w:val="17"/>
          <w:color w:val="auto"/>
        </w:rPr>
        <w:t>For the three and nine months ended September 30, 2021, the Company recognized $1.5 million and $4.8 million, respectively in net change in unrealized losses, on interest rate swaps not designated as hedging instruments in the consolidated statement of operations related to the swap transactions. For the three and nine months ended September 30, 2021, the Company recognized $2.0 million and $14.2 million in net change in unrealized losses, respectively, on interest rate swaps designated as hedging instruments as a component of interest expense in the consolidated statement of operations. For the three and nine months ended September 30, 2021, this amount is offset by a decrease of $1.1 million and $7.2 million, respectively, for a change in the carrying value of the 2024 Notes and a decrease of $0.9 million and $7.0 million, respectively, for a change in carrying value of the 2026 Notes.</w:t>
      </w:r>
    </w:p>
    <w:p>
      <w:pPr>
        <w:spacing w:after="0" w:line="168"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As of September 30, 2022, the swap transactions had a fair value of ($58.9) million which is netted against cash collateral on the Company’s consolidated balance sheet. As of December 31, 2021, the swap transactions had a fair value of ($1.6) million which is netted against cash collateral on the Company’s consolidated balance sheet.</w:t>
      </w:r>
    </w:p>
    <w:p>
      <w:pPr>
        <w:spacing w:after="0" w:line="169" w:lineRule="exact"/>
        <w:rPr>
          <w:sz w:val="20"/>
          <w:szCs w:val="20"/>
          <w:color w:val="auto"/>
        </w:rPr>
      </w:pPr>
    </w:p>
    <w:p>
      <w:pPr>
        <w:ind w:right="60" w:firstLine="255"/>
        <w:spacing w:after="0" w:line="246"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95" w:lineRule="exact"/>
        <w:rPr>
          <w:sz w:val="20"/>
          <w:szCs w:val="20"/>
          <w:color w:val="auto"/>
        </w:rPr>
      </w:pPr>
    </w:p>
    <w:p>
      <w:pPr>
        <w:ind w:right="160" w:firstLine="255"/>
        <w:spacing w:after="0" w:line="250" w:lineRule="auto"/>
        <w:rPr>
          <w:sz w:val="20"/>
          <w:szCs w:val="20"/>
          <w:color w:val="auto"/>
        </w:rPr>
      </w:pPr>
      <w:r>
        <w:rPr>
          <w:rFonts w:ascii="Times New Roman" w:cs="Times New Roman" w:eastAsia="Times New Roman" w:hAnsi="Times New Roman"/>
          <w:sz w:val="18"/>
          <w:szCs w:val="18"/>
          <w:color w:val="auto"/>
        </w:rPr>
        <w:t>As of September 30, 2022, $15.6 million of cash is pledged as collateral under the Company’s derivative agreements and is included in restricted cash as a component of cash and cash equivalents on the Company’s consolidated balance sheet. As of December 31, 2021, $14.4 million of cash is pledged as collateral under the Company’s derivative agreements and is included in restricted cash as a component of cash and cash equivalents on the Company’s consolidated balance sheet.</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September 30, 2022 and December 31,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 at September 30, 2022</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0"/>
        </w:trPr>
        <w:tc>
          <w:tcPr>
            <w:tcW w:w="114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$ 2,516,139</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2,538,586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66,069</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142,389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88,516</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$ 2,709,694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2,806,063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(58,930 )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(58,930 )</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$ 2,709,694</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2,747,133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1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-504825</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-487680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-504825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-487680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-504825</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-487680</wp:posOffset>
            </wp:positionV>
            <wp:extent cx="514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-487680</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tbl>
      <w:tblPr>
        <w:tblLayout w:type="fixed"/>
        <w:tblInd w:w="114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8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161,459</w:t>
            </w:r>
          </w:p>
        </w:tc>
        <w:tc>
          <w:tcPr>
            <w:tcW w:w="80" w:type="dxa"/>
            <w:vAlign w:val="bottom"/>
          </w:tcPr>
          <w:p>
            <w:pPr>
              <w:spacing w:after="0"/>
              <w:rPr>
                <w:sz w:val="18"/>
                <w:szCs w:val="18"/>
                <w:color w:val="auto"/>
              </w:rPr>
            </w:pPr>
          </w:p>
        </w:tc>
      </w:tr>
      <w:tr>
        <w:trPr>
          <w:trHeight w:val="209"/>
        </w:trPr>
        <w:tc>
          <w:tcPr>
            <w:tcW w:w="4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2,521,593</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(1,601 )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(1,601 )</w:t>
            </w:r>
          </w:p>
        </w:tc>
      </w:tr>
      <w:tr>
        <w:trPr>
          <w:trHeight w:val="249"/>
        </w:trPr>
        <w:tc>
          <w:tcPr>
            <w:tcW w:w="4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2,519,992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-25400</wp:posOffset>
            </wp:positionV>
            <wp:extent cx="596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596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03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1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100" w:type="dxa"/>
            <w:vAlign w:val="bottom"/>
          </w:tcPr>
          <w:p>
            <w:pPr>
              <w:spacing w:after="0"/>
              <w:rPr>
                <w:sz w:val="11"/>
                <w:szCs w:val="11"/>
                <w:color w:val="auto"/>
              </w:rPr>
            </w:pPr>
          </w:p>
        </w:tc>
        <w:tc>
          <w:tcPr>
            <w:tcW w:w="11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0"/>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2,295,057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137,581</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2,484,558</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252,149</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(21,559 )</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(21,559 )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Proceeds</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(7,332 )</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(3,547 )</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(11,717 )</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2,516,139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142,389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2,709,694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88"/>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100" w:type="dxa"/>
            <w:vAlign w:val="bottom"/>
          </w:tcPr>
          <w:p>
            <w:pPr>
              <w:spacing w:after="0"/>
              <w:rPr>
                <w:sz w:val="11"/>
                <w:szCs w:val="11"/>
                <w:color w:val="auto"/>
              </w:rPr>
            </w:pPr>
          </w:p>
        </w:tc>
        <w:tc>
          <w:tcPr>
            <w:tcW w:w="11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0"/>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2,298,856</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2,434,638</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663,601</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(383,428 )</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(383,438 )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Proceeds</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(18,315 )</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(18,315 )</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(43,946 )</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(1,629 )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(6,640 )</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(13,816 )</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(66,031 )</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(2,134 )</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2,516,139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142,389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2,709,694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-2750820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-2733675</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-2750820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-2733675</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-2750820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-2733675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-2750820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-2733675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-504825</wp:posOffset>
            </wp:positionV>
            <wp:extent cx="768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-487680</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-504825</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-487680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-504825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-487680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-504825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-487680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2" w:name="page33"/>
    <w:bookmarkEnd w:id="32"/>
    <w:p>
      <w:pPr>
        <w:ind w:right="240" w:firstLine="281"/>
        <w:spacing w:after="0" w:line="266" w:lineRule="auto"/>
        <w:rPr>
          <w:sz w:val="20"/>
          <w:szCs w:val="20"/>
          <w:color w:val="auto"/>
        </w:rPr>
      </w:pPr>
      <w:r>
        <w:rPr>
          <w:rFonts w:ascii="Times New Roman" w:cs="Times New Roman" w:eastAsia="Times New Roman" w:hAnsi="Times New Roman"/>
          <w:sz w:val="18"/>
          <w:szCs w:val="18"/>
          <w:color w:val="auto"/>
        </w:rPr>
        <w:t>Astra Acquisition Corp. was transferred into Level 3 from Level 2 for fair value measurement purposes during the nine months ended September 30, 2022, as a result of changes in the observability of inputs into the security valuation for this portfolio company.</w:t>
      </w:r>
    </w:p>
    <w:p>
      <w:pPr>
        <w:spacing w:after="0" w:line="230" w:lineRule="exact"/>
        <w:rPr>
          <w:sz w:val="20"/>
          <w:szCs w:val="20"/>
          <w:color w:val="auto"/>
        </w:rPr>
      </w:pPr>
    </w:p>
    <w:p>
      <w:pPr>
        <w:ind w:right="260" w:firstLine="281"/>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1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0"/>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2,398,267</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16,758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105,073</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2,526,383</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91,680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92,552</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(271,715 )</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(5,792 )</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(3,064 )</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(280,571 )</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(7,054 )</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(411 )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5,885</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2,219,341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16,409</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2,362,634</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4"/>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1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0"/>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2,158,551</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2,249,720</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491,127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515,229</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(455,783 )</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(5,791 )</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(15,191 )</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(476,765 )</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51,927</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(1,816 )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(4,180 )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(6,613 )</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(10,793 )</w:t>
            </w:r>
          </w:p>
        </w:tc>
      </w:tr>
      <w:tr>
        <w:trPr>
          <w:trHeight w:val="210"/>
        </w:trPr>
        <w:tc>
          <w:tcPr>
            <w:tcW w:w="50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2,219,341</w:t>
            </w:r>
          </w:p>
        </w:tc>
        <w:tc>
          <w:tcPr>
            <w:tcW w:w="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gridSpan w:val="2"/>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126,884</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2,362,634</w:t>
            </w:r>
          </w:p>
        </w:tc>
        <w:tc>
          <w:tcPr>
            <w:tcW w:w="100" w:type="dxa"/>
            <w:vAlign w:val="bottom"/>
            <w:tcBorders>
              <w:top w:val="single" w:sz="8" w:color="CFF0FC"/>
            </w:tcBorders>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-2416810</wp:posOffset>
            </wp:positionV>
            <wp:extent cx="76835" cy="1714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-2416810</wp:posOffset>
            </wp:positionV>
            <wp:extent cx="68580" cy="1714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-2416810</wp:posOffset>
            </wp:positionV>
            <wp:extent cx="68580" cy="171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-2416810</wp:posOffset>
            </wp:positionV>
            <wp:extent cx="68580" cy="1714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714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77470" cy="1714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68580" cy="1714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1714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1714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with respect to the net change in unrealized gains or losses on investments for which Level 3 inputs were used in determining fair value that are still held by the Company at September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00" w:type="dxa"/>
            <w:vAlign w:val="bottom"/>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100" w:type="dxa"/>
            <w:vAlign w:val="bottom"/>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5"/>
                <w:szCs w:val="15"/>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September 30, 2022 on</w:t>
            </w:r>
          </w:p>
        </w:tc>
        <w:tc>
          <w:tcPr>
            <w:tcW w:w="100" w:type="dxa"/>
            <w:vAlign w:val="bottom"/>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2021 on</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00" w:type="dxa"/>
            <w:vAlign w:val="bottom"/>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1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(3,547 )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-513715</wp:posOffset>
            </wp:positionV>
            <wp:extent cx="603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-496570</wp:posOffset>
            </wp:positionV>
            <wp:extent cx="60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tbl>
      <w:tblPr>
        <w:tblLayout w:type="fixed"/>
        <w:tblInd w:w="114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20" w:type="dxa"/>
            <w:vAlign w:val="bottom"/>
          </w:tcPr>
          <w:p>
            <w:pPr>
              <w:spacing w:after="0"/>
              <w:rPr>
                <w:sz w:val="15"/>
                <w:szCs w:val="15"/>
                <w:color w:val="auto"/>
              </w:rPr>
            </w:pPr>
          </w:p>
        </w:tc>
        <w:tc>
          <w:tcPr>
            <w:tcW w:w="18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80" w:type="dxa"/>
            <w:vAlign w:val="bottom"/>
          </w:tcPr>
          <w:p>
            <w:pPr>
              <w:spacing w:after="0"/>
              <w:rPr>
                <w:sz w:val="15"/>
                <w:szCs w:val="15"/>
                <w:color w:val="auto"/>
              </w:rPr>
            </w:pPr>
          </w:p>
        </w:tc>
      </w:tr>
      <w:tr>
        <w:trPr>
          <w:trHeight w:val="176"/>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120" w:type="dxa"/>
            <w:vAlign w:val="bottom"/>
          </w:tcPr>
          <w:p>
            <w:pPr>
              <w:spacing w:after="0"/>
              <w:rPr>
                <w:sz w:val="15"/>
                <w:szCs w:val="15"/>
                <w:color w:val="auto"/>
              </w:rPr>
            </w:pPr>
          </w:p>
        </w:tc>
        <w:tc>
          <w:tcPr>
            <w:tcW w:w="18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8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5"/>
                <w:szCs w:val="15"/>
                <w:color w:val="auto"/>
              </w:rPr>
            </w:pPr>
          </w:p>
        </w:tc>
        <w:tc>
          <w:tcPr>
            <w:tcW w:w="18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0" w:type="dxa"/>
            <w:vAlign w:val="bottom"/>
          </w:tcPr>
          <w:p>
            <w:pPr>
              <w:spacing w:after="0"/>
              <w:rPr>
                <w:sz w:val="15"/>
                <w:szCs w:val="15"/>
                <w:color w:val="auto"/>
              </w:rPr>
            </w:pPr>
          </w:p>
        </w:tc>
      </w:tr>
      <w:tr>
        <w:trPr>
          <w:trHeight w:val="176"/>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September 30, 2022 on</w:t>
            </w:r>
          </w:p>
        </w:tc>
        <w:tc>
          <w:tcPr>
            <w:tcW w:w="120" w:type="dxa"/>
            <w:vAlign w:val="bottom"/>
          </w:tcPr>
          <w:p>
            <w:pPr>
              <w:spacing w:after="0"/>
              <w:rPr>
                <w:sz w:val="15"/>
                <w:szCs w:val="15"/>
                <w:color w:val="auto"/>
              </w:rPr>
            </w:pPr>
          </w:p>
        </w:tc>
        <w:tc>
          <w:tcPr>
            <w:tcW w:w="18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2021 on</w:t>
            </w:r>
          </w:p>
        </w:tc>
        <w:tc>
          <w:tcPr>
            <w:tcW w:w="8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20" w:type="dxa"/>
            <w:vAlign w:val="bottom"/>
          </w:tcPr>
          <w:p>
            <w:pPr>
              <w:spacing w:after="0"/>
              <w:rPr>
                <w:sz w:val="15"/>
                <w:szCs w:val="15"/>
                <w:color w:val="auto"/>
              </w:rPr>
            </w:pPr>
          </w:p>
        </w:tc>
        <w:tc>
          <w:tcPr>
            <w:tcW w:w="18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80" w:type="dxa"/>
            <w:vAlign w:val="bottom"/>
          </w:tcPr>
          <w:p>
            <w:pPr>
              <w:spacing w:after="0"/>
              <w:rPr>
                <w:sz w:val="15"/>
                <w:szCs w:val="15"/>
                <w:color w:val="auto"/>
              </w:rPr>
            </w:pPr>
          </w:p>
        </w:tc>
      </w:tr>
      <w:tr>
        <w:trPr>
          <w:trHeight w:val="187"/>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8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0" w:type="dxa"/>
            <w:vAlign w:val="bottom"/>
          </w:tcPr>
          <w:p>
            <w:pPr>
              <w:spacing w:after="0"/>
              <w:rPr>
                <w:sz w:val="16"/>
                <w:szCs w:val="16"/>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0" w:type="dxa"/>
            <w:vAlign w:val="bottom"/>
          </w:tcPr>
          <w:p>
            <w:pPr>
              <w:spacing w:after="0"/>
              <w:rPr>
                <w:sz w:val="18"/>
                <w:szCs w:val="18"/>
                <w:color w:val="auto"/>
              </w:rPr>
            </w:pPr>
          </w:p>
        </w:tc>
        <w:tc>
          <w:tcPr>
            <w:tcW w:w="2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(1,629 )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(6,639 )</w:t>
            </w:r>
          </w:p>
        </w:tc>
        <w:tc>
          <w:tcPr>
            <w:tcW w:w="12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46,242</w:t>
            </w:r>
          </w:p>
        </w:tc>
        <w:tc>
          <w:tcPr>
            <w:tcW w:w="80" w:type="dxa"/>
            <w:vAlign w:val="bottom"/>
          </w:tcPr>
          <w:p>
            <w:pPr>
              <w:spacing w:after="0"/>
              <w:rPr>
                <w:sz w:val="18"/>
                <w:szCs w:val="18"/>
                <w:color w:val="auto"/>
              </w:rPr>
            </w:pPr>
          </w:p>
        </w:tc>
      </w:tr>
      <w:tr>
        <w:trPr>
          <w:trHeight w:val="249"/>
        </w:trPr>
        <w:tc>
          <w:tcPr>
            <w:tcW w:w="4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20" w:firstLine="255"/>
        <w:spacing w:after="0" w:line="250"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September 30, 2022 and December 31, 2021. The tables are not intended to be all-inclusive, but instead capture the significant unobservable inputs relevant to the Company’s determination of fair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1"/>
                <w:szCs w:val="11"/>
                <w:color w:val="auto"/>
              </w:rPr>
            </w:pPr>
          </w:p>
        </w:tc>
        <w:tc>
          <w:tcPr>
            <w:tcW w:w="19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6"/>
                <w:szCs w:val="16"/>
                <w:color w:val="auto"/>
              </w:rPr>
            </w:pPr>
          </w:p>
        </w:tc>
        <w:tc>
          <w:tcPr>
            <w:tcW w:w="1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6"/>
                <w:szCs w:val="16"/>
                <w:color w:val="auto"/>
              </w:rPr>
            </w:pPr>
          </w:p>
        </w:tc>
        <w:tc>
          <w:tcPr>
            <w:tcW w:w="19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8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2,516,139</w:t>
            </w:r>
          </w:p>
        </w:tc>
        <w:tc>
          <w:tcPr>
            <w:tcW w:w="24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jc w:val="center"/>
              <w:ind w:right="82"/>
              <w:spacing w:after="0"/>
              <w:rPr>
                <w:sz w:val="20"/>
                <w:szCs w:val="20"/>
                <w:color w:val="auto"/>
              </w:rPr>
            </w:pPr>
            <w:r>
              <w:rPr>
                <w:rFonts w:ascii="Times New Roman" w:cs="Times New Roman" w:eastAsia="Times New Roman" w:hAnsi="Times New Roman"/>
                <w:sz w:val="16"/>
                <w:szCs w:val="16"/>
                <w:color w:val="auto"/>
              </w:rPr>
              <w:t>8.3% — 17.2% (13.6%)</w:t>
            </w:r>
          </w:p>
        </w:tc>
        <w:tc>
          <w:tcPr>
            <w:tcW w:w="1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41,197</w:t>
            </w:r>
          </w:p>
        </w:tc>
        <w:tc>
          <w:tcPr>
            <w:tcW w:w="240" w:type="dxa"/>
            <w:vAlign w:val="bottom"/>
          </w:tcPr>
          <w:p>
            <w:pPr>
              <w:spacing w:after="0"/>
              <w:rPr>
                <w:sz w:val="17"/>
                <w:szCs w:val="17"/>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tcPr>
          <w:p>
            <w:pPr>
              <w:spacing w:after="0"/>
              <w:rPr>
                <w:sz w:val="17"/>
                <w:szCs w:val="17"/>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rPr>
              <w:t>17.4% — 17.4% (17.4%)</w:t>
            </w:r>
          </w:p>
        </w:tc>
        <w:tc>
          <w:tcPr>
            <w:tcW w:w="100" w:type="dxa"/>
            <w:vAlign w:val="bottom"/>
          </w:tcPr>
          <w:p>
            <w:pPr>
              <w:spacing w:after="0"/>
              <w:rPr>
                <w:sz w:val="17"/>
                <w:szCs w:val="17"/>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FF0FC"/>
          </w:tcPr>
          <w:p>
            <w:pPr>
              <w:spacing w:after="0"/>
              <w:rPr>
                <w:sz w:val="17"/>
                <w:szCs w:val="17"/>
                <w:color w:val="auto"/>
              </w:rPr>
            </w:pPr>
          </w:p>
        </w:tc>
        <w:tc>
          <w:tcPr>
            <w:tcW w:w="1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shd w:val="clear" w:color="auto" w:fill="CFF0FC"/>
          </w:tcPr>
          <w:p>
            <w:pPr>
              <w:jc w:val="center"/>
              <w:ind w:right="82"/>
              <w:spacing w:after="0"/>
              <w:rPr>
                <w:sz w:val="20"/>
                <w:szCs w:val="20"/>
                <w:color w:val="auto"/>
              </w:rPr>
            </w:pPr>
            <w:r>
              <w:rPr>
                <w:rFonts w:ascii="Times New Roman" w:cs="Times New Roman" w:eastAsia="Times New Roman" w:hAnsi="Times New Roman"/>
                <w:sz w:val="16"/>
                <w:szCs w:val="16"/>
                <w:color w:val="auto"/>
              </w:rPr>
              <w:t>8.3% — 14.3% (11.7%)</w:t>
            </w: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142,389</w:t>
            </w:r>
          </w:p>
        </w:tc>
        <w:tc>
          <w:tcPr>
            <w:tcW w:w="240" w:type="dxa"/>
            <w:vAlign w:val="bottom"/>
          </w:tcPr>
          <w:p>
            <w:pPr>
              <w:spacing w:after="0"/>
              <w:rPr>
                <w:sz w:val="18"/>
                <w:szCs w:val="18"/>
                <w:color w:val="auto"/>
              </w:rPr>
            </w:pPr>
          </w:p>
        </w:tc>
        <w:tc>
          <w:tcPr>
            <w:tcW w:w="1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8"/>
                <w:szCs w:val="18"/>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8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rPr>
              <w:t>3.7x — 15.1x (7.4x)</w:t>
            </w:r>
          </w:p>
        </w:tc>
        <w:tc>
          <w:tcPr>
            <w:tcW w:w="10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2,709,694</w:t>
            </w:r>
          </w:p>
        </w:tc>
        <w:tc>
          <w:tcPr>
            <w:tcW w:w="24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8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-25400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-8255</wp:posOffset>
            </wp:positionV>
            <wp:extent cx="768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$20.3 million of debt investments which were valued using an asset valuation waterfall.</w:t>
      </w:r>
    </w:p>
    <w:p>
      <w:pPr>
        <w:spacing w:after="0" w:line="3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$0.1 million of debt investments which were valued using an asset valuation waterfall.</w:t>
      </w:r>
    </w:p>
    <w:p>
      <w:pPr>
        <w:spacing w:after="0" w:line="36"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$31.4 million of equity investments which were valued using an asset valuation waterfall, $5.2 million of equity investments using a Black-Scholes model, and $36.6 million of equity investments which, due to the proximity of the transactions relative to the measurement date, were valued using the cost of the investments.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1"/>
                <w:szCs w:val="11"/>
                <w:color w:val="auto"/>
              </w:rPr>
            </w:pPr>
          </w:p>
        </w:tc>
        <w:tc>
          <w:tcPr>
            <w:tcW w:w="19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3"/>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6"/>
                <w:szCs w:val="16"/>
                <w:color w:val="auto"/>
              </w:rPr>
            </w:pPr>
          </w:p>
        </w:tc>
        <w:tc>
          <w:tcPr>
            <w:tcW w:w="1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8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2,298,856</w:t>
            </w:r>
          </w:p>
        </w:tc>
        <w:tc>
          <w:tcPr>
            <w:tcW w:w="24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center"/>
              <w:ind w:right="123"/>
              <w:spacing w:after="0"/>
              <w:rPr>
                <w:sz w:val="20"/>
                <w:szCs w:val="20"/>
                <w:color w:val="auto"/>
              </w:rPr>
            </w:pPr>
            <w:r>
              <w:rPr>
                <w:rFonts w:ascii="Times New Roman" w:cs="Times New Roman" w:eastAsia="Times New Roman" w:hAnsi="Times New Roman"/>
                <w:sz w:val="16"/>
                <w:szCs w:val="16"/>
                <w:color w:val="auto"/>
              </w:rPr>
              <w:t>6.6% — 12.2% (9.6%)</w:t>
            </w:r>
          </w:p>
        </w:tc>
        <w:tc>
          <w:tcPr>
            <w:tcW w:w="1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18,549</w:t>
            </w:r>
          </w:p>
        </w:tc>
        <w:tc>
          <w:tcPr>
            <w:tcW w:w="240" w:type="dxa"/>
            <w:vAlign w:val="bottom"/>
          </w:tcPr>
          <w:p>
            <w:pPr>
              <w:spacing w:after="0"/>
              <w:rPr>
                <w:sz w:val="17"/>
                <w:szCs w:val="17"/>
                <w:color w:val="auto"/>
              </w:rPr>
            </w:pPr>
          </w:p>
        </w:tc>
        <w:tc>
          <w:tcPr>
            <w:tcW w:w="16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7"/>
                <w:szCs w:val="17"/>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800" w:type="dxa"/>
            <w:vAlign w:val="bottom"/>
          </w:tcPr>
          <w:p>
            <w:pPr>
              <w:jc w:val="center"/>
              <w:ind w:right="123"/>
              <w:spacing w:after="0"/>
              <w:rPr>
                <w:sz w:val="20"/>
                <w:szCs w:val="20"/>
                <w:color w:val="auto"/>
              </w:rPr>
            </w:pPr>
            <w:r>
              <w:rPr>
                <w:rFonts w:ascii="Times New Roman" w:cs="Times New Roman" w:eastAsia="Times New Roman" w:hAnsi="Times New Roman"/>
                <w:sz w:val="16"/>
                <w:szCs w:val="16"/>
                <w:color w:val="auto"/>
              </w:rPr>
              <w:t>6.2% — 9.3% (8.5%)</w:t>
            </w:r>
          </w:p>
        </w:tc>
        <w:tc>
          <w:tcPr>
            <w:tcW w:w="100" w:type="dxa"/>
            <w:vAlign w:val="bottom"/>
          </w:tcPr>
          <w:p>
            <w:pPr>
              <w:spacing w:after="0"/>
              <w:rPr>
                <w:sz w:val="17"/>
                <w:szCs w:val="17"/>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117,233</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(3)</w:t>
            </w:r>
          </w:p>
        </w:tc>
        <w:tc>
          <w:tcPr>
            <w:tcW w:w="120" w:type="dxa"/>
            <w:vAlign w:val="bottom"/>
            <w:shd w:val="clear" w:color="auto" w:fill="CFF0FC"/>
          </w:tcPr>
          <w:p>
            <w:pPr>
              <w:spacing w:after="0"/>
              <w:rPr>
                <w:sz w:val="18"/>
                <w:szCs w:val="18"/>
                <w:color w:val="auto"/>
              </w:rPr>
            </w:pPr>
          </w:p>
        </w:tc>
        <w:tc>
          <w:tcPr>
            <w:tcW w:w="1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800" w:type="dxa"/>
            <w:vAlign w:val="bottom"/>
            <w:shd w:val="clear" w:color="auto" w:fill="CFF0FC"/>
          </w:tcPr>
          <w:p>
            <w:pPr>
              <w:jc w:val="center"/>
              <w:ind w:right="123"/>
              <w:spacing w:after="0"/>
              <w:rPr>
                <w:sz w:val="20"/>
                <w:szCs w:val="20"/>
                <w:color w:val="auto"/>
              </w:rPr>
            </w:pPr>
            <w:r>
              <w:rPr>
                <w:rFonts w:ascii="Times New Roman" w:cs="Times New Roman" w:eastAsia="Times New Roman" w:hAnsi="Times New Roman"/>
                <w:sz w:val="16"/>
                <w:szCs w:val="16"/>
                <w:color w:val="auto"/>
              </w:rPr>
              <w:t>4.5x — 9.5x (6.0x)</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196"/>
        </w:trPr>
        <w:tc>
          <w:tcPr>
            <w:tcW w:w="27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2,434,638</w:t>
            </w:r>
          </w:p>
        </w:tc>
        <w:tc>
          <w:tcPr>
            <w:tcW w:w="240" w:type="dxa"/>
            <w:vAlign w:val="bottom"/>
            <w:tcBorders>
              <w:top w:val="single" w:sz="8" w:color="CFF0FC"/>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-162560</wp:posOffset>
            </wp:positionV>
            <wp:extent cx="76835" cy="1631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-162560</wp:posOffset>
            </wp:positionV>
            <wp:extent cx="68580" cy="1631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-162560</wp:posOffset>
            </wp:positionV>
            <wp:extent cx="68580" cy="1631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68580" cy="1631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$19.0 million of first-lien debt investments which were valued using an asset valuation waterfall.</w:t>
      </w:r>
    </w:p>
    <w:p>
      <w:pPr>
        <w:spacing w:after="0" w:line="36"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 million of debt investments which, due to the proximity of the transactions relative to the measurement date, were valued using the cost of the investments and $0.1 million of debt investments which were valued using an asset valuation waterfall.</w:t>
      </w:r>
    </w:p>
    <w:p>
      <w:pPr>
        <w:ind w:left="520" w:hanging="512"/>
        <w:spacing w:after="0" w:line="258"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$22.0 million of equity investments which were valued using an asset valuation waterfall, $7.7 million of equity investments using a Black-Scholes model, and $26.2 million of equity investments which, due to the proximity of the transactions relative to the measurement date, were valued using the cost of the investments.</w:t>
      </w:r>
    </w:p>
    <w:p>
      <w:pPr>
        <w:spacing w:after="0" w:line="169" w:lineRule="exact"/>
        <w:rPr>
          <w:sz w:val="20"/>
          <w:szCs w:val="20"/>
          <w:color w:val="auto"/>
        </w:rPr>
      </w:pPr>
    </w:p>
    <w:p>
      <w:pPr>
        <w:ind w:right="280" w:firstLine="255"/>
        <w:spacing w:after="0" w:line="246"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4" w:name="page35"/>
    <w:bookmarkEnd w:id="34"/>
    <w:p>
      <w:pPr>
        <w:ind w:right="240" w:firstLine="255"/>
        <w:spacing w:after="0" w:line="247"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04"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The fair value of the Company’s Revolving Credit Facility, which is categorized as Level 3 within the fair value hierarchy, as of September 30, 2022 and December 31, 2021, approximates its carrying value as the outstanding balance is callable at carrying value.</w:t>
      </w:r>
    </w:p>
    <w:p>
      <w:pPr>
        <w:spacing w:after="0" w:line="162"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2022 Convertible Notes, 2023 Notes, 2024 Notes and 2026 Notes, as of September 30, 2022 and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2"/>
        </w:trPr>
        <w:tc>
          <w:tcPr>
            <w:tcW w:w="4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r>
      <w:tr>
        <w:trPr>
          <w:trHeight w:val="189"/>
        </w:trPr>
        <w:tc>
          <w:tcPr>
            <w:tcW w:w="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Value </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Value </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r>
      <w:tr>
        <w:trPr>
          <w:trHeight w:val="209"/>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121,710</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153,953</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330,212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362,703</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296,520</w:t>
            </w:r>
          </w:p>
        </w:tc>
        <w:tc>
          <w:tcPr>
            <w:tcW w:w="100" w:type="dxa"/>
            <w:vAlign w:val="bottom"/>
          </w:tcPr>
          <w:p>
            <w:pPr>
              <w:spacing w:after="0"/>
              <w:rPr>
                <w:sz w:val="18"/>
                <w:szCs w:val="18"/>
                <w:color w:val="auto"/>
              </w:rPr>
            </w:pPr>
          </w:p>
        </w:tc>
      </w:tr>
      <w:tr>
        <w:trPr>
          <w:trHeight w:val="249"/>
        </w:trPr>
        <w:tc>
          <w:tcPr>
            <w:tcW w:w="42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797,500</w:t>
            </w:r>
          </w:p>
        </w:tc>
        <w:tc>
          <w:tcPr>
            <w:tcW w:w="3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733,772</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897,490</w:t>
            </w:r>
          </w:p>
        </w:tc>
        <w:tc>
          <w:tcPr>
            <w:tcW w:w="3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934,886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774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774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04" w:lineRule="exact"/>
        <w:rPr>
          <w:sz w:val="20"/>
          <w:szCs w:val="20"/>
          <w:color w:val="auto"/>
        </w:rPr>
      </w:pPr>
    </w:p>
    <w:p>
      <w:pPr>
        <w:ind w:right="20" w:firstLine="255"/>
        <w:spacing w:after="0" w:line="250"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08" w:lineRule="exact"/>
        <w:rPr>
          <w:sz w:val="20"/>
          <w:szCs w:val="20"/>
          <w:color w:val="auto"/>
        </w:rPr>
      </w:pPr>
    </w:p>
    <w:p>
      <w:pPr>
        <w:ind w:right="360" w:firstLine="255"/>
        <w:spacing w:after="0" w:line="258"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150% after such borrowing. As of September 30, 2022 and December 31, 2021, the Company’s asset coverage was 186.6% and 205.4%, respectively.</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2022 and December 31, 2021:</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5"/>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739,331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845,669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2023 Notes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2,382,500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1,536,831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845,669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1,457,048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right="900" w:hanging="512"/>
        <w:spacing w:after="0" w:line="24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right="460" w:hanging="512"/>
        <w:spacing w:after="0" w:line="258"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2023 Notes, 2024 Notes and 2026 Notes are presented net of the combination of deferred financing costs and original issue discounts totaling $13.9 million, $0.2 million, $2.9 million and $4.4 million,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left="512" w:right="180" w:hanging="512"/>
        <w:spacing w:after="0" w:line="312" w:lineRule="auto"/>
        <w:tabs>
          <w:tab w:leader="none" w:pos="51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values of the 2024 Notes and 2026 Notes are presented inclusive of an incremental ($19.9) million and ($38.4) million, respectively, which represents an adjustment in the carrying values of the 2024 Notes and 2026 Notes, each resulting from a hedge accounting relationship.</w:t>
      </w:r>
    </w:p>
    <w:p>
      <w:pPr>
        <w:spacing w:after="0" w:line="336" w:lineRule="exact"/>
        <w:rPr>
          <w:sz w:val="20"/>
          <w:szCs w:val="20"/>
          <w:color w:val="auto"/>
        </w:rPr>
      </w:pPr>
    </w:p>
    <w:tbl>
      <w:tblPr>
        <w:tblLayout w:type="fixed"/>
        <w:tblInd w:w="572"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4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7"/>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6"/>
              <w:spacing w:after="0" w:line="160"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8"/>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r>
      <w:tr>
        <w:trPr>
          <w:trHeight w:val="189"/>
        </w:trPr>
        <w:tc>
          <w:tcPr>
            <w:tcW w:w="4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5"/>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8"/>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6"/>
                <w:szCs w:val="16"/>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316,442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1,193,558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304,607</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99,673</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149,306</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347,896</w:t>
            </w:r>
          </w:p>
        </w:tc>
        <w:tc>
          <w:tcPr>
            <w:tcW w:w="100" w:type="dxa"/>
            <w:vAlign w:val="bottom"/>
          </w:tcPr>
          <w:p>
            <w:pPr>
              <w:spacing w:after="0"/>
              <w:rPr>
                <w:sz w:val="18"/>
                <w:szCs w:val="18"/>
                <w:color w:val="auto"/>
              </w:rPr>
            </w:pPr>
          </w:p>
        </w:tc>
      </w:tr>
      <w:tr>
        <w:trPr>
          <w:trHeight w:val="216"/>
        </w:trPr>
        <w:tc>
          <w:tcPr>
            <w:tcW w:w="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2,407,490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1,213,932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1,193,558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1,185,964</w:t>
            </w:r>
          </w:p>
        </w:tc>
        <w:tc>
          <w:tcPr>
            <w:tcW w:w="10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-170815</wp:posOffset>
            </wp:positionV>
            <wp:extent cx="68580" cy="1714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-170815</wp:posOffset>
            </wp:positionV>
            <wp:extent cx="60325" cy="1714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-170815</wp:posOffset>
            </wp:positionV>
            <wp:extent cx="60325"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-170815</wp:posOffset>
            </wp:positionV>
            <wp:extent cx="60325"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5" w:lineRule="exact"/>
        <w:rPr>
          <w:sz w:val="20"/>
          <w:szCs w:val="20"/>
          <w:color w:val="auto"/>
        </w:rPr>
      </w:pPr>
    </w:p>
    <w:p>
      <w:pPr>
        <w:ind w:left="512" w:right="860" w:hanging="512"/>
        <w:spacing w:after="0" w:line="246" w:lineRule="auto"/>
        <w:tabs>
          <w:tab w:leader="none" w:pos="5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12" w:hanging="512"/>
        <w:spacing w:after="0"/>
        <w:tabs>
          <w:tab w:leader="none" w:pos="5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2024 Notes and 2026 Notes are presented net of the combination of deferred financing costs and original issue discounts totaling $11.8 million, $0.3 million, $0.7 million, $4.0 million and $5.3 million, respectively.</w:t>
      </w:r>
    </w:p>
    <w:p>
      <w:pPr>
        <w:jc w:val="both"/>
        <w:ind w:left="512" w:right="400" w:hanging="512"/>
        <w:spacing w:after="0" w:line="271" w:lineRule="auto"/>
        <w:tabs>
          <w:tab w:leader="none" w:pos="51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values of the 2024 Notes and 2026 Notes are presented inclusive of an incremental $4.4 million and ($10.2) million, respectively, which represents an adjustment in the carrying values of the 2024 Notes and 2026 Notes, each resulting from a hedge accounting relationship.</w:t>
      </w:r>
    </w:p>
    <w:p>
      <w:pPr>
        <w:spacing w:after="0" w:line="1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24" w:right="37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the components of interest expense were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2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504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top w:val="single" w:sz="8" w:color="auto"/>
            </w:tcBorders>
            <w:gridSpan w:val="2"/>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top w:val="single" w:sz="8" w:color="auto"/>
            </w:tcBorders>
            <w:gridSpan w:val="2"/>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(3,118 )</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(2,168 )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(9,234 )</w:t>
            </w:r>
          </w:p>
        </w:tc>
        <w:tc>
          <w:tcPr>
            <w:tcW w:w="60" w:type="dxa"/>
            <w:vAlign w:val="bottom"/>
          </w:tcPr>
          <w:p>
            <w:pPr>
              <w:spacing w:after="0"/>
              <w:rPr>
                <w:sz w:val="18"/>
                <w:szCs w:val="18"/>
                <w:color w:val="auto"/>
              </w:rPr>
            </w:pPr>
          </w:p>
        </w:tc>
      </w:tr>
      <w:tr>
        <w:trPr>
          <w:trHeight w:val="209"/>
        </w:trPr>
        <w:tc>
          <w:tcPr>
            <w:tcW w:w="50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40,416</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28,999</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debt outstanding (in millions)</w:t>
            </w:r>
          </w:p>
        </w:tc>
        <w:tc>
          <w:tcPr>
            <w:tcW w:w="240" w:type="dxa"/>
            <w:vAlign w:val="bottom"/>
            <w:shd w:val="clear" w:color="auto" w:fill="CFF0FC"/>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1,490.9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1,240.8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1,287.1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1,215.7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2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-456565</wp:posOffset>
            </wp:positionV>
            <wp:extent cx="68580" cy="1714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-456565</wp:posOffset>
            </wp:positionV>
            <wp:extent cx="6858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-456565</wp:posOffset>
            </wp:positionV>
            <wp:extent cx="60325" cy="1714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-456565</wp:posOffset>
            </wp:positionV>
            <wp:extent cx="60325"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340" w:firstLine="255"/>
        <w:spacing w:after="0" w:line="250"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90" w:lineRule="exact"/>
        <w:rPr>
          <w:sz w:val="20"/>
          <w:szCs w:val="20"/>
          <w:color w:val="auto"/>
        </w:rPr>
      </w:pPr>
    </w:p>
    <w:p>
      <w:pPr>
        <w:jc w:val="both"/>
        <w:ind w:right="80" w:firstLine="255"/>
        <w:spacing w:after="0" w:line="250" w:lineRule="auto"/>
        <w:rPr>
          <w:sz w:val="20"/>
          <w:szCs w:val="20"/>
          <w:color w:val="auto"/>
        </w:rPr>
      </w:pPr>
      <w:r>
        <w:rPr>
          <w:rFonts w:ascii="Times New Roman" w:cs="Times New Roman" w:eastAsia="Times New Roman" w:hAnsi="Times New Roman"/>
          <w:sz w:val="18"/>
          <w:szCs w:val="18"/>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the Company, under certain circumstances, to increase the size of the facility to up to $2.0 billion.</w:t>
      </w:r>
    </w:p>
    <w:p>
      <w:pPr>
        <w:spacing w:after="0" w:line="190" w:lineRule="exact"/>
        <w:rPr>
          <w:sz w:val="20"/>
          <w:szCs w:val="20"/>
          <w:color w:val="auto"/>
        </w:rPr>
      </w:pPr>
    </w:p>
    <w:p>
      <w:pPr>
        <w:ind w:right="60" w:firstLine="255"/>
        <w:spacing w:after="0" w:line="246" w:lineRule="auto"/>
        <w:rPr>
          <w:sz w:val="20"/>
          <w:szCs w:val="20"/>
          <w:color w:val="auto"/>
        </w:rPr>
      </w:pPr>
      <w:r>
        <w:rPr>
          <w:rFonts w:ascii="Times New Roman" w:cs="Times New Roman" w:eastAsia="Times New Roman" w:hAnsi="Times New Roman"/>
          <w:sz w:val="18"/>
          <w:szCs w:val="18"/>
          <w:color w:val="auto"/>
        </w:rPr>
        <w:t>Pursuant to the Twelfth Amendment, with respect to $1.510 billion in commitments, the revolving period, during which period the Company, subject to certain conditions, may make borrowings under the facility, was extended to April 24, 2026 and the stated maturity date was extended to April 23, 2027. For the remaining $75.0 million of commitments, (A) with respect to $25.0 million of commitments, the revolving period ends January 31, 2024 and the stated maturity is January 31, 2025 and (B) with respect to $50.0 million of commitments, the revolving period ends February 4, 2025 and the stated maturity is February 4, 2026.</w:t>
      </w:r>
    </w:p>
    <w:p>
      <w:pPr>
        <w:spacing w:after="0" w:line="181" w:lineRule="exact"/>
        <w:rPr>
          <w:sz w:val="20"/>
          <w:szCs w:val="20"/>
          <w:color w:val="auto"/>
        </w:rPr>
      </w:pPr>
    </w:p>
    <w:p>
      <w:pPr>
        <w:ind w:right="820" w:firstLine="255"/>
        <w:spacing w:after="0" w:line="266" w:lineRule="auto"/>
        <w:rPr>
          <w:sz w:val="20"/>
          <w:szCs w:val="20"/>
          <w:color w:val="auto"/>
        </w:rPr>
      </w:pPr>
      <w:r>
        <w:rPr>
          <w:rFonts w:ascii="Times New Roman" w:cs="Times New Roman" w:eastAsia="Times New Roman" w:hAnsi="Times New Roman"/>
          <w:sz w:val="18"/>
          <w:szCs w:val="18"/>
          <w:color w:val="auto"/>
        </w:rPr>
        <w:t>Pursuant to an amendment to the Revolving Credit Facility dated as of May 19, 2022 (the “Thirteenth Amendment”), certain non-substantive administrative and operational elements were updated.</w:t>
      </w:r>
    </w:p>
    <w:p>
      <w:pPr>
        <w:spacing w:after="0" w:line="176" w:lineRule="exact"/>
        <w:rPr>
          <w:sz w:val="20"/>
          <w:szCs w:val="20"/>
          <w:color w:val="auto"/>
        </w:rPr>
      </w:pPr>
    </w:p>
    <w:p>
      <w:pPr>
        <w:jc w:val="both"/>
        <w:ind w:right="60" w:firstLine="255"/>
        <w:spacing w:after="0" w:line="250"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September 30, 2022, the Company had outstanding debt denominated in Australian dollars (AUD) of 59.0 million, British pounds (GBP) of 7.9 million, Canadian dollars (CAD) of 111.5 million, and Euro (EUR) of 13.6 million on its Revolving Credit Facility, included in the Outstanding Principal amount in the table above.</w:t>
      </w:r>
    </w:p>
    <w:p>
      <w:pPr>
        <w:spacing w:after="0" w:line="190" w:lineRule="exact"/>
        <w:rPr>
          <w:sz w:val="20"/>
          <w:szCs w:val="20"/>
          <w:color w:val="auto"/>
        </w:rPr>
      </w:pPr>
    </w:p>
    <w:p>
      <w:pPr>
        <w:ind w:right="120" w:firstLine="255"/>
        <w:spacing w:after="0" w:line="250"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$75.0 million. As of September 30, 2022, the Company had less than $0.1 million letters of credit issued through the Revolving Credit Facility, and as of December 31, 2021,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77" w:lineRule="exact"/>
        <w:rPr>
          <w:sz w:val="20"/>
          <w:szCs w:val="20"/>
          <w:color w:val="auto"/>
        </w:rPr>
      </w:pPr>
    </w:p>
    <w:p>
      <w:pPr>
        <w:ind w:right="520" w:firstLine="255"/>
        <w:spacing w:after="0" w:line="268" w:lineRule="auto"/>
        <w:rPr>
          <w:sz w:val="20"/>
          <w:szCs w:val="20"/>
          <w:color w:val="auto"/>
        </w:rPr>
      </w:pPr>
      <w:r>
        <w:rPr>
          <w:rFonts w:ascii="Times New Roman" w:cs="Times New Roman" w:eastAsia="Times New Roman" w:hAnsi="Times New Roman"/>
          <w:sz w:val="17"/>
          <w:szCs w:val="17"/>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w:t>
      </w:r>
    </w:p>
    <w:p>
      <w:pPr>
        <w:spacing w:after="0" w:line="241" w:lineRule="auto"/>
        <w:rPr>
          <w:sz w:val="20"/>
          <w:szCs w:val="20"/>
          <w:color w:val="auto"/>
        </w:rPr>
      </w:pPr>
      <w:r>
        <w:rPr>
          <w:rFonts w:ascii="Times New Roman" w:cs="Times New Roman" w:eastAsia="Times New Roman" w:hAnsi="Times New Roman"/>
          <w:sz w:val="18"/>
          <w:szCs w:val="18"/>
          <w:color w:val="auto"/>
        </w:rPr>
        <w:t>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4"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7" w:name="page38"/>
    <w:bookmarkEnd w:id="37"/>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27" w:lineRule="exact"/>
        <w:rPr>
          <w:sz w:val="20"/>
          <w:szCs w:val="20"/>
          <w:color w:val="auto"/>
        </w:rPr>
      </w:pPr>
    </w:p>
    <w:p>
      <w:pPr>
        <w:ind w:left="520" w:hanging="257"/>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January 31, 2020; and</w:t>
      </w:r>
    </w:p>
    <w:p>
      <w:pPr>
        <w:spacing w:after="0" w:line="103" w:lineRule="exact"/>
        <w:rPr>
          <w:rFonts w:ascii="Times New Roman" w:cs="Times New Roman" w:eastAsia="Times New Roman" w:hAnsi="Times New Roman"/>
          <w:sz w:val="18"/>
          <w:szCs w:val="18"/>
          <w:color w:val="auto"/>
        </w:rPr>
      </w:pPr>
    </w:p>
    <w:p>
      <w:pPr>
        <w:ind w:left="520" w:right="300" w:hanging="257"/>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77"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48"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was in compliance with the terms of the Revolving Credit Facility.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06"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7"/>
          <w:szCs w:val="17"/>
          <w:color w:val="auto"/>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in a registered public offering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the Company’s 2022 Convertible Notes issued in February 2017. The 2022 Convertible Notes matured on August 1, 2022.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173"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on the open market and extinguished $29.7 million in aggregate principal amount of the 2022 Convertible Notes for $29.5 million. In connection with the repurchases of the 2022 Convertible Notes, the Company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w:t>
      </w:r>
    </w:p>
    <w:p>
      <w:pPr>
        <w:spacing w:after="0" w:line="195" w:lineRule="exact"/>
        <w:rPr>
          <w:sz w:val="20"/>
          <w:szCs w:val="20"/>
          <w:color w:val="auto"/>
        </w:rPr>
      </w:pPr>
    </w:p>
    <w:p>
      <w:pPr>
        <w:jc w:val="both"/>
        <w:ind w:right="20" w:firstLine="255"/>
        <w:spacing w:after="0" w:line="250" w:lineRule="auto"/>
        <w:rPr>
          <w:sz w:val="20"/>
          <w:szCs w:val="20"/>
          <w:color w:val="auto"/>
        </w:rPr>
      </w:pPr>
      <w:r>
        <w:rPr>
          <w:rFonts w:ascii="Times New Roman" w:cs="Times New Roman" w:eastAsia="Times New Roman" w:hAnsi="Times New Roman"/>
          <w:sz w:val="18"/>
          <w:szCs w:val="18"/>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may convert their notes at any time.</w:t>
      </w:r>
    </w:p>
    <w:p>
      <w:pPr>
        <w:spacing w:after="0" w:line="190" w:lineRule="exact"/>
        <w:rPr>
          <w:sz w:val="20"/>
          <w:szCs w:val="20"/>
          <w:color w:val="auto"/>
        </w:rPr>
      </w:pPr>
    </w:p>
    <w:p>
      <w:pPr>
        <w:ind w:right="40" w:firstLine="255"/>
        <w:spacing w:after="0" w:line="243" w:lineRule="auto"/>
        <w:rPr>
          <w:sz w:val="20"/>
          <w:szCs w:val="20"/>
          <w:color w:val="auto"/>
        </w:rPr>
      </w:pPr>
      <w:r>
        <w:rPr>
          <w:rFonts w:ascii="Times New Roman" w:cs="Times New Roman" w:eastAsia="Times New Roman" w:hAnsi="Times New Roman"/>
          <w:sz w:val="18"/>
          <w:szCs w:val="18"/>
          <w:color w:val="auto"/>
        </w:rPr>
        <w:t>On September 30, 2021, the Company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the Company elected combination settlement. During the three months ended December 31, 2021, $42.8 million of principal of the 2022 Convertible Notes were converted and were settled with a combination of cash and 2,324,820 shares of the Company’s common stock. In connection with the settlement of the 2022 Convertible Notes, the Company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 of the 2022 Convertible Notes, to match the remaining principal amount of the 2022 Convertible Notes outstanding.</w:t>
      </w:r>
    </w:p>
    <w:p>
      <w:pPr>
        <w:spacing w:after="0" w:line="186" w:lineRule="exact"/>
        <w:rPr>
          <w:sz w:val="20"/>
          <w:szCs w:val="20"/>
          <w:color w:val="auto"/>
        </w:rPr>
      </w:pPr>
    </w:p>
    <w:p>
      <w:pPr>
        <w:ind w:right="520" w:firstLine="255"/>
        <w:spacing w:after="0" w:line="266" w:lineRule="auto"/>
        <w:rPr>
          <w:sz w:val="20"/>
          <w:szCs w:val="20"/>
          <w:color w:val="auto"/>
        </w:rPr>
      </w:pPr>
      <w:r>
        <w:rPr>
          <w:rFonts w:ascii="Times New Roman" w:cs="Times New Roman" w:eastAsia="Times New Roman" w:hAnsi="Times New Roman"/>
          <w:sz w:val="18"/>
          <w:szCs w:val="18"/>
          <w:color w:val="auto"/>
        </w:rPr>
        <w:t>On January 26, 2022, the Company notified the trustee and holders of the 2022 Convertible Notes that the terms of settlement for the notes at the Company’s election was a combination settlement of cash and stock to occur after the 40 day observation period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8" w:name="page39"/>
    <w:bookmarkEnd w:id="38"/>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described in the notes indenture. The Company elected to settle any 2022 Convertible Notes that were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156"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components of interest expense related to the 2022 Convertible Notes were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r>
      <w:tr>
        <w:trPr>
          <w:trHeight w:val="131"/>
        </w:trPr>
        <w:tc>
          <w:tcPr>
            <w:tcW w:w="44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1"/>
                <w:szCs w:val="11"/>
                <w:color w:val="auto"/>
              </w:rPr>
            </w:pPr>
          </w:p>
        </w:tc>
        <w:tc>
          <w:tcPr>
            <w:tcW w:w="90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1"/>
                <w:szCs w:val="11"/>
                <w:color w:val="auto"/>
              </w:rPr>
            </w:pPr>
          </w:p>
        </w:tc>
      </w:tr>
      <w:tr>
        <w:trPr>
          <w:trHeight w:val="187"/>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r>
      <w:tr>
        <w:trPr>
          <w:trHeight w:val="250"/>
        </w:trPr>
        <w:tc>
          <w:tcPr>
            <w:tcW w:w="4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-24765</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41"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During the three and nine months ended September 30, 2022, the Company received $0.9 million and $5.8 million, respectively, and paid $0.9 million and $4.9 million, respectively, related to the settlements of its interest rate swaps, excluding upfront fees related to the 2022 Convertible Notes. During the three and nine months ended September 30, 2021, the Company received $2.1 million and $6.3 million, respectively, and paid $1.3 million and $4.0 million, respectively, related to the settlements of its interest rate swaps related to the 2022 Convertible Notes. These net amounts are reflected in interest expense in the Company’s consolidated statements of operations. See Note 5 for further information about the Company’s interest rate swaps.</w:t>
      </w:r>
    </w:p>
    <w:p>
      <w:pPr>
        <w:spacing w:after="0" w:line="184"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components of the carrying value of the 2022 Convertible Notes and the stated interest rate were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99,990</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Pr>
          <w:p>
            <w:pPr>
              <w:spacing w:after="0"/>
              <w:rPr>
                <w:sz w:val="18"/>
                <w:szCs w:val="18"/>
                <w:color w:val="auto"/>
              </w:rPr>
            </w:pPr>
          </w:p>
        </w:tc>
      </w:tr>
      <w:tr>
        <w:trPr>
          <w:trHeight w:val="249"/>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99,673</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1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-173990</wp:posOffset>
            </wp:positionV>
            <wp:extent cx="1045845" cy="1625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45845" cy="162560"/>
                    </a:xfrm>
                    <a:prstGeom prst="rect">
                      <a:avLst/>
                    </a:prstGeom>
                    <a:noFill/>
                  </pic:spPr>
                </pic:pic>
              </a:graphicData>
            </a:graphic>
          </wp:anchor>
        </w:drawing>
      </w:r>
    </w:p>
    <w:p>
      <w:pPr>
        <w:spacing w:after="0" w:line="173"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was three month LIBOR plus 2.11% (on a weighted average basis) for the 2022 Convertible Notes. See Note 5 for further information about the Company’s interest rate swaps.</w:t>
      </w:r>
    </w:p>
    <w:p>
      <w:pPr>
        <w:spacing w:after="0" w:line="163" w:lineRule="exact"/>
        <w:rPr>
          <w:sz w:val="20"/>
          <w:szCs w:val="20"/>
          <w:color w:val="auto"/>
        </w:rPr>
      </w:pPr>
    </w:p>
    <w:p>
      <w:pPr>
        <w:ind w:right="60" w:firstLine="255"/>
        <w:spacing w:after="0" w:line="242" w:lineRule="auto"/>
        <w:rPr>
          <w:sz w:val="20"/>
          <w:szCs w:val="20"/>
          <w:color w:val="auto"/>
        </w:rPr>
      </w:pPr>
      <w:r>
        <w:rPr>
          <w:rFonts w:ascii="Times New Roman" w:cs="Times New Roman" w:eastAsia="Times New Roman" w:hAnsi="Times New Roman"/>
          <w:sz w:val="18"/>
          <w:szCs w:val="18"/>
          <w:color w:val="auto"/>
        </w:rPr>
        <w:t>The 2022 Convertible Notes were accounted for in accordance with ASC Topic 470-20. During the period ended March 31, 2021, the Company early adopted ASU 2020-06 and in accordance with this guidance reclassified the remaining unamortized discount on the 2022 Convertible Notes from the carrying value of the instrument to “additional paid-in capital” in the accompanying consolidated balance sheet. As a requirement under ASU 2020-06 the Company calculated diluted earnings per shares using the if-converted method which assumed full share settlement for the aggregate value of the 2022 Convertible Notes.</w:t>
      </w:r>
    </w:p>
    <w:p>
      <w:pPr>
        <w:spacing w:after="0" w:line="185" w:lineRule="exact"/>
        <w:rPr>
          <w:sz w:val="20"/>
          <w:szCs w:val="20"/>
          <w:color w:val="auto"/>
        </w:rPr>
      </w:pPr>
    </w:p>
    <w:p>
      <w:pPr>
        <w:ind w:firstLine="255"/>
        <w:spacing w:after="0" w:line="238" w:lineRule="auto"/>
        <w:rPr>
          <w:sz w:val="20"/>
          <w:szCs w:val="20"/>
          <w:color w:val="auto"/>
        </w:rPr>
      </w:pPr>
      <w:r>
        <w:rPr>
          <w:rFonts w:ascii="Times New Roman" w:cs="Times New Roman" w:eastAsia="Times New Roman" w:hAnsi="Times New Roman"/>
          <w:sz w:val="18"/>
          <w:szCs w:val="18"/>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In accordance with the settlement method, the Company issued a total of 4,360,125 shares of common stock, or $78.1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06"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9" w:name="page40"/>
    <w:bookmarkEnd w:id="39"/>
    <w:p>
      <w:pPr>
        <w:ind w:right="360" w:firstLine="255"/>
        <w:spacing w:after="0" w:line="250" w:lineRule="auto"/>
        <w:rPr>
          <w:sz w:val="20"/>
          <w:szCs w:val="20"/>
          <w:color w:val="auto"/>
        </w:rPr>
      </w:pPr>
      <w:r>
        <w:rPr>
          <w:rFonts w:ascii="Times New Roman" w:cs="Times New Roman" w:eastAsia="Times New Roman" w:hAnsi="Times New Roman"/>
          <w:sz w:val="18"/>
          <w:szCs w:val="18"/>
          <w:color w:val="auto"/>
        </w:rPr>
        <w:t>In connection with the 2023 Notes offering, the Company entered into an interest rate swap to align the interest rates of its liabilities with the Company’s investment portfolio, which consists of predominately floating rate loans. The notional amount of the interest rate swap is $150.0 million, which matures on January 22, 2023, matching the maturity date of the 2023 Notes. As a result of the swap, the Company’s effective interest rate on the 2023 Notes is three-month LIBOR plus 1.99%. See Note 5 for further information about the Company’s interest rate swaps.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106"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7"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1"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8"/>
          <w:szCs w:val="18"/>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September 30, 2022 and December 31, 2021 the effective hedge interest rate swaps had a fair value of ($19.9) million and $4.4 million, respectively, which is offset within interest expense by an equal, but opposite, fair value change for the hedged risk on the 2024 Notes.</w:t>
      </w:r>
    </w:p>
    <w:p>
      <w:pPr>
        <w:spacing w:after="0" w:line="179" w:lineRule="exact"/>
        <w:rPr>
          <w:sz w:val="20"/>
          <w:szCs w:val="20"/>
          <w:color w:val="auto"/>
        </w:rPr>
      </w:pPr>
    </w:p>
    <w:p>
      <w:pPr>
        <w:ind w:right="40" w:firstLine="255"/>
        <w:spacing w:after="0" w:line="244"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 plus 2.28% (on a weighted average basis).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14"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177" w:lineRule="exact"/>
        <w:rPr>
          <w:sz w:val="20"/>
          <w:szCs w:val="20"/>
          <w:color w:val="auto"/>
        </w:rPr>
      </w:pPr>
    </w:p>
    <w:p>
      <w:pPr>
        <w:ind w:right="80" w:firstLine="255"/>
        <w:spacing w:after="0" w:line="245" w:lineRule="auto"/>
        <w:rPr>
          <w:sz w:val="20"/>
          <w:szCs w:val="20"/>
          <w:color w:val="auto"/>
        </w:rPr>
      </w:pPr>
      <w:r>
        <w:rPr>
          <w:rFonts w:ascii="Times New Roman" w:cs="Times New Roman" w:eastAsia="Times New Roman" w:hAnsi="Times New Roman"/>
          <w:sz w:val="18"/>
          <w:szCs w:val="18"/>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As of September 30, 2022 and December 31, 2021 the effective hedge interest rate swaps had a fair value of ($38.4) million and ($10.2) million, respectively, which is offset within interest expense by an equal, but opposite, fair value change for the hedged risk on the 2026 Notes.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the components of interest expense related to the 2023 Notes, 2024 Notes and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were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r>
      <w:tr>
        <w:trPr>
          <w:trHeight w:val="131"/>
        </w:trPr>
        <w:tc>
          <w:tcPr>
            <w:tcW w:w="456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1"/>
                <w:szCs w:val="11"/>
                <w:color w:val="auto"/>
              </w:rPr>
            </w:pPr>
          </w:p>
        </w:tc>
        <w:tc>
          <w:tcPr>
            <w:tcW w:w="1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880" w:type="dxa"/>
            <w:vAlign w:val="bottom"/>
            <w:gridSpan w:val="2"/>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0" w:type="dxa"/>
            <w:vAlign w:val="bottom"/>
          </w:tcPr>
          <w:p>
            <w:pPr>
              <w:spacing w:after="0"/>
              <w:rPr>
                <w:sz w:val="11"/>
                <w:szCs w:val="11"/>
                <w:color w:val="auto"/>
              </w:rPr>
            </w:pPr>
          </w:p>
        </w:tc>
        <w:tc>
          <w:tcPr>
            <w:tcW w:w="9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1"/>
                <w:szCs w:val="11"/>
                <w:color w:val="auto"/>
              </w:rPr>
            </w:pPr>
          </w:p>
        </w:tc>
      </w:tr>
      <w:tr>
        <w:trPr>
          <w:trHeight w:val="187"/>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22,407</w:t>
            </w:r>
          </w:p>
        </w:tc>
        <w:tc>
          <w:tcPr>
            <w:tcW w:w="8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-170815</wp:posOffset>
            </wp:positionV>
            <wp:extent cx="59690" cy="1714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0325" cy="1714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51435" cy="1714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5"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2023 Notes, 2024 Notes and 2026 Notes. During the three and nine months ended September 30, 2022, the Company received $7.0 million and $20.9 million, respectively, and paid $8.7 million and $19.6 million, respectively, related to the settlements of its interest rate swaps, excluding upfront fees, related to the 2023, 2024 and 2026 Notes. During the three and nine months ended September 30, 2021, the Company received $7.0 million and $20.2 million, respectively, and paid $4.7 million and $13.2 million, respectively, related to the settlements of its interest rate swaps, excluding upfront fees, related to the 2023, 2024 and 2026 Notes. These net amounts are reflected in interest expense in the Company’s consolidated statements of operations. See Note 5 for further information about the Company’s interest rate swaps.</w:t>
      </w:r>
    </w:p>
    <w:p>
      <w:pPr>
        <w:spacing w:after="0" w:line="200" w:lineRule="exact"/>
        <w:rPr>
          <w:sz w:val="20"/>
          <w:szCs w:val="20"/>
          <w:color w:val="auto"/>
        </w:rPr>
      </w:pPr>
    </w:p>
    <w:p>
      <w:pPr>
        <w:spacing w:after="0" w:line="224"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As September 30, 2022 and December 31, 2021, the components of the carrying value of the 2023 Notes, 2024 Notes and 2026 Notes and the stated interest rate were as follows:</w:t>
      </w:r>
    </w:p>
    <w:p>
      <w:pPr>
        <w:sectPr>
          <w:pgSz w:w="11900" w:h="16838" w:orient="portrait"/>
          <w:cols w:equalWidth="0" w:num="1">
            <w:col w:w="11220"/>
          </w:cols>
          <w:pgMar w:left="320" w:top="540" w:right="3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Principal amount of debt</w:t>
      </w:r>
    </w:p>
    <w:p>
      <w:pPr>
        <w:spacing w:after="0" w:line="27" w:lineRule="exact"/>
        <w:rPr>
          <w:sz w:val="20"/>
          <w:szCs w:val="20"/>
          <w:color w:val="auto"/>
        </w:rPr>
      </w:pPr>
    </w:p>
    <w:p>
      <w:pPr>
        <w:ind w:left="1140" w:right="100"/>
        <w:spacing w:after="0" w:line="234" w:lineRule="auto"/>
        <w:rPr>
          <w:sz w:val="20"/>
          <w:szCs w:val="20"/>
          <w:color w:val="auto"/>
        </w:rPr>
      </w:pPr>
      <w:r>
        <w:rPr>
          <w:rFonts w:ascii="Times New Roman" w:cs="Times New Roman" w:eastAsia="Times New Roman" w:hAnsi="Times New Roman"/>
          <w:sz w:val="18"/>
          <w:szCs w:val="18"/>
          <w:color w:val="auto"/>
        </w:rPr>
        <w:t>Original issue discount, net of accretion</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Deferred financing costs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Fair value of an effective hedge</w:t>
      </w:r>
    </w:p>
    <w:p>
      <w:pPr>
        <w:spacing w:after="0" w:line="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Carrying value of debt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Stated interest rate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8"/>
              </w:rPr>
              <w:t>2024 Notes</w:t>
            </w:r>
          </w:p>
        </w:tc>
        <w:tc>
          <w:tcPr>
            <w:tcW w:w="1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8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0" w:type="dxa"/>
            <w:vAlign w:val="bottom"/>
          </w:tcPr>
          <w:p>
            <w:pPr>
              <w:spacing w:after="0"/>
              <w:rPr>
                <w:sz w:val="1"/>
                <w:szCs w:val="1"/>
                <w:color w:val="auto"/>
              </w:rPr>
            </w:pPr>
          </w:p>
        </w:tc>
      </w:tr>
      <w:tr>
        <w:trPr>
          <w:trHeight w:val="228"/>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80" w:type="dxa"/>
            <w:vAlign w:val="bottom"/>
          </w:tcPr>
          <w:p>
            <w:pPr>
              <w:spacing w:after="0"/>
              <w:rPr>
                <w:sz w:val="24"/>
                <w:szCs w:val="24"/>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4"/>
                <w:szCs w:val="24"/>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(816 )</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(2,125 )</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(2,867 )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(2,886 )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(3,426 )</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(19,901 )</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(38,361 )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(10,239 )</w:t>
            </w:r>
          </w:p>
        </w:tc>
        <w:tc>
          <w:tcPr>
            <w:tcW w:w="0" w:type="dxa"/>
            <w:vAlign w:val="bottom"/>
          </w:tcPr>
          <w:p>
            <w:pPr>
              <w:spacing w:after="0"/>
              <w:rPr>
                <w:sz w:val="1"/>
                <w:szCs w:val="1"/>
                <w:color w:val="auto"/>
              </w:rPr>
            </w:pPr>
          </w:p>
        </w:tc>
      </w:tr>
      <w:tr>
        <w:trPr>
          <w:trHeight w:val="209"/>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149,796</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257,206</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149,306</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347,896</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highlight w:val="white"/>
                <w:w w:val="93"/>
              </w:rPr>
              <w:t>%</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highlight w:val="white"/>
                <w:w w:val="93"/>
              </w:rPr>
              <w:t>%</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180" w:type="dxa"/>
            <w:vAlign w:val="bottom"/>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3.875</w:t>
            </w:r>
          </w:p>
        </w:tc>
        <w:tc>
          <w:tcPr>
            <w:tcW w:w="180" w:type="dxa"/>
            <w:vAlign w:val="bottom"/>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4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3.875</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-984885</wp:posOffset>
            </wp:positionV>
            <wp:extent cx="5700395" cy="1371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-590550</wp:posOffset>
            </wp:positionV>
            <wp:extent cx="5700395"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-307975</wp:posOffset>
            </wp:positionV>
            <wp:extent cx="5700395" cy="3086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0039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580"/>
            <w:col w:w="7220"/>
          </w:cols>
          <w:pgMar w:left="320" w:top="540" w:right="359" w:bottom="1440" w:gutter="0" w:footer="0" w:header="0"/>
          <w:type w:val="continuous"/>
        </w:sectPr>
      </w:pPr>
    </w:p>
    <w:p>
      <w:pPr>
        <w:spacing w:after="0" w:line="25" w:lineRule="exact"/>
        <w:rPr>
          <w:sz w:val="20"/>
          <w:szCs w:val="20"/>
          <w:color w:val="auto"/>
        </w:rPr>
      </w:pPr>
    </w:p>
    <w:p>
      <w:pPr>
        <w:jc w:val="both"/>
        <w:ind w:right="180" w:firstLine="255"/>
        <w:spacing w:after="0" w:line="258"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September 30, 2022 and December 31, 2021, the Company’s swap-adjusted interest rate on the 2023 Notes, 2024 Notes and 2026 Notes is three month LIBOR plus 1.99%, 2.28% (on a weighted average basis), and 1.91%, respectively.</w:t>
      </w:r>
    </w:p>
    <w:p>
      <w:pPr>
        <w:spacing w:after="0" w:line="169" w:lineRule="exact"/>
        <w:rPr>
          <w:sz w:val="20"/>
          <w:szCs w:val="20"/>
          <w:color w:val="auto"/>
        </w:rPr>
      </w:pPr>
    </w:p>
    <w:p>
      <w:pPr>
        <w:jc w:val="both"/>
        <w:ind w:right="18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was in compliance with the terms of the indentures governing the 2023 Notes, 2024 Notes and 2026 Notes.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06"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had the following commitments to fund investments in current portfolio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9"/>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Alpha Midco, Inc.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American Achievement, Corp. -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ASG II, LLC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AvidXchange, Inc.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Axonify, Inc.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Bayshore Intermediate #2, L.P. -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BCTO Ace Purchaser, Inc.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Bear OpCo, LLC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Biohaven Pharmaceuticals, Inc.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BlueSnap, Inc. - Delayed Draw &amp;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Carlstar Group, LLC -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Clinicient, Inc. -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Cordance Operations, LLC - Delayed Draw &amp;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CrunchTime Information Systems, Inc.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DaySmart Holdings, LLC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Destiny Solutions Parent Holding Company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Dye &amp; Durham Corp. - Delayed Draw &amp;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EDB Parent, LLC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Elysian Finco Ltd. - Delayed Draw &amp;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Employment Hero Holdings Pty Ltd. - Delayed Draw &amp;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EMS Linq, Inc. -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ExtraHop Networks, Inc.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ForeScout Technologies, Inc. - Delayed Draw &amp;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 Treasury SS, LLC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Ibis Intermediate Co.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IntelePeer Holdings, Inc.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Kyriba Corp. -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LeanTaaS Holdings, Inc.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Lithium Technologies, LLC -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Lucidworks, Inc. - Delayed Draw &amp;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Murchison Oil and Gas, LLC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Netwrix Corp. - Delayed Draw &amp;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Neuintel, LLC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PageUp People, Ltd.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Passport Labs, Inc. - Delayed Draw &amp;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PrimePay Intermediate, LLC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PrimeRevenue, Inc. - Delayed Draw &amp;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Project44, Inc.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ReliaQuest Holdings, LLC - Delayed Draw &amp;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Tango Management Consulting, LLC - Delayed Draw &amp; Revolver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TRP Assets, LLC - Delayed Draw</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Verdad Resources Intermediate Holdings, LLC - Delayed Draw</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WideOrbit, Inc. - Revolver</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34"/>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2" w:name="page43"/>
    <w:bookmarkEnd w:id="42"/>
    <w:tbl>
      <w:tblPr>
        <w:tblLayout w:type="fixed"/>
        <w:tblInd w:w="58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Workwell Acquisition Co. - Delayed Draw</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r>
      <w:tr>
        <w:trPr>
          <w:trHeight w:val="249"/>
        </w:trPr>
        <w:tc>
          <w:tcPr>
            <w:tcW w:w="6220" w:type="dxa"/>
            <w:vAlign w:val="bottom"/>
            <w:tcBorders>
              <w:bottom w:val="single" w:sz="8" w:color="CFF0FC"/>
            </w:tcBorders>
            <w:shd w:val="clear" w:color="auto" w:fill="CFF0FC"/>
          </w:tcPr>
          <w:p>
            <w:pPr>
              <w:ind w:left="18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393,636</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right="340" w:hanging="512"/>
        <w:spacing w:after="0" w:line="25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ind w:left="520" w:right="560" w:hanging="512"/>
        <w:spacing w:after="0" w:line="260"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06"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did not have any unfunded commitments to fund investments to new borrowers that were not current portfolio companies as of such date.</w:t>
      </w:r>
    </w:p>
    <w:p>
      <w:pPr>
        <w:spacing w:after="0" w:line="149" w:lineRule="exact"/>
        <w:rPr>
          <w:sz w:val="20"/>
          <w:szCs w:val="20"/>
          <w:color w:val="auto"/>
        </w:rPr>
      </w:pPr>
    </w:p>
    <w:p>
      <w:pPr>
        <w:ind w:right="180" w:firstLine="255"/>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September 30, 2022 and December 31, 2021, management is not aware of any material pending or threatened litigation that would require accounting recognition or financial statement disclosure.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08" w:lineRule="exact"/>
        <w:rPr>
          <w:sz w:val="20"/>
          <w:szCs w:val="20"/>
          <w:color w:val="auto"/>
        </w:rPr>
      </w:pPr>
    </w:p>
    <w:p>
      <w:pPr>
        <w:ind w:right="40" w:firstLine="255"/>
        <w:spacing w:after="0" w:line="242" w:lineRule="auto"/>
        <w:rPr>
          <w:sz w:val="20"/>
          <w:szCs w:val="20"/>
          <w:color w:val="auto"/>
        </w:rPr>
      </w:pPr>
      <w:r>
        <w:rPr>
          <w:rFonts w:ascii="Times New Roman" w:cs="Times New Roman" w:eastAsia="Times New Roman" w:hAnsi="Times New Roman"/>
          <w:sz w:val="18"/>
          <w:szCs w:val="18"/>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In December 2021, the Company issued a total of 2,324,820 shares of common stock, or $42.3 million as settlement for the conversion of $42.8 million principal amount of the 2022 Convertible Notes.</w:t>
      </w:r>
    </w:p>
    <w:p>
      <w:pPr>
        <w:spacing w:after="0" w:line="41"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In August 2022, the Company issued a total of 4,360,125 shares of common stock, or $78.1 million as settlement for the conversion of $79.2 million principal amount of the 2022 Convertible Notes.</w:t>
      </w:r>
    </w:p>
    <w:p>
      <w:pPr>
        <w:spacing w:after="0" w:line="54" w:lineRule="exact"/>
        <w:rPr>
          <w:sz w:val="20"/>
          <w:szCs w:val="20"/>
          <w:color w:val="auto"/>
        </w:rPr>
      </w:pPr>
    </w:p>
    <w:p>
      <w:pPr>
        <w:ind w:right="20" w:firstLine="255"/>
        <w:spacing w:after="0" w:line="233"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9" w:lineRule="exact"/>
        <w:rPr>
          <w:sz w:val="20"/>
          <w:szCs w:val="20"/>
          <w:color w:val="auto"/>
        </w:rPr>
      </w:pPr>
    </w:p>
    <w:p>
      <w:pPr>
        <w:jc w:val="both"/>
        <w:ind w:right="80" w:firstLine="255"/>
        <w:spacing w:after="0" w:line="242"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nine months ended September 30, 2022 and 2021. All shares issued to stockholders in the tables below are newly issued shares.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3"/>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3"/>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Dividend </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right"/>
              <w:ind w:right="655"/>
              <w:spacing w:after="0" w:line="158" w:lineRule="exact"/>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6"/>
                <w:szCs w:val="16"/>
                <w:color w:val="auto"/>
              </w:rPr>
            </w:pP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6"/>
                <w:szCs w:val="16"/>
                <w:color w:val="auto"/>
              </w:rPr>
            </w:pP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15, 2021</w:t>
            </w:r>
          </w:p>
        </w:tc>
        <w:tc>
          <w:tcPr>
            <w:tcW w:w="12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14, 2022</w:t>
            </w:r>
          </w:p>
        </w:tc>
        <w:tc>
          <w:tcPr>
            <w:tcW w:w="8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233,542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 2022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65,596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15, 2022</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18, 2022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239,376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31, 2022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29,459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2022</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15, 2022</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15, 2022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294,337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 2022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357,530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2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1,219,840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80" w:type="dxa"/>
            <w:vAlign w:val="bottom"/>
            <w:gridSpan w:val="2"/>
          </w:tcPr>
          <w:p>
            <w:pPr>
              <w:jc w:val="right"/>
              <w:ind w:right="836"/>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-488315</wp:posOffset>
            </wp:positionV>
            <wp:extent cx="514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tbl>
      <w:tblPr>
        <w:tblLayout w:type="fixed"/>
        <w:tblInd w:w="114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3"/>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3"/>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Dividend </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right"/>
              <w:ind w:right="654"/>
              <w:spacing w:after="0" w:line="158" w:lineRule="exact"/>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6"/>
                <w:szCs w:val="16"/>
                <w:color w:val="auto"/>
              </w:rPr>
            </w:pPr>
          </w:p>
        </w:tc>
        <w:tc>
          <w:tcPr>
            <w:tcW w:w="17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6"/>
                <w:szCs w:val="16"/>
                <w:color w:val="auto"/>
              </w:rPr>
            </w:pP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4, 2020</w:t>
            </w: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15, 2020</w:t>
            </w:r>
          </w:p>
        </w:tc>
        <w:tc>
          <w:tcPr>
            <w:tcW w:w="12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15, 2021</w:t>
            </w:r>
          </w:p>
        </w:tc>
        <w:tc>
          <w:tcPr>
            <w:tcW w:w="8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2021</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15, 2021</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15, 2021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25, 2021</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8, 2021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4, 2021</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2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28, 2021</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2021</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31, 2021</w:t>
            </w:r>
          </w:p>
        </w:tc>
        <w:tc>
          <w:tcPr>
            <w:tcW w:w="12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2021</w:t>
            </w:r>
          </w:p>
        </w:tc>
        <w:tc>
          <w:tcPr>
            <w:tcW w:w="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further information on base, supplemental and special dividends.</w:t>
      </w:r>
    </w:p>
    <w:p>
      <w:pPr>
        <w:spacing w:after="0" w:line="212" w:lineRule="exact"/>
        <w:rPr>
          <w:sz w:val="20"/>
          <w:szCs w:val="20"/>
          <w:color w:val="auto"/>
        </w:rPr>
      </w:pPr>
    </w:p>
    <w:p>
      <w:pPr>
        <w:ind w:right="20" w:firstLine="255"/>
        <w:spacing w:after="0" w:line="250"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3, 2022. The amount and timing of stock repurchases under the program may vary depending on market conditions, and no assurance can be given that any particular amount of common stock will be repurchased.</w:t>
      </w:r>
    </w:p>
    <w:p>
      <w:pPr>
        <w:spacing w:after="0" w:line="177" w:lineRule="exact"/>
        <w:rPr>
          <w:sz w:val="20"/>
          <w:szCs w:val="20"/>
          <w:color w:val="auto"/>
        </w:rPr>
      </w:pPr>
    </w:p>
    <w:p>
      <w:pPr>
        <w:ind w:right="340" w:firstLine="255"/>
        <w:spacing w:after="0" w:line="312"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 repurchased 180,542 shares at a weighted average share price of $16.62 inclusive of commissions, for a total cost of $3.0 million. No shares were repurchased during the three and nine months ended September 30,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three and nine months ended September 30,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Denominator for basic weighted average</w:t>
            </w:r>
          </w:p>
        </w:tc>
        <w:tc>
          <w:tcPr>
            <w:tcW w:w="1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79,476,419</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72,808,730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77,250,889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71,696,874</w:t>
            </w:r>
          </w:p>
        </w:tc>
        <w:tc>
          <w:tcPr>
            <w:tcW w:w="80" w:type="dxa"/>
            <w:vAlign w:val="bottom"/>
            <w:shd w:val="clear" w:color="auto" w:fill="CFF0FC"/>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Numerator for increase in net assets per</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Adjustment for interest expense and</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4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financing</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40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costs on 2022 Convertible Notes, incentive</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4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fee and</w:t>
            </w:r>
          </w:p>
        </w:tc>
        <w:tc>
          <w:tcPr>
            <w:tcW w:w="10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excise tax, net</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Denominator for basic weighted average</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72,808,730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71,696,874</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Adjustment for dilutive effect of 2022</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7,706,681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7,706,681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40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Denominator for diluted weighted average</w:t>
            </w:r>
          </w:p>
        </w:tc>
        <w:tc>
          <w:tcPr>
            <w:tcW w:w="1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80,515,411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79,403,555</w:t>
            </w:r>
          </w:p>
        </w:tc>
        <w:tc>
          <w:tcPr>
            <w:tcW w:w="80" w:type="dxa"/>
            <w:vAlign w:val="bottom"/>
            <w:shd w:val="clear" w:color="auto" w:fill="CFF0FC"/>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-2699385</wp:posOffset>
            </wp:positionV>
            <wp:extent cx="59690" cy="154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-2699385</wp:posOffset>
            </wp:positionV>
            <wp:extent cx="60325"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-2699385</wp:posOffset>
            </wp:positionV>
            <wp:extent cx="51435" cy="154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-2699385</wp:posOffset>
            </wp:positionV>
            <wp:extent cx="51435"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-1542415</wp:posOffset>
            </wp:positionV>
            <wp:extent cx="59690" cy="1460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-1542415</wp:posOffset>
            </wp:positionV>
            <wp:extent cx="60325" cy="146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-1542415</wp:posOffset>
            </wp:positionV>
            <wp:extent cx="51435" cy="1460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-1542415</wp:posOffset>
            </wp:positionV>
            <wp:extent cx="51435" cy="146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-633730</wp:posOffset>
            </wp:positionV>
            <wp:extent cx="59690" cy="154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-633730</wp:posOffset>
            </wp:positionV>
            <wp:extent cx="60325" cy="154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-633730</wp:posOffset>
            </wp:positionV>
            <wp:extent cx="51435" cy="154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-633730</wp:posOffset>
            </wp:positionV>
            <wp:extent cx="51435" cy="154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44" w:name="page45"/>
    <w:bookmarkEnd w:id="44"/>
    <w:p>
      <w:pPr>
        <w:ind w:firstLine="255"/>
        <w:spacing w:after="0" w:line="247" w:lineRule="auto"/>
        <w:rPr>
          <w:sz w:val="20"/>
          <w:szCs w:val="20"/>
          <w:color w:val="auto"/>
        </w:rPr>
      </w:pPr>
      <w:r>
        <w:rPr>
          <w:rFonts w:ascii="Times New Roman" w:cs="Times New Roman" w:eastAsia="Times New Roman" w:hAnsi="Times New Roman"/>
          <w:sz w:val="18"/>
          <w:szCs w:val="18"/>
          <w:color w:val="auto"/>
        </w:rPr>
        <w:t>The 2022 Convertible Notes were convertible into a combination of cash and shares of the Company’s common stock, which could have been dilutive to common stockholders. Diluted earnings per share is the amount of earnings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spacing w:after="0" w:line="166" w:lineRule="exact"/>
        <w:rPr>
          <w:sz w:val="20"/>
          <w:szCs w:val="20"/>
          <w:color w:val="auto"/>
        </w:rPr>
      </w:pPr>
    </w:p>
    <w:p>
      <w:pPr>
        <w:ind w:right="20" w:firstLine="255"/>
        <w:spacing w:after="0" w:line="232"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daily closing price of the Company’s common stock for the three and nine months ended September 30, 2021, respectively, was greater than the estimated adjusted conversion price for the 2022 Convertible Notes outstanding as of September 30, 2021. Therefore, for these periods presented in the consolidated financial statements the Company applied the if-converted method for purposes of calculating diluted earnings per common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08" w:lineRule="exact"/>
        <w:rPr>
          <w:sz w:val="20"/>
          <w:szCs w:val="20"/>
          <w:color w:val="auto"/>
        </w:rPr>
      </w:pPr>
    </w:p>
    <w:p>
      <w:pPr>
        <w:ind w:right="620" w:firstLine="255"/>
        <w:spacing w:after="0" w:line="282" w:lineRule="auto"/>
        <w:rPr>
          <w:sz w:val="20"/>
          <w:szCs w:val="20"/>
          <w:color w:val="auto"/>
        </w:rPr>
      </w:pPr>
      <w:r>
        <w:rPr>
          <w:rFonts w:ascii="Times New Roman" w:cs="Times New Roman" w:eastAsia="Times New Roman" w:hAnsi="Times New Roman"/>
          <w:sz w:val="18"/>
          <w:szCs w:val="18"/>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nine months ended September 30, 2022 and 2021:</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2"/>
                <w:szCs w:val="12"/>
                <w:color w:val="auto"/>
              </w:rPr>
            </w:pPr>
          </w:p>
        </w:tc>
        <w:tc>
          <w:tcPr>
            <w:tcW w:w="170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tcPr>
          <w:p>
            <w:pPr>
              <w:spacing w:after="0"/>
              <w:rPr>
                <w:sz w:val="12"/>
                <w:szCs w:val="12"/>
                <w:color w:val="auto"/>
              </w:rPr>
            </w:pPr>
          </w:p>
        </w:tc>
        <w:tc>
          <w:tcPr>
            <w:tcW w:w="17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Dividend per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2022</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2022</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2022</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31, 2022</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2022</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15, 2022</w:t>
            </w:r>
          </w:p>
        </w:tc>
        <w:tc>
          <w:tcPr>
            <w:tcW w:w="1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60" w:type="dxa"/>
            <w:vAlign w:val="bottom"/>
            <w:vMerge w:val="continue"/>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1"/>
                <w:szCs w:val="11"/>
                <w:color w:val="auto"/>
              </w:rPr>
            </w:pPr>
          </w:p>
        </w:tc>
        <w:tc>
          <w:tcPr>
            <w:tcW w:w="170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tcPr>
          <w:p>
            <w:pPr>
              <w:spacing w:after="0"/>
              <w:rPr>
                <w:sz w:val="11"/>
                <w:szCs w:val="11"/>
                <w:color w:val="auto"/>
              </w:rPr>
            </w:pPr>
          </w:p>
        </w:tc>
        <w:tc>
          <w:tcPr>
            <w:tcW w:w="17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Dividend per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26, 2021</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2021</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25, 2021</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8, 2021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May 4,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28, 2021</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4, 2021</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15, 2021</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15, 2021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31, 2021</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15, 2021</w:t>
            </w:r>
          </w:p>
        </w:tc>
        <w:tc>
          <w:tcPr>
            <w:tcW w:w="1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15, 2021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-1885315</wp:posOffset>
            </wp:positionV>
            <wp:extent cx="51435" cy="1714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64"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2022 and 2021 were derived from net investment income, determined on a tax basis.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08"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nine months ended September 30, 2022 and 2021.</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5"/>
                <w:szCs w:val="15"/>
                <w:color w:val="auto"/>
              </w:rPr>
            </w:pPr>
          </w:p>
        </w:tc>
        <w:tc>
          <w:tcPr>
            <w:tcW w:w="19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9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09"/>
        </w:trPr>
        <w:tc>
          <w:tcPr>
            <w:tcW w:w="46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(8)</w:t>
            </w: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46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auto"/>
              </w:rPr>
              <w:t>Net realized and unrealized</w:t>
            </w:r>
          </w:p>
        </w:tc>
        <w:tc>
          <w:tcPr>
            <w:tcW w:w="2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4620" w:type="dxa"/>
            <w:vAlign w:val="bottom"/>
            <w:shd w:val="clear" w:color="auto" w:fill="CFF0FC"/>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gain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(0.67 )</w:t>
            </w: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6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from operations</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46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2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620" w:type="dxa"/>
            <w:vAlign w:val="bottom"/>
            <w:shd w:val="clear" w:color="auto" w:fill="CFF0FC"/>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offering costs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Settlement of 2022 Convertible Notes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Repurchase of common stock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62"/>
        </w:trPr>
        <w:tc>
          <w:tcPr>
            <w:tcW w:w="46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Dividends declared from net</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462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9"/>
                <w:szCs w:val="19"/>
                <w:color w:val="auto"/>
              </w:rPr>
            </w:pPr>
          </w:p>
        </w:tc>
        <w:tc>
          <w:tcPr>
            <w:tcW w:w="2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(1.39 )</w:t>
            </w:r>
          </w:p>
        </w:tc>
        <w:tc>
          <w:tcPr>
            <w:tcW w:w="24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(2.61 )</w:t>
            </w:r>
          </w:p>
        </w:tc>
        <w:tc>
          <w:tcPr>
            <w:tcW w:w="80" w:type="dxa"/>
            <w:vAlign w:val="bottom"/>
          </w:tcPr>
          <w:p>
            <w:pPr>
              <w:spacing w:after="0"/>
              <w:rPr>
                <w:sz w:val="19"/>
                <w:szCs w:val="19"/>
                <w:color w:val="auto"/>
              </w:rPr>
            </w:pPr>
          </w:p>
        </w:tc>
      </w:tr>
      <w:tr>
        <w:trPr>
          <w:trHeight w:val="209"/>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increase/(decrease) in net assets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462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Per share market value at end of</w:t>
            </w:r>
          </w:p>
        </w:tc>
        <w:tc>
          <w:tcPr>
            <w:tcW w:w="2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162"/>
        </w:trPr>
        <w:tc>
          <w:tcPr>
            <w:tcW w:w="46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Total return based on market value</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5"/>
        </w:trPr>
        <w:tc>
          <w:tcPr>
            <w:tcW w:w="4620" w:type="dxa"/>
            <w:vAlign w:val="bottom"/>
          </w:tcPr>
          <w:p>
            <w:pPr>
              <w:ind w:left="140"/>
              <w:spacing w:after="0" w:line="204" w:lineRule="exact"/>
              <w:rPr>
                <w:sz w:val="20"/>
                <w:szCs w:val="20"/>
                <w:color w:val="auto"/>
              </w:rPr>
            </w:pPr>
            <w:r>
              <w:rPr>
                <w:rFonts w:ascii="Times New Roman" w:cs="Times New Roman" w:eastAsia="Times New Roman" w:hAnsi="Times New Roman"/>
                <w:sz w:val="17"/>
                <w:szCs w:val="17"/>
                <w:color w:val="auto"/>
              </w:rPr>
              <w:t xml:space="preserve">with reinvestment of dividends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7"/>
                <w:szCs w:val="17"/>
                <w:color w:val="auto"/>
              </w:rPr>
            </w:pPr>
          </w:p>
        </w:tc>
        <w:tc>
          <w:tcPr>
            <w:tcW w:w="2040" w:type="dxa"/>
            <w:vAlign w:val="bottom"/>
            <w:gridSpan w:val="2"/>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-24.69 %</w:t>
            </w:r>
          </w:p>
        </w:tc>
        <w:tc>
          <w:tcPr>
            <w:tcW w:w="240" w:type="dxa"/>
            <w:vAlign w:val="bottom"/>
          </w:tcPr>
          <w:p>
            <w:pPr>
              <w:spacing w:after="0"/>
              <w:rPr>
                <w:sz w:val="17"/>
                <w:szCs w:val="17"/>
                <w:color w:val="auto"/>
              </w:rPr>
            </w:pPr>
          </w:p>
        </w:tc>
        <w:tc>
          <w:tcPr>
            <w:tcW w:w="19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20.68 %</w:t>
            </w:r>
          </w:p>
        </w:tc>
      </w:tr>
      <w:tr>
        <w:trPr>
          <w:trHeight w:val="254"/>
        </w:trPr>
        <w:tc>
          <w:tcPr>
            <w:tcW w:w="462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22"/>
                <w:szCs w:val="22"/>
                <w:color w:val="auto"/>
              </w:rPr>
            </w:pP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-24.20 %</w:t>
            </w:r>
          </w:p>
        </w:tc>
        <w:tc>
          <w:tcPr>
            <w:tcW w:w="24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19.61 %</w:t>
            </w:r>
          </w:p>
        </w:tc>
      </w:tr>
      <w:tr>
        <w:trPr>
          <w:trHeight w:val="162"/>
        </w:trPr>
        <w:tc>
          <w:tcPr>
            <w:tcW w:w="46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Total return based on net asset</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6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value </w:t>
            </w:r>
            <w:r>
              <w:rPr>
                <w:rFonts w:ascii="Times New Roman" w:cs="Times New Roman" w:eastAsia="Times New Roman" w:hAnsi="Times New Roman"/>
                <w:sz w:val="24"/>
                <w:szCs w:val="24"/>
                <w:color w:val="auto"/>
                <w:vertAlign w:val="superscript"/>
              </w:rPr>
              <w:t>(5)</w:t>
            </w:r>
          </w:p>
        </w:tc>
        <w:tc>
          <w:tcPr>
            <w:tcW w:w="220" w:type="dxa"/>
            <w:vAlign w:val="bottom"/>
          </w:tcPr>
          <w:p>
            <w:pPr>
              <w:spacing w:after="0"/>
              <w:rPr>
                <w:sz w:val="21"/>
                <w:szCs w:val="21"/>
                <w:color w:val="auto"/>
              </w:rPr>
            </w:pP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5.43 %</w:t>
            </w:r>
          </w:p>
        </w:tc>
        <w:tc>
          <w:tcPr>
            <w:tcW w:w="24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15.33 %</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81,170,965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72,848,977</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24"/>
                <w:szCs w:val="24"/>
                <w:b w:val="1"/>
                <w:bCs w:val="1"/>
                <w:color w:val="auto"/>
                <w:vertAlign w:val="superscript"/>
              </w:rPr>
              <w:t>(6)</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46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Ratio of net expenses to average</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6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net assets </w:t>
            </w:r>
            <w:r>
              <w:rPr>
                <w:rFonts w:ascii="Times New Roman" w:cs="Times New Roman" w:eastAsia="Times New Roman" w:hAnsi="Times New Roman"/>
                <w:sz w:val="24"/>
                <w:szCs w:val="24"/>
                <w:color w:val="auto"/>
                <w:vertAlign w:val="superscript"/>
              </w:rPr>
              <w:t>(7)</w:t>
            </w:r>
          </w:p>
        </w:tc>
        <w:tc>
          <w:tcPr>
            <w:tcW w:w="220" w:type="dxa"/>
            <w:vAlign w:val="bottom"/>
          </w:tcPr>
          <w:p>
            <w:pPr>
              <w:spacing w:after="0"/>
              <w:rPr>
                <w:sz w:val="21"/>
                <w:szCs w:val="21"/>
                <w:color w:val="auto"/>
              </w:rPr>
            </w:pP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9.92 %</w:t>
            </w:r>
          </w:p>
        </w:tc>
        <w:tc>
          <w:tcPr>
            <w:tcW w:w="24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11.51 %</w:t>
            </w:r>
          </w:p>
        </w:tc>
      </w:tr>
      <w:tr>
        <w:trPr>
          <w:trHeight w:val="171"/>
        </w:trPr>
        <w:tc>
          <w:tcPr>
            <w:tcW w:w="46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Ratio of net investment income</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average net assets</w:t>
            </w:r>
          </w:p>
        </w:tc>
        <w:tc>
          <w:tcPr>
            <w:tcW w:w="220" w:type="dxa"/>
            <w:vAlign w:val="bottom"/>
          </w:tcPr>
          <w:p>
            <w:pPr>
              <w:spacing w:after="0"/>
              <w:rPr>
                <w:sz w:val="20"/>
                <w:szCs w:val="20"/>
                <w:color w:val="auto"/>
              </w:rPr>
            </w:pP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11.82 %</w:t>
            </w:r>
          </w:p>
        </w:tc>
        <w:tc>
          <w:tcPr>
            <w:tcW w:w="24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10.64 %</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220" w:type="dxa"/>
            <w:vAlign w:val="bottom"/>
          </w:tcPr>
          <w:p>
            <w:pPr>
              <w:spacing w:after="0"/>
              <w:rPr>
                <w:sz w:val="18"/>
                <w:szCs w:val="18"/>
                <w:color w:val="auto"/>
              </w:rPr>
            </w:pP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21.31 %</w:t>
            </w:r>
          </w:p>
        </w:tc>
        <w:tc>
          <w:tcPr>
            <w:tcW w:w="24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28.17 %</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1,328,052</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-3208655</wp:posOffset>
            </wp:positionV>
            <wp:extent cx="59690" cy="146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-3208655</wp:posOffset>
            </wp:positionV>
            <wp:extent cx="51435" cy="146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-2136775</wp:posOffset>
            </wp:positionV>
            <wp:extent cx="59690" cy="1543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-2136775</wp:posOffset>
            </wp:positionV>
            <wp:extent cx="51435" cy="154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-1468120</wp:posOffset>
            </wp:positionV>
            <wp:extent cx="5700395" cy="1371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-799465</wp:posOffset>
            </wp:positionV>
            <wp:extent cx="5700395" cy="2571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700395" cy="25717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-285115</wp:posOffset>
            </wp:positionV>
            <wp:extent cx="5700395" cy="1371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59"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15" w:lineRule="exact"/>
        <w:rPr>
          <w:rFonts w:ascii="Times New Roman" w:cs="Times New Roman" w:eastAsia="Times New Roman" w:hAnsi="Times New Roman"/>
          <w:sz w:val="18"/>
          <w:szCs w:val="18"/>
          <w:color w:val="auto"/>
        </w:rPr>
      </w:pPr>
    </w:p>
    <w:p>
      <w:pPr>
        <w:ind w:left="520" w:hanging="512"/>
        <w:spacing w:after="0" w:line="234"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ind w:left="520" w:right="180" w:hanging="512"/>
        <w:spacing w:after="0" w:line="24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rFonts w:ascii="Times New Roman" w:cs="Times New Roman" w:eastAsia="Times New Roman" w:hAnsi="Times New Roman"/>
          <w:sz w:val="18"/>
          <w:szCs w:val="18"/>
          <w:color w:val="auto"/>
        </w:rPr>
      </w:pPr>
    </w:p>
    <w:p>
      <w:pPr>
        <w:ind w:left="520" w:hanging="512"/>
        <w:spacing w:after="0" w:line="235"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spacing w:after="0" w:line="1" w:lineRule="exact"/>
        <w:rPr>
          <w:rFonts w:ascii="Times New Roman" w:cs="Times New Roman" w:eastAsia="Times New Roman" w:hAnsi="Times New Roman"/>
          <w:sz w:val="18"/>
          <w:szCs w:val="18"/>
          <w:color w:val="auto"/>
        </w:rPr>
      </w:pPr>
    </w:p>
    <w:p>
      <w:pPr>
        <w:ind w:left="520" w:right="360" w:hanging="512"/>
        <w:spacing w:after="0" w:line="24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 w:lineRule="exact"/>
        <w:rPr>
          <w:rFonts w:ascii="Times New Roman" w:cs="Times New Roman" w:eastAsia="Times New Roman" w:hAnsi="Times New Roman"/>
          <w:sz w:val="18"/>
          <w:szCs w:val="18"/>
          <w:color w:val="auto"/>
        </w:rPr>
      </w:pPr>
    </w:p>
    <w:p>
      <w:pPr>
        <w:ind w:left="520" w:hanging="512"/>
        <w:spacing w:after="0" w:line="234"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reflect an annualized amount.</w:t>
      </w:r>
    </w:p>
    <w:p>
      <w:pPr>
        <w:jc w:val="both"/>
        <w:ind w:left="520" w:right="18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net expenses to average net assets in the table above reflects the Adviser’s waivers of its right to receive a portion of the Management Fee pursuant to the Leverage Waiver. Excluding the effects of waivers, the ratio of net expenses to average net assets would have been 9.94% and 11.53%, respectively for the nine months ended September 30, 2022 and 2021.</w:t>
      </w: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08" w:lineRule="exact"/>
        <w:rPr>
          <w:sz w:val="20"/>
          <w:szCs w:val="20"/>
          <w:color w:val="auto"/>
        </w:rPr>
      </w:pPr>
    </w:p>
    <w:p>
      <w:pPr>
        <w:jc w:val="both"/>
        <w:ind w:right="280" w:firstLine="255"/>
        <w:spacing w:after="0" w:line="258"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nine months ended September 30, 2022.</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60" w:firstLine="255"/>
        <w:spacing w:after="0" w:line="243"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80" w:firstLine="255"/>
        <w:spacing w:after="0" w:line="239"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p>
    <w:p>
      <w:pPr>
        <w:spacing w:after="0" w:line="17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90"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03" w:lineRule="exact"/>
        <w:rPr>
          <w:rFonts w:ascii="Times New Roman" w:cs="Times New Roman" w:eastAsia="Times New Roman" w:hAnsi="Times New Roman"/>
          <w:sz w:val="18"/>
          <w:szCs w:val="18"/>
          <w:color w:val="auto"/>
        </w:rPr>
      </w:pPr>
    </w:p>
    <w:p>
      <w:pPr>
        <w:ind w:left="520" w:right="340" w:hanging="257"/>
        <w:spacing w:after="0" w:line="250"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listed on the NYSE under the symbol “TSLX.”</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94" w:lineRule="exact"/>
        <w:rPr>
          <w:sz w:val="20"/>
          <w:szCs w:val="20"/>
          <w:color w:val="auto"/>
        </w:rPr>
      </w:pPr>
    </w:p>
    <w:p>
      <w:pPr>
        <w:ind w:right="80" w:firstLine="255"/>
        <w:spacing w:after="0" w:line="239"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September 30, 2022, we have originated approximately $23.9 billion aggregate principal amount of investments and retained approximately $9.0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w:t>
      </w:r>
    </w:p>
    <w:p>
      <w:pPr>
        <w:spacing w:after="0" w:line="16"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$250 million, although we may invest in larger or smaller companies on occasion. As of September 30, 2022, our core portfolio companies, which exclude certain investments that fall outside of our typical borrower profile and represent 87.3% of our total investments based on fair value, had weighted average annual revenue of $149.4 million and weighted average annual EBITDA of $43.8 million.</w:t>
      </w:r>
    </w:p>
    <w:p>
      <w:pPr>
        <w:spacing w:after="0" w:line="181"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5" w:lineRule="exact"/>
        <w:rPr>
          <w:sz w:val="20"/>
          <w:szCs w:val="20"/>
          <w:color w:val="auto"/>
        </w:rPr>
      </w:pPr>
    </w:p>
    <w:p>
      <w:pPr>
        <w:jc w:val="both"/>
        <w:ind w:right="120" w:firstLine="255"/>
        <w:spacing w:after="0" w:line="250"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90"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September 30, 2022, the largest single investment based on fair value represented 3.1% of our total investment portfolio.</w:t>
      </w:r>
    </w:p>
    <w:p>
      <w:pPr>
        <w:spacing w:after="0" w:line="162" w:lineRule="exact"/>
        <w:rPr>
          <w:sz w:val="20"/>
          <w:szCs w:val="20"/>
          <w:color w:val="auto"/>
        </w:rPr>
      </w:pPr>
    </w:p>
    <w:p>
      <w:pPr>
        <w:ind w:right="60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2022, the average investment size in each of our portfolio companies was approximately $23.8 million based on fair value. Portfolio companies includes investments in structured products including each series of collateralized loan obligation as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47" w:name="page48"/>
    <w:bookmarkEnd w:id="47"/>
    <w:p>
      <w:pPr>
        <w:ind w:right="380"/>
        <w:spacing w:after="0" w:line="282" w:lineRule="auto"/>
        <w:rPr>
          <w:sz w:val="20"/>
          <w:szCs w:val="20"/>
          <w:color w:val="auto"/>
        </w:rPr>
      </w:pPr>
      <w:r>
        <w:rPr>
          <w:rFonts w:ascii="Times New Roman" w:cs="Times New Roman" w:eastAsia="Times New Roman" w:hAnsi="Times New Roman"/>
          <w:sz w:val="18"/>
          <w:szCs w:val="18"/>
          <w:color w:val="auto"/>
        </w:rPr>
        <w:t>a portfolio company investment. When excluding investments in structured products the average investment in our remaining portfolio companies was approximately $36.7 million as of September 30, 2022.</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10" w:lineRule="exact"/>
        <w:rPr>
          <w:sz w:val="20"/>
          <w:szCs w:val="20"/>
          <w:color w:val="auto"/>
        </w:rPr>
      </w:pPr>
    </w:p>
    <w:p>
      <w:pPr>
        <w:ind w:right="40" w:firstLine="25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9"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2022, the largest industry represented 14.0% of our total investment portfolio based on fair value.</w:t>
      </w:r>
    </w:p>
    <w:p>
      <w:pPr>
        <w:spacing w:after="0" w:line="223" w:lineRule="exact"/>
        <w:rPr>
          <w:sz w:val="20"/>
          <w:szCs w:val="20"/>
          <w:color w:val="auto"/>
        </w:rPr>
      </w:pPr>
    </w:p>
    <w:p>
      <w:pPr>
        <w:ind w:right="140" w:firstLine="25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September 30, 2022,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91.9% of our portfolio was invested in secured debt, including 90.4%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2022, the weighted average term on new investment commitments in new portfolio companies was 6.1 years.</w:t>
      </w:r>
    </w:p>
    <w:p>
      <w:pPr>
        <w:spacing w:after="0" w:line="181" w:lineRule="exact"/>
        <w:rPr>
          <w:sz w:val="20"/>
          <w:szCs w:val="20"/>
          <w:color w:val="auto"/>
        </w:rPr>
      </w:pPr>
    </w:p>
    <w:p>
      <w:pPr>
        <w:ind w:right="180" w:firstLine="25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72"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Risk Mitigation. </w:t>
      </w:r>
      <w:r>
        <w:rPr>
          <w:rFonts w:ascii="Times New Roman" w:cs="Times New Roman" w:eastAsia="Times New Roman" w:hAnsi="Times New Roman"/>
          <w:sz w:val="17"/>
          <w:szCs w:val="17"/>
          <w:color w:val="auto"/>
        </w:rPr>
        <w:t>We seek to mitigate non-credit-related risk on our returns in several ways, including call protection provisions to protect future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As of September 30, 2022, we had call protection on 82.3% of our debt investments based on fair value, with weighted average call prices of</w:t>
      </w:r>
    </w:p>
    <w:p>
      <w:pPr>
        <w:jc w:val="both"/>
        <w:ind w:right="240"/>
        <w:spacing w:after="0" w:line="246" w:lineRule="auto"/>
        <w:rPr>
          <w:sz w:val="20"/>
          <w:szCs w:val="20"/>
          <w:color w:val="auto"/>
        </w:rPr>
      </w:pPr>
      <w:r>
        <w:rPr>
          <w:rFonts w:ascii="Times New Roman" w:cs="Times New Roman" w:eastAsia="Times New Roman" w:hAnsi="Times New Roman"/>
          <w:sz w:val="18"/>
          <w:szCs w:val="18"/>
          <w:color w:val="auto"/>
        </w:rPr>
        <w:t>107.5% for the first year, 104.0% for the second year and 101.3% for the third year, in each case from the date of the initial investment. As of September 30, 2022, 98.9% of our debt investments based on fair value bore interest at floating rates, with 100.0% of these subject to interest rate floors, which we believe helps act as a portfolio-wide hedge against inflation.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08" w:lineRule="exact"/>
        <w:rPr>
          <w:sz w:val="20"/>
          <w:szCs w:val="20"/>
          <w:color w:val="auto"/>
        </w:rPr>
      </w:pPr>
    </w:p>
    <w:p>
      <w:pPr>
        <w:ind w:right="280" w:firstLine="255"/>
        <w:spacing w:after="0" w:line="247"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0" w:lineRule="exact"/>
        <w:rPr>
          <w:sz w:val="20"/>
          <w:szCs w:val="20"/>
          <w:color w:val="auto"/>
        </w:rPr>
      </w:pPr>
    </w:p>
    <w:p>
      <w:pPr>
        <w:ind w:firstLine="255"/>
        <w:spacing w:after="0" w:line="243" w:lineRule="auto"/>
        <w:rPr>
          <w:sz w:val="20"/>
          <w:szCs w:val="20"/>
          <w:color w:val="auto"/>
        </w:rPr>
      </w:pPr>
      <w:r>
        <w:rPr>
          <w:rFonts w:ascii="Times New Roman" w:cs="Times New Roman" w:eastAsia="Times New Roman" w:hAnsi="Times New Roman"/>
          <w:sz w:val="18"/>
          <w:szCs w:val="18"/>
          <w:color w:val="auto"/>
        </w:rPr>
        <w:t>Sixth Street is a global investment business with over $60 billion of assets under management as of September 30, 2022. Sixth Street’s core platforms include Sixth Street Specialty Lending, Sixth Street Lending Partners, which is aimed at U.S. upper middle- 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460 investment and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8" w:name="page49"/>
    <w:bookmarkEnd w:id="48"/>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professionals. As of September 30, 2022, forty-one (41) of these personnel are dedicated to our business, including thirty-three (33) investment professionals.</w:t>
      </w:r>
    </w:p>
    <w:p>
      <w:pPr>
        <w:spacing w:after="0" w:line="148" w:lineRule="exact"/>
        <w:rPr>
          <w:sz w:val="20"/>
          <w:szCs w:val="20"/>
          <w:color w:val="auto"/>
        </w:rPr>
      </w:pPr>
    </w:p>
    <w:p>
      <w:pPr>
        <w:ind w:right="20" w:firstLine="255"/>
        <w:spacing w:after="0" w:line="247"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0"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81"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7" w:lineRule="exact"/>
        <w:rPr>
          <w:sz w:val="20"/>
          <w:szCs w:val="20"/>
          <w:color w:val="auto"/>
        </w:rPr>
      </w:pPr>
    </w:p>
    <w:p>
      <w:pPr>
        <w:jc w:val="both"/>
        <w:ind w:right="20" w:firstLine="255"/>
        <w:spacing w:after="0" w:line="258"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69" w:lineRule="exact"/>
        <w:rPr>
          <w:sz w:val="20"/>
          <w:szCs w:val="20"/>
          <w:color w:val="auto"/>
        </w:rPr>
      </w:pPr>
    </w:p>
    <w:p>
      <w:pPr>
        <w:ind w:right="340" w:firstLine="255"/>
        <w:spacing w:after="0" w:line="250"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198" w:lineRule="exact"/>
        <w:rPr>
          <w:sz w:val="20"/>
          <w:szCs w:val="20"/>
          <w:color w:val="auto"/>
        </w:rPr>
      </w:pPr>
    </w:p>
    <w:p>
      <w:pPr>
        <w:ind w:right="60" w:firstLine="255"/>
        <w:spacing w:after="0" w:line="250"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36" w:lineRule="exact"/>
        <w:rPr>
          <w:sz w:val="20"/>
          <w:szCs w:val="20"/>
          <w:color w:val="auto"/>
        </w:rPr>
      </w:pPr>
    </w:p>
    <w:p>
      <w:pPr>
        <w:ind w:right="280" w:firstLine="255"/>
        <w:spacing w:after="0" w:line="250"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ind w:firstLine="255"/>
        <w:spacing w:after="0" w:line="239"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2022, 98.9% of these investments based on fair value bore interest at a floating rate, with 100.0% of these subject to interest rate floors. Interest on debt investments is generally payable quarterly or semiannually. Some of our debt investments provide for deferred interest payments or PIK interest. For the three months ended September 30, 2022, 3.8% of our total investment income was comprised of PIK interest.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9" w:name="page50"/>
    <w:bookmarkEnd w:id="49"/>
    <w:p>
      <w:pPr>
        <w:ind w:right="60" w:firstLine="255"/>
        <w:spacing w:after="0" w:line="239"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2024 Notes and 2026 Notes, after taking into account the effect of the interest rate swaps we have entered into in connection with these securities, all bear interest at floating rates. Macro trends in base interest rates like LIBOR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7" w:lineRule="exact"/>
        <w:rPr>
          <w:sz w:val="20"/>
          <w:szCs w:val="20"/>
          <w:color w:val="auto"/>
        </w:rPr>
      </w:pPr>
    </w:p>
    <w:p>
      <w:pPr>
        <w:ind w:right="40" w:firstLine="255"/>
        <w:spacing w:after="0" w:line="242"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5" w:lineRule="exact"/>
        <w:rPr>
          <w:sz w:val="20"/>
          <w:szCs w:val="20"/>
          <w:color w:val="auto"/>
        </w:rPr>
      </w:pPr>
    </w:p>
    <w:p>
      <w:pPr>
        <w:ind w:firstLine="255"/>
        <w:spacing w:after="0" w:line="242"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5"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60" w:firstLine="255"/>
        <w:spacing w:after="0" w:line="245"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08" w:lineRule="exact"/>
        <w:rPr>
          <w:sz w:val="20"/>
          <w:szCs w:val="20"/>
          <w:color w:val="auto"/>
        </w:rPr>
      </w:pPr>
    </w:p>
    <w:p>
      <w:pPr>
        <w:ind w:right="120" w:firstLine="255"/>
        <w:spacing w:after="0" w:line="250"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9" w:lineRule="exact"/>
        <w:rPr>
          <w:sz w:val="20"/>
          <w:szCs w:val="20"/>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03" w:lineRule="exact"/>
        <w:rPr>
          <w:rFonts w:ascii="Times New Roman" w:cs="Times New Roman" w:eastAsia="Times New Roman" w:hAnsi="Times New Roman"/>
          <w:sz w:val="18"/>
          <w:szCs w:val="18"/>
          <w:color w:val="auto"/>
        </w:rPr>
      </w:pPr>
    </w:p>
    <w:p>
      <w:pPr>
        <w:ind w:left="520" w:right="300" w:hanging="257"/>
        <w:spacing w:after="0" w:line="250"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8"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03" w:lineRule="exact"/>
        <w:rPr>
          <w:rFonts w:ascii="Times New Roman" w:cs="Times New Roman" w:eastAsia="Times New Roman" w:hAnsi="Times New Roman"/>
          <w:sz w:val="18"/>
          <w:szCs w:val="18"/>
          <w:color w:val="auto"/>
        </w:rPr>
      </w:pPr>
    </w:p>
    <w:p>
      <w:pPr>
        <w:ind w:left="520" w:right="60" w:hanging="257"/>
        <w:spacing w:after="0" w:line="24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76"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03" w:lineRule="exact"/>
        <w:rPr>
          <w:rFonts w:ascii="Times New Roman" w:cs="Times New Roman" w:eastAsia="Times New Roman" w:hAnsi="Times New Roman"/>
          <w:sz w:val="18"/>
          <w:szCs w:val="18"/>
          <w:color w:val="auto"/>
        </w:rPr>
      </w:pPr>
    </w:p>
    <w:p>
      <w:pPr>
        <w:ind w:left="520" w:right="120" w:hanging="257"/>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4"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12"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08" w:lineRule="exact"/>
        <w:rPr>
          <w:sz w:val="20"/>
          <w:szCs w:val="20"/>
          <w:color w:val="auto"/>
        </w:rPr>
      </w:pPr>
    </w:p>
    <w:p>
      <w:pPr>
        <w:ind w:right="80" w:firstLine="255"/>
        <w:spacing w:after="0" w:line="241"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08"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7"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1" w:lineRule="exact"/>
        <w:rPr>
          <w:sz w:val="20"/>
          <w:szCs w:val="20"/>
          <w:color w:val="auto"/>
        </w:rPr>
      </w:pPr>
    </w:p>
    <w:p>
      <w:pPr>
        <w:jc w:val="both"/>
        <w:ind w:right="180" w:firstLine="255"/>
        <w:spacing w:after="0" w:line="245"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1"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1" w:name="page52"/>
    <w:bookmarkEnd w:id="51"/>
    <w:p>
      <w:pPr>
        <w:ind w:firstLine="255"/>
        <w:spacing w:after="0" w:line="246" w:lineRule="auto"/>
        <w:rPr>
          <w:sz w:val="20"/>
          <w:szCs w:val="20"/>
          <w:color w:val="auto"/>
        </w:rPr>
      </w:pPr>
      <w:r>
        <w:rPr>
          <w:rFonts w:ascii="Times New Roman" w:cs="Times New Roman" w:eastAsia="Times New Roman" w:hAnsi="Times New Roman"/>
          <w:sz w:val="18"/>
          <w:szCs w:val="18"/>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0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As of September 30, 2022, our portfolio based on fair value consisted of 90.4% first-lien debt investments, 1.5% second-lien investments, 0.4% mezzanine debt investments, and 7.7% equity and other investments. As of December 31, 2021, our portfolio based on fair value consisted of 91.2% first-lien debt investments, 1.7% second-lien debt investments, 0.7% mezzanine debt investments, and 6.4% equity and other investments.</w:t>
      </w:r>
    </w:p>
    <w:p>
      <w:pPr>
        <w:spacing w:after="0" w:line="169" w:lineRule="exact"/>
        <w:rPr>
          <w:sz w:val="20"/>
          <w:szCs w:val="20"/>
          <w:color w:val="auto"/>
        </w:rPr>
      </w:pPr>
    </w:p>
    <w:p>
      <w:pPr>
        <w:ind w:right="40" w:firstLine="255"/>
        <w:spacing w:after="0" w:line="280" w:lineRule="auto"/>
        <w:rPr>
          <w:sz w:val="20"/>
          <w:szCs w:val="20"/>
          <w:color w:val="auto"/>
        </w:rPr>
      </w:pPr>
      <w:r>
        <w:rPr>
          <w:rFonts w:ascii="Times New Roman" w:cs="Times New Roman" w:eastAsia="Times New Roman" w:hAnsi="Times New Roman"/>
          <w:sz w:val="17"/>
          <w:szCs w:val="17"/>
          <w:color w:val="auto"/>
        </w:rPr>
        <w:t>As of September 30, 2022 and December 31, 2021, our weighted average total yield of debt and income-producing securities at fair value (which includes interest income and amortization of fees and discounts) was 12.3% and 10.0%, respectively, and our weighted average total yield of debt and income-producing securities at amortized cost (which includes interest income and amortization of fees and discounts) was 12.2% and 10.2%, respectively.</w:t>
      </w:r>
    </w:p>
    <w:p>
      <w:pPr>
        <w:spacing w:after="0" w:line="153"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we had investments in 118 and 72 portfolio companies, respectively, with an aggregate fair value of $2,806.1 million and $2,521.6 million, respectively.</w:t>
      </w:r>
    </w:p>
    <w:p>
      <w:pPr>
        <w:spacing w:after="0" w:line="148"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the principal amount of new investments funded was $274.4 million in 25 new portfolio companies and six existing portfolio companies. For this period, we had $15.8 million aggregate principal amount in exits and repayments.</w:t>
      </w:r>
    </w:p>
    <w:p>
      <w:pPr>
        <w:spacing w:after="0" w:line="176"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2021, the principal amount of new investments funded was $65.4 million in one new portfolio companies and four existing portfolio companies. For this period, we had $283.7 million aggregate principal amount in exits and repayments.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2" w:name="page53"/>
    <w:bookmarkEnd w:id="52"/>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September 30, 2022 and 2021 is presented below (information presented herein is at par value unless otherwise indicated).</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originations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1,910.1</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7"/>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7"/>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4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7"/>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r>
      <w:tr>
        <w:trPr>
          <w:trHeight w:val="167"/>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r>
      <w:tr>
        <w:trPr>
          <w:trHeight w:val="167"/>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0"/>
                <w:szCs w:val="20"/>
                <w:color w:val="auto"/>
              </w:rPr>
            </w:pPr>
          </w:p>
        </w:tc>
      </w:tr>
      <w:tr>
        <w:trPr>
          <w:trHeight w:val="167"/>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floating rate investment commitments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0"/>
                <w:szCs w:val="20"/>
                <w:color w:val="auto"/>
              </w:rPr>
            </w:pPr>
          </w:p>
        </w:tc>
      </w:tr>
      <w:tr>
        <w:trPr>
          <w:trHeight w:val="167"/>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r>
      <w:tr>
        <w:trPr>
          <w:trHeight w:val="459"/>
        </w:trPr>
        <w:tc>
          <w:tcPr>
            <w:tcW w:w="68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9"/>
              </w:rPr>
              <w:t>As of September 30, 2022 and December 31, 2021, our investments consisted of the following:</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r>
      <w:tr>
        <w:trPr>
          <w:trHeight w:val="169"/>
        </w:trPr>
        <w:tc>
          <w:tcPr>
            <w:tcW w:w="3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4"/>
                <w:szCs w:val="14"/>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4"/>
                <w:szCs w:val="14"/>
                <w:color w:val="auto"/>
              </w:rPr>
            </w:pPr>
          </w:p>
        </w:tc>
        <w:tc>
          <w:tcPr>
            <w:tcW w:w="126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4"/>
                <w:szCs w:val="14"/>
                <w:color w:val="auto"/>
              </w:rPr>
            </w:pPr>
          </w:p>
        </w:tc>
        <w:tc>
          <w:tcPr>
            <w:tcW w:w="14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2,538.6</w:t>
            </w: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2,548.9</w:t>
            </w:r>
          </w:p>
        </w:tc>
        <w:tc>
          <w:tcPr>
            <w:tcW w:w="2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shd w:val="clear" w:color="auto" w:fill="CFF0FC"/>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8"/>
                <w:szCs w:val="18"/>
                <w:color w:val="auto"/>
              </w:rPr>
            </w:pPr>
          </w:p>
        </w:tc>
      </w:tr>
      <w:tr>
        <w:trPr>
          <w:trHeight w:val="250"/>
        </w:trPr>
        <w:tc>
          <w:tcPr>
            <w:tcW w:w="320" w:type="dxa"/>
            <w:vAlign w:val="bottom"/>
          </w:tcPr>
          <w:p>
            <w:pPr>
              <w:spacing w:after="0"/>
              <w:rPr>
                <w:sz w:val="21"/>
                <w:szCs w:val="21"/>
                <w:color w:val="auto"/>
              </w:rPr>
            </w:pPr>
          </w:p>
        </w:tc>
        <w:tc>
          <w:tcPr>
            <w:tcW w:w="44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2,792.7</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-5374005</wp:posOffset>
            </wp:positionV>
            <wp:extent cx="59690" cy="1454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-5374005</wp:posOffset>
            </wp:positionV>
            <wp:extent cx="51435" cy="1454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-4542790</wp:posOffset>
            </wp:positionV>
            <wp:extent cx="59690" cy="1460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-4542790</wp:posOffset>
            </wp:positionV>
            <wp:extent cx="51435" cy="1460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-3710940</wp:posOffset>
            </wp:positionV>
            <wp:extent cx="59690"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-3710940</wp:posOffset>
            </wp:positionV>
            <wp:extent cx="51435" cy="154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-2407920</wp:posOffset>
            </wp:positionV>
            <wp:extent cx="5700395" cy="2571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700395" cy="25717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-1893570</wp:posOffset>
            </wp:positionV>
            <wp:extent cx="5700395" cy="2571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700395" cy="2571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03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September 30, 2022 and December 31,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4"/>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3140" w:type="dxa"/>
            <w:vAlign w:val="bottom"/>
            <w:gridSpan w:val="4"/>
          </w:tcPr>
          <w:p>
            <w:pPr>
              <w:jc w:val="right"/>
              <w:ind w:right="13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5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Performing</w:t>
            </w:r>
          </w:p>
        </w:tc>
        <w:tc>
          <w:tcPr>
            <w:tcW w:w="1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2,805.9</w:t>
            </w:r>
          </w:p>
        </w:tc>
        <w:tc>
          <w:tcPr>
            <w:tcW w:w="240" w:type="dxa"/>
            <w:vAlign w:val="bottom"/>
          </w:tcPr>
          <w:p>
            <w:pPr>
              <w:spacing w:after="0"/>
              <w:rPr>
                <w:sz w:val="14"/>
                <w:szCs w:val="14"/>
                <w:color w:val="auto"/>
              </w:rPr>
            </w:pPr>
          </w:p>
        </w:tc>
        <w:tc>
          <w:tcPr>
            <w:tcW w:w="13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1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2,521.4</w:t>
            </w:r>
          </w:p>
        </w:tc>
        <w:tc>
          <w:tcPr>
            <w:tcW w:w="220" w:type="dxa"/>
            <w:vAlign w:val="bottom"/>
          </w:tcPr>
          <w:p>
            <w:pPr>
              <w:spacing w:after="0"/>
              <w:rPr>
                <w:sz w:val="14"/>
                <w:szCs w:val="14"/>
                <w:color w:val="auto"/>
              </w:rPr>
            </w:pPr>
          </w:p>
        </w:tc>
        <w:tc>
          <w:tcPr>
            <w:tcW w:w="13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100.0</w:t>
            </w:r>
          </w:p>
        </w:tc>
        <w:tc>
          <w:tcPr>
            <w:tcW w:w="660" w:type="dxa"/>
            <w:vAlign w:val="bottom"/>
          </w:tcPr>
          <w:p>
            <w:pPr>
              <w:jc w:val="right"/>
              <w:ind w:right="410"/>
              <w:spacing w:after="0" w:line="171" w:lineRule="exact"/>
              <w:rPr>
                <w:sz w:val="20"/>
                <w:szCs w:val="20"/>
                <w:color w:val="auto"/>
              </w:rPr>
            </w:pPr>
            <w:r>
              <w:rPr>
                <w:rFonts w:ascii="Times New Roman" w:cs="Times New Roman" w:eastAsia="Times New Roman" w:hAnsi="Times New Roman"/>
                <w:sz w:val="18"/>
                <w:szCs w:val="18"/>
                <w:color w:val="auto"/>
                <w:w w:val="93"/>
              </w:rPr>
              <w:t>%</w:t>
            </w:r>
          </w:p>
        </w:tc>
      </w:tr>
      <w:tr>
        <w:trPr>
          <w:trHeight w:val="254"/>
        </w:trPr>
        <w:tc>
          <w:tcPr>
            <w:tcW w:w="580" w:type="dxa"/>
            <w:vAlign w:val="bottom"/>
          </w:tcPr>
          <w:p>
            <w:pPr>
              <w:spacing w:after="0"/>
              <w:rPr>
                <w:sz w:val="22"/>
                <w:szCs w:val="22"/>
                <w:color w:val="auto"/>
              </w:rPr>
            </w:pPr>
          </w:p>
        </w:tc>
        <w:tc>
          <w:tcPr>
            <w:tcW w:w="43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2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-925195</wp:posOffset>
            </wp:positionV>
            <wp:extent cx="6412230"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-641985</wp:posOffset>
            </wp:positionV>
            <wp:extent cx="6412230" cy="1625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3" w:name="page54"/>
    <w:bookmarkEnd w:id="53"/>
    <w:tbl>
      <w:tblPr>
        <w:tblLayout w:type="fixed"/>
        <w:tblInd w:w="58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4"/>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40" w:type="dxa"/>
            <w:vAlign w:val="bottom"/>
          </w:tcPr>
          <w:p>
            <w:pPr>
              <w:spacing w:after="0"/>
              <w:rPr>
                <w:sz w:val="16"/>
                <w:szCs w:val="16"/>
                <w:color w:val="auto"/>
              </w:rPr>
            </w:pPr>
          </w:p>
        </w:tc>
        <w:tc>
          <w:tcPr>
            <w:tcW w:w="248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16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80" w:type="dxa"/>
            <w:vAlign w:val="bottom"/>
          </w:tcPr>
          <w:p>
            <w:pPr>
              <w:spacing w:after="0"/>
              <w:rPr>
                <w:sz w:val="14"/>
                <w:szCs w:val="14"/>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Pr>
          <w:p>
            <w:pPr>
              <w:spacing w:after="0"/>
              <w:rPr>
                <w:sz w:val="14"/>
                <w:szCs w:val="14"/>
                <w:color w:val="auto"/>
              </w:rPr>
            </w:pPr>
          </w:p>
        </w:tc>
      </w:tr>
      <w:tr>
        <w:trPr>
          <w:trHeight w:val="158"/>
        </w:trPr>
        <w:tc>
          <w:tcPr>
            <w:tcW w:w="43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Performing</w:t>
            </w:r>
          </w:p>
        </w:tc>
        <w:tc>
          <w:tcPr>
            <w:tcW w:w="360" w:type="dxa"/>
            <w:vAlign w:val="bottom"/>
          </w:tcPr>
          <w:p>
            <w:pPr>
              <w:jc w:val="right"/>
              <w:ind w:right="176"/>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2,804.2</w:t>
            </w:r>
          </w:p>
        </w:tc>
        <w:tc>
          <w:tcPr>
            <w:tcW w:w="240" w:type="dxa"/>
            <w:vAlign w:val="bottom"/>
          </w:tcPr>
          <w:p>
            <w:pPr>
              <w:spacing w:after="0"/>
              <w:rPr>
                <w:sz w:val="13"/>
                <w:szCs w:val="13"/>
                <w:color w:val="auto"/>
              </w:rPr>
            </w:pPr>
          </w:p>
        </w:tc>
        <w:tc>
          <w:tcPr>
            <w:tcW w:w="13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99.9</w:t>
            </w:r>
          </w:p>
        </w:tc>
        <w:tc>
          <w:tcPr>
            <w:tcW w:w="280" w:type="dxa"/>
            <w:vAlign w:val="bottom"/>
          </w:tcPr>
          <w:p>
            <w:pPr>
              <w:jc w:val="right"/>
              <w:ind w:right="10"/>
              <w:spacing w:after="0" w:line="157"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6"/>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2,428.6</w:t>
            </w:r>
          </w:p>
        </w:tc>
        <w:tc>
          <w:tcPr>
            <w:tcW w:w="220" w:type="dxa"/>
            <w:vAlign w:val="bottom"/>
          </w:tcPr>
          <w:p>
            <w:pPr>
              <w:spacing w:after="0"/>
              <w:rPr>
                <w:sz w:val="13"/>
                <w:szCs w:val="13"/>
                <w:color w:val="auto"/>
              </w:rPr>
            </w:pPr>
          </w:p>
        </w:tc>
        <w:tc>
          <w:tcPr>
            <w:tcW w:w="13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99.9</w:t>
            </w:r>
          </w:p>
        </w:tc>
        <w:tc>
          <w:tcPr>
            <w:tcW w:w="1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93"/>
              </w:rPr>
              <w:t>%</w:t>
            </w:r>
          </w:p>
        </w:tc>
      </w:tr>
      <w:tr>
        <w:trPr>
          <w:trHeight w:val="268"/>
        </w:trPr>
        <w:tc>
          <w:tcPr>
            <w:tcW w:w="43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3"/>
                <w:szCs w:val="23"/>
                <w:color w:val="auto"/>
              </w:rPr>
            </w:pPr>
          </w:p>
        </w:tc>
      </w:tr>
      <w:tr>
        <w:trPr>
          <w:trHeight w:val="20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2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5" w:lineRule="exact"/>
        <w:rPr>
          <w:sz w:val="20"/>
          <w:szCs w:val="20"/>
          <w:color w:val="auto"/>
        </w:rPr>
      </w:pPr>
    </w:p>
    <w:p>
      <w:pPr>
        <w:ind w:left="520" w:right="140" w:hanging="512"/>
        <w:spacing w:after="0" w:line="246" w:lineRule="auto"/>
        <w:tabs>
          <w:tab w:leader="none" w:pos="3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September 30, 2022 and December 31, 2021 were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56"/>
        </w:trPr>
        <w:tc>
          <w:tcPr>
            <w:tcW w:w="5220" w:type="dxa"/>
            <w:vAlign w:val="bottom"/>
            <w:vMerge w:val="continue"/>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1"/>
        </w:trPr>
        <w:tc>
          <w:tcPr>
            <w:tcW w:w="52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162"/>
        </w:trPr>
        <w:tc>
          <w:tcPr>
            <w:tcW w:w="52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Weighted average spread over reference rate of all</w:t>
            </w: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floating rate investments </w:t>
            </w:r>
            <w:r>
              <w:rPr>
                <w:rFonts w:ascii="Times New Roman" w:cs="Times New Roman" w:eastAsia="Times New Roman" w:hAnsi="Times New Roman"/>
                <w:sz w:val="24"/>
                <w:szCs w:val="24"/>
                <w:color w:val="auto"/>
                <w:vertAlign w:val="superscript"/>
              </w:rPr>
              <w:t>(2)</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-770890</wp:posOffset>
            </wp:positionV>
            <wp:extent cx="5700395" cy="2571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700395" cy="25717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-256540</wp:posOffset>
            </wp:positionV>
            <wp:extent cx="5700395" cy="2571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11.7% at September 30, 2022 and 9.4% at December 31, 2021.</w:t>
      </w:r>
    </w:p>
    <w:p>
      <w:pPr>
        <w:spacing w:after="0" w:line="3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fixed rate investments for which we entered into interest rate swap agreements to swap to floating rates.</w:t>
      </w:r>
    </w:p>
    <w:p>
      <w:pPr>
        <w:spacing w:after="0" w:line="212" w:lineRule="exact"/>
        <w:rPr>
          <w:sz w:val="20"/>
          <w:szCs w:val="20"/>
          <w:color w:val="auto"/>
        </w:rPr>
      </w:pPr>
    </w:p>
    <w:p>
      <w:pPr>
        <w:jc w:val="both"/>
        <w:ind w:right="100" w:firstLine="255"/>
        <w:spacing w:after="0" w:line="258"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1" w:lineRule="exact"/>
        <w:rPr>
          <w:sz w:val="20"/>
          <w:szCs w:val="20"/>
          <w:color w:val="auto"/>
        </w:rPr>
      </w:pPr>
    </w:p>
    <w:p>
      <w:pPr>
        <w:ind w:left="520" w:hanging="25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4"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198"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5" w:lineRule="exact"/>
        <w:rPr>
          <w:sz w:val="20"/>
          <w:szCs w:val="20"/>
          <w:color w:val="auto"/>
        </w:rPr>
      </w:pPr>
    </w:p>
    <w:p>
      <w:pPr>
        <w:jc w:val="both"/>
        <w:ind w:left="520" w:right="600" w:hanging="257"/>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55" w:lineRule="exact"/>
        <w:rPr>
          <w:rFonts w:ascii="Times New Roman" w:cs="Times New Roman" w:eastAsia="Times New Roman" w:hAnsi="Times New Roman"/>
          <w:sz w:val="18"/>
          <w:szCs w:val="18"/>
          <w:color w:val="auto"/>
        </w:rPr>
      </w:pPr>
    </w:p>
    <w:p>
      <w:pPr>
        <w:ind w:left="520" w:right="80" w:hanging="257"/>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55" w:lineRule="exact"/>
        <w:rPr>
          <w:rFonts w:ascii="Times New Roman" w:cs="Times New Roman" w:eastAsia="Times New Roman" w:hAnsi="Times New Roman"/>
          <w:sz w:val="18"/>
          <w:szCs w:val="18"/>
          <w:color w:val="auto"/>
        </w:rPr>
      </w:pPr>
    </w:p>
    <w:p>
      <w:pPr>
        <w:ind w:left="520" w:right="140" w:hanging="257"/>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7" w:right="379" w:bottom="1440" w:gutter="0" w:footer="0" w:header="0"/>
        </w:sectPr>
      </w:pPr>
    </w:p>
    <w:bookmarkStart w:id="54" w:name="page55"/>
    <w:bookmarkEnd w:id="54"/>
    <w:p>
      <w:pPr>
        <w:ind w:left="520" w:right="140" w:hanging="257"/>
        <w:spacing w:after="0" w:line="238"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Times New Roman" w:cs="Times New Roman" w:eastAsia="Times New Roman" w:hAnsi="Times New Roman"/>
          <w:sz w:val="18"/>
          <w:szCs w:val="18"/>
          <w:color w:val="auto"/>
        </w:rPr>
      </w:pPr>
    </w:p>
    <w:p>
      <w:pPr>
        <w:ind w:left="520" w:right="340" w:hanging="257"/>
        <w:spacing w:after="0" w:line="245"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67" w:lineRule="exact"/>
        <w:rPr>
          <w:sz w:val="20"/>
          <w:szCs w:val="20"/>
          <w:color w:val="auto"/>
        </w:rPr>
      </w:pPr>
    </w:p>
    <w:p>
      <w:pPr>
        <w:jc w:val="both"/>
        <w:ind w:right="200" w:firstLine="255"/>
        <w:spacing w:after="0" w:line="250"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September 30, 2022 and December 31, 2021. Investment performance ratings are accurate only as of those dates and may change due to subsequent developments relating to a portfolio company’s business or financial condition, market conditions or developments, and other factors.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20" w:type="dxa"/>
            <w:vAlign w:val="bottom"/>
            <w:gridSpan w:val="2"/>
            <w:vMerge w:val="continue"/>
          </w:tcPr>
          <w:p>
            <w:pPr>
              <w:spacing w:after="0"/>
              <w:rPr>
                <w:sz w:val="13"/>
                <w:szCs w:val="13"/>
                <w:color w:val="auto"/>
              </w:rPr>
            </w:pPr>
          </w:p>
        </w:tc>
        <w:tc>
          <w:tcPr>
            <w:tcW w:w="2760" w:type="dxa"/>
            <w:vAlign w:val="bottom"/>
            <w:gridSpan w:val="4"/>
          </w:tcPr>
          <w:p>
            <w:pPr>
              <w:jc w:val="center"/>
              <w:ind w:right="860"/>
              <w:spacing w:after="0" w:line="158"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2"/>
          </w:tcPr>
          <w:p>
            <w:pPr>
              <w:jc w:val="right"/>
              <w:ind w:right="415"/>
              <w:spacing w:after="0" w:line="158"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20" w:type="dxa"/>
            <w:vAlign w:val="bottom"/>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7"/>
        </w:trPr>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76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320" w:type="dxa"/>
            <w:vAlign w:val="bottom"/>
            <w:tcBorders>
              <w:top w:val="single" w:sz="8" w:color="auto"/>
            </w:tcBorders>
          </w:tcPr>
          <w:p>
            <w:pPr>
              <w:jc w:val="right"/>
              <w:ind w:right="114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8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520" w:type="dxa"/>
            <w:vAlign w:val="bottom"/>
          </w:tcPr>
          <w:p>
            <w:pPr>
              <w:spacing w:after="0"/>
              <w:rPr>
                <w:sz w:val="18"/>
                <w:szCs w:val="18"/>
                <w:color w:val="auto"/>
              </w:rPr>
            </w:pP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660" w:type="dxa"/>
            <w:vAlign w:val="bottom"/>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investments with an amortized cost of $1.5 million for which the fair value as of December 31, 2021 was $0.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6"/>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(68.4 )</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4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6"/>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7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top w:val="single" w:sz="8" w:color="auto"/>
            </w:tcBorders>
            <w:gridSpan w:val="4"/>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Pr>
          <w:p>
            <w:pPr>
              <w:spacing w:after="0"/>
              <w:rPr>
                <w:sz w:val="18"/>
                <w:szCs w:val="18"/>
                <w:color w:val="auto"/>
              </w:rPr>
            </w:pPr>
          </w:p>
        </w:tc>
        <w:tc>
          <w:tcPr>
            <w:tcW w:w="2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-2339340</wp:posOffset>
            </wp:positionV>
            <wp:extent cx="68580" cy="1714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-2339340</wp:posOffset>
            </wp:positionV>
            <wp:extent cx="60325" cy="1714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-2339340</wp:posOffset>
            </wp:positionV>
            <wp:extent cx="60325" cy="1714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-2339340</wp:posOffset>
            </wp:positionV>
            <wp:extent cx="60325" cy="1714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-650875</wp:posOffset>
            </wp:positionV>
            <wp:extent cx="68580" cy="1714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-650875</wp:posOffset>
            </wp:positionV>
            <wp:extent cx="60325" cy="1714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-650875</wp:posOffset>
            </wp:positionV>
            <wp:extent cx="60325" cy="1714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-650875</wp:posOffset>
            </wp:positionV>
            <wp:extent cx="60325" cy="1714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18" w:right="279" w:bottom="1440" w:gutter="0" w:footer="0" w:header="0"/>
        </w:sectPr>
      </w:pPr>
    </w:p>
    <w:bookmarkStart w:id="55" w:name="page56"/>
    <w:bookmarkEnd w:id="55"/>
    <w:p>
      <w:pPr>
        <w:ind w:right="80" w:firstLine="255"/>
        <w:spacing w:after="0" w:line="242"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$68.6 million for the three months ended September 30, 2021 to $75.1 million for the three months ended September 30, 2022. The increase in interest from investments was primarily the result of an increase in interest earned due to an increase in reference rates for the period ended September 30, 2022 compared to the same period in 2021. Accelerated amortization of upfront fees, which were primarily from unscheduled paydowns, decreased from $3.6 million for the three months ended September 30, 2021 to $0.1 million for the three months ended September 30, 2022. Prepayment fees decreased from $6.3 million for the three months ended September 30, 2021 to $0.3 million for the three months ended September 30, 2022. Accelerated amortization of upfront fees and prepayment fees primarily resulted from a full paydowns on six portfolio investments, a partial paydown on one portfolio investment, and earning prepayment fees on five portfolio investments during the three months ended September 30, 2021 and from a partial paydown on one portfolio investment and earning prepayment fees on one portfolio investment during the three months ended September 30, 2022. Other income increased from $1.8 million for the three months ended September 30, 2021 to $2.7 million for the three months ended September 30, 2022, primarily due to increased syndication fees during the three months ended September 30, 2022 compared to the same period in 2021.</w:t>
      </w:r>
    </w:p>
    <w:p>
      <w:pPr>
        <w:spacing w:after="0" w:line="80" w:lineRule="exact"/>
        <w:rPr>
          <w:sz w:val="20"/>
          <w:szCs w:val="20"/>
          <w:color w:val="auto"/>
        </w:rPr>
      </w:pPr>
    </w:p>
    <w:p>
      <w:pPr>
        <w:ind w:firstLine="255"/>
        <w:spacing w:after="0" w:line="243"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$192.5 million for the nine months ended September 30, 2021 to $201.7 million for the nine months ended September 30, 2022. The increase in interest from investments was primarily a result of an increase in interest earned due to an increase in reference rates from the period ended September 30, 2022 compared to the same period in 2021. Accelerated amortization of upfront fees from unscheduled paydowns decreased from $9.2 million for the nine months ended September 30, 2021 to $3.6 million for the nine months ended September 30, 2022. Prepayment fees decreased from $11.1 million for the nine months ended September 30, 2021 to $6.9 million for the nine months ended September 30, 2022. Accelerated amortization of upfront fees and prepayment fees primarily resulted from full paydowns on eleven portfolio investments, partial paydowns on three portfolio investments, realizations on two portfolio investments and earning prepayment fees on ten portfolio investments during the nine months ended September 30, 2021 and full paydowns on seven portfolio investments, partial paydowns on eight portfolio investments, a partial realization of one portfolio investment, a realization of one portfolio investments and earning prepayment fees on nine portfolio investments during the nine months ended September 30, 2022. Other income increased from $5.2 million for the nine months ended September 30, 2021 to $6.1 million for the nine months ended September 30, 2022, primarily due to higher syndication and amendment fees offset by decreased miscellaneous fees earned during the nine months ended September 30, 2022 compared to the same period in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1"/>
        </w:trPr>
        <w:tc>
          <w:tcPr>
            <w:tcW w:w="580" w:type="dxa"/>
            <w:vAlign w:val="bottom"/>
          </w:tcPr>
          <w:p>
            <w:pPr>
              <w:spacing w:after="0"/>
              <w:rPr>
                <w:sz w:val="11"/>
                <w:szCs w:val="11"/>
                <w:color w:val="auto"/>
              </w:rPr>
            </w:pPr>
          </w:p>
        </w:tc>
        <w:tc>
          <w:tcPr>
            <w:tcW w:w="47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1"/>
                <w:szCs w:val="11"/>
                <w:color w:val="auto"/>
              </w:rPr>
            </w:pPr>
          </w:p>
        </w:tc>
        <w:tc>
          <w:tcPr>
            <w:tcW w:w="128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08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2"/>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7"/>
        </w:trPr>
        <w:tc>
          <w:tcPr>
            <w:tcW w:w="5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71"/>
        </w:trPr>
        <w:tc>
          <w:tcPr>
            <w:tcW w:w="580" w:type="dxa"/>
            <w:vAlign w:val="bottom"/>
          </w:tcPr>
          <w:p>
            <w:pPr>
              <w:spacing w:after="0"/>
              <w:rPr>
                <w:sz w:val="14"/>
                <w:szCs w:val="14"/>
                <w:color w:val="auto"/>
              </w:rPr>
            </w:pPr>
          </w:p>
        </w:tc>
        <w:tc>
          <w:tcPr>
            <w:tcW w:w="47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Incentive fees related to pre-incentive fee net</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r>
      <w:tr>
        <w:trPr>
          <w:trHeight w:val="234"/>
        </w:trPr>
        <w:tc>
          <w:tcPr>
            <w:tcW w:w="58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171"/>
        </w:trPr>
        <w:tc>
          <w:tcPr>
            <w:tcW w:w="580" w:type="dxa"/>
            <w:vAlign w:val="bottom"/>
          </w:tcPr>
          <w:p>
            <w:pPr>
              <w:spacing w:after="0"/>
              <w:rPr>
                <w:sz w:val="14"/>
                <w:szCs w:val="14"/>
                <w:color w:val="auto"/>
              </w:rPr>
            </w:pPr>
          </w:p>
        </w:tc>
        <w:tc>
          <w:tcPr>
            <w:tcW w:w="47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Incentive fees related to realized/unrealized capital</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4"/>
        </w:trPr>
        <w:tc>
          <w:tcPr>
            <w:tcW w:w="58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02"/>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-642620</wp:posOffset>
            </wp:positionV>
            <wp:extent cx="6858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-642620</wp:posOffset>
            </wp:positionV>
            <wp:extent cx="60325"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-642620</wp:posOffset>
            </wp:positionV>
            <wp:extent cx="60325"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-642620</wp:posOffset>
            </wp:positionV>
            <wp:extent cx="60325" cy="1714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06"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$9.9 million for the three months ended September 30, 2021 to $18.9 million for the three months ended September 30, 2022. This increase was primarily due to an increase in the average interest rate on our debt outstanding and an increase in the average debt outstanding from $1,240.8 million for the three months ended September 30, 2021 to $1,490.9 million for the three months ended September 30, 2022. The average interest rate on our debt outstanding increased from 2.3% for the three months ended September 30, 2021 to 4.4% for the three months ended September 30, 2022.</w:t>
      </w:r>
    </w:p>
    <w:p>
      <w:pPr>
        <w:spacing w:after="0" w:line="69"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$29.0 million for the nine months ended September 30, 2021 to $40.4 million for the nine months ended September 30, 2022. This increase was primarily due to an increase in the average interest rate on our debt outstanding from 2.3% for the nine months ended September 30, 2021 to 3.3% for the nine months ended September 30, 2022.</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06" w:lineRule="exact"/>
        <w:rPr>
          <w:sz w:val="20"/>
          <w:szCs w:val="20"/>
          <w:color w:val="auto"/>
        </w:rPr>
      </w:pPr>
    </w:p>
    <w:p>
      <w:pPr>
        <w:ind w:right="40" w:firstLine="255"/>
        <w:spacing w:after="0" w:line="246" w:lineRule="auto"/>
        <w:rPr>
          <w:sz w:val="20"/>
          <w:szCs w:val="20"/>
          <w:color w:val="auto"/>
        </w:rPr>
      </w:pPr>
      <w:r>
        <w:rPr>
          <w:rFonts w:ascii="Times New Roman" w:cs="Times New Roman" w:eastAsia="Times New Roman" w:hAnsi="Times New Roman"/>
          <w:sz w:val="18"/>
          <w:szCs w:val="18"/>
          <w:color w:val="auto"/>
        </w:rPr>
        <w:t>Management Fees (gross of waivers) increased from $9.5 million for the three months ended September 30, 2021 to $10.3 million for the three months ended September 30, 2022 due to an increase in average assets for the three months ended September 30, 2022 compared to the same period in 2021. Management Fees (net of waivers) increased from $9.5 million for the three months ended September 30, 2021 to $10.1 million for the three months ended September 30, 2022. The Adviser waived Management Fees of less than $0.1 million and $0.2 million, respectively, for the three months ended September 30, 2021 and 2022 pursuant to the Leverage Waiver.</w:t>
      </w:r>
    </w:p>
    <w:p>
      <w:pPr>
        <w:spacing w:after="0" w:line="87" w:lineRule="exact"/>
        <w:rPr>
          <w:sz w:val="20"/>
          <w:szCs w:val="20"/>
          <w:color w:val="auto"/>
        </w:rPr>
      </w:pPr>
    </w:p>
    <w:p>
      <w:pPr>
        <w:ind w:right="40" w:firstLine="255"/>
        <w:spacing w:after="0" w:line="246" w:lineRule="auto"/>
        <w:rPr>
          <w:sz w:val="20"/>
          <w:szCs w:val="20"/>
          <w:color w:val="auto"/>
        </w:rPr>
      </w:pPr>
      <w:r>
        <w:rPr>
          <w:rFonts w:ascii="Times New Roman" w:cs="Times New Roman" w:eastAsia="Times New Roman" w:hAnsi="Times New Roman"/>
          <w:sz w:val="18"/>
          <w:szCs w:val="18"/>
          <w:color w:val="auto"/>
        </w:rPr>
        <w:t>Management Fees (gross of waivers) increased from $27.7 million for the nine months ended September 30, 2021 to $29.1 million for the nine months ended September 30, 2022 due to an increase in average assets for the nine months ended September 30, 2022 compared to the same period in 2021. Management Fees (net of waivers) increased from $27.5 million for the nine months ended September 30, 2021 to $28.9 million for the nine months ended September 30, 2022. The Adviser waived Management Fees of $0.2 million for both the nine months ended September 30, 2021 and 2022 pursuant to the Leverage Waiver.</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right="60" w:firstLine="255"/>
        <w:spacing w:after="0" w:line="244"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decreased from $8.5 million for the three months ended September 30, 2021 to $7.9 million for the three months ended September 30, 2022 . This decrease resulted from a decrease in prepayment fees earned and an increase in interest expense for the three months ended September 30, 2022. The Adviser did not waive any Incentive Fees related to pre-Incentive Fee net investment income for the three months ended September 30, 2022 or 2021. For the three months ended September 30, 2022 and 2021, less than ($0.1) million and $3.4 million, respectively, of Incentive Fees were accrued related to Capital Gains Fees. As of September 30, 2022, these accrued Incentive Fees are not contractually payable to the Adviser.</w:t>
      </w:r>
    </w:p>
    <w:p>
      <w:pPr>
        <w:spacing w:after="0" w:line="74"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decreased from $23.3 million for the nine months ended September 30, 2021 to $22.5 million for the nine months ended September 30, 2022. This decrease resulted from an increase in interest expense for the nine months ended September 30, 2022 and a decrease in prepayment fees over that period which is partially offset by an increase in interest income on investments due to higher interest rates during the period. The Adviser did not waive any Incentive Fees related to pre-Incentive Fee net investment income for the nine months ended September 30, 2022 or 2021. For the nine months ended September 30, 2022 and 2021, ($7.7) million and $13.5 million, respectively, of Incentive Fees were accrued related to Capital Gains Fees which were primarily due to unrealized losses on investments and unrealized gains on investments, respectively, as a result of changes in credit spreads. As of September 30, 2022, these accrued Incentive Fees are not contractually payable to the Adviser.</w:t>
      </w:r>
    </w:p>
    <w:p>
      <w:pPr>
        <w:spacing w:after="0" w:line="3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06" w:lineRule="exact"/>
        <w:rPr>
          <w:sz w:val="20"/>
          <w:szCs w:val="20"/>
          <w:color w:val="auto"/>
        </w:rPr>
      </w:pPr>
    </w:p>
    <w:p>
      <w:pPr>
        <w:jc w:val="both"/>
        <w:ind w:right="60" w:firstLine="255"/>
        <w:spacing w:after="0" w:line="258" w:lineRule="auto"/>
        <w:rPr>
          <w:sz w:val="20"/>
          <w:szCs w:val="20"/>
          <w:color w:val="auto"/>
        </w:rPr>
      </w:pPr>
      <w:r>
        <w:rPr>
          <w:rFonts w:ascii="Times New Roman" w:cs="Times New Roman" w:eastAsia="Times New Roman" w:hAnsi="Times New Roman"/>
          <w:sz w:val="18"/>
          <w:szCs w:val="18"/>
          <w:color w:val="auto"/>
        </w:rPr>
        <w:t>Professional fees increased from $1.6 million for the three months ended September 30, 2021 to $2.0 million for the three months ended September 30, 2022. Other general and administrative expenses decreased from $1.5 million for the three months ended September 30, 2021 to $1.2 million for the three months ended September 30, 2022.</w:t>
      </w:r>
    </w:p>
    <w:p>
      <w:pPr>
        <w:spacing w:after="0" w:line="61" w:lineRule="exact"/>
        <w:rPr>
          <w:sz w:val="20"/>
          <w:szCs w:val="20"/>
          <w:color w:val="auto"/>
        </w:rPr>
      </w:pPr>
    </w:p>
    <w:p>
      <w:pPr>
        <w:jc w:val="both"/>
        <w:ind w:right="120" w:firstLine="255"/>
        <w:spacing w:after="0" w:line="250" w:lineRule="auto"/>
        <w:rPr>
          <w:sz w:val="20"/>
          <w:szCs w:val="20"/>
          <w:color w:val="auto"/>
        </w:rPr>
      </w:pPr>
      <w:r>
        <w:rPr>
          <w:rFonts w:ascii="Times New Roman" w:cs="Times New Roman" w:eastAsia="Times New Roman" w:hAnsi="Times New Roman"/>
          <w:sz w:val="18"/>
          <w:szCs w:val="18"/>
          <w:color w:val="auto"/>
        </w:rPr>
        <w:t>Professional fees increased from $4.8 million for the nine months ended September 30, 2021 to $5.3 million for the nine months ended September 30, 2022 primarily due to higher legal costs. Other general and administrative expenses decreased from $4.7 million for the nine months ended September 30, 2021 to $4.0 million for the nine months ended September 30, 2022 primarily due to lower administrative service costs payable to the adviser.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20" w:firstLine="255"/>
        <w:spacing w:after="0" w:line="246"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1"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7" w:lineRule="exact"/>
        <w:rPr>
          <w:sz w:val="20"/>
          <w:szCs w:val="20"/>
          <w:color w:val="auto"/>
        </w:rPr>
      </w:pPr>
    </w:p>
    <w:p>
      <w:pPr>
        <w:ind w:right="300" w:firstLine="255"/>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we recorded a net expense of $0.4 million and $1.5 million, respectively, for U.S. federal excise tax and other taxes. For the three and nine months ended September 30, 2021, we recorded a net expense of $0.1 million and $0.7 million, respectively, for U.S. federal excise tax and other taxes.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and nine months ended September 30, 2022 and 2021:</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50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 in millions)</w:t>
            </w:r>
          </w:p>
        </w:tc>
        <w:tc>
          <w:tcPr>
            <w:tcW w:w="1300" w:type="dxa"/>
            <w:vAlign w:val="bottom"/>
            <w:gridSpan w:val="3"/>
          </w:tcPr>
          <w:p>
            <w:pPr>
              <w:jc w:val="right"/>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2"/>
          </w:tcPr>
          <w:p>
            <w:pPr>
              <w:jc w:val="right"/>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60" w:type="dxa"/>
            <w:vAlign w:val="bottom"/>
            <w:gridSpan w:val="3"/>
          </w:tcPr>
          <w:p>
            <w:pPr>
              <w:jc w:val="right"/>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r>
      <w:tr>
        <w:trPr>
          <w:trHeight w:val="173"/>
        </w:trPr>
        <w:tc>
          <w:tcPr>
            <w:tcW w:w="5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(10.5</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7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6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investments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borrowings</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7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6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on interest rate swaps</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1"/>
              </w:rPr>
              <w:t>(10.5 )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(24.3 )</w:t>
            </w: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w w:val="91"/>
              </w:rPr>
              <w:t>(18.8 )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(99.3 )</w:t>
            </w: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(29.2 )</w:t>
            </w:r>
          </w:p>
        </w:tc>
      </w:tr>
      <w:tr>
        <w:trPr>
          <w:trHeight w:val="160"/>
        </w:trPr>
        <w:tc>
          <w:tcPr>
            <w:tcW w:w="5040" w:type="dxa"/>
            <w:vAlign w:val="bottom"/>
            <w:tcBorders>
              <w:top w:val="single" w:sz="8" w:color="CFF0FC"/>
            </w:tcBorders>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38"/>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(11.7 )</w:t>
            </w: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(76.3 )</w:t>
            </w: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on foreign currency borrowings</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foreign currency cash</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700" w:type="dxa"/>
            <w:vAlign w:val="bottom"/>
          </w:tcPr>
          <w:p>
            <w:pPr>
              <w:spacing w:after="0"/>
              <w:rPr>
                <w:sz w:val="18"/>
                <w:szCs w:val="18"/>
                <w:color w:val="auto"/>
              </w:rPr>
            </w:pP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6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losses on interest rate swaps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(7.2 )</w:t>
            </w: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r>
      <w:tr>
        <w:trPr>
          <w:trHeight w:val="160"/>
        </w:trPr>
        <w:tc>
          <w:tcPr>
            <w:tcW w:w="5040" w:type="dxa"/>
            <w:vAlign w:val="bottom"/>
            <w:tcBorders>
              <w:top w:val="single" w:sz="8" w:color="CFF0FC"/>
            </w:tcBorders>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38"/>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 and Interest Rate Swaps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0"/>
                <w:szCs w:val="20"/>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0"/>
                <w:szCs w:val="20"/>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5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(5.1 )</w:t>
            </w: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(68.4 )</w:t>
            </w: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-1833880</wp:posOffset>
            </wp:positionV>
            <wp:extent cx="68580" cy="1714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-1833880</wp:posOffset>
            </wp:positionV>
            <wp:extent cx="68580" cy="1714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59690" cy="1714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-1833880</wp:posOffset>
            </wp:positionV>
            <wp:extent cx="60325" cy="171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-1250950</wp:posOffset>
            </wp:positionV>
            <wp:extent cx="68580" cy="2660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-1250950</wp:posOffset>
            </wp:positionV>
            <wp:extent cx="68580" cy="2660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-1250950</wp:posOffset>
            </wp:positionV>
            <wp:extent cx="59690" cy="2660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9690" cy="26606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-1250950</wp:posOffset>
            </wp:positionV>
            <wp:extent cx="60325" cy="2660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-573405</wp:posOffset>
            </wp:positionV>
            <wp:extent cx="68580" cy="2654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-573405</wp:posOffset>
            </wp:positionV>
            <wp:extent cx="68580" cy="2654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-573405</wp:posOffset>
            </wp:positionV>
            <wp:extent cx="59690" cy="2654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-573405</wp:posOffset>
            </wp:positionV>
            <wp:extent cx="60325" cy="2654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1714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1714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9690" cy="1714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 the three and nine months ended September 30, 2022, we had net realized gains on investments of $0.3 million and $14.4 million, respectively,</w:t>
      </w:r>
    </w:p>
    <w:p>
      <w:pPr>
        <w:spacing w:after="0" w:line="2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primarily driven by one investment and one investment, respectively. For the three and nine months ended September 30, 2022, we had net realized losses of $0.2 million on foreign currency transactions, primarily as a result of translating foreign currency related to our non-USD denominated investments. For the nine months ended September 30, 2022, we had net realized gains of $0.1 million, on foreign currency investments. For the three and nine months ended September 30, 2022, we had net realized losses of less than $0.1 million and $0.1 million, respectively on foreign currency borrowings. The net realized gains and losses on foreign currency borrowings were a result of payments on our revolving credit facility. For the three and nine months ended September 30, 2022, we had net realized gains on interest rate swaps of $2.3 million related to the reversal of unrealized gains for upfront fees on the interest rate swaps associated with the 2022 Convertible Notes.</w:t>
      </w:r>
    </w:p>
    <w:p>
      <w:pPr>
        <w:spacing w:after="0" w:line="19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had $12.6 million in unrealized gains on 30 portfolio company investments, which was offset by $24.3 million in unrealized losses on 88 portfolio company investments. Unrealized gains resulted from an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58" w:name="page59"/>
    <w:bookmarkEnd w:id="58"/>
    <w:p>
      <w:pPr>
        <w:ind w:right="100"/>
        <w:spacing w:after="0" w:line="247" w:lineRule="auto"/>
        <w:rPr>
          <w:sz w:val="20"/>
          <w:szCs w:val="20"/>
          <w:color w:val="auto"/>
        </w:rPr>
      </w:pPr>
      <w:r>
        <w:rPr>
          <w:rFonts w:ascii="Times New Roman" w:cs="Times New Roman" w:eastAsia="Times New Roman" w:hAnsi="Times New Roman"/>
          <w:sz w:val="18"/>
          <w:szCs w:val="18"/>
          <w:color w:val="auto"/>
        </w:rPr>
        <w:t>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 For the nine months ended September 30, 2022, we had $23.0 million in unrealized gains on 17 portfolio company investments, which was offset by $99.3 million in unrealized losses on 110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w:t>
      </w:r>
    </w:p>
    <w:p>
      <w:pPr>
        <w:spacing w:after="0" w:line="180" w:lineRule="exact"/>
        <w:rPr>
          <w:sz w:val="20"/>
          <w:szCs w:val="20"/>
          <w:color w:val="auto"/>
        </w:rPr>
      </w:pPr>
    </w:p>
    <w:p>
      <w:pPr>
        <w:ind w:firstLine="255"/>
        <w:spacing w:after="0" w:line="247" w:lineRule="auto"/>
        <w:rPr>
          <w:sz w:val="20"/>
          <w:szCs w:val="20"/>
          <w:color w:val="auto"/>
        </w:rPr>
      </w:pPr>
      <w:r>
        <w:rPr>
          <w:rFonts w:ascii="Times New Roman" w:cs="Times New Roman" w:eastAsia="Times New Roman" w:hAnsi="Times New Roman"/>
          <w:sz w:val="18"/>
          <w:szCs w:val="18"/>
          <w:color w:val="auto"/>
        </w:rPr>
        <w:t>For the three and nine months ended September 30, 2022, we had unrealized gains on foreign currency borrowings of $9.2 million and $15.1 million, respectively, on foreign currency borrowings, as a result of fluctuations in the AUD, CAD, EUR and GBP exchange rates. For the three and nine months ended September 30, 2022, we had unrealized losses on foreign currency cash of less than $0.1 million. For the three and nine months ended September 30, 2022, we had unrealized losses on interest rate swaps of $2.6 million and $7.2 million, respectively, due to fluctuations in interest rates and the periodic settlement of interest rate swaps and the reversal of unrealized gains less for upfront fees received on the interest rate swaps associated with the 2022 Convertible Notes.</w:t>
      </w:r>
    </w:p>
    <w:p>
      <w:pPr>
        <w:spacing w:after="0" w:line="180"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7"/>
          <w:szCs w:val="17"/>
          <w:color w:val="auto"/>
        </w:rPr>
        <w:t>For the three and nine months ended September 30, 2021, we had net realized losses on investments of $10.5 million and net realized gains on investments of $6.1 million, respectively, primarily driven by one investment and four investments, respectively. For the three and nine months ended September 30, 2021, we had net realized losses of less than $0.1 million on foreign currency transactions, primarily as a result of translating foreign currency related to our non-USD denominated investments. For the three and nine months ended September 30, 2021, we had net realized losses of less than $0.1 million, on foreign currency investments. For the three and nine months ended September 30, 2021, we had net realized losses of less than $0.1 million, on foreign currency borrowings. The net realized losses on foreign currency borrowings were a result of payments on our revolving credit facility.</w:t>
      </w:r>
    </w:p>
    <w:p>
      <w:pPr>
        <w:spacing w:after="0" w:line="168" w:lineRule="exact"/>
        <w:rPr>
          <w:sz w:val="20"/>
          <w:szCs w:val="20"/>
          <w:color w:val="auto"/>
        </w:rPr>
      </w:pPr>
    </w:p>
    <w:p>
      <w:pPr>
        <w:ind w:right="120" w:firstLine="255"/>
        <w:spacing w:after="0" w:line="243" w:lineRule="auto"/>
        <w:rPr>
          <w:sz w:val="20"/>
          <w:szCs w:val="20"/>
          <w:color w:val="auto"/>
        </w:rPr>
      </w:pPr>
      <w:r>
        <w:rPr>
          <w:rFonts w:ascii="Times New Roman" w:cs="Times New Roman" w:eastAsia="Times New Roman" w:hAnsi="Times New Roman"/>
          <w:sz w:val="18"/>
          <w:szCs w:val="18"/>
          <w:color w:val="auto"/>
        </w:rPr>
        <w:t>For the three months ended September 30, 2021, we had $45.6 million in unrealized gains on 32 portfolio company investments, which was offset by $18.8 million in unrealized losses on 38 portfolio company investments. Unrealized gains resulted from an increase in fair value, primarily due to tightening of credit spreads and positive portfolio company specific developments. Unrealized losses primarily resulted from the unwind of prior period unrealized gains due to realizations and negative portfolio company specific developments. For the nine months ended September 30, 2021, we had $97.4 million in unrealized gains on 48 portfolio company investments, which was offset by $29.2 million in unrealized losses on 29 portfolio company investments. Unrealized gains resulted from an increase in fair value, primarily due to tightening of credit spreads and positive portfolio company specific developments. Unrealized losses primarily resulted from the unwind of prior period unrealized gains due to realizations and negative portfolio company specific developments.</w:t>
      </w:r>
    </w:p>
    <w:p>
      <w:pPr>
        <w:spacing w:after="0" w:line="186" w:lineRule="exact"/>
        <w:rPr>
          <w:sz w:val="20"/>
          <w:szCs w:val="20"/>
          <w:color w:val="auto"/>
        </w:rPr>
      </w:pPr>
    </w:p>
    <w:p>
      <w:pPr>
        <w:ind w:right="300" w:firstLine="255"/>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2021, we had unrealized gains on foreign currency borrowings of $3.7 million and $4.3 million, respectively, as a result of fluctuations in the AUD, CAD and EUR exchange rates. For the three and nine months ended September 30, 2021, we had unrealized losses on interest rate swaps of $1.5 million and $4.8 million, respectively, due to fluctuations in interest rates and the periodic settlement of interest rate swaps.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08" w:lineRule="exact"/>
        <w:rPr>
          <w:sz w:val="20"/>
          <w:szCs w:val="20"/>
          <w:color w:val="auto"/>
        </w:rPr>
      </w:pPr>
    </w:p>
    <w:p>
      <w:pPr>
        <w:jc w:val="both"/>
        <w:ind w:right="60" w:firstLine="255"/>
        <w:spacing w:after="0" w:line="258" w:lineRule="auto"/>
        <w:rPr>
          <w:sz w:val="20"/>
          <w:szCs w:val="20"/>
          <w:color w:val="auto"/>
        </w:rPr>
      </w:pPr>
      <w:r>
        <w:rPr>
          <w:rFonts w:ascii="Times New Roman" w:cs="Times New Roman" w:eastAsia="Times New Roman" w:hAnsi="Times New Roman"/>
          <w:sz w:val="18"/>
          <w:szCs w:val="18"/>
          <w:color w:val="auto"/>
        </w:rPr>
        <w:t>Since we began investing in 2011 through September 30, 2022 weighted by capital invested, our exited investments have generated an average realized gross internal rate of return to us of 17.8% (based on total capital invested of $6.4 billion and total proceeds from these exited investments of $8.0 billion). Ninety-one percent of these exited investments resulted in a realized gross internal rate of return to us of 10% or greater.</w:t>
      </w:r>
    </w:p>
    <w:p>
      <w:pPr>
        <w:spacing w:after="0" w:line="169" w:lineRule="exact"/>
        <w:rPr>
          <w:sz w:val="20"/>
          <w:szCs w:val="20"/>
          <w:color w:val="auto"/>
        </w:rPr>
      </w:pPr>
    </w:p>
    <w:p>
      <w:pPr>
        <w:ind w:right="320" w:firstLine="255"/>
        <w:spacing w:after="0" w:line="258"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69" w:lineRule="exact"/>
        <w:rPr>
          <w:sz w:val="20"/>
          <w:szCs w:val="20"/>
          <w:color w:val="auto"/>
        </w:rPr>
      </w:pPr>
    </w:p>
    <w:p>
      <w:pPr>
        <w:jc w:val="both"/>
        <w:ind w:right="140" w:firstLine="255"/>
        <w:spacing w:after="0" w:line="296" w:lineRule="auto"/>
        <w:rPr>
          <w:sz w:val="20"/>
          <w:szCs w:val="20"/>
          <w:color w:val="auto"/>
        </w:rPr>
      </w:pPr>
      <w:r>
        <w:rPr>
          <w:rFonts w:ascii="Times New Roman" w:cs="Times New Roman" w:eastAsia="Times New Roman" w:hAnsi="Times New Roman"/>
          <w:sz w:val="17"/>
          <w:szCs w:val="17"/>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5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9" w:name="page60"/>
    <w:bookmarkEnd w:id="59"/>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9" w:lineRule="exact"/>
        <w:rPr>
          <w:sz w:val="20"/>
          <w:szCs w:val="20"/>
          <w:color w:val="auto"/>
        </w:rPr>
      </w:pPr>
    </w:p>
    <w:p>
      <w:pPr>
        <w:ind w:right="120" w:firstLine="255"/>
        <w:spacing w:after="0" w:line="250"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or foreign currency borrowings allocable to the investment, if any.</w:t>
      </w:r>
    </w:p>
    <w:p>
      <w:pPr>
        <w:spacing w:after="0" w:line="191" w:lineRule="exact"/>
        <w:rPr>
          <w:sz w:val="20"/>
          <w:szCs w:val="20"/>
          <w:color w:val="auto"/>
        </w:rPr>
      </w:pPr>
    </w:p>
    <w:p>
      <w:pPr>
        <w:ind w:right="40" w:firstLine="255"/>
        <w:spacing w:after="0" w:line="246"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or foreign currency borrowings allocable to the investment, if 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08" w:lineRule="exact"/>
        <w:rPr>
          <w:sz w:val="20"/>
          <w:szCs w:val="20"/>
          <w:color w:val="auto"/>
        </w:rPr>
      </w:pPr>
    </w:p>
    <w:p>
      <w:pPr>
        <w:ind w:right="180" w:firstLine="255"/>
        <w:spacing w:after="0" w:line="250"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w:t>
      </w:r>
    </w:p>
    <w:p>
      <w:pPr>
        <w:spacing w:after="0" w:line="69" w:lineRule="exact"/>
        <w:rPr>
          <w:sz w:val="20"/>
          <w:szCs w:val="20"/>
          <w:color w:val="auto"/>
        </w:rPr>
      </w:pPr>
    </w:p>
    <w:p>
      <w:pPr>
        <w:ind w:right="400" w:firstLine="255"/>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we incurred $9.2 million and $15.1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2022.</w:t>
      </w:r>
    </w:p>
    <w:p>
      <w:pPr>
        <w:spacing w:after="0" w:line="61" w:lineRule="exact"/>
        <w:rPr>
          <w:sz w:val="20"/>
          <w:szCs w:val="20"/>
          <w:color w:val="auto"/>
        </w:rPr>
      </w:pPr>
    </w:p>
    <w:p>
      <w:pPr>
        <w:ind w:firstLine="30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2021, we incurred $3.7 million and $4.3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2021.</w:t>
      </w:r>
    </w:p>
    <w:p>
      <w:pPr>
        <w:spacing w:after="0" w:line="264" w:lineRule="exact"/>
        <w:rPr>
          <w:sz w:val="20"/>
          <w:szCs w:val="20"/>
          <w:color w:val="auto"/>
        </w:rPr>
      </w:pPr>
    </w:p>
    <w:p>
      <w:pPr>
        <w:jc w:val="both"/>
        <w:ind w:right="420" w:firstLine="255"/>
        <w:spacing w:after="0" w:line="258" w:lineRule="auto"/>
        <w:rPr>
          <w:sz w:val="20"/>
          <w:szCs w:val="20"/>
          <w:color w:val="auto"/>
        </w:rPr>
      </w:pPr>
      <w:r>
        <w:rPr>
          <w:rFonts w:ascii="Times New Roman" w:cs="Times New Roman" w:eastAsia="Times New Roman" w:hAnsi="Times New Roman"/>
          <w:sz w:val="18"/>
          <w:szCs w:val="18"/>
          <w:color w:val="auto"/>
        </w:rPr>
        <w:t>See Note 2 for additional disclosure regarding our accounting for foreign currency. See Note 7 for additional disclosure regarding the amounts of outstanding debt denominated in each foreign currency at September 30, 2022. See our consolidated schedule of investments for additional disclosure regarding the foreign currency amounts (in both par and fair value) of our non-U.S. dollar denominated investments.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right="120" w:firstLine="255"/>
        <w:spacing w:after="0" w:line="242"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September 30, 2022 and December 31, 2021, our asset coverage ratio was 186.6% and 205.4%, respectively. We carefully consider our unfunded commitments for the purpose of planning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0" w:name="page61"/>
    <w:bookmarkEnd w:id="60"/>
    <w:p>
      <w:pPr>
        <w:ind w:right="60"/>
        <w:spacing w:after="0" w:line="258" w:lineRule="auto"/>
        <w:rPr>
          <w:sz w:val="20"/>
          <w:szCs w:val="20"/>
          <w:color w:val="auto"/>
        </w:rPr>
      </w:pPr>
      <w:r>
        <w:rPr>
          <w:rFonts w:ascii="Times New Roman" w:cs="Times New Roman" w:eastAsia="Times New Roman" w:hAnsi="Times New Roman"/>
          <w:sz w:val="18"/>
          <w:szCs w:val="18"/>
          <w:color w:val="auto"/>
        </w:rPr>
        <w:t>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61"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Cash and cash equivalents as of September 30, 2022, taken together with cash available under our credit facilities, is expected to be sufficient for our investing activities and to conduct our operations in the near term. As of September 30, 2022, we had approximately $0.8 billion of availability on our Revolving Credit Facility, subject to asset coverage limitations.</w:t>
      </w:r>
    </w:p>
    <w:p>
      <w:pPr>
        <w:spacing w:after="0" w:line="61" w:lineRule="exact"/>
        <w:rPr>
          <w:sz w:val="20"/>
          <w:szCs w:val="20"/>
          <w:color w:val="auto"/>
        </w:rPr>
      </w:pPr>
    </w:p>
    <w:p>
      <w:pPr>
        <w:ind w:right="20" w:firstLine="255"/>
        <w:spacing w:after="0" w:line="243" w:lineRule="auto"/>
        <w:rPr>
          <w:sz w:val="20"/>
          <w:szCs w:val="20"/>
          <w:color w:val="auto"/>
        </w:rPr>
      </w:pPr>
      <w:r>
        <w:rPr>
          <w:rFonts w:ascii="Times New Roman" w:cs="Times New Roman" w:eastAsia="Times New Roman" w:hAnsi="Times New Roman"/>
          <w:sz w:val="18"/>
          <w:szCs w:val="18"/>
          <w:color w:val="auto"/>
        </w:rPr>
        <w:t>As of September 30, 2022, we had $30.3 million in cash and cash equivalents, including $15.6 million of restricted cash, an increase of $14.3 million from December 31, 2021. During the nine months ended September 30, 2022, cash used in operating activities was $278.8 million, primarily attributable to funding portfolio investments of $735.9 million, and other operating activity of $17.0 million which was partially offset by repayments and proceeds from investments of $412.2 million and an increase in net assets resulting from operations of $61.8 million. Cash provided by financing activities was $293.1 million during the period due to borrowings of $1,024.5 million and the issuance of common stock as settlement of a portion of the 2022 Convertible Notes at maturity of $77.6 million, which was partially offset by paydowns on our Revolving Credit Facility of $586.6 million, dividends paid of $115.2 million, settlement of $100.0 million of principal on the 2022 Convertible Notes, repurchases of common stock of $3.0 million, and deferred financing costs of $4.3 million.</w:t>
      </w:r>
    </w:p>
    <w:p>
      <w:pPr>
        <w:spacing w:after="0" w:line="92"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2022, we had $15.6 million of restricted cash pledged as collateral under our interest rate swap agreements, an increase of $1.2 million from December 31, 2021 primarily due to a decrease in the fair value of our swaps.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08" w:lineRule="exact"/>
        <w:rPr>
          <w:sz w:val="20"/>
          <w:szCs w:val="20"/>
          <w:color w:val="auto"/>
        </w:rPr>
      </w:pPr>
    </w:p>
    <w:p>
      <w:pPr>
        <w:ind w:right="460" w:firstLine="255"/>
        <w:spacing w:after="0" w:line="236" w:lineRule="auto"/>
        <w:rPr>
          <w:sz w:val="20"/>
          <w:szCs w:val="20"/>
          <w:color w:val="auto"/>
        </w:rPr>
      </w:pPr>
      <w:r>
        <w:rPr>
          <w:rFonts w:ascii="Times New Roman" w:cs="Times New Roman" w:eastAsia="Times New Roman" w:hAnsi="Times New Roman"/>
          <w:sz w:val="18"/>
          <w:szCs w:val="18"/>
          <w:color w:val="auto"/>
        </w:rPr>
        <w:t>On February 23, 2021, we issued a total of 4,000,000 shares of common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172" w:lineRule="exact"/>
        <w:rPr>
          <w:sz w:val="20"/>
          <w:szCs w:val="20"/>
          <w:color w:val="auto"/>
        </w:rPr>
      </w:pPr>
    </w:p>
    <w:p>
      <w:pPr>
        <w:jc w:val="both"/>
        <w:ind w:right="120" w:firstLine="255"/>
        <w:spacing w:after="0" w:line="250" w:lineRule="auto"/>
        <w:rPr>
          <w:sz w:val="20"/>
          <w:szCs w:val="20"/>
          <w:color w:val="auto"/>
        </w:rPr>
      </w:pPr>
      <w:r>
        <w:rPr>
          <w:rFonts w:ascii="Times New Roman" w:cs="Times New Roman" w:eastAsia="Times New Roman" w:hAnsi="Times New Roman"/>
          <w:sz w:val="18"/>
          <w:szCs w:val="18"/>
          <w:color w:val="auto"/>
        </w:rPr>
        <w:t>In December 2021, we issued a total of 2,324,820 shares of common stock, or $42.3 million as settlement for the conversion of $42.8 million principal amount of the 2022 Convertible Notes.</w:t>
      </w:r>
    </w:p>
    <w:p>
      <w:pPr>
        <w:spacing w:after="0" w:line="163" w:lineRule="exact"/>
        <w:rPr>
          <w:sz w:val="20"/>
          <w:szCs w:val="20"/>
          <w:color w:val="auto"/>
        </w:rPr>
      </w:pPr>
    </w:p>
    <w:p>
      <w:pPr>
        <w:ind w:right="420" w:firstLine="255"/>
        <w:spacing w:after="0" w:line="250" w:lineRule="auto"/>
        <w:rPr>
          <w:sz w:val="20"/>
          <w:szCs w:val="20"/>
          <w:color w:val="auto"/>
        </w:rPr>
      </w:pPr>
      <w:r>
        <w:rPr>
          <w:rFonts w:ascii="Times New Roman" w:cs="Times New Roman" w:eastAsia="Times New Roman" w:hAnsi="Times New Roman"/>
          <w:sz w:val="18"/>
          <w:szCs w:val="18"/>
          <w:color w:val="auto"/>
        </w:rPr>
        <w:t>In August 2022, we issued a total of 4,360,125 share of common stock, or $78.1 million as settlement for the conversion of $79.2 million principal amount of the 2022 Convertible Notes.</w:t>
      </w:r>
    </w:p>
    <w:p>
      <w:pPr>
        <w:spacing w:after="0" w:line="163" w:lineRule="exact"/>
        <w:rPr>
          <w:sz w:val="20"/>
          <w:szCs w:val="20"/>
          <w:color w:val="auto"/>
        </w:rPr>
      </w:pPr>
    </w:p>
    <w:p>
      <w:pPr>
        <w:ind w:right="400" w:firstLine="25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and 2021, we also issued 1,219,840 and 1,115,079 shares of our common stock, respectively, to investors who have not opted out of our dividend reinvestment plan for proceeds of $23.7 million and $23.4 million, respectively.</w:t>
      </w:r>
    </w:p>
    <w:p>
      <w:pPr>
        <w:spacing w:after="0" w:line="149" w:lineRule="exact"/>
        <w:rPr>
          <w:sz w:val="20"/>
          <w:szCs w:val="20"/>
          <w:color w:val="auto"/>
        </w:rPr>
      </w:pPr>
    </w:p>
    <w:p>
      <w:pPr>
        <w:jc w:val="both"/>
        <w:ind w:right="120" w:firstLine="255"/>
        <w:spacing w:after="0"/>
        <w:rPr>
          <w:sz w:val="20"/>
          <w:szCs w:val="20"/>
          <w:color w:val="auto"/>
        </w:rPr>
      </w:pPr>
      <w:r>
        <w:rPr>
          <w:rFonts w:ascii="Times New Roman" w:cs="Times New Roman" w:eastAsia="Times New Roman" w:hAnsi="Times New Roman"/>
          <w:sz w:val="18"/>
          <w:szCs w:val="18"/>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171" w:lineRule="exact"/>
        <w:rPr>
          <w:sz w:val="20"/>
          <w:szCs w:val="20"/>
          <w:color w:val="auto"/>
        </w:rPr>
      </w:pPr>
    </w:p>
    <w:p>
      <w:pPr>
        <w:ind w:right="200" w:firstLine="255"/>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repurchased 180,542 shares at a weighted average share price of $16.62 inclusive of commissions, for a total cost of $3.0 million. No shares were repurchased during the nine months ended September 30,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2022 and December 31,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9"/>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79"/>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6"/>
        </w:trPr>
        <w:tc>
          <w:tcPr>
            <w:tcW w:w="58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5"/>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9"/>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0"/>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2023 Notes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Notes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56"/>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-530860</wp:posOffset>
            </wp:positionV>
            <wp:extent cx="685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-513715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-530860</wp:posOffset>
            </wp:positionV>
            <wp:extent cx="6032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-513715</wp:posOffset>
            </wp:positionV>
            <wp:extent cx="6032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-530860</wp:posOffset>
            </wp:positionV>
            <wp:extent cx="6032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-513715</wp:posOffset>
            </wp:positionV>
            <wp:extent cx="6032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-530860</wp:posOffset>
            </wp:positionV>
            <wp:extent cx="6032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ind w:left="520" w:right="880" w:hanging="512"/>
        <w:spacing w:after="0" w:line="254"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20" w:right="440" w:hanging="512"/>
        <w:spacing w:after="0" w:line="24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2023 Notes, 2024 Notes and 2026 Notes are presented net of the combination of deferred financing costs and original issue discounts totaling $13.9 million, $0.2 million, $2.9 million and $4.4 million, respectively.</w:t>
      </w:r>
    </w:p>
    <w:p>
      <w:pPr>
        <w:spacing w:after="0" w:line="1" w:lineRule="exact"/>
        <w:rPr>
          <w:rFonts w:ascii="Times New Roman" w:cs="Times New Roman" w:eastAsia="Times New Roman" w:hAnsi="Times New Roman"/>
          <w:sz w:val="18"/>
          <w:szCs w:val="18"/>
          <w:color w:val="auto"/>
        </w:rPr>
      </w:pPr>
    </w:p>
    <w:p>
      <w:pPr>
        <w:ind w:left="520" w:right="200" w:hanging="512"/>
        <w:spacing w:after="0" w:line="273" w:lineRule="auto"/>
        <w:tabs>
          <w:tab w:leader="none" w:pos="5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values of the 2024 Notes and 2026 Notes are presented inclusive of an incremental ($19.9) million and ($38.4) million, respectively, which represents an adjustment in the carrying values of the 2024 Notes and 2026 Notes, each resulting from a hedge accounting relationship.</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55"/>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78"/>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r>
      <w:tr>
        <w:trPr>
          <w:trHeight w:val="206"/>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5"/>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8"/>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100" w:type="dxa"/>
            <w:vAlign w:val="bottom"/>
          </w:tcPr>
          <w:p>
            <w:pPr>
              <w:spacing w:after="0"/>
              <w:rPr>
                <w:sz w:val="17"/>
                <w:szCs w:val="17"/>
                <w:color w:val="auto"/>
              </w:rPr>
            </w:pPr>
          </w:p>
        </w:tc>
      </w:tr>
      <w:tr>
        <w:trPr>
          <w:trHeight w:val="210"/>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18"/>
                <w:szCs w:val="18"/>
                <w:color w:val="auto"/>
              </w:rPr>
            </w:pPr>
          </w:p>
        </w:tc>
      </w:tr>
      <w:tr>
        <w:trPr>
          <w:trHeight w:val="216"/>
        </w:trPr>
        <w:tc>
          <w:tcPr>
            <w:tcW w:w="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10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-170815</wp:posOffset>
            </wp:positionV>
            <wp:extent cx="68580" cy="1714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1714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1714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4" w:lineRule="exact"/>
        <w:rPr>
          <w:sz w:val="20"/>
          <w:szCs w:val="20"/>
          <w:color w:val="auto"/>
        </w:rPr>
      </w:pPr>
    </w:p>
    <w:p>
      <w:pPr>
        <w:ind w:left="520" w:right="880" w:hanging="512"/>
        <w:spacing w:after="0" w:line="24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jc w:val="both"/>
        <w:ind w:left="520" w:right="36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2024 Notes and 2026 Notes are presented net of the combination of deferred financing costs and original issue discounts totaling $11.8 million, $0.3 million, $0.7 million and $4.0 million and $5.3 million, respectively.</w:t>
      </w:r>
    </w:p>
    <w:p>
      <w:pPr>
        <w:ind w:left="520" w:right="100" w:hanging="512"/>
        <w:spacing w:after="0" w:line="258"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2024 Notes and 2026 Notes are presented inclusive of an incremental $4.4 million and ($10.2) million, which represents an adjustment in the carrying values of the 2024 Notes and 2026 Notes, each resulting from a hedge accounting relationship.</w:t>
      </w:r>
    </w:p>
    <w:p>
      <w:pPr>
        <w:spacing w:after="0" w:line="15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we were in compliance with the terms of our debt arrangements. We intend to continue to utilize our credit facilities to fund investments and for other general corporate purposes.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06" w:lineRule="exact"/>
        <w:rPr>
          <w:sz w:val="20"/>
          <w:szCs w:val="20"/>
          <w:color w:val="auto"/>
        </w:rPr>
      </w:pPr>
    </w:p>
    <w:p>
      <w:pPr>
        <w:ind w:right="200" w:firstLine="255"/>
        <w:spacing w:after="0" w:line="242"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97" w:lineRule="exact"/>
        <w:rPr>
          <w:sz w:val="20"/>
          <w:szCs w:val="20"/>
          <w:color w:val="auto"/>
        </w:rPr>
      </w:pPr>
    </w:p>
    <w:p>
      <w:pPr>
        <w:jc w:val="both"/>
        <w:ind w:right="60" w:firstLine="255"/>
        <w:spacing w:after="0" w:line="258" w:lineRule="auto"/>
        <w:rPr>
          <w:sz w:val="20"/>
          <w:szCs w:val="20"/>
          <w:color w:val="auto"/>
        </w:rPr>
      </w:pPr>
      <w:r>
        <w:rPr>
          <w:rFonts w:ascii="Times New Roman" w:cs="Times New Roman" w:eastAsia="Times New Roman" w:hAnsi="Times New Roman"/>
          <w:sz w:val="18"/>
          <w:szCs w:val="18"/>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us, under certain circumstances, to increase the size of the facility to up to $2.0 billion.</w:t>
      </w:r>
    </w:p>
    <w:p>
      <w:pPr>
        <w:spacing w:after="0" w:line="169" w:lineRule="exact"/>
        <w:rPr>
          <w:sz w:val="20"/>
          <w:szCs w:val="20"/>
          <w:color w:val="auto"/>
        </w:rPr>
      </w:pPr>
    </w:p>
    <w:p>
      <w:pPr>
        <w:ind w:right="120" w:firstLine="255"/>
        <w:spacing w:after="0" w:line="246" w:lineRule="auto"/>
        <w:rPr>
          <w:sz w:val="20"/>
          <w:szCs w:val="20"/>
          <w:color w:val="auto"/>
        </w:rPr>
      </w:pPr>
      <w:r>
        <w:rPr>
          <w:rFonts w:ascii="Times New Roman" w:cs="Times New Roman" w:eastAsia="Times New Roman" w:hAnsi="Times New Roman"/>
          <w:sz w:val="18"/>
          <w:szCs w:val="18"/>
          <w:color w:val="auto"/>
        </w:rPr>
        <w:t>Pursuant to the Twelfth Amendment, with respect to $1.510 billion in commitments, the revolving period, during which period we, subject to certain conditions, may make borrowings under the facility, was extended to April 24, 2026 and the stated maturity date was extended to April 23, 2027. For the remaining $75.0 million of commitments, (A) with respect to $25.0 million of commitments, the revolving period ends January 31, 2024 and the stated maturity is January 31, 2025 and (B) with respect to $50.0 million of commitments, the revolving period ends on February 4, 2025 and the stated maturity is February 4, 2026.</w:t>
      </w:r>
    </w:p>
    <w:p>
      <w:pPr>
        <w:spacing w:after="0" w:line="195" w:lineRule="exact"/>
        <w:rPr>
          <w:sz w:val="20"/>
          <w:szCs w:val="20"/>
          <w:color w:val="auto"/>
        </w:rPr>
      </w:pPr>
    </w:p>
    <w:p>
      <w:pPr>
        <w:ind w:right="800" w:firstLine="255"/>
        <w:spacing w:after="0" w:line="266" w:lineRule="auto"/>
        <w:rPr>
          <w:sz w:val="20"/>
          <w:szCs w:val="20"/>
          <w:color w:val="auto"/>
        </w:rPr>
      </w:pPr>
      <w:r>
        <w:rPr>
          <w:rFonts w:ascii="Times New Roman" w:cs="Times New Roman" w:eastAsia="Times New Roman" w:hAnsi="Times New Roman"/>
          <w:sz w:val="18"/>
          <w:szCs w:val="18"/>
          <w:color w:val="auto"/>
        </w:rPr>
        <w:t>Pursuant to an amendment to the Revolving Credit Facility dated as of May 19, 2022 (the “Thirteenth Amendment”), certain non-substantive administrative and operational elements were updated.</w:t>
      </w:r>
    </w:p>
    <w:p>
      <w:pPr>
        <w:spacing w:after="0" w:line="16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September 30, 2022, we had outstanding debt denominated in Australian Dollars (AUD) of 59.0 million, British pounds (GBP) of 7.9 million, Canadian Dollars (CAD) of 111.5 million, and Euro (EUR) of 13.6 million on our Revolving Credit Facility, included in the Outstanding Principal amount in the table above.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2" w:name="page63"/>
    <w:bookmarkEnd w:id="62"/>
    <w:p>
      <w:pPr>
        <w:ind w:right="180" w:firstLine="255"/>
        <w:spacing w:after="0" w:line="250"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$75.0 million. As of September 30, 2022 we had less than $0.1 million letters of credit issued through the Revolving Credit Facility and as of December 31, 2021, we had no outstanding letters of credit issued through the Revolving Credit Facility. The amount available for borrowing under the Revolving Credit Facility is reduced by any letters of credit issued through the Revolving Credit Facility.</w:t>
      </w:r>
    </w:p>
    <w:p>
      <w:pPr>
        <w:spacing w:after="0" w:line="191" w:lineRule="exact"/>
        <w:rPr>
          <w:sz w:val="20"/>
          <w:szCs w:val="20"/>
          <w:color w:val="auto"/>
        </w:rPr>
      </w:pPr>
    </w:p>
    <w:p>
      <w:pPr>
        <w:ind w:right="520" w:firstLine="255"/>
        <w:spacing w:after="0" w:line="260" w:lineRule="auto"/>
        <w:rPr>
          <w:sz w:val="20"/>
          <w:szCs w:val="20"/>
          <w:color w:val="auto"/>
        </w:rPr>
      </w:pPr>
      <w:r>
        <w:rPr>
          <w:rFonts w:ascii="Times New Roman" w:cs="Times New Roman" w:eastAsia="Times New Roman" w:hAnsi="Times New Roman"/>
          <w:sz w:val="17"/>
          <w:szCs w:val="17"/>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w:t>
      </w:r>
    </w:p>
    <w:p>
      <w:pPr>
        <w:spacing w:after="0" w:line="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7" w:lineRule="exact"/>
        <w:rPr>
          <w:sz w:val="20"/>
          <w:szCs w:val="20"/>
          <w:color w:val="auto"/>
        </w:rPr>
      </w:pPr>
    </w:p>
    <w:p>
      <w:pPr>
        <w:ind w:right="160" w:firstLine="255"/>
        <w:spacing w:after="0" w:line="250"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68" w:lineRule="exact"/>
        <w:rPr>
          <w:sz w:val="20"/>
          <w:szCs w:val="20"/>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January 31, 2020; and</w:t>
      </w:r>
    </w:p>
    <w:p>
      <w:pPr>
        <w:spacing w:after="0" w:line="90" w:lineRule="exact"/>
        <w:rPr>
          <w:rFonts w:ascii="Times New Roman" w:cs="Times New Roman" w:eastAsia="Times New Roman" w:hAnsi="Times New Roman"/>
          <w:sz w:val="18"/>
          <w:szCs w:val="18"/>
          <w:color w:val="auto"/>
        </w:rPr>
      </w:pPr>
    </w:p>
    <w:p>
      <w:pPr>
        <w:ind w:left="520" w:right="320" w:hanging="25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85"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49"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92" w:lineRule="exact"/>
        <w:rPr>
          <w:sz w:val="20"/>
          <w:szCs w:val="20"/>
          <w:color w:val="auto"/>
        </w:rPr>
      </w:pPr>
    </w:p>
    <w:p>
      <w:pPr>
        <w:ind w:firstLine="255"/>
        <w:spacing w:after="0" w:line="235" w:lineRule="auto"/>
        <w:rPr>
          <w:sz w:val="20"/>
          <w:szCs w:val="20"/>
          <w:color w:val="auto"/>
        </w:rPr>
      </w:pPr>
      <w:r>
        <w:rPr>
          <w:rFonts w:ascii="Times New Roman" w:cs="Times New Roman" w:eastAsia="Times New Roman" w:hAnsi="Times New Roman"/>
          <w:sz w:val="18"/>
          <w:szCs w:val="18"/>
          <w:color w:val="auto"/>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we issued in a registered public offering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our 2022 Convertible Notes issued in February 2017. The 2022 Convertible Notes matured on August 1, 2022.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187" w:lineRule="exact"/>
        <w:rPr>
          <w:sz w:val="20"/>
          <w:szCs w:val="20"/>
          <w:color w:val="auto"/>
        </w:rPr>
      </w:pPr>
    </w:p>
    <w:p>
      <w:pPr>
        <w:ind w:right="100" w:firstLine="255"/>
        <w:spacing w:after="0" w:line="235" w:lineRule="auto"/>
        <w:rPr>
          <w:sz w:val="20"/>
          <w:szCs w:val="20"/>
          <w:color w:val="auto"/>
        </w:rPr>
      </w:pPr>
      <w:r>
        <w:rPr>
          <w:rFonts w:ascii="Times New Roman" w:cs="Times New Roman" w:eastAsia="Times New Roman" w:hAnsi="Times New Roman"/>
          <w:sz w:val="18"/>
          <w:szCs w:val="18"/>
          <w:color w:val="auto"/>
        </w:rPr>
        <w:t>During the year ended December 31, 2020, we repurchased on the open market and extinguished $29.7 million in aggregate principal amount of the 2022 Convertible Notes for $29.5 million. In connection with the repurchases of the 2022 Convertible Notes, we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jc w:val="both"/>
        <w:ind w:right="20" w:firstLine="255"/>
        <w:spacing w:after="0" w:line="250" w:lineRule="auto"/>
        <w:rPr>
          <w:sz w:val="20"/>
          <w:szCs w:val="20"/>
          <w:color w:val="auto"/>
        </w:rPr>
      </w:pPr>
      <w:r>
        <w:rPr>
          <w:rFonts w:ascii="Times New Roman" w:cs="Times New Roman" w:eastAsia="Times New Roman" w:hAnsi="Times New Roman"/>
          <w:sz w:val="18"/>
          <w:szCs w:val="18"/>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may convert their notes at any time.</w:t>
      </w:r>
    </w:p>
    <w:p>
      <w:pPr>
        <w:spacing w:after="0" w:line="163" w:lineRule="exact"/>
        <w:rPr>
          <w:sz w:val="20"/>
          <w:szCs w:val="20"/>
          <w:color w:val="auto"/>
        </w:rPr>
      </w:pPr>
    </w:p>
    <w:p>
      <w:pPr>
        <w:ind w:right="20" w:firstLine="255"/>
        <w:spacing w:after="0" w:line="235" w:lineRule="auto"/>
        <w:rPr>
          <w:sz w:val="20"/>
          <w:szCs w:val="20"/>
          <w:color w:val="auto"/>
        </w:rPr>
      </w:pPr>
      <w:r>
        <w:rPr>
          <w:rFonts w:ascii="Times New Roman" w:cs="Times New Roman" w:eastAsia="Times New Roman" w:hAnsi="Times New Roman"/>
          <w:sz w:val="18"/>
          <w:szCs w:val="18"/>
          <w:color w:val="auto"/>
        </w:rPr>
        <w:t>On September 30, 2021, we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we elected combination settlement. During the three months ended December 31, 2021, $42.8 million of principal of the 2022 Convertible Notes were converted and were settled with a combination of cash and 2,324,820 shares of our common stock. In connection with the settlement of the 2022 Convertible Notes, we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 of the 2022 Convertible Notes, to match the remaining principal amount of the 2022 Convertible Notes outstanding.</w:t>
      </w:r>
    </w:p>
    <w:p>
      <w:pPr>
        <w:spacing w:after="0" w:line="188" w:lineRule="exact"/>
        <w:rPr>
          <w:sz w:val="20"/>
          <w:szCs w:val="20"/>
          <w:color w:val="auto"/>
        </w:rPr>
      </w:pPr>
    </w:p>
    <w:p>
      <w:pPr>
        <w:ind w:right="140" w:firstLine="255"/>
        <w:spacing w:after="0" w:line="239" w:lineRule="auto"/>
        <w:rPr>
          <w:sz w:val="20"/>
          <w:szCs w:val="20"/>
          <w:color w:val="auto"/>
        </w:rPr>
      </w:pPr>
      <w:r>
        <w:rPr>
          <w:rFonts w:ascii="Times New Roman" w:cs="Times New Roman" w:eastAsia="Times New Roman" w:hAnsi="Times New Roman"/>
          <w:sz w:val="18"/>
          <w:szCs w:val="18"/>
          <w:color w:val="auto"/>
        </w:rPr>
        <w:t>On January 26, 2022, we notified the trustee and holders of the 2022 Convertible Notes that the terms of settlement for the notes at our election was a combination settlement of cash and stock to occur after the 40 day observation period described in the notes indenture. We elected to settle any 2022 Convertible Notes that were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171" w:lineRule="exact"/>
        <w:rPr>
          <w:sz w:val="20"/>
          <w:szCs w:val="20"/>
          <w:color w:val="auto"/>
        </w:rPr>
      </w:pPr>
    </w:p>
    <w:p>
      <w:pPr>
        <w:ind w:firstLine="255"/>
        <w:spacing w:after="0"/>
        <w:rPr>
          <w:sz w:val="20"/>
          <w:szCs w:val="20"/>
          <w:color w:val="auto"/>
        </w:rPr>
      </w:pPr>
      <w:r>
        <w:rPr>
          <w:rFonts w:ascii="Times New Roman" w:cs="Times New Roman" w:eastAsia="Times New Roman" w:hAnsi="Times New Roman"/>
          <w:sz w:val="18"/>
          <w:szCs w:val="18"/>
          <w:color w:val="auto"/>
        </w:rPr>
        <w:t>The 2022 Convertible Notes were accounted for in accordance with ASC Topic 470-20. During the period ended March 31, 2021, we early adopted ASU 2020-06 and in accordance with this guidance reclassified the remaining unamortized discount on the 2022 Convertible Notes from the carrying value of the instrument to “additional paid-in capital” in the accompanying consolidated balance sheet. As a requirement under ASU 2020-06 we calculate diluted earnings per shares using the if-converted method which assumes full share settlement for the aggregate value of the 2022 Convertible Notes.</w:t>
      </w:r>
    </w:p>
    <w:p>
      <w:pPr>
        <w:spacing w:after="0" w:line="185" w:lineRule="exact"/>
        <w:rPr>
          <w:sz w:val="20"/>
          <w:szCs w:val="20"/>
          <w:color w:val="auto"/>
        </w:rPr>
      </w:pPr>
    </w:p>
    <w:p>
      <w:pPr>
        <w:ind w:right="120" w:firstLine="255"/>
        <w:spacing w:after="0" w:line="238" w:lineRule="auto"/>
        <w:rPr>
          <w:sz w:val="20"/>
          <w:szCs w:val="20"/>
          <w:color w:val="auto"/>
        </w:rPr>
      </w:pPr>
      <w:r>
        <w:rPr>
          <w:rFonts w:ascii="Times New Roman" w:cs="Times New Roman" w:eastAsia="Times New Roman" w:hAnsi="Times New Roman"/>
          <w:sz w:val="18"/>
          <w:szCs w:val="18"/>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us. In accordance with the settlement method, we issued a total of 4,360,125 shares of common stock, or $78.1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06" w:lineRule="exact"/>
        <w:rPr>
          <w:sz w:val="20"/>
          <w:szCs w:val="20"/>
          <w:color w:val="auto"/>
        </w:rPr>
      </w:pPr>
    </w:p>
    <w:p>
      <w:pPr>
        <w:ind w:right="40" w:firstLine="255"/>
        <w:spacing w:after="0" w:line="239" w:lineRule="auto"/>
        <w:rPr>
          <w:sz w:val="20"/>
          <w:szCs w:val="20"/>
          <w:color w:val="auto"/>
        </w:rPr>
      </w:pPr>
      <w:r>
        <w:rPr>
          <w:rFonts w:ascii="Times New Roman" w:cs="Times New Roman" w:eastAsia="Times New Roman" w:hAnsi="Times New Roman"/>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71" w:lineRule="exact"/>
        <w:rPr>
          <w:sz w:val="20"/>
          <w:szCs w:val="20"/>
          <w:color w:val="auto"/>
        </w:rPr>
      </w:pPr>
    </w:p>
    <w:p>
      <w:pPr>
        <w:ind w:right="220" w:firstLine="255"/>
        <w:spacing w:after="0" w:line="245" w:lineRule="auto"/>
        <w:rPr>
          <w:sz w:val="20"/>
          <w:szCs w:val="20"/>
          <w:color w:val="auto"/>
        </w:rPr>
      </w:pPr>
      <w:r>
        <w:rPr>
          <w:rFonts w:ascii="Times New Roman" w:cs="Times New Roman" w:eastAsia="Times New Roman" w:hAnsi="Times New Roman"/>
          <w:sz w:val="18"/>
          <w:szCs w:val="18"/>
          <w:color w:val="auto"/>
        </w:rPr>
        <w:t>In connection with the 2023 Notes offering, we entered into an interest rate swap to align the interest rates of our liabilities with our investment portfolio, which consists of predominately floating rate loans. The notional amount of the interest rate swap is $150.0 million, which matures on January 22, 2023, matching the maturity date of the 2023 Notes. As a result of the swap, our effective interest rate on the 2023 Notes is three-month LIBOR plus 1.99%.</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106" w:lineRule="exact"/>
        <w:rPr>
          <w:sz w:val="20"/>
          <w:szCs w:val="20"/>
          <w:color w:val="auto"/>
        </w:rPr>
      </w:pPr>
    </w:p>
    <w:p>
      <w:pPr>
        <w:ind w:right="40" w:firstLine="255"/>
        <w:spacing w:after="0" w:line="239" w:lineRule="auto"/>
        <w:rPr>
          <w:sz w:val="20"/>
          <w:szCs w:val="20"/>
          <w:color w:val="auto"/>
        </w:rPr>
      </w:pPr>
      <w:r>
        <w:rPr>
          <w:rFonts w:ascii="Times New Roman" w:cs="Times New Roman" w:eastAsia="Times New Roman" w:hAnsi="Times New Roman"/>
          <w:sz w:val="18"/>
          <w:szCs w:val="18"/>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1" w:lineRule="exact"/>
        <w:rPr>
          <w:sz w:val="20"/>
          <w:szCs w:val="20"/>
          <w:color w:val="auto"/>
        </w:rPr>
      </w:pPr>
    </w:p>
    <w:p>
      <w:pPr>
        <w:ind w:right="60" w:firstLine="255"/>
        <w:spacing w:after="0" w:line="250" w:lineRule="auto"/>
        <w:rPr>
          <w:sz w:val="20"/>
          <w:szCs w:val="20"/>
          <w:color w:val="auto"/>
        </w:rPr>
      </w:pPr>
      <w:r>
        <w:rPr>
          <w:rFonts w:ascii="Times New Roman" w:cs="Times New Roman" w:eastAsia="Times New Roman" w:hAnsi="Times New Roman"/>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4" w:name="page65"/>
    <w:bookmarkEnd w:id="64"/>
    <w:p>
      <w:pPr>
        <w:ind w:right="580"/>
        <w:spacing w:after="0" w:line="266" w:lineRule="auto"/>
        <w:rPr>
          <w:sz w:val="20"/>
          <w:szCs w:val="20"/>
          <w:color w:val="auto"/>
        </w:rPr>
      </w:pPr>
      <w:r>
        <w:rPr>
          <w:rFonts w:ascii="Times New Roman" w:cs="Times New Roman" w:eastAsia="Times New Roman" w:hAnsi="Times New Roman"/>
          <w:sz w:val="18"/>
          <w:szCs w:val="18"/>
          <w:color w:val="auto"/>
        </w:rPr>
        <w:t>issuance of the additional 2024 Notes, net of underwriting discounts, offering costs and original issue premium were $50.1 million. We used the net proceeds of the 2024 Notes to repay outstanding indebtedness under the Revolving Credit Facility.</w:t>
      </w:r>
    </w:p>
    <w:p>
      <w:pPr>
        <w:spacing w:after="0" w:line="162" w:lineRule="exact"/>
        <w:rPr>
          <w:sz w:val="20"/>
          <w:szCs w:val="20"/>
          <w:color w:val="auto"/>
        </w:rPr>
      </w:pPr>
    </w:p>
    <w:p>
      <w:pPr>
        <w:ind w:right="100" w:firstLine="255"/>
        <w:spacing w:after="0"/>
        <w:rPr>
          <w:sz w:val="20"/>
          <w:szCs w:val="20"/>
          <w:color w:val="auto"/>
        </w:rPr>
      </w:pPr>
      <w:r>
        <w:rPr>
          <w:rFonts w:ascii="Times New Roman" w:cs="Times New Roman" w:eastAsia="Times New Roman" w:hAnsi="Times New Roman"/>
          <w:sz w:val="18"/>
          <w:szCs w:val="18"/>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LIBOR plus 2.28% (on a weighted average basis).</w:t>
      </w:r>
    </w:p>
    <w:p>
      <w:pPr>
        <w:spacing w:after="0" w:line="185"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2020, we repurchased on the open market and extinguished $2.5 million in aggregate principal amount of the 2024 Notes for $2.4 million.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106" w:lineRule="exact"/>
        <w:rPr>
          <w:sz w:val="20"/>
          <w:szCs w:val="20"/>
          <w:color w:val="auto"/>
        </w:rPr>
      </w:pPr>
    </w:p>
    <w:p>
      <w:pPr>
        <w:ind w:right="40" w:firstLine="255"/>
        <w:spacing w:after="0" w:line="242" w:lineRule="auto"/>
        <w:rPr>
          <w:sz w:val="20"/>
          <w:szCs w:val="20"/>
          <w:color w:val="auto"/>
        </w:rPr>
      </w:pPr>
      <w:r>
        <w:rPr>
          <w:rFonts w:ascii="Times New Roman" w:cs="Times New Roman" w:eastAsia="Times New Roman" w:hAnsi="Times New Roman"/>
          <w:sz w:val="18"/>
          <w:szCs w:val="18"/>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85" w:lineRule="exact"/>
        <w:rPr>
          <w:sz w:val="20"/>
          <w:szCs w:val="20"/>
          <w:color w:val="auto"/>
        </w:rPr>
      </w:pPr>
    </w:p>
    <w:p>
      <w:pPr>
        <w:ind w:right="80" w:firstLine="255"/>
        <w:spacing w:after="0" w:line="250" w:lineRule="auto"/>
        <w:rPr>
          <w:sz w:val="20"/>
          <w:szCs w:val="20"/>
          <w:color w:val="auto"/>
        </w:rPr>
      </w:pPr>
      <w:r>
        <w:rPr>
          <w:rFonts w:ascii="Times New Roman" w:cs="Times New Roman" w:eastAsia="Times New Roman" w:hAnsi="Times New Roman"/>
          <w:sz w:val="18"/>
          <w:szCs w:val="18"/>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three-month LIBOR plus 1.91%.</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94" w:lineRule="exact"/>
        <w:rPr>
          <w:sz w:val="20"/>
          <w:szCs w:val="20"/>
          <w:color w:val="auto"/>
        </w:rPr>
      </w:pPr>
    </w:p>
    <w:p>
      <w:pPr>
        <w:ind w:firstLine="255"/>
        <w:spacing w:after="0" w:line="235"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2022 and December 31, 2021, we had the following commitments to fund investments in current portfolio companies: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r>
      <w:tr>
        <w:trPr>
          <w:trHeight w:val="16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Alpha Midco, Inc. - Delayed Draw</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FF0FC"/>
          </w:tcPr>
          <w:p>
            <w:pPr>
              <w:spacing w:after="0"/>
              <w:rPr>
                <w:sz w:val="14"/>
                <w:szCs w:val="14"/>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American Achievement, Corp. -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ASG II, LLC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AvidXchange, Inc.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Axonify, Inc.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Bayshore Intermediate #2, L.P. -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BCTO Ace Purchaser, Inc.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Bear OpCo, LLC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Biohaven Pharmaceuticals, Inc.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BlueSnap, Inc. - Delayed Draw &amp;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Carlstar Group, LLC -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Clinicient, Inc. -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Cordance Operations, LLC - Delayed Draw &amp;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CrunchTime Information Systems, Inc.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DaySmart Holdings, LLC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Destiny Solutions Parent Holding Company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Dye &amp; Durham Corp. - Delayed Draw &amp;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EDB Parent, LLC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Erling Lux Bidco SARL - Delayed Draw &amp;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Elysian Finco Ltd. - Delayed Draw &amp;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Employment Hero Holdings Pty Ltd. - Delayed Draw &amp;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FF0FC"/>
          </w:tcPr>
          <w:p>
            <w:pPr>
              <w:spacing w:after="0"/>
              <w:rPr>
                <w:sz w:val="15"/>
                <w:szCs w:val="15"/>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EMS Linq, Inc. -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ExtraHop Networks, Inc.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ForeScout Technologies, Inc. - Delayed Draw &amp;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 Treasury SS, LLC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Ibis Intermediate Co.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IntelePeer Holdings, Inc.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IRGSE Holding Corp. -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Kyriba Corp. -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LeanTaaS Holdings, Inc.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Lithium Technologies, LLC -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Lucidworks, Inc. - Delayed Draw &amp;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Murchison Oil and Gas, LLC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Netwrix Corp. - Delayed Draw &amp;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Neuintel, LLC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PageUp People, Ltd.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Passport Labs, Inc. - Delayed Draw &amp;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PrimePay Intermediate, LLC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PrimeRevenue, Inc. - Delayed Draw &amp;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Project44, Inc.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ReliaQuest Holdings, LLC - Delayed Draw &amp;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Tango Management Consulting, LLC - Delayed Draw &amp; Revolver</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Pr>
          <w:p>
            <w:pPr>
              <w:spacing w:after="0"/>
              <w:rPr>
                <w:sz w:val="15"/>
                <w:szCs w:val="15"/>
                <w:color w:val="auto"/>
              </w:rPr>
            </w:pPr>
          </w:p>
        </w:tc>
      </w:tr>
      <w:tr>
        <w:trPr>
          <w:trHeight w:val="17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TRP Assets, LLC - Delayed Draw</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Verdad Resources Intermediate Holdings, LLC - Delayed Draw</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5"/>
                <w:szCs w:val="15"/>
                <w:color w:val="auto"/>
              </w:rPr>
            </w:pPr>
          </w:p>
        </w:tc>
      </w:tr>
      <w:tr>
        <w:trPr>
          <w:trHeight w:val="17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WideOrbit, Inc. - Revolver</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FF0FC"/>
          </w:tcPr>
          <w:p>
            <w:pPr>
              <w:spacing w:after="0"/>
              <w:rPr>
                <w:sz w:val="15"/>
                <w:szCs w:val="15"/>
                <w:color w:val="auto"/>
              </w:rPr>
            </w:pPr>
          </w:p>
        </w:tc>
      </w:tr>
      <w:tr>
        <w:trPr>
          <w:trHeight w:val="17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Workwell Acquisition Co. - Delayed Draw</w:t>
            </w: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r>
      <w:tr>
        <w:trPr>
          <w:trHeight w:val="209"/>
        </w:trPr>
        <w:tc>
          <w:tcPr>
            <w:tcW w:w="5420" w:type="dxa"/>
            <w:vAlign w:val="bottom"/>
            <w:tcBorders>
              <w:bottom w:val="single" w:sz="8" w:color="CFF0FC"/>
            </w:tcBorders>
            <w:shd w:val="clear" w:color="auto" w:fill="CFF0FC"/>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393.6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332.1</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60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032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520" w:right="160" w:hanging="512"/>
        <w:spacing w:after="0" w:line="24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520" w:right="560" w:hanging="512"/>
        <w:spacing w:after="0" w:line="26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we did not have any unfunded commitments to fund new investments to new borrowers that were not current portfolio companies as of such date.</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48" w:lineRule="exact"/>
        <w:rPr>
          <w:sz w:val="20"/>
          <w:szCs w:val="20"/>
          <w:color w:val="auto"/>
        </w:rPr>
      </w:pPr>
    </w:p>
    <w:p>
      <w:pPr>
        <w:ind w:right="40" w:firstLine="255"/>
        <w:spacing w:after="0" w:line="243"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September 30, 2022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100" w:type="dxa"/>
            <w:vAlign w:val="bottom"/>
          </w:tcPr>
          <w:p>
            <w:pPr>
              <w:spacing w:after="0"/>
              <w:rPr>
                <w:sz w:val="16"/>
                <w:szCs w:val="16"/>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r>
              <w:rPr>
                <w:rFonts w:ascii="Times New Roman" w:cs="Times New Roman" w:eastAsia="Times New Roman" w:hAnsi="Times New Roman"/>
                <w:sz w:val="18"/>
                <w:szCs w:val="18"/>
                <w:u w:val="single" w:color="auto"/>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7747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7747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100" w:firstLine="255"/>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08"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0" w:lineRule="exact"/>
        <w:rPr>
          <w:sz w:val="20"/>
          <w:szCs w:val="20"/>
          <w:color w:val="auto"/>
        </w:rPr>
      </w:pPr>
    </w:p>
    <w:p>
      <w:pPr>
        <w:ind w:left="520" w:right="240" w:hanging="257"/>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7" w:lineRule="exact"/>
        <w:rPr>
          <w:rFonts w:ascii="Times New Roman" w:cs="Times New Roman" w:eastAsia="Times New Roman" w:hAnsi="Times New Roman"/>
          <w:sz w:val="18"/>
          <w:szCs w:val="18"/>
          <w:color w:val="auto"/>
        </w:rPr>
      </w:pPr>
    </w:p>
    <w:p>
      <w:pPr>
        <w:ind w:left="520" w:right="300" w:hanging="257"/>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162"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48" w:lineRule="exact"/>
        <w:rPr>
          <w:sz w:val="20"/>
          <w:szCs w:val="20"/>
          <w:color w:val="auto"/>
        </w:rPr>
      </w:pPr>
    </w:p>
    <w:p>
      <w:pPr>
        <w:jc w:val="both"/>
        <w:ind w:right="260" w:firstLine="255"/>
        <w:spacing w:after="0" w:line="250"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7" w:name="page68"/>
    <w:bookmarkEnd w:id="67"/>
    <w:p>
      <w:pPr>
        <w:jc w:val="both"/>
        <w:ind w:right="160" w:firstLine="255"/>
        <w:spacing w:after="0" w:line="258"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1" w:lineRule="exact"/>
        <w:rPr>
          <w:sz w:val="20"/>
          <w:szCs w:val="20"/>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60" w:hanging="257"/>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4"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50"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Board and will depend on our earnings, financial condition, maintenance of our RIC status, compliance with applicable BDC regulations and such other factors as our Board may deem relevant from time to time.</w:t>
      </w:r>
    </w:p>
    <w:p>
      <w:pPr>
        <w:spacing w:after="0" w:line="180" w:lineRule="exact"/>
        <w:rPr>
          <w:sz w:val="20"/>
          <w:szCs w:val="20"/>
          <w:color w:val="auto"/>
        </w:rPr>
      </w:pPr>
    </w:p>
    <w:p>
      <w:pPr>
        <w:ind w:right="60" w:firstLine="255"/>
        <w:spacing w:after="0" w:line="250"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91" w:lineRule="exact"/>
        <w:rPr>
          <w:sz w:val="20"/>
          <w:szCs w:val="20"/>
          <w:color w:val="auto"/>
        </w:rPr>
      </w:pPr>
    </w:p>
    <w:p>
      <w:pPr>
        <w:ind w:right="60" w:firstLine="255"/>
        <w:spacing w:after="0" w:line="250"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0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03" w:lineRule="exact"/>
        <w:rPr>
          <w:rFonts w:ascii="Times New Roman" w:cs="Times New Roman" w:eastAsia="Times New Roman" w:hAnsi="Times New Roman"/>
          <w:sz w:val="18"/>
          <w:szCs w:val="18"/>
          <w:color w:val="auto"/>
        </w:rPr>
      </w:pPr>
    </w:p>
    <w:p>
      <w:pPr>
        <w:ind w:left="520" w:right="240" w:hanging="257"/>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ongoing agreement with an affiliate of TPG Global, LLC governing, inter alia, the parties’ respective ownership of and rights to use the “Sixth Street” and “TPG” trademarks and certain variations thereof.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120" w:firstLine="255"/>
        <w:spacing w:after="0" w:line="24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2021, filed with the SEC on February 17, 2022, and elsewhere in our filings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08" w:lineRule="exact"/>
        <w:rPr>
          <w:sz w:val="20"/>
          <w:szCs w:val="20"/>
          <w:color w:val="auto"/>
        </w:rPr>
      </w:pPr>
    </w:p>
    <w:p>
      <w:pPr>
        <w:ind w:right="80" w:firstLine="255"/>
        <w:spacing w:after="0" w:line="244"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255"/>
        <w:spacing w:after="0" w:line="272" w:lineRule="auto"/>
        <w:rPr>
          <w:sz w:val="20"/>
          <w:szCs w:val="20"/>
          <w:color w:val="auto"/>
        </w:rPr>
      </w:pPr>
      <w:r>
        <w:rPr>
          <w:rFonts w:ascii="Times New Roman" w:cs="Times New Roman" w:eastAsia="Times New Roman" w:hAnsi="Times New Roman"/>
          <w:sz w:val="17"/>
          <w:szCs w:val="17"/>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2" w:lineRule="exact"/>
        <w:rPr>
          <w:sz w:val="20"/>
          <w:szCs w:val="20"/>
          <w:color w:val="auto"/>
        </w:rPr>
      </w:pPr>
    </w:p>
    <w:p>
      <w:pPr>
        <w:ind w:right="540" w:firstLine="255"/>
        <w:spacing w:after="0" w:line="250"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90" w:lineRule="exact"/>
        <w:rPr>
          <w:sz w:val="20"/>
          <w:szCs w:val="20"/>
          <w:color w:val="auto"/>
        </w:rPr>
      </w:pPr>
    </w:p>
    <w:p>
      <w:pPr>
        <w:ind w:right="120" w:firstLine="255"/>
        <w:spacing w:after="0" w:line="245" w:lineRule="auto"/>
        <w:rPr>
          <w:sz w:val="20"/>
          <w:szCs w:val="20"/>
          <w:color w:val="auto"/>
        </w:rPr>
      </w:pPr>
      <w:r>
        <w:rPr>
          <w:rFonts w:ascii="Times New Roman" w:cs="Times New Roman" w:eastAsia="Times New Roman" w:hAnsi="Times New Roman"/>
          <w:sz w:val="18"/>
          <w:szCs w:val="18"/>
          <w:color w:val="auto"/>
        </w:rPr>
        <w:t>As of September 30, 2022, 98.9% of our debt investments based on fair value in our portfolio bore interest at floating rates, with 100.0% of these subject to interest rate floors. Our credit facilities also bear interest at floating rates, and in connection with our 2022 Convertible Notes, 2023 Notes, 2024 Notes and 2026 Notes, which bear interest at fixed rates, we entered into fixed-to-floating interest rate swaps in order to align the interest rates of our liabilities with our investment portfolio.</w:t>
      </w:r>
    </w:p>
    <w:p>
      <w:pPr>
        <w:spacing w:after="0" w:line="194" w:lineRule="exact"/>
        <w:rPr>
          <w:sz w:val="20"/>
          <w:szCs w:val="20"/>
          <w:color w:val="auto"/>
        </w:rPr>
      </w:pPr>
    </w:p>
    <w:p>
      <w:pPr>
        <w:ind w:right="180" w:firstLine="255"/>
        <w:spacing w:after="0" w:line="250" w:lineRule="auto"/>
        <w:rPr>
          <w:sz w:val="20"/>
          <w:szCs w:val="20"/>
          <w:color w:val="auto"/>
        </w:rPr>
      </w:pPr>
      <w:r>
        <w:rPr>
          <w:rFonts w:ascii="Times New Roman" w:cs="Times New Roman" w:eastAsia="Times New Roman" w:hAnsi="Times New Roman"/>
          <w:sz w:val="18"/>
          <w:szCs w:val="18"/>
          <w:color w:val="auto"/>
        </w:rPr>
        <w:t>Assuming that our consolidated balance sheet as of September 30, 2022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Interest Income</w:t>
            </w:r>
          </w:p>
        </w:tc>
        <w:tc>
          <w:tcPr>
            <w:tcW w:w="10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20" w:type="dxa"/>
            <w:vAlign w:val="bottom"/>
          </w:tcPr>
          <w:p>
            <w:pPr>
              <w:spacing w:after="0"/>
              <w:rPr>
                <w:sz w:val="16"/>
                <w:szCs w:val="16"/>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r>
      <w:tr>
        <w:trPr>
          <w:trHeight w:val="209"/>
        </w:trPr>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50 basis points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r>
    </w:tbl>
    <w:p>
      <w:pPr>
        <w:spacing w:after="0" w:line="225"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9" w:lineRule="exact"/>
        <w:rPr>
          <w:sz w:val="20"/>
          <w:szCs w:val="20"/>
          <w:color w:val="auto"/>
        </w:rPr>
      </w:pPr>
    </w:p>
    <w:p>
      <w:pPr>
        <w:ind w:right="260" w:firstLine="255"/>
        <w:spacing w:after="0" w:line="250"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firstLine="25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7" w:lineRule="exact"/>
        <w:rPr>
          <w:sz w:val="20"/>
          <w:szCs w:val="20"/>
          <w:color w:val="auto"/>
        </w:rPr>
      </w:pPr>
    </w:p>
    <w:p>
      <w:pPr>
        <w:jc w:val="both"/>
        <w:ind w:right="200" w:firstLine="25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20" w:right="5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100" w:firstLine="255"/>
        <w:spacing w:after="0" w:line="242"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2021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216" w:lineRule="exact"/>
        <w:rPr>
          <w:sz w:val="20"/>
          <w:szCs w:val="20"/>
          <w:color w:val="auto"/>
        </w:rPr>
      </w:pPr>
    </w:p>
    <w:p>
      <w:pPr>
        <w:ind w:right="20" w:firstLine="255"/>
        <w:spacing w:after="0" w:line="247"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SOFR,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80" w:lineRule="exact"/>
        <w:rPr>
          <w:sz w:val="20"/>
          <w:szCs w:val="20"/>
          <w:color w:val="auto"/>
        </w:rPr>
      </w:pPr>
    </w:p>
    <w:p>
      <w:pPr>
        <w:ind w:right="80" w:firstLine="255"/>
        <w:spacing w:after="0" w:line="244"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95"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48" w:lineRule="exact"/>
        <w:rPr>
          <w:sz w:val="20"/>
          <w:szCs w:val="20"/>
          <w:color w:val="auto"/>
        </w:rPr>
      </w:pPr>
    </w:p>
    <w:p>
      <w:pPr>
        <w:ind w:right="340" w:firstLine="255"/>
        <w:spacing w:after="0" w:line="258" w:lineRule="auto"/>
        <w:rPr>
          <w:sz w:val="20"/>
          <w:szCs w:val="20"/>
          <w:color w:val="auto"/>
        </w:rPr>
      </w:pPr>
      <w:r>
        <w:rPr>
          <w:rFonts w:ascii="Times New Roman" w:cs="Times New Roman" w:eastAsia="Times New Roman" w:hAnsi="Times New Roman"/>
          <w:sz w:val="18"/>
          <w:szCs w:val="18"/>
          <w:color w:val="auto"/>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61" w:lineRule="exact"/>
        <w:rPr>
          <w:sz w:val="20"/>
          <w:szCs w:val="20"/>
          <w:color w:val="auto"/>
        </w:rPr>
      </w:pPr>
    </w:p>
    <w:p>
      <w:pPr>
        <w:ind w:firstLine="255"/>
        <w:spacing w:after="0" w:line="244" w:lineRule="auto"/>
        <w:rPr>
          <w:sz w:val="20"/>
          <w:szCs w:val="20"/>
          <w:color w:val="auto"/>
        </w:rPr>
      </w:pPr>
      <w:r>
        <w:rPr>
          <w:rFonts w:ascii="Times New Roman" w:cs="Times New Roman" w:eastAsia="Times New Roman" w:hAnsi="Times New Roman"/>
          <w:sz w:val="18"/>
          <w:szCs w:val="18"/>
          <w:color w:val="auto"/>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such as U.S. dollar LIBOR. The use of SOFR is relatively new, and there could be unanticipated difficulties or disruptions with the calculation and publication of SOFR. Additionally, any successor rate to SOFR under our revolving credit facility may not have the same characteristics as SOFR or LIBOR. As a result, the amount of interest we may pay on our revolving credit facility is difficult to predict.</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80" w:firstLine="255"/>
        <w:spacing w:after="0" w:line="244" w:lineRule="auto"/>
        <w:rPr>
          <w:sz w:val="20"/>
          <w:szCs w:val="20"/>
          <w:color w:val="auto"/>
        </w:rPr>
      </w:pPr>
      <w:r>
        <w:rPr>
          <w:rFonts w:ascii="Times New Roman" w:cs="Times New Roman" w:eastAsia="Times New Roman" w:hAnsi="Times New Roman"/>
          <w:sz w:val="18"/>
          <w:szCs w:val="18"/>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1" w:name="page72"/>
    <w:bookmarkEnd w:id="71"/>
    <w:p>
      <w:pPr>
        <w:ind w:firstLine="255"/>
        <w:spacing w:after="0" w:line="243"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78" w:lineRule="exact"/>
        <w:rPr>
          <w:sz w:val="20"/>
          <w:szCs w:val="20"/>
          <w:color w:val="auto"/>
        </w:rPr>
      </w:pPr>
    </w:p>
    <w:p>
      <w:pPr>
        <w:ind w:right="40" w:firstLine="255"/>
        <w:spacing w:after="0" w:line="242"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w:t>
      </w:r>
    </w:p>
    <w:p>
      <w:pPr>
        <w:spacing w:after="0" w:line="78" w:lineRule="exact"/>
        <w:rPr>
          <w:sz w:val="20"/>
          <w:szCs w:val="20"/>
          <w:color w:val="auto"/>
        </w:rPr>
      </w:pPr>
    </w:p>
    <w:p>
      <w:pPr>
        <w:ind w:right="80" w:firstLine="255"/>
        <w:spacing w:after="0" w:line="242"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cannot assure you when or whether we will apply for any other exemptive relief in the future and whether such orders will be obtained.</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08" w:lineRule="exact"/>
        <w:rPr>
          <w:sz w:val="20"/>
          <w:szCs w:val="20"/>
          <w:color w:val="auto"/>
        </w:rPr>
      </w:pPr>
    </w:p>
    <w:p>
      <w:pPr>
        <w:ind w:right="140" w:firstLine="255"/>
        <w:spacing w:after="0" w:line="243"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78" w:lineRule="exact"/>
        <w:rPr>
          <w:sz w:val="20"/>
          <w:szCs w:val="20"/>
          <w:color w:val="auto"/>
        </w:rPr>
      </w:pPr>
    </w:p>
    <w:p>
      <w:pPr>
        <w:ind w:right="80" w:firstLine="255"/>
        <w:spacing w:after="0" w:line="242"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90" w:lineRule="exact"/>
        <w:rPr>
          <w:sz w:val="20"/>
          <w:szCs w:val="20"/>
          <w:color w:val="auto"/>
        </w:rPr>
      </w:pPr>
    </w:p>
    <w:p>
      <w:pPr>
        <w:ind w:right="40" w:firstLine="255"/>
        <w:spacing w:after="0" w:line="242"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90" w:lineRule="exact"/>
        <w:rPr>
          <w:sz w:val="20"/>
          <w:szCs w:val="20"/>
          <w:color w:val="auto"/>
        </w:rPr>
      </w:pPr>
    </w:p>
    <w:p>
      <w:pPr>
        <w:ind w:right="180" w:firstLine="255"/>
        <w:spacing w:after="0" w:line="245"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spacing w:after="0" w:line="264" w:lineRule="auto"/>
        <w:rPr>
          <w:sz w:val="20"/>
          <w:szCs w:val="20"/>
          <w:color w:val="auto"/>
        </w:rPr>
      </w:pPr>
      <w:r>
        <w:rPr>
          <w:rFonts w:ascii="Times New Roman" w:cs="Times New Roman" w:eastAsia="Times New Roman" w:hAnsi="Times New Roman"/>
          <w:sz w:val="17"/>
          <w:szCs w:val="17"/>
          <w:color w:val="auto"/>
        </w:rPr>
        <w:t>application. The new order provides us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w:t>
      </w:r>
    </w:p>
    <w:p>
      <w:pPr>
        <w:spacing w:after="0" w:line="165" w:lineRule="exact"/>
        <w:rPr>
          <w:sz w:val="20"/>
          <w:szCs w:val="20"/>
          <w:color w:val="auto"/>
        </w:rPr>
      </w:pPr>
    </w:p>
    <w:p>
      <w:pPr>
        <w:ind w:right="200" w:firstLine="255"/>
        <w:spacing w:after="0" w:line="259" w:lineRule="auto"/>
        <w:rPr>
          <w:sz w:val="20"/>
          <w:szCs w:val="20"/>
          <w:color w:val="auto"/>
        </w:rPr>
      </w:pPr>
      <w:r>
        <w:rPr>
          <w:rFonts w:ascii="Times New Roman" w:cs="Times New Roman" w:eastAsia="Times New Roman" w:hAnsi="Times New Roman"/>
          <w:sz w:val="18"/>
          <w:szCs w:val="18"/>
          <w:i w:val="1"/>
          <w:iCs w:val="1"/>
          <w:color w:val="auto"/>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121" w:lineRule="exact"/>
        <w:rPr>
          <w:sz w:val="20"/>
          <w:szCs w:val="20"/>
          <w:color w:val="auto"/>
        </w:rPr>
      </w:pPr>
    </w:p>
    <w:p>
      <w:pPr>
        <w:ind w:right="80" w:firstLine="255"/>
        <w:spacing w:after="0" w:line="245"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94" w:lineRule="exact"/>
        <w:rPr>
          <w:sz w:val="20"/>
          <w:szCs w:val="20"/>
          <w:color w:val="auto"/>
        </w:rPr>
      </w:pPr>
    </w:p>
    <w:p>
      <w:pPr>
        <w:jc w:val="both"/>
        <w:ind w:right="160" w:firstLine="255"/>
        <w:spacing w:after="0" w:line="250"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7"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08" w:lineRule="exact"/>
        <w:rPr>
          <w:sz w:val="20"/>
          <w:szCs w:val="20"/>
          <w:color w:val="auto"/>
        </w:rPr>
      </w:pPr>
    </w:p>
    <w:p>
      <w:pPr>
        <w:ind w:right="200" w:firstLine="255"/>
        <w:spacing w:after="0" w:line="250"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77"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69"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77"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ind w:right="100" w:firstLine="255"/>
        <w:spacing w:after="0" w:line="245"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firstLine="255"/>
        <w:spacing w:after="0" w:line="241" w:lineRule="auto"/>
        <w:rPr>
          <w:sz w:val="20"/>
          <w:szCs w:val="20"/>
          <w:color w:val="auto"/>
        </w:rPr>
      </w:pPr>
      <w:r>
        <w:rPr>
          <w:rFonts w:ascii="Times New Roman" w:cs="Times New Roman" w:eastAsia="Times New Roman" w:hAnsi="Times New Roman"/>
          <w:sz w:val="18"/>
          <w:szCs w:val="18"/>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200" w:lineRule="exact"/>
        <w:rPr>
          <w:sz w:val="20"/>
          <w:szCs w:val="20"/>
          <w:color w:val="auto"/>
        </w:rPr>
      </w:pPr>
    </w:p>
    <w:p>
      <w:pPr>
        <w:ind w:right="20" w:firstLine="255"/>
        <w:spacing w:after="0" w:line="242"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121" w:lineRule="exact"/>
        <w:rPr>
          <w:sz w:val="20"/>
          <w:szCs w:val="20"/>
          <w:color w:val="auto"/>
        </w:rPr>
      </w:pPr>
    </w:p>
    <w:p>
      <w:pPr>
        <w:ind w:right="20" w:firstLine="255"/>
        <w:spacing w:after="0" w:line="242"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201" w:lineRule="exact"/>
        <w:rPr>
          <w:sz w:val="20"/>
          <w:szCs w:val="20"/>
          <w:color w:val="auto"/>
        </w:rPr>
      </w:pPr>
    </w:p>
    <w:p>
      <w:pPr>
        <w:ind w:right="40" w:firstLine="255"/>
        <w:spacing w:after="0" w:line="242" w:lineRule="auto"/>
        <w:rPr>
          <w:sz w:val="20"/>
          <w:szCs w:val="20"/>
          <w:color w:val="auto"/>
        </w:rPr>
      </w:pPr>
      <w:r>
        <w:rPr>
          <w:rFonts w:ascii="Times New Roman" w:cs="Times New Roman" w:eastAsia="Times New Roman" w:hAnsi="Times New Roman"/>
          <w:sz w:val="18"/>
          <w:szCs w:val="18"/>
          <w:color w:val="auto"/>
        </w:rPr>
        <w:t>Our credit facilities and indentures governing our indebtedness also impose financial and operating covenants that restrict our business activities, remedies on default and similar matters. As of September 30, 2022,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financial condition and results of operations. Lastly, we may be unable to obtain additional leverage, which would, in turn, affect our return on capital.</w:t>
      </w:r>
    </w:p>
    <w:p>
      <w:pPr>
        <w:spacing w:after="0" w:line="225" w:lineRule="exact"/>
        <w:rPr>
          <w:sz w:val="20"/>
          <w:szCs w:val="20"/>
          <w:color w:val="auto"/>
        </w:rPr>
      </w:pPr>
    </w:p>
    <w:p>
      <w:pPr>
        <w:ind w:right="60" w:firstLine="255"/>
        <w:spacing w:after="0" w:line="246" w:lineRule="auto"/>
        <w:rPr>
          <w:sz w:val="20"/>
          <w:szCs w:val="20"/>
          <w:color w:val="auto"/>
        </w:rPr>
      </w:pPr>
      <w:r>
        <w:rPr>
          <w:rFonts w:ascii="Times New Roman" w:cs="Times New Roman" w:eastAsia="Times New Roman" w:hAnsi="Times New Roman"/>
          <w:sz w:val="18"/>
          <w:szCs w:val="18"/>
          <w:color w:val="auto"/>
        </w:rPr>
        <w:t>As of September 30, 2022, we had $1,536.8 million of outstanding indebtedness, which had an annualized interest cost of 4.38% under the terms of our debt, excluding fees (such as fees on undrawn amounts and amortization of upfront fees) and giving effect to the swap-adjusted interest rates on our 2023 Notes, 2024 Notes and 2026 Notes. As of September 30, 2022, as adjusted to give effect to the interest rate swaps, the interest rate on the 2023 Notes was three-month LIBOR plus 1.99%, and the interest rate on the 2024 Notes was three-month LIBOR plus 2.28% (on a weighted-average basis), and the interest rate on the 2026 Notes was three-month LIBOR plus 1.91%.</w:t>
      </w:r>
    </w:p>
    <w:p>
      <w:pPr>
        <w:spacing w:after="0" w:line="181"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For us to cover these annualized interest payments on indebtedness, we must achieve annual returns on our investments of at least 2.4%.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69"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Leverage Based on Actual Amount of Borrowings Incurred by us as of September 30, 2022</w:t>
      </w:r>
    </w:p>
    <w:p>
      <w:pPr>
        <w:spacing w:after="0" w:line="208"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 xml:space="preserve">(net of expenses) </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-9525</wp:posOffset>
            </wp:positionV>
            <wp:extent cx="398653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-10%</w:t>
            </w:r>
          </w:p>
        </w:tc>
        <w:tc>
          <w:tcPr>
            <w:tcW w:w="440" w:type="dxa"/>
            <w:vAlign w:val="bottom"/>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-5%</w:t>
            </w:r>
          </w:p>
        </w:tc>
        <w:tc>
          <w:tcPr>
            <w:tcW w:w="440" w:type="dxa"/>
            <w:vAlign w:val="bottom"/>
          </w:tcPr>
          <w:p>
            <w:pPr>
              <w:spacing w:after="0"/>
              <w:rPr>
                <w:sz w:val="16"/>
                <w:szCs w:val="16"/>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0%</w:t>
            </w:r>
          </w:p>
        </w:tc>
        <w:tc>
          <w:tcPr>
            <w:tcW w:w="420" w:type="dxa"/>
            <w:vAlign w:val="bottom"/>
          </w:tcPr>
          <w:p>
            <w:pPr>
              <w:spacing w:after="0"/>
              <w:rPr>
                <w:sz w:val="16"/>
                <w:szCs w:val="16"/>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5%</w:t>
            </w:r>
          </w:p>
        </w:tc>
        <w:tc>
          <w:tcPr>
            <w:tcW w:w="400" w:type="dxa"/>
            <w:vAlign w:val="bottom"/>
          </w:tcPr>
          <w:p>
            <w:pPr>
              <w:spacing w:after="0"/>
              <w:rPr>
                <w:sz w:val="16"/>
                <w:szCs w:val="16"/>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10%</w:t>
            </w:r>
          </w:p>
        </w:tc>
        <w:tc>
          <w:tcPr>
            <w:tcW w:w="220" w:type="dxa"/>
            <w:vAlign w:val="bottom"/>
          </w:tcPr>
          <w:p>
            <w:pPr>
              <w:spacing w:after="0"/>
              <w:rPr>
                <w:sz w:val="16"/>
                <w:szCs w:val="16"/>
                <w:color w:val="auto"/>
              </w:rPr>
            </w:pPr>
          </w:p>
        </w:tc>
      </w:tr>
      <w:tr>
        <w:trPr>
          <w:trHeight w:val="40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Corresponding return to stockholder </w:t>
            </w:r>
            <w:r>
              <w:rPr>
                <w:rFonts w:ascii="Times New Roman" w:cs="Times New Roman" w:eastAsia="Times New Roman" w:hAnsi="Times New Roman"/>
                <w:sz w:val="8"/>
                <w:szCs w:val="8"/>
                <w:color w:val="auto"/>
              </w:rPr>
              <w:t>(2)</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-26.6 %</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-15.8 %</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-5.1 %</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5.7 %</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16.5 %</w:t>
            </w:r>
          </w:p>
        </w:tc>
      </w:tr>
    </w:tbl>
    <w:p>
      <w:pPr>
        <w:spacing w:after="0" w:line="184" w:lineRule="exact"/>
        <w:rPr>
          <w:sz w:val="20"/>
          <w:szCs w:val="20"/>
          <w:color w:val="auto"/>
        </w:rPr>
      </w:pPr>
    </w:p>
    <w:p>
      <w:pPr>
        <w:ind w:left="520" w:right="120" w:hanging="512"/>
        <w:spacing w:after="0" w:line="247"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September 30, 2022. As a result, it has not been updated to take into account any changes in assets or leverage since September 30, 2022.</w:t>
      </w:r>
    </w:p>
    <w:p>
      <w:pPr>
        <w:spacing w:after="0" w:line="1" w:lineRule="exact"/>
        <w:rPr>
          <w:rFonts w:ascii="Times New Roman" w:cs="Times New Roman" w:eastAsia="Times New Roman" w:hAnsi="Times New Roman"/>
          <w:sz w:val="18"/>
          <w:szCs w:val="18"/>
          <w:color w:val="auto"/>
        </w:rPr>
      </w:pPr>
    </w:p>
    <w:p>
      <w:pPr>
        <w:ind w:left="520" w:right="80" w:hanging="512"/>
        <w:spacing w:after="0" w:line="244"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compute the “Corresponding return to stockholder,” the “Assumed Return on Our Portfolio” is multiplied by the total value of our assets at September 30, 2022 to obtain an assumed return to us. From this amount, the interest expense (calculated by multiplying the weighted average stated interest rate of 4.4% by the approximately $1,536.8 million of principal debt outstanding) is subtracted to determine the return available to stockholders. The return available to stockholders is then divided by the total value of our net assets at September 30, 2022 to determine the “Corresponding return to stockholder.”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08" w:lineRule="exact"/>
        <w:rPr>
          <w:sz w:val="20"/>
          <w:szCs w:val="20"/>
          <w:color w:val="auto"/>
        </w:rPr>
      </w:pPr>
    </w:p>
    <w:p>
      <w:pPr>
        <w:ind w:right="60" w:firstLine="255"/>
        <w:spacing w:after="0" w:line="247"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8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3" w:lineRule="exact"/>
        <w:rPr>
          <w:sz w:val="20"/>
          <w:szCs w:val="20"/>
          <w:color w:val="auto"/>
        </w:rPr>
      </w:pPr>
    </w:p>
    <w:p>
      <w:pPr>
        <w:ind w:right="20" w:firstLine="255"/>
        <w:spacing w:after="0" w:line="244"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95" w:lineRule="exact"/>
        <w:rPr>
          <w:sz w:val="20"/>
          <w:szCs w:val="20"/>
          <w:color w:val="auto"/>
        </w:rPr>
      </w:pPr>
    </w:p>
    <w:p>
      <w:pPr>
        <w:ind w:right="120" w:firstLine="255"/>
        <w:spacing w:after="0" w:line="245"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94" w:lineRule="exact"/>
        <w:rPr>
          <w:sz w:val="20"/>
          <w:szCs w:val="20"/>
          <w:color w:val="auto"/>
        </w:rPr>
      </w:pPr>
    </w:p>
    <w:p>
      <w:pPr>
        <w:ind w:firstLine="255"/>
        <w:spacing w:after="0" w:line="244"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shares of our common stock repurchased by the Company for each month in the three month period ending September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 except share and per share amounts)</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2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3"/>
                <w:szCs w:val="13"/>
                <w:color w:val="auto"/>
              </w:rPr>
            </w:pPr>
          </w:p>
        </w:tc>
        <w:tc>
          <w:tcPr>
            <w:tcW w:w="1700" w:type="dxa"/>
            <w:vAlign w:val="bottom"/>
          </w:tcPr>
          <w:p>
            <w:pPr>
              <w:jc w:val="right"/>
              <w:ind w:right="257"/>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3"/>
                <w:szCs w:val="13"/>
                <w:color w:val="auto"/>
              </w:rPr>
            </w:pPr>
          </w:p>
        </w:tc>
        <w:tc>
          <w:tcPr>
            <w:tcW w:w="1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center"/>
              <w:ind w:right="41"/>
              <w:spacing w:after="0" w:line="160"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4"/>
              </w:rPr>
              <w:t>Programs</w:t>
            </w:r>
            <w:r>
              <w:rPr>
                <w:rFonts w:ascii="Times New Roman" w:cs="Times New Roman" w:eastAsia="Times New Roman" w:hAnsi="Times New Roman"/>
                <w:sz w:val="19"/>
                <w:szCs w:val="19"/>
                <w:b w:val="1"/>
                <w:bCs w:val="1"/>
                <w:color w:val="auto"/>
                <w:w w:val="94"/>
                <w:vertAlign w:val="superscript"/>
              </w:rPr>
              <w:t>(1)</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41"/>
              <w:spacing w:after="0" w:line="189" w:lineRule="exact"/>
              <w:rPr>
                <w:sz w:val="20"/>
                <w:szCs w:val="20"/>
                <w:color w:val="auto"/>
              </w:rPr>
            </w:pPr>
            <w:r>
              <w:rPr>
                <w:rFonts w:ascii="Times New Roman" w:cs="Times New Roman" w:eastAsia="Times New Roman" w:hAnsi="Times New Roman"/>
                <w:sz w:val="14"/>
                <w:szCs w:val="14"/>
                <w:b w:val="1"/>
                <w:bCs w:val="1"/>
                <w:color w:val="auto"/>
                <w:w w:val="97"/>
              </w:rPr>
              <w:t>Programs</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180,542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180,542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180,542</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180,542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-170815</wp:posOffset>
            </wp:positionV>
            <wp:extent cx="77470" cy="1714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-170815</wp:posOffset>
            </wp:positionV>
            <wp:extent cx="68580" cy="1714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1714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right="120" w:firstLine="263"/>
        <w:spacing w:after="0" w:line="250" w:lineRule="auto"/>
        <w:tabs>
          <w:tab w:leader="none" w:pos="5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under the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4" w:lineRule="exact"/>
        <w:rPr>
          <w:sz w:val="20"/>
          <w:szCs w:val="20"/>
          <w:color w:val="auto"/>
        </w:rPr>
      </w:pPr>
    </w:p>
    <w:p>
      <w:pPr>
        <w:ind w:left="780" w:hanging="517"/>
        <w:spacing w:after="0"/>
        <w:tabs>
          <w:tab w:leader="none" w:pos="7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18 U.S.C. Section 1350, as Adopted Pursuant to Section 302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-7620</wp:posOffset>
            </wp:positionV>
            <wp:extent cx="65493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-20320</wp:posOffset>
            </wp:positionV>
            <wp:extent cx="2286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8"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18 U.S.C. Section 1350, as Adopted Pursuant to Section 302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-7620</wp:posOffset>
            </wp:positionV>
            <wp:extent cx="653478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-20320</wp:posOffset>
            </wp:positionV>
            <wp:extent cx="22860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58" w:lineRule="exact"/>
        <w:rPr>
          <w:sz w:val="20"/>
          <w:szCs w:val="20"/>
          <w:color w:val="auto"/>
        </w:rPr>
      </w:pPr>
    </w:p>
    <w:p>
      <w:pPr>
        <w:ind w:left="920" w:hanging="899"/>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-7620</wp:posOffset>
            </wp:positionV>
            <wp:extent cx="637222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372225" cy="8255"/>
                    </a:xfrm>
                    <a:prstGeom prst="rect">
                      <a:avLst/>
                    </a:prstGeom>
                    <a:noFill/>
                  </pic:spPr>
                </pic:pic>
              </a:graphicData>
            </a:graphic>
          </wp:anchor>
        </w:drawing>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78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920" w:hanging="899"/>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SIXTH STREET SPECIALTY LENDING, INC.</w:t>
            </w:r>
          </w:p>
        </w:tc>
      </w:tr>
      <w:tr>
        <w:trPr>
          <w:trHeight w:val="47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 2022</w:t>
            </w:r>
          </w:p>
        </w:tc>
        <w:tc>
          <w:tcPr>
            <w:tcW w:w="34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r>
      <w:tr>
        <w:trPr>
          <w:trHeight w:val="191"/>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34"/>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7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 2022</w:t>
            </w:r>
          </w:p>
        </w:tc>
        <w:tc>
          <w:tcPr>
            <w:tcW w:w="34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660" w:type="dxa"/>
            <w:vAlign w:val="bottom"/>
          </w:tcPr>
          <w:p>
            <w:pPr>
              <w:spacing w:after="0"/>
              <w:rPr>
                <w:sz w:val="24"/>
                <w:szCs w:val="24"/>
                <w:color w:val="auto"/>
              </w:rPr>
            </w:pPr>
          </w:p>
        </w:tc>
        <w:tc>
          <w:tcPr>
            <w:tcW w:w="34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78</w:t>
            </w:r>
          </w:p>
        </w:tc>
        <w:tc>
          <w:tcPr>
            <w:tcW w:w="4100" w:type="dxa"/>
            <w:vAlign w:val="bottom"/>
          </w:tcPr>
          <w:p>
            <w:pPr>
              <w:spacing w:after="0"/>
              <w:rPr>
                <w:sz w:val="24"/>
                <w:szCs w:val="24"/>
                <w:color w:val="auto"/>
              </w:rPr>
            </w:pPr>
          </w:p>
        </w:tc>
      </w:tr>
      <w:tr>
        <w:trPr>
          <w:trHeight w:val="102"/>
        </w:trPr>
        <w:tc>
          <w:tcPr>
            <w:tcW w:w="366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8" w:name="page79"/>
    <w:bookmarkEnd w:id="7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04" w:lineRule="exact"/>
        <w:rPr>
          <w:sz w:val="20"/>
          <w:szCs w:val="20"/>
          <w:color w:val="auto"/>
        </w:rPr>
      </w:pPr>
    </w:p>
    <w:p>
      <w:pPr>
        <w:ind w:left="620" w:hanging="357"/>
        <w:spacing w:after="0"/>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Specialty Lending, Inc.;</w:t>
      </w:r>
    </w:p>
    <w:p>
      <w:pPr>
        <w:spacing w:after="0" w:line="117" w:lineRule="exact"/>
        <w:rPr>
          <w:rFonts w:ascii="Times New Roman" w:cs="Times New Roman" w:eastAsia="Times New Roman" w:hAnsi="Times New Roman"/>
          <w:sz w:val="18"/>
          <w:szCs w:val="18"/>
          <w:color w:val="auto"/>
        </w:rPr>
      </w:pPr>
    </w:p>
    <w:p>
      <w:pPr>
        <w:ind w:left="780" w:hanging="517"/>
        <w:spacing w:after="0" w:line="250" w:lineRule="auto"/>
        <w:tabs>
          <w:tab w:leader="none" w:pos="6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780" w:right="100" w:hanging="517"/>
        <w:spacing w:after="0" w:line="266" w:lineRule="auto"/>
        <w:tabs>
          <w:tab w:leader="none" w:pos="6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right"/>
        <w:ind w:left="780" w:right="320" w:hanging="517"/>
        <w:spacing w:after="0" w:line="268" w:lineRule="auto"/>
        <w:tabs>
          <w:tab w:leader="none" w:pos="63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7"/>
          <w:szCs w:val="17"/>
          <w:color w:val="auto"/>
        </w:rPr>
      </w:pPr>
    </w:p>
    <w:p>
      <w:pPr>
        <w:ind w:left="1280" w:right="60" w:hanging="509"/>
        <w:spacing w:after="0" w:line="258" w:lineRule="auto"/>
        <w:tabs>
          <w:tab w:leader="none" w:pos="113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280" w:right="40" w:hanging="509"/>
        <w:spacing w:after="0" w:line="258" w:lineRule="auto"/>
        <w:tabs>
          <w:tab w:leader="none" w:pos="113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1" w:lineRule="exact"/>
        <w:rPr>
          <w:rFonts w:ascii="Times New Roman" w:cs="Times New Roman" w:eastAsia="Times New Roman" w:hAnsi="Times New Roman"/>
          <w:sz w:val="18"/>
          <w:szCs w:val="18"/>
          <w:color w:val="auto"/>
        </w:rPr>
      </w:pPr>
    </w:p>
    <w:p>
      <w:pPr>
        <w:ind w:left="1280" w:right="220" w:hanging="509"/>
        <w:spacing w:after="0" w:line="296" w:lineRule="auto"/>
        <w:tabs>
          <w:tab w:leader="none" w:pos="113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1280" w:right="80" w:hanging="509"/>
        <w:spacing w:after="0" w:line="250" w:lineRule="auto"/>
        <w:tabs>
          <w:tab w:leader="none" w:pos="113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780" w:right="20" w:hanging="517"/>
        <w:spacing w:after="0" w:line="266" w:lineRule="auto"/>
        <w:tabs>
          <w:tab w:leader="none" w:pos="6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280" w:right="600" w:hanging="509"/>
        <w:spacing w:after="0" w:line="266" w:lineRule="auto"/>
        <w:tabs>
          <w:tab w:leader="none" w:pos="113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280" w:right="300" w:hanging="509"/>
        <w:spacing w:after="0" w:line="266" w:lineRule="auto"/>
        <w:tabs>
          <w:tab w:leader="none" w:pos="113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79" w:name="page80"/>
    <w:bookmarkEnd w:id="7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04" w:lineRule="exact"/>
        <w:rPr>
          <w:sz w:val="20"/>
          <w:szCs w:val="20"/>
          <w:color w:val="auto"/>
        </w:rPr>
      </w:pPr>
    </w:p>
    <w:p>
      <w:pPr>
        <w:ind w:left="620" w:hanging="357"/>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Specialty Lending, Inc.;</w:t>
      </w:r>
    </w:p>
    <w:p>
      <w:pPr>
        <w:spacing w:after="0" w:line="117" w:lineRule="exact"/>
        <w:rPr>
          <w:rFonts w:ascii="Times New Roman" w:cs="Times New Roman" w:eastAsia="Times New Roman" w:hAnsi="Times New Roman"/>
          <w:sz w:val="18"/>
          <w:szCs w:val="18"/>
          <w:color w:val="auto"/>
        </w:rPr>
      </w:pPr>
    </w:p>
    <w:p>
      <w:pPr>
        <w:ind w:left="780" w:hanging="517"/>
        <w:spacing w:after="0" w:line="250" w:lineRule="auto"/>
        <w:tabs>
          <w:tab w:leader="none" w:pos="6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780" w:right="100" w:hanging="517"/>
        <w:spacing w:after="0" w:line="266" w:lineRule="auto"/>
        <w:tabs>
          <w:tab w:leader="none" w:pos="6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right"/>
        <w:ind w:left="780" w:right="320" w:hanging="517"/>
        <w:spacing w:after="0" w:line="268" w:lineRule="auto"/>
        <w:tabs>
          <w:tab w:leader="none" w:pos="63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7"/>
          <w:szCs w:val="17"/>
          <w:color w:val="auto"/>
        </w:rPr>
      </w:pPr>
    </w:p>
    <w:p>
      <w:pPr>
        <w:ind w:left="1280" w:right="60" w:hanging="509"/>
        <w:spacing w:after="0" w:line="258" w:lineRule="auto"/>
        <w:tabs>
          <w:tab w:leader="none" w:pos="11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280" w:right="40" w:hanging="509"/>
        <w:spacing w:after="0" w:line="258" w:lineRule="auto"/>
        <w:tabs>
          <w:tab w:leader="none" w:pos="11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1" w:lineRule="exact"/>
        <w:rPr>
          <w:rFonts w:ascii="Times New Roman" w:cs="Times New Roman" w:eastAsia="Times New Roman" w:hAnsi="Times New Roman"/>
          <w:sz w:val="18"/>
          <w:szCs w:val="18"/>
          <w:color w:val="auto"/>
        </w:rPr>
      </w:pPr>
    </w:p>
    <w:p>
      <w:pPr>
        <w:ind w:left="1280" w:right="220" w:hanging="509"/>
        <w:spacing w:after="0" w:line="296" w:lineRule="auto"/>
        <w:tabs>
          <w:tab w:leader="none" w:pos="113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1280" w:right="80" w:hanging="509"/>
        <w:spacing w:after="0" w:line="250" w:lineRule="auto"/>
        <w:tabs>
          <w:tab w:leader="none" w:pos="11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780" w:right="20" w:hanging="517"/>
        <w:spacing w:after="0" w:line="266" w:lineRule="auto"/>
        <w:tabs>
          <w:tab w:leader="none" w:pos="6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280" w:right="600" w:hanging="509"/>
        <w:spacing w:after="0" w:line="266" w:lineRule="auto"/>
        <w:tabs>
          <w:tab w:leader="none" w:pos="11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280" w:right="300" w:hanging="509"/>
        <w:spacing w:after="0" w:line="266" w:lineRule="auto"/>
        <w:tabs>
          <w:tab w:leader="none" w:pos="11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0" w:name="page81"/>
    <w:bookmarkEnd w:id="80"/>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ind w:left="4720"/>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In connection with the quarterly report on Form 10-Q of Sixth Street Specialty Lending, Inc. (the “Company”) for the quarterly period ended September 30, 2022, as filed with the Securities and Exchange Commission on the date hereof (the “Report”), Joshua Easterly as Chief Executive Officer of the Company, and Ian Simmonds, as Chief Financial Officer of the Company, each hereby certifies, pursuant to 18 U.S.C. § 1350, as adopted pursuant to</w:t>
      </w:r>
    </w:p>
    <w:p>
      <w:pPr>
        <w:spacing w:after="0" w:line="2" w:lineRule="exact"/>
        <w:rPr>
          <w:sz w:val="20"/>
          <w:szCs w:val="20"/>
          <w:color w:val="auto"/>
        </w:rPr>
      </w:pPr>
    </w:p>
    <w:p>
      <w:pPr>
        <w:ind w:left="140" w:hanging="132"/>
        <w:spacing w:after="0"/>
        <w:tabs>
          <w:tab w:leader="none" w:pos="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 to such officer’s knowledge:</w:t>
      </w:r>
    </w:p>
    <w:p>
      <w:pPr>
        <w:spacing w:after="0" w:line="8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Joshua Easterly</w:t>
      </w:r>
    </w:p>
    <w:p>
      <w:pPr>
        <w:spacing w:after="0" w:line="2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November 1, 2022</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Ian Simmonds</w:t>
      </w:r>
    </w:p>
    <w:p>
      <w:pPr>
        <w:spacing w:after="0" w:line="2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November 1, 2022</w:t>
      </w:r>
    </w:p>
    <w:p>
      <w:pPr>
        <w:spacing w:after="0" w:line="20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decimal"/>
      <w:start w:val="1"/>
    </w:lvl>
    <w:lvl w:ilvl="1">
      <w:lvlJc w:val="left"/>
      <w:lvlText w:val="(%2)"/>
      <w:numFmt w:val="lowerLetter"/>
      <w:start w:val="5"/>
    </w:lvl>
  </w:abstractNum>
  <w:abstractNum w:abstractNumId="5">
    <w:nsid w:val="3006C83E"/>
    <w:multiLevelType w:val="hybridMultilevel"/>
    <w:lvl w:ilvl="0">
      <w:lvlJc w:val="left"/>
      <w:lvlText w:val="(%1)"/>
      <w:numFmt w:val="decimal"/>
      <w:start w:val="1"/>
    </w:lvl>
    <w:lvl w:ilvl="1">
      <w:lvlJc w:val="left"/>
      <w:lvlText w:val="%2"/>
      <w:numFmt w:val="lowerLetter"/>
      <w:start w:val="1"/>
    </w:lvl>
  </w:abstractNum>
  <w:abstractNum w:abstractNumId="6">
    <w:nsid w:val="614FD4A1"/>
    <w:multiLevelType w:val="hybridMultilevel"/>
    <w:lvl w:ilvl="0">
      <w:lvlJc w:val="left"/>
      <w:lvlText w:val="%1"/>
      <w:numFmt w:val="decimal"/>
      <w:start w:val="1"/>
    </w:lvl>
    <w:lvl w:ilvl="1">
      <w:lvlJc w:val="left"/>
      <w:lvlText w:val="(%2)"/>
      <w:numFmt w:val="lowerLetter"/>
      <w:start w:val="1"/>
    </w:lvl>
  </w:abstractNum>
  <w:abstractNum w:abstractNumId="7">
    <w:nsid w:val="419AC241"/>
    <w:multiLevelType w:val="hybridMultilevel"/>
    <w:lvl w:ilvl="0">
      <w:lvlJc w:val="left"/>
      <w:lvlText w:val="(%1)"/>
      <w:numFmt w:val="decimal"/>
      <w:start w:val="7"/>
    </w:lvl>
    <w:lvl w:ilvl="1">
      <w:lvlJc w:val="left"/>
      <w:lvlText w:val="%2"/>
      <w:numFmt w:val="lowerLetter"/>
      <w:start w:val="1"/>
    </w:lvl>
  </w:abstractNum>
  <w:abstractNum w:abstractNumId="8">
    <w:nsid w:val="5577F8E1"/>
    <w:multiLevelType w:val="hybridMultilevel"/>
    <w:lvl w:ilvl="0">
      <w:lvlJc w:val="left"/>
      <w:lvlText w:val="%1"/>
      <w:numFmt w:val="decimal"/>
      <w:start w:val="1"/>
    </w:lvl>
    <w:lvl w:ilvl="1">
      <w:lvlJc w:val="left"/>
      <w:lvlText w:val="(%2)"/>
      <w:numFmt w:val="lowerLetter"/>
      <w:start w:val="1"/>
    </w:lvl>
  </w:abstractNum>
  <w:abstractNum w:abstractNumId="9">
    <w:nsid w:val="440BADFC"/>
    <w:multiLevelType w:val="hybridMultilevel"/>
    <w:lvl w:ilvl="0">
      <w:lvlJc w:val="left"/>
      <w:lvlText w:val="(%1)"/>
      <w:numFmt w:val="decimal"/>
      <w:start w:val="8"/>
    </w:lvl>
    <w:lvl w:ilvl="1">
      <w:lvlJc w:val="left"/>
      <w:lvlText w:val="%2"/>
      <w:numFmt w:val="lowerLetter"/>
      <w:start w:val="1"/>
    </w:lvl>
  </w:abstractNum>
  <w:abstractNum w:abstractNumId="10">
    <w:nsid w:val="5072367"/>
    <w:multiLevelType w:val="hybridMultilevel"/>
    <w:lvl w:ilvl="0">
      <w:lvlJc w:val="left"/>
      <w:lvlText w:val="%1"/>
      <w:numFmt w:val="decimal"/>
      <w:start w:val="1"/>
    </w:lvl>
    <w:lvl w:ilvl="1">
      <w:lvlJc w:val="left"/>
      <w:lvlText w:val="(%2)"/>
      <w:numFmt w:val="lowerLetter"/>
      <w:start w:val="1"/>
    </w:lvl>
  </w:abstractNum>
  <w:abstractNum w:abstractNumId="11">
    <w:nsid w:val="3804823E"/>
    <w:multiLevelType w:val="hybridMultilevel"/>
    <w:lvl w:ilvl="0">
      <w:lvlJc w:val="left"/>
      <w:lvlText w:val="(%1)"/>
      <w:numFmt w:val="decimal"/>
      <w:start w:val="1"/>
    </w:lvl>
    <w:lvl w:ilvl="1">
      <w:lvlJc w:val="left"/>
      <w:lvlText w:val="%2"/>
      <w:numFmt w:val="lowerLetter"/>
      <w:start w:val="1"/>
    </w:lvl>
  </w:abstractNum>
  <w:abstractNum w:abstractNumId="12">
    <w:nsid w:val="77465F01"/>
    <w:multiLevelType w:val="hybridMultilevel"/>
    <w:lvl w:ilvl="0">
      <w:lvlJc w:val="left"/>
      <w:lvlText w:val="%1"/>
      <w:numFmt w:val="decimal"/>
      <w:start w:val="1"/>
    </w:lvl>
    <w:lvl w:ilvl="1">
      <w:lvlJc w:val="left"/>
      <w:lvlText w:val="(%2)"/>
      <w:numFmt w:val="lowerLetter"/>
      <w:start w:val="1"/>
    </w:lvl>
  </w:abstractNum>
  <w:abstractNum w:abstractNumId="13">
    <w:nsid w:val="7724C67E"/>
    <w:multiLevelType w:val="hybridMultilevel"/>
    <w:lvl w:ilvl="0">
      <w:lvlJc w:val="left"/>
      <w:lvlText w:val="(%1)"/>
      <w:numFmt w:val="decimal"/>
      <w:start w:val="7"/>
    </w:lvl>
    <w:lvl w:ilvl="1">
      <w:lvlJc w:val="left"/>
      <w:lvlText w:val="%2"/>
      <w:numFmt w:val="lowerLetter"/>
      <w:start w:val="1"/>
    </w:lvl>
  </w:abstractNum>
  <w:abstractNum w:abstractNumId="14">
    <w:nsid w:val="5C482A97"/>
    <w:multiLevelType w:val="hybridMultilevel"/>
    <w:lvl w:ilvl="0">
      <w:lvlJc w:val="left"/>
      <w:lvlText w:val="%1"/>
      <w:numFmt w:val="decimal"/>
      <w:start w:val="1"/>
    </w:lvl>
    <w:lvl w:ilvl="1">
      <w:lvlJc w:val="left"/>
      <w:lvlText w:val="(%2)"/>
      <w:numFmt w:val="lowerLetter"/>
      <w:start w:val="1"/>
    </w:lvl>
  </w:abstractNum>
  <w:abstractNum w:abstractNumId="15">
    <w:nsid w:val="2463B9EA"/>
    <w:multiLevelType w:val="hybridMultilevel"/>
    <w:lvl w:ilvl="0">
      <w:lvlJc w:val="left"/>
      <w:lvlText w:val="(%1)"/>
      <w:numFmt w:val="decimal"/>
      <w:start w:val="8"/>
    </w:lvl>
    <w:lvl w:ilvl="1">
      <w:lvlJc w:val="left"/>
      <w:lvlText w:val="%2"/>
      <w:numFmt w:val="lowerLetter"/>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2"/>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3"/>
    </w:lvl>
  </w:abstractNum>
  <w:abstractNum w:abstractNumId="23">
    <w:nsid w:val="6A2342EC"/>
    <w:multiLevelType w:val="hybridMultilevel"/>
    <w:lvl w:ilvl="0">
      <w:lvlJc w:val="left"/>
      <w:lvlText w:val="(%1)"/>
      <w:numFmt w:val="lowerRoman"/>
      <w:start w:val="1"/>
    </w:lvl>
  </w:abstractNum>
  <w:abstractNum w:abstractNumId="24">
    <w:nsid w:val="2A487CB0"/>
    <w:multiLevelType w:val="hybridMultilevel"/>
    <w:lvl w:ilvl="0">
      <w:lvlJc w:val="left"/>
      <w:lvlText w:val="(%1)"/>
      <w:numFmt w:val="lowerRoman"/>
      <w:start w:val="2"/>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3"/>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decimal"/>
      <w:start w:val="32"/>
    </w:lvl>
  </w:abstractNum>
  <w:abstractNum w:abstractNumId="57">
    <w:nsid w:val="15B5AF5C"/>
    <w:multiLevelType w:val="hybridMultilevel"/>
    <w:lvl w:ilvl="0">
      <w:lvlJc w:val="left"/>
      <w:lvlText w:val="%1"/>
      <w:numFmt w:val="decimal"/>
      <w:start w:val="104"/>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2022-11-09T16:18:19Z</dcterms:created>
  <dcterms:modified xsi:type="dcterms:W3CDTF">2022-11-09T16:18:19Z</dcterms:modified>
</cp:coreProperties>
</file>