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12/10/2012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17.6</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1,008.15</w:t>
            </w:r>
          </w:p>
        </w:tc>
        <w:tc>
          <w:tcPr>
            <w:tcW w:w="1300" w:type="dxa"/>
            <w:vAlign w:val="bottom"/>
            <w:gridSpan w:val="3"/>
            <w:vMerge w:val="restart"/>
          </w:tcPr>
          <w:p>
            <w:pPr>
              <w:ind w:left="560"/>
              <w:spacing w:after="0"/>
              <w:rPr>
                <w:sz w:val="20"/>
                <w:szCs w:val="20"/>
                <w:color w:val="auto"/>
              </w:rPr>
            </w:pPr>
            <w:r>
              <w:rPr>
                <w:rFonts w:ascii="Arial" w:cs="Arial" w:eastAsia="Arial" w:hAnsi="Arial"/>
                <w:sz w:val="18"/>
                <w:szCs w:val="18"/>
                <w:color w:val="0000FF"/>
              </w:rPr>
              <w:t>83</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32,332 shares of Common Stock of the Issuer, including 83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Easterly pursuant to the authorization and designation letter dated March 10, 2011, which was previously filed with the Securities and Exchange Commission as an exhibit to a Form 3 filed by Mr. Easterly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12/12/2012</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6"/>
              </w:rPr>
              <w:t>Joshua Easterly (2)</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2019-12-17T04:40:17Z</dcterms:created>
  <dcterms:modified xsi:type="dcterms:W3CDTF">2019-12-17T04:40:17Z</dcterms:modified>
</cp:coreProperties>
</file>