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0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540" w:right="4560" w:firstLine="289"/>
        <w:spacing w:after="0" w:line="605" w:lineRule="auto"/>
        <w:tabs>
          <w:tab w:leader="none" w:pos="49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240.13d-2(a) (Amendment No. 4) *</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Timothy M. Walsh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of New Jersey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Division of Investment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 West State Street,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290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Trenton, NJ 08625-0290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(609) 292-5106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February 6, 2013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39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580" w:top="661" w:right="5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4"/>
        </w:trPr>
        <w:tc>
          <w:tcPr>
            <w:tcW w:w="56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22"/>
                <w:szCs w:val="22"/>
                <w:b w:val="1"/>
                <w:bCs w:val="1"/>
                <w:color w:val="auto"/>
              </w:rPr>
              <w:t>1</w:t>
            </w:r>
          </w:p>
        </w:tc>
        <w:tc>
          <w:tcPr>
            <w:tcW w:w="4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3"/>
              </w:rPr>
              <w:t>NAME OF REPORTING PERSONS</w:t>
            </w:r>
          </w:p>
        </w:tc>
        <w:tc>
          <w:tcPr>
            <w:tcW w:w="80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7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State of New Jersey Common Pension Fund B</w:t>
            </w: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 w:type="dxa"/>
            <w:vAlign w:val="bottom"/>
            <w:tcBorders>
              <w:left w:val="single" w:sz="8" w:color="auto"/>
            </w:tcBorders>
          </w:tcPr>
          <w:p>
            <w:pPr>
              <w:ind w:left="260"/>
              <w:spacing w:after="0" w:line="205" w:lineRule="exact"/>
              <w:rPr>
                <w:sz w:val="20"/>
                <w:szCs w:val="20"/>
                <w:color w:val="auto"/>
              </w:rPr>
            </w:pPr>
            <w:r>
              <w:rPr>
                <w:rFonts w:ascii="Arial" w:cs="Arial" w:eastAsia="Arial" w:hAnsi="Arial"/>
                <w:sz w:val="22"/>
                <w:szCs w:val="22"/>
                <w:b w:val="1"/>
                <w:bCs w:val="1"/>
                <w:color w:val="auto"/>
              </w:rPr>
              <w:t>2</w:t>
            </w:r>
          </w:p>
        </w:tc>
        <w:tc>
          <w:tcPr>
            <w:tcW w:w="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700" w:type="dxa"/>
            <w:vAlign w:val="bottom"/>
            <w:tcBorders>
              <w:right w:val="single" w:sz="8" w:color="auto"/>
            </w:tcBorders>
            <w:gridSpan w:val="4"/>
          </w:tcPr>
          <w:p>
            <w:pPr>
              <w:spacing w:after="0" w:line="205"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74"/>
        </w:trPr>
        <w:tc>
          <w:tcPr>
            <w:tcW w:w="560" w:type="dxa"/>
            <w:vAlign w:val="bottom"/>
            <w:tcBorders>
              <w:lef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0" w:type="dxa"/>
            <w:vAlign w:val="bottom"/>
            <w:tcBorders>
              <w:right w:val="single" w:sz="8" w:color="auto"/>
            </w:tcBorders>
          </w:tcPr>
          <w:p>
            <w:pPr>
              <w:ind w:left="2300"/>
              <w:spacing w:after="0" w:line="17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ind w:left="23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2"/>
        </w:trPr>
        <w:tc>
          <w:tcPr>
            <w:tcW w:w="56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260"/>
              <w:spacing w:after="0"/>
              <w:rPr>
                <w:sz w:val="20"/>
                <w:szCs w:val="20"/>
                <w:color w:val="auto"/>
              </w:rPr>
            </w:pPr>
            <w:r>
              <w:rPr>
                <w:rFonts w:ascii="Arial" w:cs="Arial" w:eastAsia="Arial" w:hAnsi="Arial"/>
                <w:sz w:val="22"/>
                <w:szCs w:val="22"/>
                <w:b w:val="1"/>
                <w:bCs w:val="1"/>
                <w:color w:val="auto"/>
              </w:rPr>
              <w:t>3</w:t>
            </w:r>
          </w:p>
        </w:tc>
        <w:tc>
          <w:tcPr>
            <w:tcW w:w="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56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260"/>
              <w:spacing w:after="0"/>
              <w:rPr>
                <w:sz w:val="20"/>
                <w:szCs w:val="20"/>
                <w:color w:val="auto"/>
              </w:rPr>
            </w:pPr>
            <w:r>
              <w:rPr>
                <w:rFonts w:ascii="Arial" w:cs="Arial" w:eastAsia="Arial" w:hAnsi="Arial"/>
                <w:sz w:val="22"/>
                <w:szCs w:val="22"/>
                <w:b w:val="1"/>
                <w:bCs w:val="1"/>
                <w:color w:val="auto"/>
              </w:rPr>
              <w:t>4</w:t>
            </w:r>
          </w:p>
        </w:tc>
        <w:tc>
          <w:tcPr>
            <w:tcW w:w="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6"/>
              </w:rPr>
              <w:t>SOURCE OF FUNDS</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WC</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60" w:type="dxa"/>
            <w:vAlign w:val="bottom"/>
            <w:tcBorders>
              <w:left w:val="single" w:sz="8" w:color="auto"/>
            </w:tcBorders>
          </w:tcPr>
          <w:p>
            <w:pPr>
              <w:ind w:left="260"/>
              <w:spacing w:after="0"/>
              <w:rPr>
                <w:sz w:val="20"/>
                <w:szCs w:val="20"/>
                <w:color w:val="auto"/>
              </w:rPr>
            </w:pPr>
            <w:r>
              <w:rPr>
                <w:rFonts w:ascii="Arial" w:cs="Arial" w:eastAsia="Arial" w:hAnsi="Arial"/>
                <w:sz w:val="22"/>
                <w:szCs w:val="22"/>
                <w:b w:val="1"/>
                <w:bCs w:val="1"/>
                <w:color w:val="auto"/>
              </w:rPr>
              <w:t>5</w:t>
            </w:r>
          </w:p>
        </w:tc>
        <w:tc>
          <w:tcPr>
            <w:tcW w:w="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70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56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260"/>
              <w:spacing w:after="0"/>
              <w:rPr>
                <w:sz w:val="20"/>
                <w:szCs w:val="20"/>
                <w:color w:val="auto"/>
              </w:rPr>
            </w:pPr>
            <w:r>
              <w:rPr>
                <w:rFonts w:ascii="Arial" w:cs="Arial" w:eastAsia="Arial" w:hAnsi="Arial"/>
                <w:sz w:val="22"/>
                <w:szCs w:val="22"/>
                <w:b w:val="1"/>
                <w:bCs w:val="1"/>
                <w:color w:val="auto"/>
              </w:rPr>
              <w:t>6</w:t>
            </w:r>
          </w:p>
        </w:tc>
        <w:tc>
          <w:tcPr>
            <w:tcW w:w="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7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USA</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7</w:t>
            </w:r>
          </w:p>
        </w:tc>
        <w:tc>
          <w:tcPr>
            <w:tcW w:w="80" w:type="dxa"/>
            <w:vAlign w:val="bottom"/>
          </w:tcPr>
          <w:p>
            <w:pPr>
              <w:spacing w:after="0"/>
              <w:rPr>
                <w:sz w:val="23"/>
                <w:szCs w:val="23"/>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69,538 shares</w:t>
            </w: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NUMBER OF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8</w:t>
            </w:r>
          </w:p>
        </w:tc>
        <w:tc>
          <w:tcPr>
            <w:tcW w:w="80" w:type="dxa"/>
            <w:vAlign w:val="bottom"/>
          </w:tcPr>
          <w:p>
            <w:pPr>
              <w:spacing w:after="0"/>
              <w:rPr>
                <w:sz w:val="23"/>
                <w:szCs w:val="23"/>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56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91"/>
              </w:rPr>
              <w:t>SHARES</w:t>
            </w:r>
          </w:p>
        </w:tc>
        <w:tc>
          <w:tcPr>
            <w:tcW w:w="9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3"/>
          </w:tcPr>
          <w:p>
            <w:pPr>
              <w:jc w:val="center"/>
              <w:ind w:right="470"/>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right w:val="single" w:sz="8" w:color="auto"/>
            </w:tcBorders>
          </w:tcPr>
          <w:p>
            <w:pPr>
              <w:jc w:val="center"/>
              <w:ind w:right="690"/>
              <w:spacing w:after="0" w:line="198" w:lineRule="exact"/>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22"/>
                <w:szCs w:val="22"/>
                <w:b w:val="1"/>
                <w:bCs w:val="1"/>
                <w:color w:val="auto"/>
                <w:w w:val="81"/>
              </w:rPr>
              <w:t>9</w:t>
            </w:r>
          </w:p>
        </w:tc>
        <w:tc>
          <w:tcPr>
            <w:tcW w:w="80" w:type="dxa"/>
            <w:vAlign w:val="bottom"/>
          </w:tcPr>
          <w:p>
            <w:pPr>
              <w:spacing w:after="0"/>
              <w:rPr>
                <w:sz w:val="17"/>
                <w:szCs w:val="17"/>
                <w:color w:val="auto"/>
              </w:rPr>
            </w:pPr>
          </w:p>
        </w:tc>
        <w:tc>
          <w:tcPr>
            <w:tcW w:w="800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56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right w:val="single" w:sz="8" w:color="auto"/>
            </w:tcBorders>
          </w:tcPr>
          <w:p>
            <w:pPr>
              <w:spacing w:after="0" w:line="200" w:lineRule="exact"/>
              <w:rPr>
                <w:sz w:val="20"/>
                <w:szCs w:val="20"/>
                <w:color w:val="auto"/>
              </w:rPr>
            </w:pPr>
            <w:r>
              <w:rPr>
                <w:rFonts w:ascii="Arial" w:cs="Arial" w:eastAsia="Arial" w:hAnsi="Arial"/>
                <w:sz w:val="18"/>
                <w:szCs w:val="18"/>
                <w:color w:val="auto"/>
              </w:rPr>
              <w:t>REPORTING</w:t>
            </w:r>
          </w:p>
        </w:tc>
        <w:tc>
          <w:tcPr>
            <w:tcW w:w="9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89"/>
              </w:rPr>
              <w:t>PERSON</w:t>
            </w:r>
          </w:p>
        </w:tc>
        <w:tc>
          <w:tcPr>
            <w:tcW w:w="9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69,538 shares**</w:t>
            </w: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rPr>
              <w:t>WITH</w:t>
            </w:r>
          </w:p>
        </w:tc>
        <w:tc>
          <w:tcPr>
            <w:tcW w:w="9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80" w:type="dxa"/>
            <w:vAlign w:val="bottom"/>
          </w:tcPr>
          <w:p>
            <w:pPr>
              <w:spacing w:after="0"/>
              <w:rPr>
                <w:sz w:val="23"/>
                <w:szCs w:val="23"/>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432"/>
        </w:trPr>
        <w:tc>
          <w:tcPr>
            <w:tcW w:w="56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260"/>
              <w:spacing w:after="0"/>
              <w:rPr>
                <w:sz w:val="20"/>
                <w:szCs w:val="20"/>
                <w:color w:val="auto"/>
              </w:rPr>
            </w:pPr>
            <w:r>
              <w:rPr>
                <w:rFonts w:ascii="Arial" w:cs="Arial" w:eastAsia="Arial" w:hAnsi="Arial"/>
                <w:sz w:val="22"/>
                <w:szCs w:val="22"/>
                <w:b w:val="1"/>
                <w:bCs w:val="1"/>
                <w:color w:val="auto"/>
              </w:rPr>
              <w:t>11</w:t>
            </w:r>
          </w:p>
        </w:tc>
        <w:tc>
          <w:tcPr>
            <w:tcW w:w="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69,538 shares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70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320"/>
              <w:spacing w:after="0"/>
              <w:rPr>
                <w:sz w:val="20"/>
                <w:szCs w:val="20"/>
                <w:color w:val="auto"/>
              </w:rPr>
            </w:pPr>
            <w:r>
              <w:rPr>
                <w:rFonts w:ascii="Arial" w:cs="Arial" w:eastAsia="Arial" w:hAnsi="Arial"/>
                <w:sz w:val="22"/>
                <w:szCs w:val="22"/>
                <w:b w:val="1"/>
                <w:bCs w:val="1"/>
                <w:color w:val="auto"/>
                <w:w w:val="89"/>
              </w:rPr>
              <w:t>12</w:t>
            </w:r>
          </w:p>
        </w:tc>
        <w:tc>
          <w:tcPr>
            <w:tcW w:w="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388"/>
        </w:trPr>
        <w:tc>
          <w:tcPr>
            <w:tcW w:w="5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07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320"/>
              <w:spacing w:after="0"/>
              <w:rPr>
                <w:sz w:val="20"/>
                <w:szCs w:val="20"/>
                <w:color w:val="auto"/>
              </w:rPr>
            </w:pPr>
            <w:r>
              <w:rPr>
                <w:rFonts w:ascii="Arial" w:cs="Arial" w:eastAsia="Arial" w:hAnsi="Arial"/>
                <w:sz w:val="22"/>
                <w:szCs w:val="22"/>
                <w:b w:val="1"/>
                <w:bCs w:val="1"/>
                <w:color w:val="auto"/>
                <w:w w:val="89"/>
              </w:rPr>
              <w:t>13</w:t>
            </w:r>
          </w:p>
        </w:tc>
        <w:tc>
          <w:tcPr>
            <w:tcW w:w="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gridSpan w:val="2"/>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13.8%</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70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60" w:type="dxa"/>
            <w:vAlign w:val="bottom"/>
            <w:tcBorders>
              <w:left w:val="single" w:sz="8" w:color="auto"/>
            </w:tcBorders>
          </w:tcPr>
          <w:p>
            <w:pPr>
              <w:ind w:left="320"/>
              <w:spacing w:after="0"/>
              <w:rPr>
                <w:sz w:val="20"/>
                <w:szCs w:val="20"/>
                <w:color w:val="auto"/>
              </w:rPr>
            </w:pPr>
            <w:r>
              <w:rPr>
                <w:rFonts w:ascii="Arial" w:cs="Arial" w:eastAsia="Arial" w:hAnsi="Arial"/>
                <w:sz w:val="22"/>
                <w:szCs w:val="22"/>
                <w:b w:val="1"/>
                <w:bCs w:val="1"/>
                <w:color w:val="auto"/>
                <w:w w:val="89"/>
              </w:rPr>
              <w:t>14</w:t>
            </w:r>
          </w:p>
        </w:tc>
        <w:tc>
          <w:tcPr>
            <w:tcW w:w="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8"/>
        </w:trPr>
        <w:tc>
          <w:tcPr>
            <w:tcW w:w="560" w:type="dxa"/>
            <w:vAlign w:val="bottom"/>
            <w:tcBorders>
              <w:lef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18"/>
                <w:szCs w:val="18"/>
                <w:color w:val="auto"/>
              </w:rPr>
              <w:t>EP</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4 of the Statement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300"/>
        <w:spacing w:after="0" w:line="291" w:lineRule="auto"/>
        <w:rPr>
          <w:sz w:val="20"/>
          <w:szCs w:val="20"/>
          <w:color w:val="auto"/>
        </w:rPr>
      </w:pPr>
      <w:r>
        <w:rPr>
          <w:rFonts w:ascii="Arial" w:cs="Arial" w:eastAsia="Arial" w:hAnsi="Arial"/>
          <w:sz w:val="16"/>
          <w:szCs w:val="16"/>
          <w:color w:val="auto"/>
        </w:rPr>
        <w:t>This Amendment No. 4 amends the Schedule 13D originally filed with the United States Securities and Exchange Commission (the “Commission”) by the Reporting Person on June 24, 2011, as amended by Amendment No. 1 filed with the Commission on August 5, 2011, Amendment No. 2 filed with the Commission on December 7, 2011 and Amendment No. 3 filed with the Commission on May 24, 2012 (the “Statement”) relating to the Common Stock, $0.01 par value, of TPG Specialty Lending, Inc., a Delaware corporation (the “Issuer”). The purpose of this Amendment No. 4 is to report a change in the Reporting Person’s percentage of beneficial ownership resulting from an increase in the number of outstanding shares of Common Stock. Unless otherwise indicated, all capitalized terms used herein shall have the meanings ascribed to them in the Statement, and unless amended or supplemented hereby, all information previously filed remains in effect.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of the Statement is hereby supplemented as follows:</w:t>
      </w:r>
    </w:p>
    <w:p>
      <w:pPr>
        <w:spacing w:after="0" w:line="225" w:lineRule="exact"/>
        <w:rPr>
          <w:sz w:val="20"/>
          <w:szCs w:val="20"/>
          <w:color w:val="auto"/>
        </w:rPr>
      </w:pPr>
    </w:p>
    <w:p>
      <w:pPr>
        <w:ind w:left="1300" w:right="660"/>
        <w:spacing w:after="0" w:line="342" w:lineRule="auto"/>
        <w:rPr>
          <w:sz w:val="20"/>
          <w:szCs w:val="20"/>
          <w:color w:val="auto"/>
        </w:rPr>
      </w:pPr>
      <w:r>
        <w:rPr>
          <w:rFonts w:ascii="Arial" w:cs="Arial" w:eastAsia="Arial" w:hAnsi="Arial"/>
          <w:sz w:val="16"/>
          <w:szCs w:val="16"/>
          <w:color w:val="auto"/>
        </w:rPr>
        <w:t>On June 18, 2012, pursuant to the Subscription Agreement with the Issuer, the Fund agreed to purchase from the Issuer in a private transaction an additional 5,295 shares of Common Stock for an aggregate purchase price of $5,324,497 (the “Sixth Closing”).</w:t>
      </w:r>
    </w:p>
    <w:p>
      <w:pPr>
        <w:spacing w:after="0" w:line="124" w:lineRule="exact"/>
        <w:rPr>
          <w:sz w:val="20"/>
          <w:szCs w:val="20"/>
          <w:color w:val="auto"/>
        </w:rPr>
      </w:pPr>
    </w:p>
    <w:p>
      <w:pPr>
        <w:ind w:left="1300" w:right="260"/>
        <w:spacing w:after="0" w:line="342" w:lineRule="auto"/>
        <w:rPr>
          <w:sz w:val="20"/>
          <w:szCs w:val="20"/>
          <w:color w:val="auto"/>
        </w:rPr>
      </w:pPr>
      <w:r>
        <w:rPr>
          <w:rFonts w:ascii="Arial" w:cs="Arial" w:eastAsia="Arial" w:hAnsi="Arial"/>
          <w:sz w:val="16"/>
          <w:szCs w:val="16"/>
          <w:color w:val="auto"/>
        </w:rPr>
        <w:t>On December 10, 2012, pursuant to the Subscription Agreement with the Issuer, the Fund agreed to purchase from the Issuer in a private transaction an additional 14,138 shares of Common Stock for an aggregate purchase price of $14,255,314 (the “Seventh Closing”).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source of funds for the above-referenced purchases was the working capital of the Fund.</w:t>
      </w:r>
    </w:p>
    <w:p>
      <w:pPr>
        <w:spacing w:after="0" w:line="225" w:lineRule="exact"/>
        <w:rPr>
          <w:sz w:val="20"/>
          <w:szCs w:val="20"/>
          <w:color w:val="auto"/>
        </w:rPr>
      </w:pPr>
    </w:p>
    <w:p>
      <w:pPr>
        <w:jc w:val="both"/>
        <w:ind w:left="1300" w:right="280"/>
        <w:spacing w:after="0" w:line="264" w:lineRule="auto"/>
        <w:rPr>
          <w:sz w:val="20"/>
          <w:szCs w:val="20"/>
          <w:color w:val="auto"/>
        </w:rPr>
      </w:pPr>
      <w:r>
        <w:rPr>
          <w:rFonts w:ascii="Arial" w:cs="Arial" w:eastAsia="Arial" w:hAnsi="Arial"/>
          <w:sz w:val="18"/>
          <w:szCs w:val="18"/>
          <w:color w:val="auto"/>
        </w:rPr>
        <w:t>In addition to the above-referenced transactions, an additional 1,144 shares of Common Stock and 1,303 shares of Common Stock were issued to the Fund on August 7, 2012 and November 13, 2012, respectively, upon reinvestment of dividends pursuant to the terms of the Subscription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of the Statement is hereby amended and restated in its entirety to read as follows:</w:t>
      </w:r>
    </w:p>
    <w:p>
      <w:pPr>
        <w:spacing w:after="0" w:line="225" w:lineRule="exact"/>
        <w:rPr>
          <w:sz w:val="20"/>
          <w:szCs w:val="20"/>
          <w:color w:val="auto"/>
        </w:rPr>
      </w:pPr>
    </w:p>
    <w:p>
      <w:pPr>
        <w:ind w:left="1300" w:right="100"/>
        <w:spacing w:after="0" w:line="259" w:lineRule="auto"/>
        <w:rPr>
          <w:sz w:val="20"/>
          <w:szCs w:val="20"/>
          <w:color w:val="auto"/>
        </w:rPr>
      </w:pPr>
      <w:r>
        <w:rPr>
          <w:rFonts w:ascii="Arial" w:cs="Arial" w:eastAsia="Arial" w:hAnsi="Arial"/>
          <w:sz w:val="18"/>
          <w:szCs w:val="18"/>
          <w:color w:val="auto"/>
        </w:rPr>
        <w:t>The Fund acquired the securities of the Issuer covered by this Schedule 13D for investment purposes and does not have a present intent to acquire or influence control over the business of the Issuer. In addition, the Fund has acquired certain rights and obligations with respect to the Issuer that are contained in the Subscription Agreement, which was filed as Exhibit 99.1 to the Statement and is incorporated by reference herein.</w:t>
      </w:r>
    </w:p>
    <w:p>
      <w:pPr>
        <w:spacing w:after="0" w:line="187" w:lineRule="exact"/>
        <w:rPr>
          <w:sz w:val="20"/>
          <w:szCs w:val="20"/>
          <w:color w:val="auto"/>
        </w:rPr>
      </w:pPr>
    </w:p>
    <w:p>
      <w:pPr>
        <w:ind w:left="1300" w:right="40"/>
        <w:spacing w:after="0" w:line="254" w:lineRule="auto"/>
        <w:rPr>
          <w:sz w:val="20"/>
          <w:szCs w:val="20"/>
          <w:color w:val="auto"/>
        </w:rPr>
      </w:pPr>
      <w:r>
        <w:rPr>
          <w:rFonts w:ascii="Arial" w:cs="Arial" w:eastAsia="Arial" w:hAnsi="Arial"/>
          <w:sz w:val="18"/>
          <w:szCs w:val="18"/>
          <w:color w:val="auto"/>
        </w:rPr>
        <w:t>Pursuant to and in accordance with the terms of the Subscription Agreement, the Fund has agreed to purchase shares of Common Stock from the Issuer for an aggregate purchase price of up to $200,000,000, inclusive of 10,527 shares of Common Stock purchased at the Initial Closing, 16,640 shares of Common Stock purchased at the Second Closing, 2,104 shares of Common Stock purchased at the Third Closing, 5,657 shares of Common Stock purchased at the Fourth Closing, 12,122 shares of Common Stock purchased at the Fifth Closing, 5,295 shares of Common Stock purchased at the Sixth Closing and 14,138 shares of Common Stock purchased at the Seventh Closing. As set forth in the Subscription Agreement, additional purchases are to occur in one or more subsequent closings on dates to be selected by the Issuer in its sole discretion (each, a “Closing Date”) at a price per share equal to the per share net asset value as of the respective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ind w:left="1300" w:right="140"/>
        <w:spacing w:after="0" w:line="277" w:lineRule="auto"/>
        <w:rPr>
          <w:sz w:val="20"/>
          <w:szCs w:val="20"/>
          <w:color w:val="auto"/>
        </w:rPr>
      </w:pPr>
      <w:r>
        <w:rPr>
          <w:rFonts w:ascii="Arial" w:cs="Arial" w:eastAsia="Arial" w:hAnsi="Arial"/>
          <w:sz w:val="18"/>
          <w:szCs w:val="18"/>
          <w:color w:val="auto"/>
        </w:rPr>
        <w:t>Also pursuant to the Subscription Agreement, subject to certain limitations, the Fund will be entitled to have one nonvoting observer at all meetings of the Board of Directors of the Issuer.</w:t>
      </w:r>
    </w:p>
    <w:p>
      <w:pPr>
        <w:spacing w:after="0" w:line="170" w:lineRule="exact"/>
        <w:rPr>
          <w:sz w:val="20"/>
          <w:szCs w:val="20"/>
          <w:color w:val="auto"/>
        </w:rPr>
      </w:pPr>
    </w:p>
    <w:p>
      <w:pPr>
        <w:ind w:left="1300" w:right="40"/>
        <w:spacing w:after="0" w:line="255" w:lineRule="auto"/>
        <w:rPr>
          <w:sz w:val="20"/>
          <w:szCs w:val="20"/>
          <w:color w:val="auto"/>
        </w:rPr>
      </w:pPr>
      <w:r>
        <w:rPr>
          <w:rFonts w:ascii="Arial" w:cs="Arial" w:eastAsia="Arial" w:hAnsi="Arial"/>
          <w:sz w:val="18"/>
          <w:szCs w:val="18"/>
          <w:color w:val="auto"/>
        </w:rPr>
        <w:t>While it is not its present intention of the Fund to do so, the Fund may from time to time, subject to any legal or contractual restrictions, seek to dispose of some or all of its interests in the Common Stock held by it in privately negotiated transactions, through a public offering, or otherwise, based on its ongoing evaluation of the investment, prevailing market conditions, liquidity needs and such other factors and considerations as it may deem relevant. The Subscription Agreement contains certain restrictions on the transfer of the shares of Common Stock acquired thereunder, including, among others, a requirement that, prior to a qualified initial public offering of Common Stock by the Issuer, the Fund obtain the written consent of the Issuer’s Adviser (as such term is defined in the Subscription Agreement) prior to effecting any transfer of shares.</w:t>
      </w:r>
    </w:p>
    <w:p>
      <w:pPr>
        <w:spacing w:after="0" w:line="189"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Except as described herein, the Fund does not have any plans or proposals which relate to or would result in any of the matters referred to in paragraphs (a) through (j), inclusive, of the instructions to Item 4 of Schedule 13D. The Fund may, at any time and from time to time, formulate other purposes, plans or proposals regarding the Issuer or any of its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Statement is hereby amended and restated in its entirety to read as follows:</w:t>
      </w:r>
    </w:p>
    <w:p>
      <w:pPr>
        <w:spacing w:after="0" w:line="225" w:lineRule="exact"/>
        <w:rPr>
          <w:sz w:val="20"/>
          <w:szCs w:val="20"/>
          <w:color w:val="auto"/>
        </w:rPr>
      </w:pPr>
    </w:p>
    <w:p>
      <w:pPr>
        <w:ind w:left="1300" w:right="5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upon information provided by the Issuer, there are 504,862 shares of Common Stock outstanding. The aggregate number and percentage of the class of securities beneficially owned by the Fund is 69,538 shares, representing 13.8% of the outstanding shares of Common Stock.</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shares as to which the Fund has:</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69,538 shares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69,538 shares**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Item 4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3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February 11, 2013</w:t>
      </w:r>
      <w:r>
        <w:rPr>
          <w:sz w:val="20"/>
          <w:szCs w:val="20"/>
          <w:color w:val="auto"/>
        </w:rPr>
        <w:tab/>
      </w:r>
      <w:r>
        <w:rPr>
          <w:rFonts w:ascii="Arial" w:cs="Arial" w:eastAsia="Arial" w:hAnsi="Arial"/>
          <w:sz w:val="16"/>
          <w:szCs w:val="16"/>
          <w:color w:val="auto"/>
        </w:rPr>
        <w:t>State of New Jersey Common Pension Fund B</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Division of Investment</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/s/Timothy M. Walsh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Timothy M.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2019-12-08T00:04:40Z</dcterms:created>
  <dcterms:modified xsi:type="dcterms:W3CDTF">2019-12-08T00:04:40Z</dcterms:modified>
</cp:coreProperties>
</file>