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Easterly Joshua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300"/>
        <w:spacing w:after="0" w:line="292" w:lineRule="auto"/>
        <w:rPr>
          <w:sz w:val="20"/>
          <w:szCs w:val="20"/>
          <w:color w:val="auto"/>
        </w:rPr>
      </w:pPr>
      <w:r>
        <w:rPr>
          <w:rFonts w:ascii="Arial" w:cs="Arial" w:eastAsia="Arial" w:hAnsi="Arial"/>
          <w:sz w:val="17"/>
          <w:szCs w:val="17"/>
          <w:color w:val="0000FF"/>
        </w:rPr>
        <w:t>C/O SIXTH STREET SPECIALTY LENDING,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2100 MCKINNEY AVENUE, SUITE 1500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Sixth Street Specialty Lending,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TSLX</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0" w:type="dxa"/>
            <w:vAlign w:val="bottom"/>
          </w:tcPr>
          <w:p>
            <w:pPr>
              <w:ind w:left="80"/>
              <w:spacing w:after="0" w:line="147" w:lineRule="exact"/>
              <w:rPr>
                <w:sz w:val="20"/>
                <w:szCs w:val="20"/>
                <w:color w:val="auto"/>
              </w:rPr>
            </w:pPr>
            <w:r>
              <w:rPr>
                <w:rFonts w:ascii="Arial" w:cs="Arial" w:eastAsia="Arial" w:hAnsi="Arial"/>
                <w:sz w:val="16"/>
                <w:szCs w:val="16"/>
                <w:color w:val="auto"/>
              </w:rPr>
              <w:t>]</w:t>
            </w:r>
          </w:p>
        </w:tc>
        <w:tc>
          <w:tcPr>
            <w:tcW w:w="3620" w:type="dxa"/>
            <w:vAlign w:val="bottom"/>
          </w:tcPr>
          <w:p>
            <w:pPr>
              <w:spacing w:after="0"/>
              <w:rPr>
                <w:sz w:val="12"/>
                <w:szCs w:val="12"/>
                <w:color w:val="auto"/>
              </w:rPr>
            </w:pPr>
          </w:p>
        </w:tc>
        <w:tc>
          <w:tcPr>
            <w:tcW w:w="500" w:type="dxa"/>
            <w:vAlign w:val="bottom"/>
          </w:tcPr>
          <w:p>
            <w:pPr>
              <w:ind w:left="280"/>
              <w:spacing w:after="0" w:line="147" w:lineRule="exact"/>
              <w:rPr>
                <w:sz w:val="20"/>
                <w:szCs w:val="20"/>
                <w:color w:val="auto"/>
              </w:rPr>
            </w:pPr>
            <w:r>
              <w:rPr>
                <w:rFonts w:ascii="Arial" w:cs="Arial" w:eastAsia="Arial" w:hAnsi="Arial"/>
                <w:sz w:val="16"/>
                <w:szCs w:val="1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00" w:type="dxa"/>
            <w:vAlign w:val="bottom"/>
            <w:tcBorders>
              <w:bottom w:val="single" w:sz="8" w:color="808080"/>
            </w:tcBorders>
          </w:tcPr>
          <w:p>
            <w:pPr>
              <w:spacing w:after="0"/>
              <w:rPr>
                <w:sz w:val="7"/>
                <w:szCs w:val="7"/>
                <w:color w:val="auto"/>
              </w:rPr>
            </w:pPr>
          </w:p>
        </w:tc>
        <w:tc>
          <w:tcPr>
            <w:tcW w:w="362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320"/>
              <w:spacing w:after="0" w:line="185" w:lineRule="exact"/>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03/09/2021</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0" w:type="dxa"/>
            <w:vAlign w:val="bottom"/>
            <w:tcBorders>
              <w:bottom w:val="single" w:sz="8" w:color="2C2C2C"/>
            </w:tcBorders>
          </w:tcPr>
          <w:p>
            <w:pPr>
              <w:spacing w:after="0"/>
              <w:rPr>
                <w:sz w:val="21"/>
                <w:szCs w:val="21"/>
                <w:color w:val="auto"/>
              </w:rPr>
            </w:pPr>
          </w:p>
        </w:tc>
        <w:tc>
          <w:tcPr>
            <w:tcW w:w="3620" w:type="dxa"/>
            <w:vAlign w:val="bottom"/>
            <w:tcBorders>
              <w:bottom w:val="single" w:sz="8" w:color="2C2C2C"/>
            </w:tcBorders>
          </w:tcPr>
          <w:p>
            <w:pPr>
              <w:spacing w:after="0"/>
              <w:rPr>
                <w:sz w:val="21"/>
                <w:szCs w:val="21"/>
                <w:color w:val="auto"/>
              </w:rPr>
            </w:pPr>
          </w:p>
        </w:tc>
        <w:tc>
          <w:tcPr>
            <w:tcW w:w="330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252730</wp:posOffset>
            </wp:positionV>
            <wp:extent cx="6964045" cy="1751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51330"/>
                    </a:xfrm>
                    <a:prstGeom prst="rect">
                      <a:avLst/>
                    </a:prstGeom>
                    <a:noFill/>
                  </pic:spPr>
                </pic:pic>
              </a:graphicData>
            </a:graphic>
          </wp:anchor>
        </w:drawing>
      </w:r>
    </w:p>
    <w:p>
      <w:pPr>
        <w:spacing w:after="0" w:line="458"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0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20"/>
              <w:spacing w:after="0"/>
              <w:rPr>
                <w:sz w:val="20"/>
                <w:szCs w:val="20"/>
                <w:color w:val="auto"/>
              </w:rPr>
            </w:pPr>
            <w:r>
              <w:rPr>
                <w:rFonts w:ascii="Arial" w:cs="Arial" w:eastAsia="Arial" w:hAnsi="Arial"/>
                <w:sz w:val="17"/>
                <w:szCs w:val="17"/>
                <w:color w:val="0000FF"/>
              </w:rPr>
              <w:t>03/09/2021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P</w:t>
            </w:r>
          </w:p>
        </w:tc>
        <w:tc>
          <w:tcPr>
            <w:tcW w:w="860" w:type="dxa"/>
            <w:vAlign w:val="bottom"/>
            <w:vMerge w:val="restart"/>
          </w:tcPr>
          <w:p>
            <w:pPr>
              <w:ind w:left="100"/>
              <w:spacing w:after="0"/>
              <w:rPr>
                <w:sz w:val="20"/>
                <w:szCs w:val="20"/>
                <w:color w:val="auto"/>
              </w:rPr>
            </w:pPr>
            <w:r>
              <w:rPr>
                <w:rFonts w:ascii="Arial" w:cs="Arial" w:eastAsia="Arial" w:hAnsi="Arial"/>
                <w:sz w:val="17"/>
                <w:szCs w:val="17"/>
                <w:color w:val="0000FF"/>
              </w:rPr>
              <w:t>8,360.98</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21.55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18,791.75</w:t>
            </w:r>
          </w:p>
        </w:tc>
        <w:tc>
          <w:tcPr>
            <w:tcW w:w="320" w:type="dxa"/>
            <w:vAlign w:val="bottom"/>
          </w:tcPr>
          <w:p>
            <w:pPr>
              <w:spacing w:after="0"/>
              <w:rPr>
                <w:sz w:val="18"/>
                <w:szCs w:val="18"/>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5"/>
          </w:tcPr>
          <w:p>
            <w:pPr>
              <w:ind w:left="20"/>
              <w:spacing w:after="0"/>
              <w:rPr>
                <w:sz w:val="20"/>
                <w:szCs w:val="20"/>
                <w:color w:val="auto"/>
              </w:rPr>
            </w:pPr>
            <w:r>
              <w:rPr>
                <w:rFonts w:ascii="Arial" w:cs="Arial" w:eastAsia="Arial" w:hAnsi="Arial"/>
                <w:sz w:val="17"/>
                <w:szCs w:val="17"/>
                <w:color w:val="0000FF"/>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of</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5"/>
          </w:tcPr>
          <w:p>
            <w:pPr>
              <w:ind w:left="20"/>
              <w:spacing w:after="0"/>
              <w:rPr>
                <w:sz w:val="20"/>
                <w:szCs w:val="20"/>
                <w:color w:val="auto"/>
              </w:rPr>
            </w:pPr>
            <w:r>
              <w:rPr>
                <w:rFonts w:ascii="Arial" w:cs="Arial" w:eastAsia="Arial" w:hAnsi="Arial"/>
                <w:sz w:val="17"/>
                <w:szCs w:val="17"/>
                <w:color w:val="0000FF"/>
              </w:rPr>
              <w:t>Responses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31,366.781</w:t>
            </w:r>
          </w:p>
        </w:tc>
        <w:tc>
          <w:tcPr>
            <w:tcW w:w="3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0"/>
                <w:szCs w:val="20"/>
                <w:color w:val="auto"/>
              </w:rPr>
            </w:pPr>
            <w:r>
              <w:rPr>
                <w:rFonts w:ascii="Arial" w:cs="Arial" w:eastAsia="Arial" w:hAnsi="Arial"/>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Sixth Street Specialty Lending Advisers, LLC ("Sixth Street Specialty Lending Advisers") directly holds 2,716,977 shares of Common Stock of Sixth Street Specialty Lending, Inc. (the "Issuer"), including 18,791.75 shares of Common Stock of the Issuer indirectly beneficially owned by Mr. Easterly (through his limited partnership interest in TSL Equity Partners, L.P., which is a member of Sixth Street Specialty Lending Advisers Holdings, LLC, which in turn is a member of Sixth Street Specialty Lending Advisers).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Ian Simmonds is signing on behalf of Joshua Easterly pursuant to a Power of Attorney dated January 4, 2021, which was previously filed with the Securities and Exchange Commission.</w:t>
      </w:r>
    </w:p>
    <w:p>
      <w:pPr>
        <w:ind w:left="6580"/>
        <w:spacing w:after="0" w:line="186" w:lineRule="auto"/>
        <w:rPr>
          <w:sz w:val="20"/>
          <w:szCs w:val="20"/>
          <w:color w:val="auto"/>
        </w:rPr>
      </w:pPr>
      <w:r>
        <w:rPr>
          <w:rFonts w:ascii="Arial" w:cs="Arial" w:eastAsia="Arial" w:hAnsi="Arial"/>
          <w:sz w:val="17"/>
          <w:szCs w:val="17"/>
          <w:color w:val="0000FF"/>
        </w:rPr>
        <w:t xml:space="preserve">/s/ Ian Simmonds, on behalf of </w:t>
      </w:r>
      <w:r>
        <w:rPr>
          <w:rFonts w:ascii="Arial" w:cs="Arial" w:eastAsia="Arial" w:hAnsi="Arial"/>
          <w:sz w:val="34"/>
          <w:szCs w:val="34"/>
          <w:color w:val="0000FF"/>
          <w:vertAlign w:val="subscript"/>
        </w:rPr>
        <w:t>03/11/2021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Joshua Easterly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43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432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15167"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2021-03-11T16:02:42Z</dcterms:created>
  <dcterms:modified xsi:type="dcterms:W3CDTF">2021-03-11T16:02:42Z</dcterms:modified>
</cp:coreProperties>
</file>