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t>UNITED STATES</w:t>
      </w:r>
    </w:p>
    <w:p>
      <w:pPr>
        <w:spacing w:after="0" w:line="32"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1"/>
          <w:szCs w:val="21"/>
          <w:b w:val="1"/>
          <w:bCs w:val="1"/>
          <w:color w:val="auto"/>
        </w:rPr>
        <w:t>Washington, D.C. 20549</w:t>
      </w:r>
    </w:p>
    <w:p>
      <w:pPr>
        <w:spacing w:after="0" w:line="127"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SCHEDULE 14A INFORMATION</w:t>
      </w:r>
    </w:p>
    <w:p>
      <w:pPr>
        <w:spacing w:after="0" w:line="194"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SECURITIES EXCHANGE ACT OF 1934</w:t>
      </w:r>
    </w:p>
    <w:p>
      <w:pPr>
        <w:spacing w:after="0" w:line="123" w:lineRule="exact"/>
        <w:rPr>
          <w:sz w:val="24"/>
          <w:szCs w:val="24"/>
          <w:color w:val="auto"/>
        </w:rPr>
      </w:pPr>
    </w:p>
    <w:p>
      <w:pPr>
        <w:spacing w:after="0" w:line="196" w:lineRule="exact"/>
        <w:tabs>
          <w:tab w:leader="none" w:pos="288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32"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8"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118"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9" w:lineRule="exact"/>
        <w:rPr>
          <w:sz w:val="24"/>
          <w:szCs w:val="24"/>
          <w:color w:val="auto"/>
        </w:rPr>
      </w:pPr>
    </w:p>
    <w:p>
      <w:pPr>
        <w:ind w:left="460" w:hanging="455"/>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9" w:lineRule="exact"/>
        <w:rPr>
          <w:sz w:val="24"/>
          <w:szCs w:val="24"/>
          <w:color w:val="auto"/>
        </w:rPr>
      </w:pPr>
    </w:p>
    <w:p>
      <w:pPr>
        <w:ind w:left="460" w:hanging="455"/>
        <w:spacing w:after="0"/>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229" w:lineRule="exact"/>
        <w:rPr>
          <w:sz w:val="24"/>
          <w:szCs w:val="24"/>
          <w:color w:val="auto"/>
        </w:rPr>
      </w:pPr>
    </w:p>
    <w:p>
      <w:pPr>
        <w:jc w:val="center"/>
        <w:ind w:right="-159"/>
        <w:spacing w:after="0"/>
        <w:rPr>
          <w:sz w:val="20"/>
          <w:szCs w:val="20"/>
          <w:color w:val="auto"/>
        </w:rPr>
      </w:pPr>
      <w:r>
        <w:rPr>
          <w:rFonts w:ascii="Arial" w:cs="Arial" w:eastAsia="Arial" w:hAnsi="Arial"/>
          <w:sz w:val="38"/>
          <w:szCs w:val="38"/>
          <w:b w:val="1"/>
          <w:bCs w:val="1"/>
          <w:color w:val="auto"/>
        </w:rPr>
        <w:t>TICC CAPITAL CORP.</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43"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TPG Specialty Lending, Inc.</w:t>
      </w:r>
    </w:p>
    <w:p>
      <w:pPr>
        <w:spacing w:after="0" w:line="26" w:lineRule="exact"/>
        <w:rPr>
          <w:sz w:val="24"/>
          <w:szCs w:val="24"/>
          <w:color w:val="auto"/>
        </w:rPr>
      </w:pPr>
    </w:p>
    <w:p>
      <w:pPr>
        <w:ind w:left="35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47"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24" w:lineRule="exact"/>
        <w:rPr>
          <w:sz w:val="24"/>
          <w:szCs w:val="24"/>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not required.</w:t>
      </w:r>
    </w:p>
    <w:p>
      <w:pPr>
        <w:spacing w:after="0" w:line="184" w:lineRule="exact"/>
        <w:rPr>
          <w:sz w:val="24"/>
          <w:szCs w:val="24"/>
          <w:color w:val="auto"/>
        </w:rPr>
      </w:pPr>
    </w:p>
    <w:p>
      <w:pPr>
        <w:ind w:left="480" w:hanging="475"/>
        <w:spacing w:after="0"/>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184" w:lineRule="exact"/>
        <w:rPr>
          <w:rFonts w:ascii="MS PGothic" w:cs="MS PGothic" w:eastAsia="MS PGothic" w:hAnsi="MS PGothic"/>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59"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59" w:lineRule="exact"/>
        <w:rPr>
          <w:rFonts w:ascii="Arial" w:cs="Arial" w:eastAsia="Arial" w:hAnsi="Arial"/>
          <w:sz w:val="17"/>
          <w:szCs w:val="17"/>
          <w:color w:val="auto"/>
        </w:rPr>
      </w:pPr>
    </w:p>
    <w:p>
      <w:pPr>
        <w:ind w:left="920" w:hanging="444"/>
        <w:spacing w:after="0" w:line="289" w:lineRule="auto"/>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93"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59"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8" w:lineRule="exact"/>
        <w:rPr>
          <w:rFonts w:ascii="Arial" w:cs="Arial" w:eastAsia="Arial" w:hAnsi="Arial"/>
          <w:sz w:val="17"/>
          <w:szCs w:val="17"/>
          <w:color w:val="auto"/>
        </w:rPr>
      </w:pPr>
    </w:p>
    <w:p>
      <w:pPr>
        <w:ind w:left="480" w:hanging="475"/>
        <w:spacing w:after="0"/>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-2086610</wp:posOffset>
            </wp:positionV>
            <wp:extent cx="66687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-1670685</wp:posOffset>
            </wp:positionV>
            <wp:extent cx="66687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-1122045</wp:posOffset>
            </wp:positionV>
            <wp:extent cx="6668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-706120</wp:posOffset>
            </wp:positionV>
            <wp:extent cx="6668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-290195</wp:posOffset>
            </wp:positionV>
            <wp:extent cx="6668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8770" cy="8255"/>
                    </a:xfrm>
                    <a:prstGeom prst="rect">
                      <a:avLst/>
                    </a:prstGeom>
                    <a:noFill/>
                  </pic:spPr>
                </pic:pic>
              </a:graphicData>
            </a:graphic>
          </wp:anchor>
        </w:drawing>
      </w:r>
    </w:p>
    <w:p>
      <w:pPr>
        <w:sectPr>
          <w:pgSz w:w="11900" w:h="16838" w:orient="portrait"/>
          <w:cols w:equalWidth="0" w:num="1">
            <w:col w:w="11280"/>
          </w:cols>
          <w:pgMar w:left="240" w:top="203" w:right="379" w:bottom="1440" w:gutter="0" w:footer="0" w:header="0"/>
        </w:sectPr>
      </w:pPr>
    </w:p>
    <w:bookmarkStart w:id="1" w:name="page2"/>
    <w:bookmarkEnd w:id="1"/>
    <w:p>
      <w:pPr>
        <w:ind w:left="480" w:right="740" w:hanging="475"/>
        <w:spacing w:after="0" w:line="289" w:lineRule="auto"/>
        <w:tabs>
          <w:tab w:leader="none" w:pos="48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2" w:lineRule="exact"/>
        <w:rPr>
          <w:rFonts w:ascii="MS PGothic" w:cs="MS PGothic" w:eastAsia="MS PGothic" w:hAnsi="MS PGothic"/>
          <w:sz w:val="17"/>
          <w:szCs w:val="17"/>
          <w:color w:val="auto"/>
        </w:rPr>
      </w:pPr>
    </w:p>
    <w:p>
      <w:pPr>
        <w:ind w:left="920" w:hanging="444"/>
        <w:spacing w:after="0"/>
        <w:tabs>
          <w:tab w:leader="none" w:pos="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-996950</wp:posOffset>
            </wp:positionV>
            <wp:extent cx="6668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-564515</wp:posOffset>
            </wp:positionV>
            <wp:extent cx="6668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-132080</wp:posOffset>
            </wp:positionV>
            <wp:extent cx="6668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299720</wp:posOffset>
            </wp:positionV>
            <wp:extent cx="6668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8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TPG Specialty Lending, Inc., together with the other participants named herein (collectively, “TSLX”), has filed a definitive proxy statement and an accompanying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GOLD proxy card with the Securities and Exchange Commission (the “SEC”) to be used to solicit votes from the stockholders of TICC Capital Corp. (“TICC”) to:</w:t>
      </w:r>
    </w:p>
    <w:p>
      <w:pPr>
        <w:spacing w:after="0" w:line="26" w:lineRule="exact"/>
        <w:rPr>
          <w:sz w:val="20"/>
          <w:szCs w:val="20"/>
          <w:color w:val="auto"/>
        </w:rPr>
      </w:pPr>
    </w:p>
    <w:p>
      <w:pPr>
        <w:ind w:right="240" w:firstLine="5"/>
        <w:spacing w:after="0" w:line="265" w:lineRule="auto"/>
        <w:tabs>
          <w:tab w:leader="none" w:pos="237" w:val="left"/>
        </w:tabs>
        <w:numPr>
          <w:ilvl w:val="0"/>
          <w:numId w:val="7"/>
        </w:numPr>
        <w:rPr>
          <w:rFonts w:ascii="Arial" w:cs="Arial" w:eastAsia="Arial" w:hAnsi="Arial"/>
          <w:sz w:val="17"/>
          <w:szCs w:val="17"/>
          <w:color w:val="auto"/>
        </w:rPr>
      </w:pPr>
      <w:r>
        <w:rPr>
          <w:rFonts w:ascii="Arial" w:cs="Arial" w:eastAsia="Arial" w:hAnsi="Arial"/>
          <w:sz w:val="17"/>
          <w:szCs w:val="17"/>
          <w:color w:val="auto"/>
        </w:rPr>
        <w:t>elect TSLX’s director nominee at TICC’s 2016 annual meeting of stockholders and (b) approve a proposal to terminate the Investment Advisory Agreement, dated as of July 1, 2011, by and between TICC and TICC Management, LLC, as contemplated by Section 15(a) of the Investment Company Act of 1940, as amended.</w:t>
      </w:r>
    </w:p>
    <w:p>
      <w:pPr>
        <w:spacing w:after="0" w:line="17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As part of the above-referenced solicitation, TSLX updated certain pages of its website, </w:t>
      </w:r>
      <w:r>
        <w:rPr>
          <w:rFonts w:ascii="Arial" w:cs="Arial" w:eastAsia="Arial" w:hAnsi="Arial"/>
          <w:sz w:val="17"/>
          <w:szCs w:val="17"/>
          <w:u w:val="single" w:color="auto"/>
          <w:color w:val="auto"/>
        </w:rPr>
        <w:t>http://www.changeticcnow.com/</w:t>
      </w:r>
      <w:r>
        <w:rPr>
          <w:rFonts w:ascii="Arial" w:cs="Arial" w:eastAsia="Arial" w:hAnsi="Arial"/>
          <w:sz w:val="17"/>
          <w:szCs w:val="17"/>
          <w:color w:val="auto"/>
        </w:rPr>
        <w:t>, a website established by TSLX that contains information regarding the solicitation. This Schedule 14A filing consists of the following screenshots, which reflect the content of pages not previously filed with the SEC.</w:t>
      </w:r>
    </w:p>
    <w:p>
      <w:pPr>
        <w:sectPr>
          <w:pgSz w:w="11900" w:h="16838" w:orient="portrait"/>
          <w:cols w:equalWidth="0" w:num="1">
            <w:col w:w="11420"/>
          </w:cols>
          <w:pgMar w:left="240" w:top="441"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280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4725" cy="5280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80" w:type="dxa"/>
            <w:vAlign w:val="bottom"/>
            <w:gridSpan w:val="2"/>
          </w:tcPr>
          <w:p>
            <w:pPr>
              <w:spacing w:after="0"/>
              <w:rPr>
                <w:sz w:val="20"/>
                <w:szCs w:val="20"/>
                <w:color w:val="auto"/>
              </w:rPr>
            </w:pPr>
            <w:r>
              <w:rPr>
                <w:rFonts w:ascii="Arial" w:cs="Arial" w:eastAsia="Arial" w:hAnsi="Arial"/>
                <w:sz w:val="13"/>
                <w:szCs w:val="13"/>
                <w:color w:val="FFFFFF"/>
              </w:rPr>
              <w:t>Toggle navigation TPG Specialty Lending</w:t>
            </w:r>
          </w:p>
        </w:tc>
        <w:tc>
          <w:tcPr>
            <w:tcW w:w="6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700" w:type="dxa"/>
            <w:vAlign w:val="bottom"/>
          </w:tcPr>
          <w:p>
            <w:pPr>
              <w:spacing w:after="0" w:line="105" w:lineRule="exact"/>
              <w:rPr>
                <w:sz w:val="20"/>
                <w:szCs w:val="20"/>
                <w:color w:val="auto"/>
              </w:rPr>
            </w:pPr>
            <w:r>
              <w:rPr>
                <w:rFonts w:ascii="Arial" w:cs="Arial" w:eastAsia="Arial" w:hAnsi="Arial"/>
                <w:sz w:val="12"/>
                <w:szCs w:val="12"/>
                <w:color w:val="FFFFFF"/>
              </w:rPr>
              <w:t>News &amp; Filings</w:t>
            </w:r>
          </w:p>
        </w:tc>
        <w:tc>
          <w:tcPr>
            <w:tcW w:w="3480" w:type="dxa"/>
            <w:vAlign w:val="bottom"/>
          </w:tcPr>
          <w:p>
            <w:pPr>
              <w:spacing w:after="0"/>
              <w:rPr>
                <w:sz w:val="9"/>
                <w:szCs w:val="9"/>
                <w:color w:val="auto"/>
              </w:rPr>
            </w:pPr>
          </w:p>
        </w:tc>
        <w:tc>
          <w:tcPr>
            <w:tcW w:w="6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700" w:type="dxa"/>
            <w:vAlign w:val="bottom"/>
          </w:tcPr>
          <w:p>
            <w:pPr>
              <w:spacing w:after="0" w:line="40" w:lineRule="exact"/>
              <w:rPr>
                <w:sz w:val="20"/>
                <w:szCs w:val="20"/>
                <w:color w:val="auto"/>
              </w:rPr>
            </w:pPr>
            <w:r>
              <w:rPr>
                <w:rFonts w:ascii="Arial" w:cs="Arial" w:eastAsia="Arial" w:hAnsi="Arial"/>
                <w:sz w:val="4"/>
                <w:szCs w:val="4"/>
                <w:color w:val="FFFFFF"/>
              </w:rPr>
              <w:t>Presentations</w:t>
            </w:r>
          </w:p>
        </w:tc>
        <w:tc>
          <w:tcPr>
            <w:tcW w:w="348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700" w:type="dxa"/>
            <w:vAlign w:val="bottom"/>
          </w:tcPr>
          <w:p>
            <w:pPr>
              <w:spacing w:after="0" w:line="40" w:lineRule="exact"/>
              <w:rPr>
                <w:sz w:val="20"/>
                <w:szCs w:val="20"/>
                <w:color w:val="auto"/>
              </w:rPr>
            </w:pPr>
            <w:r>
              <w:rPr>
                <w:rFonts w:ascii="Arial" w:cs="Arial" w:eastAsia="Arial" w:hAnsi="Arial"/>
                <w:sz w:val="4"/>
                <w:szCs w:val="4"/>
                <w:color w:val="FFFFFF"/>
              </w:rPr>
              <w:t>N minee</w:t>
            </w:r>
          </w:p>
        </w:tc>
        <w:tc>
          <w:tcPr>
            <w:tcW w:w="348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700" w:type="dxa"/>
            <w:vAlign w:val="bottom"/>
          </w:tcPr>
          <w:p>
            <w:pPr>
              <w:spacing w:after="0" w:line="40" w:lineRule="exact"/>
              <w:rPr>
                <w:sz w:val="20"/>
                <w:szCs w:val="20"/>
                <w:color w:val="auto"/>
              </w:rPr>
            </w:pPr>
            <w:r>
              <w:rPr>
                <w:rFonts w:ascii="Arial" w:cs="Arial" w:eastAsia="Arial" w:hAnsi="Arial"/>
                <w:sz w:val="4"/>
                <w:szCs w:val="4"/>
                <w:color w:val="FFFFFF"/>
              </w:rPr>
              <w:t>How to Vote</w:t>
            </w:r>
          </w:p>
        </w:tc>
        <w:tc>
          <w:tcPr>
            <w:tcW w:w="348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700" w:type="dxa"/>
            <w:vAlign w:val="bottom"/>
          </w:tcPr>
          <w:p>
            <w:pPr>
              <w:spacing w:after="0" w:line="40" w:lineRule="exact"/>
              <w:rPr>
                <w:sz w:val="20"/>
                <w:szCs w:val="20"/>
                <w:color w:val="auto"/>
              </w:rPr>
            </w:pPr>
            <w:r>
              <w:rPr>
                <w:rFonts w:ascii="Arial" w:cs="Arial" w:eastAsia="Arial" w:hAnsi="Arial"/>
                <w:sz w:val="4"/>
                <w:szCs w:val="4"/>
                <w:color w:val="FFFFFF"/>
              </w:rPr>
              <w:t>About TPG Specialty Lending</w:t>
            </w:r>
          </w:p>
        </w:tc>
        <w:tc>
          <w:tcPr>
            <w:tcW w:w="348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700" w:type="dxa"/>
            <w:vAlign w:val="bottom"/>
          </w:tcPr>
          <w:p>
            <w:pPr>
              <w:spacing w:after="0" w:line="40" w:lineRule="exact"/>
              <w:rPr>
                <w:sz w:val="20"/>
                <w:szCs w:val="20"/>
                <w:color w:val="auto"/>
              </w:rPr>
            </w:pPr>
            <w:r>
              <w:rPr>
                <w:rFonts w:ascii="Arial" w:cs="Arial" w:eastAsia="Arial" w:hAnsi="Arial"/>
                <w:sz w:val="4"/>
                <w:szCs w:val="4"/>
                <w:color w:val="FFFFFF"/>
              </w:rPr>
              <w:t>Contact</w:t>
            </w:r>
          </w:p>
        </w:tc>
        <w:tc>
          <w:tcPr>
            <w:tcW w:w="348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700" w:type="dxa"/>
            <w:vAlign w:val="bottom"/>
          </w:tcPr>
          <w:p>
            <w:pPr>
              <w:spacing w:after="0" w:line="40" w:lineRule="exact"/>
              <w:rPr>
                <w:sz w:val="20"/>
                <w:szCs w:val="20"/>
                <w:color w:val="auto"/>
              </w:rPr>
            </w:pPr>
            <w:r>
              <w:rPr>
                <w:rFonts w:ascii="Arial" w:cs="Arial" w:eastAsia="Arial" w:hAnsi="Arial"/>
                <w:sz w:val="4"/>
                <w:szCs w:val="4"/>
                <w:color w:val="FFFFFF"/>
              </w:rPr>
              <w:t>WHAT PEOPLE ARE SAYING</w:t>
            </w:r>
          </w:p>
        </w:tc>
        <w:tc>
          <w:tcPr>
            <w:tcW w:w="348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180" w:type="dxa"/>
            <w:vAlign w:val="bottom"/>
            <w:gridSpan w:val="2"/>
          </w:tcPr>
          <w:p>
            <w:pPr>
              <w:spacing w:after="0" w:line="40" w:lineRule="exact"/>
              <w:rPr>
                <w:sz w:val="20"/>
                <w:szCs w:val="20"/>
                <w:color w:val="auto"/>
              </w:rPr>
            </w:pPr>
            <w:r>
              <w:rPr>
                <w:rFonts w:ascii="Arial" w:cs="Arial" w:eastAsia="Arial" w:hAnsi="Arial"/>
                <w:sz w:val="4"/>
                <w:szCs w:val="4"/>
                <w:color w:val="FFFFFF"/>
              </w:rPr>
              <w:t>Barclays Capital Inc. – August 8, 2016</w:t>
            </w: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400" w:type="dxa"/>
            <w:vAlign w:val="bottom"/>
            <w:gridSpan w:val="3"/>
          </w:tcPr>
          <w:p>
            <w:pPr>
              <w:spacing w:after="0" w:line="40" w:lineRule="exact"/>
              <w:rPr>
                <w:sz w:val="20"/>
                <w:szCs w:val="20"/>
                <w:color w:val="auto"/>
              </w:rPr>
            </w:pPr>
            <w:r>
              <w:rPr>
                <w:rFonts w:ascii="Arial" w:cs="Arial" w:eastAsia="Arial" w:hAnsi="Arial"/>
                <w:sz w:val="4"/>
                <w:szCs w:val="4"/>
                <w:color w:val="FFFFFF"/>
              </w:rPr>
              <w:t>“In addition, there is still a substantial difference between GAAP net investment income and the dividend, which we view as not sustainable long-term . . . While we think that the rotation of the portfolio could be</w:t>
            </w:r>
          </w:p>
        </w:tc>
        <w:tc>
          <w:tcPr>
            <w:tcW w:w="0" w:type="dxa"/>
            <w:vAlign w:val="bottom"/>
          </w:tcPr>
          <w:p>
            <w:pPr>
              <w:spacing w:after="0" w:line="20" w:lineRule="exact"/>
              <w:rPr>
                <w:sz w:val="1"/>
                <w:szCs w:val="1"/>
                <w:color w:val="auto"/>
              </w:rPr>
            </w:pPr>
          </w:p>
        </w:tc>
      </w:tr>
      <w:tr>
        <w:trPr>
          <w:trHeight w:val="39"/>
        </w:trPr>
        <w:tc>
          <w:tcPr>
            <w:tcW w:w="11400" w:type="dxa"/>
            <w:vAlign w:val="bottom"/>
            <w:gridSpan w:val="3"/>
          </w:tcPr>
          <w:p>
            <w:pPr>
              <w:spacing w:after="0" w:line="40" w:lineRule="exact"/>
              <w:rPr>
                <w:sz w:val="20"/>
                <w:szCs w:val="20"/>
                <w:color w:val="auto"/>
              </w:rPr>
            </w:pPr>
            <w:r>
              <w:rPr>
                <w:rFonts w:ascii="Arial" w:cs="Arial" w:eastAsia="Arial" w:hAnsi="Arial"/>
                <w:sz w:val="4"/>
                <w:szCs w:val="4"/>
                <w:color w:val="FFFFFF"/>
              </w:rPr>
              <w:t>positive for shareholders longer term, management’s current refusal to engage with certain activists on issues that could result in immediate benefit to existing shareholders leaves us concerned.”</w:t>
            </w:r>
          </w:p>
        </w:tc>
        <w:tc>
          <w:tcPr>
            <w:tcW w:w="0" w:type="dxa"/>
            <w:vAlign w:val="bottom"/>
          </w:tcPr>
          <w:p>
            <w:pPr>
              <w:spacing w:after="0" w:line="20" w:lineRule="exact"/>
              <w:rPr>
                <w:sz w:val="1"/>
                <w:szCs w:val="1"/>
                <w:color w:val="auto"/>
              </w:rPr>
            </w:pPr>
          </w:p>
        </w:tc>
      </w:tr>
      <w:tr>
        <w:trPr>
          <w:trHeight w:val="39"/>
        </w:trPr>
        <w:tc>
          <w:tcPr>
            <w:tcW w:w="5180" w:type="dxa"/>
            <w:vAlign w:val="bottom"/>
            <w:gridSpan w:val="2"/>
          </w:tcPr>
          <w:p>
            <w:pPr>
              <w:spacing w:after="0" w:line="40" w:lineRule="exact"/>
              <w:rPr>
                <w:sz w:val="20"/>
                <w:szCs w:val="20"/>
                <w:color w:val="auto"/>
              </w:rPr>
            </w:pPr>
            <w:r>
              <w:rPr>
                <w:rFonts w:ascii="Arial" w:cs="Arial" w:eastAsia="Arial" w:hAnsi="Arial"/>
                <w:sz w:val="4"/>
                <w:szCs w:val="4"/>
                <w:color w:val="FFFFFF"/>
              </w:rPr>
              <w:t>Wells Fargo Securities, LLC – August 8, 2016</w:t>
            </w:r>
          </w:p>
        </w:tc>
        <w:tc>
          <w:tcPr>
            <w:tcW w:w="6220" w:type="dxa"/>
            <w:vAlign w:val="bottom"/>
            <w:vMerge w:val="restart"/>
          </w:tcPr>
          <w:p>
            <w:pPr>
              <w:ind w:left="260"/>
              <w:spacing w:after="0" w:line="79" w:lineRule="exact"/>
              <w:rPr>
                <w:sz w:val="20"/>
                <w:szCs w:val="20"/>
                <w:color w:val="auto"/>
              </w:rPr>
            </w:pPr>
            <w:r>
              <w:rPr>
                <w:rFonts w:ascii="Arial" w:cs="Arial" w:eastAsia="Arial" w:hAnsi="Arial"/>
                <w:sz w:val="9"/>
                <w:szCs w:val="9"/>
                <w:color w:val="FFFFFF"/>
              </w:rPr>
              <w:t>to the BDC average of approximately 11%. Furthermore, TICC’s NOI has failed to cover even 50% of TICC’s</w:t>
            </w:r>
          </w:p>
        </w:tc>
        <w:tc>
          <w:tcPr>
            <w:tcW w:w="0" w:type="dxa"/>
            <w:vAlign w:val="bottom"/>
          </w:tcPr>
          <w:p>
            <w:pPr>
              <w:spacing w:after="0" w:line="20" w:lineRule="exact"/>
              <w:rPr>
                <w:sz w:val="1"/>
                <w:szCs w:val="1"/>
                <w:color w:val="auto"/>
              </w:rPr>
            </w:pPr>
          </w:p>
        </w:tc>
      </w:tr>
      <w:tr>
        <w:trPr>
          <w:trHeight w:val="39"/>
        </w:trPr>
        <w:tc>
          <w:tcPr>
            <w:tcW w:w="5180" w:type="dxa"/>
            <w:vAlign w:val="bottom"/>
            <w:gridSpan w:val="2"/>
          </w:tcPr>
          <w:p>
            <w:pPr>
              <w:spacing w:after="0" w:line="40" w:lineRule="exact"/>
              <w:rPr>
                <w:sz w:val="20"/>
                <w:szCs w:val="20"/>
                <w:color w:val="auto"/>
              </w:rPr>
            </w:pPr>
            <w:r>
              <w:rPr>
                <w:rFonts w:ascii="Arial" w:cs="Arial" w:eastAsia="Arial" w:hAnsi="Arial"/>
                <w:sz w:val="4"/>
                <w:szCs w:val="4"/>
                <w:color w:val="FFFFFF"/>
              </w:rPr>
              <w:t>“TICC’s dividend has been under more scrutiny recently as the stock is now yielding 20% as</w:t>
            </w:r>
          </w:p>
        </w:tc>
        <w:tc>
          <w:tcPr>
            <w:tcW w:w="6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700" w:type="dxa"/>
            <w:vAlign w:val="bottom"/>
          </w:tcPr>
          <w:p>
            <w:pPr>
              <w:spacing w:after="0" w:line="40" w:lineRule="exact"/>
              <w:rPr>
                <w:sz w:val="20"/>
                <w:szCs w:val="20"/>
                <w:color w:val="auto"/>
              </w:rPr>
            </w:pPr>
            <w:r>
              <w:rPr>
                <w:rFonts w:ascii="Arial" w:cs="Arial" w:eastAsia="Arial" w:hAnsi="Arial"/>
                <w:sz w:val="4"/>
                <w:szCs w:val="4"/>
                <w:color w:val="FFFFFF"/>
              </w:rPr>
              <w:t>dividend in the last three</w:t>
            </w:r>
          </w:p>
        </w:tc>
        <w:tc>
          <w:tcPr>
            <w:tcW w:w="9700" w:type="dxa"/>
            <w:vAlign w:val="bottom"/>
            <w:gridSpan w:val="2"/>
          </w:tcPr>
          <w:p>
            <w:pPr>
              <w:ind w:left="120"/>
              <w:spacing w:after="0" w:line="40" w:lineRule="exact"/>
              <w:rPr>
                <w:sz w:val="20"/>
                <w:szCs w:val="20"/>
                <w:color w:val="auto"/>
              </w:rPr>
            </w:pPr>
            <w:r>
              <w:rPr>
                <w:rFonts w:ascii="Arial" w:cs="Arial" w:eastAsia="Arial" w:hAnsi="Arial"/>
                <w:sz w:val="4"/>
                <w:szCs w:val="4"/>
                <w:color w:val="FFFFFF"/>
              </w:rPr>
              <w:t>meaning that a sizable amount of TICC’s dividend is technicallycomparedreturn of capital.”</w:t>
            </w:r>
          </w:p>
        </w:tc>
        <w:tc>
          <w:tcPr>
            <w:tcW w:w="0" w:type="dxa"/>
            <w:vAlign w:val="bottom"/>
          </w:tcPr>
          <w:p>
            <w:pPr>
              <w:spacing w:after="0" w:line="20" w:lineRule="exact"/>
              <w:rPr>
                <w:sz w:val="1"/>
                <w:szCs w:val="1"/>
                <w:color w:val="auto"/>
              </w:rPr>
            </w:pPr>
          </w:p>
        </w:tc>
      </w:tr>
      <w:tr>
        <w:trPr>
          <w:trHeight w:val="39"/>
        </w:trPr>
        <w:tc>
          <w:tcPr>
            <w:tcW w:w="5180" w:type="dxa"/>
            <w:vAlign w:val="bottom"/>
            <w:gridSpan w:val="2"/>
          </w:tcPr>
          <w:p>
            <w:pPr>
              <w:spacing w:after="0" w:line="40" w:lineRule="exact"/>
              <w:rPr>
                <w:sz w:val="20"/>
                <w:szCs w:val="20"/>
                <w:color w:val="auto"/>
              </w:rPr>
            </w:pPr>
            <w:r>
              <w:rPr>
                <w:rFonts w:ascii="Arial" w:cs="Arial" w:eastAsia="Arial" w:hAnsi="Arial"/>
                <w:sz w:val="4"/>
                <w:szCs w:val="4"/>
                <w:color w:val="FFFFFF"/>
              </w:rPr>
              <w:t>Ladenburg Thalmann &amp; Co.quarters,Inc.– August 8, 2016</w:t>
            </w: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400" w:type="dxa"/>
            <w:vAlign w:val="bottom"/>
            <w:gridSpan w:val="3"/>
          </w:tcPr>
          <w:p>
            <w:pPr>
              <w:spacing w:after="0" w:line="40" w:lineRule="exact"/>
              <w:rPr>
                <w:sz w:val="20"/>
                <w:szCs w:val="20"/>
                <w:color w:val="auto"/>
              </w:rPr>
            </w:pPr>
            <w:r>
              <w:rPr>
                <w:rFonts w:ascii="Arial" w:cs="Arial" w:eastAsia="Arial" w:hAnsi="Arial"/>
                <w:sz w:val="4"/>
                <w:szCs w:val="4"/>
                <w:color w:val="FFFFFF"/>
              </w:rPr>
              <w:t>“TICC previou ly announced its intent to rotate out of CLOs into proprietary investments, though it does not seem a priority at the moment. Such a rotation introduces several uncertainties regarding the portfolio’s</w:t>
            </w:r>
          </w:p>
        </w:tc>
        <w:tc>
          <w:tcPr>
            <w:tcW w:w="0" w:type="dxa"/>
            <w:vAlign w:val="bottom"/>
          </w:tcPr>
          <w:p>
            <w:pPr>
              <w:spacing w:after="0" w:line="20" w:lineRule="exact"/>
              <w:rPr>
                <w:sz w:val="1"/>
                <w:szCs w:val="1"/>
                <w:color w:val="auto"/>
              </w:rPr>
            </w:pPr>
          </w:p>
        </w:tc>
      </w:tr>
      <w:tr>
        <w:trPr>
          <w:trHeight w:val="39"/>
        </w:trPr>
        <w:tc>
          <w:tcPr>
            <w:tcW w:w="5180" w:type="dxa"/>
            <w:vAlign w:val="bottom"/>
            <w:gridSpan w:val="2"/>
          </w:tcPr>
          <w:p>
            <w:pPr>
              <w:spacing w:after="0" w:line="40" w:lineRule="exact"/>
              <w:rPr>
                <w:sz w:val="20"/>
                <w:szCs w:val="20"/>
                <w:color w:val="auto"/>
              </w:rPr>
            </w:pPr>
            <w:r>
              <w:rPr>
                <w:rFonts w:ascii="Arial" w:cs="Arial" w:eastAsia="Arial" w:hAnsi="Arial"/>
                <w:sz w:val="4"/>
                <w:szCs w:val="4"/>
                <w:color w:val="FFFFFF"/>
              </w:rPr>
              <w:t>post-transition structure/risk, its course/timing, and the sustainability of the current dividend.”</w:t>
            </w: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180" w:type="dxa"/>
            <w:vAlign w:val="bottom"/>
            <w:gridSpan w:val="2"/>
          </w:tcPr>
          <w:p>
            <w:pPr>
              <w:ind w:left="180"/>
              <w:spacing w:after="0" w:line="40" w:lineRule="exact"/>
              <w:rPr>
                <w:sz w:val="20"/>
                <w:szCs w:val="20"/>
                <w:color w:val="auto"/>
              </w:rPr>
            </w:pPr>
            <w:r>
              <w:rPr>
                <w:rFonts w:ascii="Arial" w:cs="Arial" w:eastAsia="Arial" w:hAnsi="Arial"/>
                <w:sz w:val="4"/>
                <w:szCs w:val="4"/>
                <w:color w:val="FFFFFF"/>
              </w:rPr>
              <w:t>lls Fargo Securities, LLC – May 5, 2016</w:t>
            </w:r>
          </w:p>
        </w:tc>
        <w:tc>
          <w:tcPr>
            <w:tcW w:w="6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1700" w:type="dxa"/>
            <w:vAlign w:val="bottom"/>
          </w:tcPr>
          <w:p>
            <w:pPr>
              <w:spacing w:after="0" w:line="78" w:lineRule="exact"/>
              <w:rPr>
                <w:sz w:val="20"/>
                <w:szCs w:val="20"/>
                <w:color w:val="auto"/>
              </w:rPr>
            </w:pPr>
            <w:r>
              <w:rPr>
                <w:rFonts w:ascii="Arial" w:cs="Arial" w:eastAsia="Arial" w:hAnsi="Arial"/>
                <w:sz w:val="8"/>
                <w:szCs w:val="8"/>
                <w:color w:val="FFFFFF"/>
              </w:rPr>
              <w:t>We continue to view TSLX as</w:t>
            </w:r>
          </w:p>
        </w:tc>
        <w:tc>
          <w:tcPr>
            <w:tcW w:w="9700" w:type="dxa"/>
            <w:vAlign w:val="bottom"/>
            <w:gridSpan w:val="2"/>
          </w:tcPr>
          <w:p>
            <w:pPr>
              <w:spacing w:after="0" w:line="78" w:lineRule="exact"/>
              <w:rPr>
                <w:sz w:val="20"/>
                <w:szCs w:val="20"/>
                <w:color w:val="auto"/>
              </w:rPr>
            </w:pPr>
            <w:r>
              <w:rPr>
                <w:rFonts w:ascii="Arial" w:cs="Arial" w:eastAsia="Arial" w:hAnsi="Arial"/>
                <w:sz w:val="8"/>
                <w:szCs w:val="8"/>
                <w:color w:val="FFFFFF"/>
              </w:rPr>
              <w:t>best-in-class BDC who consistently delivers on its strategy of maximizing per share economics. While the stock trades at a modest premium NAV valuation of 1.06x, we believe that the</w:t>
            </w:r>
          </w:p>
        </w:tc>
        <w:tc>
          <w:tcPr>
            <w:tcW w:w="0" w:type="dxa"/>
            <w:vAlign w:val="bottom"/>
          </w:tcPr>
          <w:p>
            <w:pPr>
              <w:spacing w:after="0" w:line="20" w:lineRule="exact"/>
              <w:rPr>
                <w:sz w:val="1"/>
                <w:szCs w:val="1"/>
                <w:color w:val="auto"/>
              </w:rPr>
            </w:pPr>
          </w:p>
        </w:tc>
      </w:tr>
    </w:tbl>
    <w:p>
      <w:pPr>
        <w:ind w:left="1500"/>
        <w:spacing w:after="0" w:line="24" w:lineRule="auto"/>
        <w:rPr>
          <w:sz w:val="20"/>
          <w:szCs w:val="20"/>
          <w:color w:val="auto"/>
        </w:rPr>
      </w:pPr>
      <w:r>
        <w:rPr>
          <w:rFonts w:ascii="Arial" w:cs="Arial" w:eastAsia="Arial" w:hAnsi="Arial"/>
          <w:sz w:val="1"/>
          <w:szCs w:val="1"/>
          <w:color w:val="FFFFFF"/>
        </w:rPr>
        <w:t>exemplary</w:t>
      </w:r>
    </w:p>
    <w:p>
      <w:pPr>
        <w:spacing w:after="0" w:line="205" w:lineRule="auto"/>
        <w:tabs>
          <w:tab w:leader="none" w:pos="2060" w:val="left"/>
        </w:tabs>
        <w:rPr>
          <w:sz w:val="20"/>
          <w:szCs w:val="20"/>
          <w:color w:val="auto"/>
        </w:rPr>
      </w:pPr>
      <w:r>
        <w:rPr>
          <w:rFonts w:ascii="Arial" w:cs="Arial" w:eastAsia="Arial" w:hAnsi="Arial"/>
          <w:sz w:val="4"/>
          <w:szCs w:val="4"/>
          <w:color w:val="FFFFFF"/>
          <w:vertAlign w:val="subscript"/>
        </w:rPr>
        <w:t>Barclays</w:t>
      </w:r>
      <w:r>
        <w:rPr>
          <w:rFonts w:ascii="Arial" w:cs="Arial" w:eastAsia="Arial" w:hAnsi="Arial"/>
          <w:sz w:val="2"/>
          <w:szCs w:val="2"/>
          <w:color w:val="FFFFFF"/>
        </w:rPr>
        <w:t>DC’accessCapitalto capitalInc.–Mayand 4, 2016</w:t>
      </w:r>
      <w:r>
        <w:rPr>
          <w:sz w:val="20"/>
          <w:szCs w:val="20"/>
          <w:color w:val="auto"/>
        </w:rPr>
        <w:tab/>
      </w:r>
      <w:r>
        <w:rPr>
          <w:rFonts w:ascii="Arial" w:cs="Arial" w:eastAsia="Arial" w:hAnsi="Arial"/>
          <w:sz w:val="4"/>
          <w:szCs w:val="4"/>
          <w:color w:val="FFFFFF"/>
        </w:rPr>
        <w:t>credit track record will continue to be appreciated by the market.”</w:t>
      </w:r>
    </w:p>
    <w:p>
      <w:pPr>
        <w:ind w:right="80"/>
        <w:spacing w:after="0" w:line="184" w:lineRule="auto"/>
        <w:rPr>
          <w:sz w:val="20"/>
          <w:szCs w:val="20"/>
          <w:color w:val="auto"/>
        </w:rPr>
      </w:pPr>
      <w:r>
        <w:rPr>
          <w:rFonts w:ascii="Arial" w:cs="Arial" w:eastAsia="Arial" w:hAnsi="Arial"/>
          <w:sz w:val="11"/>
          <w:szCs w:val="11"/>
          <w:color w:val="FFFFFF"/>
        </w:rPr>
        <w:t>“The revised fee structure is an improvement over the previous structure, but we point out that even the lower base fee is likely high for broadly syndicated loans and CLOs that make up the TICC portfolio, especially when returns have been sub-par.”</w:t>
      </w:r>
    </w:p>
    <w:p>
      <w:pPr>
        <w:sectPr>
          <w:pgSz w:w="11900" w:h="16838" w:orient="portrait"/>
          <w:cols w:equalWidth="0" w:num="1">
            <w:col w:w="11400"/>
          </w:cols>
          <w:pgMar w:left="240" w:top="1440" w:right="2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947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4725" cy="494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20" w:type="dxa"/>
            <w:vAlign w:val="bottom"/>
            <w:gridSpan w:val="2"/>
          </w:tcPr>
          <w:p>
            <w:pPr>
              <w:ind w:left="120"/>
              <w:spacing w:after="0"/>
              <w:rPr>
                <w:sz w:val="20"/>
                <w:szCs w:val="20"/>
                <w:color w:val="auto"/>
              </w:rPr>
            </w:pPr>
            <w:r>
              <w:rPr>
                <w:rFonts w:ascii="Arial" w:cs="Arial" w:eastAsia="Arial" w:hAnsi="Arial"/>
                <w:sz w:val="13"/>
                <w:szCs w:val="13"/>
                <w:color w:val="FFFFFF"/>
              </w:rPr>
              <w:t>ells Fargo Securities, LLC – May 3, 2016</w:t>
            </w:r>
          </w:p>
        </w:tc>
      </w:tr>
      <w:tr>
        <w:trPr>
          <w:trHeight w:val="39"/>
        </w:trPr>
        <w:tc>
          <w:tcPr>
            <w:tcW w:w="11220" w:type="dxa"/>
            <w:vAlign w:val="bottom"/>
            <w:gridSpan w:val="2"/>
          </w:tcPr>
          <w:p>
            <w:pPr>
              <w:spacing w:after="0" w:line="40" w:lineRule="exact"/>
              <w:rPr>
                <w:sz w:val="20"/>
                <w:szCs w:val="20"/>
                <w:color w:val="auto"/>
              </w:rPr>
            </w:pPr>
            <w:r>
              <w:rPr>
                <w:rFonts w:ascii="Arial" w:cs="Arial" w:eastAsia="Arial" w:hAnsi="Arial"/>
                <w:sz w:val="4"/>
                <w:szCs w:val="4"/>
                <w:color w:val="FFFFFF"/>
              </w:rPr>
              <w:t>“[W]e believe that TICC’s portfolio growth and ability to rotate into proprietary deals could be limited. What’s more, TICC’s current dividend policy of distributing dividends in excess of earnings is likely to</w:t>
            </w:r>
          </w:p>
        </w:tc>
      </w:tr>
      <w:tr>
        <w:trPr>
          <w:trHeight w:val="39"/>
        </w:trPr>
        <w:tc>
          <w:tcPr>
            <w:tcW w:w="11220" w:type="dxa"/>
            <w:vAlign w:val="bottom"/>
            <w:gridSpan w:val="2"/>
          </w:tcPr>
          <w:p>
            <w:pPr>
              <w:spacing w:after="0" w:line="40" w:lineRule="exact"/>
              <w:rPr>
                <w:sz w:val="20"/>
                <w:szCs w:val="20"/>
                <w:color w:val="auto"/>
              </w:rPr>
            </w:pPr>
            <w:r>
              <w:rPr>
                <w:rFonts w:ascii="Arial" w:cs="Arial" w:eastAsia="Arial" w:hAnsi="Arial"/>
                <w:sz w:val="4"/>
                <w:szCs w:val="4"/>
                <w:color w:val="FFFFFF"/>
              </w:rPr>
              <w:t>negatively impact equity (and offsetting the positive impact of deleveraging).”</w:t>
            </w:r>
          </w:p>
        </w:tc>
      </w:tr>
      <w:tr>
        <w:trPr>
          <w:trHeight w:val="39"/>
        </w:trPr>
        <w:tc>
          <w:tcPr>
            <w:tcW w:w="11220" w:type="dxa"/>
            <w:vAlign w:val="bottom"/>
            <w:gridSpan w:val="2"/>
          </w:tcPr>
          <w:p>
            <w:pPr>
              <w:spacing w:after="0" w:line="40" w:lineRule="exact"/>
              <w:rPr>
                <w:sz w:val="20"/>
                <w:szCs w:val="20"/>
                <w:color w:val="auto"/>
              </w:rPr>
            </w:pPr>
            <w:r>
              <w:rPr>
                <w:rFonts w:ascii="Arial" w:cs="Arial" w:eastAsia="Arial" w:hAnsi="Arial"/>
                <w:sz w:val="4"/>
                <w:szCs w:val="4"/>
                <w:color w:val="FFFFFF"/>
              </w:rPr>
              <w:t>Wells Fargo Securities, LLC – March 18, 2016</w:t>
            </w:r>
          </w:p>
        </w:tc>
      </w:tr>
      <w:tr>
        <w:trPr>
          <w:trHeight w:val="39"/>
        </w:trPr>
        <w:tc>
          <w:tcPr>
            <w:tcW w:w="11220" w:type="dxa"/>
            <w:vAlign w:val="bottom"/>
            <w:gridSpan w:val="2"/>
          </w:tcPr>
          <w:p>
            <w:pPr>
              <w:spacing w:after="0" w:line="40" w:lineRule="exact"/>
              <w:rPr>
                <w:sz w:val="20"/>
                <w:szCs w:val="20"/>
                <w:color w:val="auto"/>
              </w:rPr>
            </w:pPr>
            <w:r>
              <w:rPr>
                <w:rFonts w:ascii="Arial" w:cs="Arial" w:eastAsia="Arial" w:hAnsi="Arial"/>
                <w:sz w:val="4"/>
                <w:szCs w:val="4"/>
                <w:color w:val="FFFFFF"/>
              </w:rPr>
              <w:t>“Professional fees [are]…likely going to be higher as this manager uses shareholder capital to keep its external manger [sic] in place. The most devastating part of the quarter, in our opinion, was finding that the</w:t>
            </w:r>
          </w:p>
        </w:tc>
      </w:tr>
      <w:tr>
        <w:trPr>
          <w:trHeight w:val="39"/>
        </w:trPr>
        <w:tc>
          <w:tcPr>
            <w:tcW w:w="11220" w:type="dxa"/>
            <w:vAlign w:val="bottom"/>
            <w:gridSpan w:val="2"/>
          </w:tcPr>
          <w:p>
            <w:pPr>
              <w:spacing w:after="0" w:line="40" w:lineRule="exact"/>
              <w:rPr>
                <w:sz w:val="20"/>
                <w:szCs w:val="20"/>
                <w:color w:val="auto"/>
              </w:rPr>
            </w:pPr>
            <w:r>
              <w:rPr>
                <w:rFonts w:ascii="Arial" w:cs="Arial" w:eastAsia="Arial" w:hAnsi="Arial"/>
                <w:sz w:val="4"/>
                <w:szCs w:val="4"/>
                <w:color w:val="FFFFFF"/>
              </w:rPr>
              <w:t>external management company has and may consider to expense its sale process /proxy battles to the BDC – which we believe sends the message to shareholders that the management fee is the most important.”</w:t>
            </w:r>
          </w:p>
        </w:tc>
      </w:tr>
      <w:tr>
        <w:trPr>
          <w:trHeight w:val="39"/>
        </w:trPr>
        <w:tc>
          <w:tcPr>
            <w:tcW w:w="1120" w:type="dxa"/>
            <w:vAlign w:val="bottom"/>
          </w:tcPr>
          <w:p>
            <w:pPr>
              <w:spacing w:after="0" w:line="40" w:lineRule="exact"/>
              <w:rPr>
                <w:sz w:val="20"/>
                <w:szCs w:val="20"/>
                <w:color w:val="auto"/>
              </w:rPr>
            </w:pPr>
            <w:r>
              <w:rPr>
                <w:rFonts w:ascii="Arial" w:cs="Arial" w:eastAsia="Arial" w:hAnsi="Arial"/>
                <w:sz w:val="4"/>
                <w:szCs w:val="4"/>
                <w:color w:val="FFFFFF"/>
              </w:rPr>
              <w:t>Wells Fargo</w:t>
            </w:r>
          </w:p>
        </w:tc>
        <w:tc>
          <w:tcPr>
            <w:tcW w:w="10100" w:type="dxa"/>
            <w:vAlign w:val="bottom"/>
          </w:tcPr>
          <w:p>
            <w:pPr>
              <w:ind w:left="140"/>
              <w:spacing w:after="0" w:line="40" w:lineRule="exact"/>
              <w:rPr>
                <w:sz w:val="20"/>
                <w:szCs w:val="20"/>
                <w:color w:val="auto"/>
              </w:rPr>
            </w:pPr>
            <w:r>
              <w:rPr>
                <w:rFonts w:ascii="Arial" w:cs="Arial" w:eastAsia="Arial" w:hAnsi="Arial"/>
                <w:sz w:val="4"/>
                <w:szCs w:val="4"/>
                <w:color w:val="FFFFFF"/>
              </w:rPr>
              <w:t>LLC – February 4, 2016</w:t>
            </w:r>
          </w:p>
        </w:tc>
      </w:tr>
      <w:tr>
        <w:trPr>
          <w:trHeight w:val="39"/>
        </w:trPr>
        <w:tc>
          <w:tcPr>
            <w:tcW w:w="11220" w:type="dxa"/>
            <w:vAlign w:val="bottom"/>
            <w:gridSpan w:val="2"/>
          </w:tcPr>
          <w:p>
            <w:pPr>
              <w:spacing w:after="0" w:line="40" w:lineRule="exact"/>
              <w:rPr>
                <w:sz w:val="20"/>
                <w:szCs w:val="20"/>
                <w:color w:val="auto"/>
              </w:rPr>
            </w:pPr>
            <w:r>
              <w:rPr>
                <w:rFonts w:ascii="Arial" w:cs="Arial" w:eastAsia="Arial" w:hAnsi="Arial"/>
                <w:sz w:val="4"/>
                <w:szCs w:val="4"/>
                <w:color w:val="FFFFFF"/>
              </w:rPr>
              <w:t>“As of yesterday’Securities,close, TICC has been among the worst performers since the annual meeting with  total return of -16.4%, over 10 percentage points worse than the BDC index. In our view, this is partially</w:t>
            </w:r>
          </w:p>
        </w:tc>
      </w:tr>
      <w:tr>
        <w:trPr>
          <w:trHeight w:val="39"/>
        </w:trPr>
        <w:tc>
          <w:tcPr>
            <w:tcW w:w="11220" w:type="dxa"/>
            <w:vAlign w:val="bottom"/>
            <w:gridSpan w:val="2"/>
          </w:tcPr>
          <w:p>
            <w:pPr>
              <w:spacing w:after="0" w:line="40" w:lineRule="exact"/>
              <w:rPr>
                <w:sz w:val="20"/>
                <w:szCs w:val="20"/>
                <w:color w:val="auto"/>
              </w:rPr>
            </w:pPr>
            <w:r>
              <w:rPr>
                <w:rFonts w:ascii="Arial" w:cs="Arial" w:eastAsia="Arial" w:hAnsi="Arial"/>
                <w:sz w:val="4"/>
                <w:szCs w:val="4"/>
                <w:color w:val="FFFFFF"/>
              </w:rPr>
              <w:t>attributable to likely heavy exposure to CLO Equity at this point but moreover the erosion of the potential premium that shareholders likely would have received under a market/premium manager or strategy.”</w:t>
            </w:r>
          </w:p>
        </w:tc>
      </w:tr>
      <w:tr>
        <w:trPr>
          <w:trHeight w:val="39"/>
        </w:trPr>
        <w:tc>
          <w:tcPr>
            <w:tcW w:w="11220" w:type="dxa"/>
            <w:vAlign w:val="bottom"/>
            <w:gridSpan w:val="2"/>
          </w:tcPr>
          <w:p>
            <w:pPr>
              <w:spacing w:after="0" w:line="40" w:lineRule="exact"/>
              <w:rPr>
                <w:sz w:val="20"/>
                <w:szCs w:val="20"/>
                <w:color w:val="auto"/>
              </w:rPr>
            </w:pPr>
            <w:r>
              <w:rPr>
                <w:rFonts w:ascii="Arial" w:cs="Arial" w:eastAsia="Arial" w:hAnsi="Arial"/>
                <w:sz w:val="4"/>
                <w:szCs w:val="4"/>
                <w:color w:val="FFFFFF"/>
              </w:rPr>
              <w:t>Wells Fargo Securities, LLC – February 4, 2016</w:t>
            </w:r>
          </w:p>
        </w:tc>
      </w:tr>
      <w:tr>
        <w:trPr>
          <w:trHeight w:val="39"/>
        </w:trPr>
        <w:tc>
          <w:tcPr>
            <w:tcW w:w="11220" w:type="dxa"/>
            <w:vAlign w:val="bottom"/>
            <w:gridSpan w:val="2"/>
          </w:tcPr>
          <w:p>
            <w:pPr>
              <w:spacing w:after="0" w:line="40" w:lineRule="exact"/>
              <w:rPr>
                <w:sz w:val="20"/>
                <w:szCs w:val="20"/>
                <w:color w:val="auto"/>
              </w:rPr>
            </w:pPr>
            <w:r>
              <w:rPr>
                <w:rFonts w:ascii="Arial" w:cs="Arial" w:eastAsia="Arial" w:hAnsi="Arial"/>
                <w:sz w:val="4"/>
                <w:szCs w:val="4"/>
                <w:color w:val="FFFFFF"/>
              </w:rPr>
              <w:t>“TICC has underperformed on most any metric . . . [W]e believe that severe NAV declines in recent quarters will lead to more upset shareholders that are likely to seek a premium offer.”</w:t>
            </w:r>
          </w:p>
        </w:tc>
      </w:tr>
      <w:tr>
        <w:trPr>
          <w:trHeight w:val="39"/>
        </w:trPr>
        <w:tc>
          <w:tcPr>
            <w:tcW w:w="11220" w:type="dxa"/>
            <w:vAlign w:val="bottom"/>
            <w:gridSpan w:val="2"/>
          </w:tcPr>
          <w:p>
            <w:pPr>
              <w:spacing w:after="0" w:line="40" w:lineRule="exact"/>
              <w:rPr>
                <w:sz w:val="20"/>
                <w:szCs w:val="20"/>
                <w:color w:val="auto"/>
              </w:rPr>
            </w:pPr>
            <w:r>
              <w:rPr>
                <w:rFonts w:ascii="Arial" w:cs="Arial" w:eastAsia="Arial" w:hAnsi="Arial"/>
                <w:sz w:val="4"/>
                <w:szCs w:val="4"/>
                <w:color w:val="FFFFFF"/>
              </w:rPr>
              <w:t>Institutional Shareholder Services Inc. – October 16, 2015</w:t>
            </w:r>
          </w:p>
        </w:tc>
      </w:tr>
      <w:tr>
        <w:trPr>
          <w:trHeight w:val="39"/>
        </w:trPr>
        <w:tc>
          <w:tcPr>
            <w:tcW w:w="11220" w:type="dxa"/>
            <w:vAlign w:val="bottom"/>
            <w:gridSpan w:val="2"/>
          </w:tcPr>
          <w:p>
            <w:pPr>
              <w:spacing w:after="0" w:line="40" w:lineRule="exact"/>
              <w:rPr>
                <w:sz w:val="20"/>
                <w:szCs w:val="20"/>
                <w:color w:val="auto"/>
              </w:rPr>
            </w:pPr>
            <w:r>
              <w:rPr>
                <w:rFonts w:ascii="Arial" w:cs="Arial" w:eastAsia="Arial" w:hAnsi="Arial"/>
                <w:sz w:val="4"/>
                <w:szCs w:val="4"/>
                <w:color w:val="FFFFFF"/>
              </w:rPr>
              <w:t>“[T]he prudent strategy may be to send the [TICC] board back to the drawing board, and ask it to run the process it does not appear to have run when first presented with the opportunity.”</w:t>
            </w:r>
          </w:p>
        </w:tc>
      </w:tr>
      <w:tr>
        <w:trPr>
          <w:trHeight w:val="39"/>
        </w:trPr>
        <w:tc>
          <w:tcPr>
            <w:tcW w:w="11220" w:type="dxa"/>
            <w:vAlign w:val="bottom"/>
            <w:gridSpan w:val="2"/>
          </w:tcPr>
          <w:p>
            <w:pPr>
              <w:spacing w:after="0" w:line="40" w:lineRule="exact"/>
              <w:rPr>
                <w:sz w:val="20"/>
                <w:szCs w:val="20"/>
                <w:color w:val="auto"/>
              </w:rPr>
            </w:pPr>
            <w:r>
              <w:rPr>
                <w:rFonts w:ascii="Arial" w:cs="Arial" w:eastAsia="Arial" w:hAnsi="Arial"/>
                <w:sz w:val="4"/>
                <w:szCs w:val="4"/>
                <w:color w:val="FFFFFF"/>
              </w:rPr>
              <w:t>Egan-Jones Ratings Company – October 13, 2015</w:t>
            </w:r>
          </w:p>
        </w:tc>
      </w:tr>
      <w:tr>
        <w:trPr>
          <w:trHeight w:val="0"/>
        </w:trPr>
        <w:tc>
          <w:tcPr>
            <w:tcW w:w="1120" w:type="dxa"/>
            <w:vAlign w:val="bottom"/>
          </w:tcPr>
          <w:p>
            <w:pPr>
              <w:spacing w:after="0" w:line="78" w:lineRule="exact"/>
              <w:rPr>
                <w:sz w:val="20"/>
                <w:szCs w:val="20"/>
                <w:color w:val="auto"/>
              </w:rPr>
            </w:pPr>
            <w:r>
              <w:rPr>
                <w:rFonts w:ascii="Arial" w:cs="Arial" w:eastAsia="Arial" w:hAnsi="Arial"/>
                <w:sz w:val="8"/>
                <w:szCs w:val="8"/>
                <w:color w:val="FFFFFF"/>
              </w:rPr>
              <w:t>“We are concerned</w:t>
            </w:r>
          </w:p>
        </w:tc>
        <w:tc>
          <w:tcPr>
            <w:tcW w:w="10100" w:type="dxa"/>
            <w:vAlign w:val="bottom"/>
          </w:tcPr>
          <w:p>
            <w:pPr>
              <w:ind w:left="140"/>
              <w:spacing w:after="0" w:line="78" w:lineRule="exact"/>
              <w:rPr>
                <w:sz w:val="20"/>
                <w:szCs w:val="20"/>
                <w:color w:val="auto"/>
              </w:rPr>
            </w:pPr>
            <w:r>
              <w:rPr>
                <w:rFonts w:ascii="Arial" w:cs="Arial" w:eastAsia="Arial" w:hAnsi="Arial"/>
                <w:sz w:val="8"/>
                <w:szCs w:val="8"/>
                <w:color w:val="FFFFFF"/>
              </w:rPr>
              <w:t>the current Board of TICC may not be operating   a manner that is in the best long term interest of shareholders. We are also concerned that at least some of the independent members of that</w:t>
            </w:r>
          </w:p>
        </w:tc>
      </w:tr>
    </w:tbl>
    <w:p>
      <w:pPr>
        <w:ind w:left="1040"/>
        <w:spacing w:after="0" w:line="24" w:lineRule="auto"/>
        <w:tabs>
          <w:tab w:leader="none" w:pos="3560" w:val="left"/>
        </w:tabs>
        <w:rPr>
          <w:sz w:val="20"/>
          <w:szCs w:val="20"/>
          <w:color w:val="auto"/>
        </w:rPr>
      </w:pPr>
      <w:r>
        <w:rPr>
          <w:rFonts w:ascii="Arial" w:cs="Arial" w:eastAsia="Arial" w:hAnsi="Arial"/>
          <w:sz w:val="1"/>
          <w:szCs w:val="1"/>
          <w:color w:val="FFFFFF"/>
        </w:rPr>
        <w:t>that</w:t>
      </w:r>
      <w:r>
        <w:rPr>
          <w:sz w:val="20"/>
          <w:szCs w:val="20"/>
          <w:color w:val="auto"/>
        </w:rPr>
        <w:tab/>
      </w:r>
      <w:r>
        <w:rPr>
          <w:rFonts w:ascii="Arial" w:cs="Arial" w:eastAsia="Arial" w:hAnsi="Arial"/>
          <w:sz w:val="1"/>
          <w:szCs w:val="1"/>
          <w:color w:val="FFFFFF"/>
        </w:rPr>
        <w:t>independent</w:t>
      </w:r>
    </w:p>
    <w:p>
      <w:pPr>
        <w:spacing w:after="0" w:line="205" w:lineRule="auto"/>
        <w:tabs>
          <w:tab w:leader="none" w:pos="4200" w:val="left"/>
        </w:tabs>
        <w:rPr>
          <w:sz w:val="20"/>
          <w:szCs w:val="20"/>
          <w:color w:val="auto"/>
        </w:rPr>
      </w:pPr>
      <w:r>
        <w:rPr>
          <w:rFonts w:ascii="Arial" w:cs="Arial" w:eastAsia="Arial" w:hAnsi="Arial"/>
          <w:sz w:val="4"/>
          <w:szCs w:val="4"/>
          <w:color w:val="FFFFFF"/>
        </w:rPr>
        <w:t>Wellsboard FargomayhaveSecurities,forvarietyLLC –ofOctoberreasons,9,lost2015their ability to be truly</w:t>
      </w:r>
      <w:r>
        <w:rPr>
          <w:sz w:val="20"/>
          <w:szCs w:val="20"/>
          <w:color w:val="auto"/>
        </w:rPr>
        <w:tab/>
      </w:r>
      <w:r>
        <w:rPr>
          <w:rFonts w:ascii="Arial" w:cs="Arial" w:eastAsia="Arial" w:hAnsi="Arial"/>
          <w:sz w:val="4"/>
          <w:szCs w:val="4"/>
          <w:color w:val="FFFFFF"/>
        </w:rPr>
        <w:t>.”</w:t>
      </w:r>
    </w:p>
    <w:p>
      <w:pPr>
        <w:spacing w:after="0"/>
        <w:rPr>
          <w:sz w:val="20"/>
          <w:szCs w:val="20"/>
          <w:color w:val="auto"/>
        </w:rPr>
      </w:pPr>
      <w:r>
        <w:rPr>
          <w:rFonts w:ascii="Arial" w:cs="Arial" w:eastAsia="Arial" w:hAnsi="Arial"/>
          <w:sz w:val="13"/>
          <w:szCs w:val="13"/>
          <w:color w:val="FFFFFF"/>
        </w:rPr>
        <w:t>“A Vote for TICC does not ’Protect’ The Distribution . . . We believe this dividend will get cut regardless as TICC does not have the operating earnings to support the dividend at all.”</w:t>
      </w:r>
    </w:p>
    <w:p>
      <w:pPr>
        <w:sectPr>
          <w:pgSz w:w="11900" w:h="16838" w:orient="portrait"/>
          <w:cols w:equalWidth="0" w:num="1">
            <w:col w:w="11220"/>
          </w:cols>
          <w:pgMar w:left="240" w:top="1440" w:right="4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055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4725" cy="5055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20"/>
                <w:szCs w:val="20"/>
                <w:color w:val="auto"/>
              </w:rPr>
            </w:pPr>
            <w:r>
              <w:rPr>
                <w:rFonts w:ascii="Arial" w:cs="Arial" w:eastAsia="Arial" w:hAnsi="Arial"/>
                <w:sz w:val="13"/>
                <w:szCs w:val="13"/>
                <w:color w:val="FFFFFF"/>
              </w:rPr>
              <w:t>Wells Fargo Securities, LLC – October 7, 2015</w:t>
            </w:r>
          </w:p>
        </w:tc>
        <w:tc>
          <w:tcPr>
            <w:tcW w:w="8040" w:type="dxa"/>
            <w:vAlign w:val="bottom"/>
            <w:gridSpan w:val="2"/>
            <w:vMerge w:val="restart"/>
          </w:tcPr>
          <w:p>
            <w:pPr>
              <w:spacing w:after="0"/>
              <w:rPr>
                <w:sz w:val="20"/>
                <w:szCs w:val="20"/>
                <w:color w:val="auto"/>
              </w:rPr>
            </w:pPr>
            <w:r>
              <w:rPr>
                <w:rFonts w:ascii="Arial" w:cs="Arial" w:eastAsia="Arial" w:hAnsi="Arial"/>
                <w:sz w:val="13"/>
                <w:szCs w:val="13"/>
                <w:color w:val="FFFFFF"/>
                <w:w w:val="92"/>
              </w:rPr>
              <w:t>’ as it appears—an independent board member derives over $280k a year from Royce Funds (note the founder of Royce Funds is an owner of the BDC</w:t>
            </w:r>
          </w:p>
        </w:tc>
        <w:tc>
          <w:tcPr>
            <w:tcW w:w="0" w:type="dxa"/>
            <w:vAlign w:val="bottom"/>
          </w:tcPr>
          <w:p>
            <w:pPr>
              <w:spacing w:after="0"/>
              <w:rPr>
                <w:sz w:val="1"/>
                <w:szCs w:val="1"/>
                <w:color w:val="auto"/>
              </w:rPr>
            </w:pPr>
          </w:p>
        </w:tc>
      </w:tr>
      <w:tr>
        <w:trPr>
          <w:trHeight w:val="39"/>
        </w:trPr>
        <w:tc>
          <w:tcPr>
            <w:tcW w:w="3240" w:type="dxa"/>
            <w:vAlign w:val="bottom"/>
          </w:tcPr>
          <w:p>
            <w:pPr>
              <w:spacing w:after="0" w:line="40" w:lineRule="exact"/>
              <w:rPr>
                <w:sz w:val="20"/>
                <w:szCs w:val="20"/>
                <w:color w:val="auto"/>
              </w:rPr>
            </w:pPr>
            <w:r>
              <w:rPr>
                <w:rFonts w:ascii="Arial" w:cs="Arial" w:eastAsia="Arial" w:hAnsi="Arial"/>
                <w:sz w:val="4"/>
                <w:szCs w:val="4"/>
                <w:color w:val="FFFFFF"/>
              </w:rPr>
              <w:t>“The ’Independent’ Special Committee is not as ‘independ</w:t>
            </w:r>
          </w:p>
        </w:tc>
        <w:tc>
          <w:tcPr>
            <w:tcW w:w="80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380" w:type="dxa"/>
            <w:vAlign w:val="bottom"/>
            <w:gridSpan w:val="2"/>
          </w:tcPr>
          <w:p>
            <w:pPr>
              <w:spacing w:after="0" w:line="40" w:lineRule="exact"/>
              <w:rPr>
                <w:sz w:val="20"/>
                <w:szCs w:val="20"/>
                <w:color w:val="auto"/>
              </w:rPr>
            </w:pPr>
            <w:r>
              <w:rPr>
                <w:rFonts w:ascii="Arial" w:cs="Arial" w:eastAsia="Arial" w:hAnsi="Arial"/>
                <w:sz w:val="4"/>
                <w:szCs w:val="4"/>
                <w:color w:val="FFFFFF"/>
              </w:rPr>
              <w:t>external manager…and is slated to receive $60MM on the external manager sale).”</w:t>
            </w:r>
          </w:p>
        </w:tc>
        <w:tc>
          <w:tcPr>
            <w:tcW w:w="5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240" w:type="dxa"/>
            <w:vAlign w:val="bottom"/>
          </w:tcPr>
          <w:p>
            <w:pPr>
              <w:spacing w:after="0" w:line="40" w:lineRule="exact"/>
              <w:rPr>
                <w:sz w:val="20"/>
                <w:szCs w:val="20"/>
                <w:color w:val="auto"/>
              </w:rPr>
            </w:pPr>
            <w:r>
              <w:rPr>
                <w:rFonts w:ascii="Arial" w:cs="Arial" w:eastAsia="Arial" w:hAnsi="Arial"/>
                <w:sz w:val="4"/>
                <w:szCs w:val="4"/>
                <w:color w:val="FFFFFF"/>
              </w:rPr>
              <w:t>Barclays Capital Inc. – October 6, 2015</w:t>
            </w:r>
          </w:p>
        </w:tc>
        <w:tc>
          <w:tcPr>
            <w:tcW w:w="2140" w:type="dxa"/>
            <w:vAlign w:val="bottom"/>
          </w:tcPr>
          <w:p>
            <w:pPr>
              <w:spacing w:after="0"/>
              <w:rPr>
                <w:sz w:val="3"/>
                <w:szCs w:val="3"/>
                <w:color w:val="auto"/>
              </w:rPr>
            </w:pPr>
          </w:p>
        </w:tc>
        <w:tc>
          <w:tcPr>
            <w:tcW w:w="5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80" w:type="dxa"/>
            <w:vAlign w:val="bottom"/>
            <w:gridSpan w:val="3"/>
          </w:tcPr>
          <w:p>
            <w:pPr>
              <w:spacing w:after="0" w:line="40" w:lineRule="exact"/>
              <w:rPr>
                <w:sz w:val="20"/>
                <w:szCs w:val="20"/>
                <w:color w:val="auto"/>
              </w:rPr>
            </w:pPr>
            <w:r>
              <w:rPr>
                <w:rFonts w:ascii="Arial" w:cs="Arial" w:eastAsia="Arial" w:hAnsi="Arial"/>
                <w:sz w:val="4"/>
                <w:szCs w:val="4"/>
                <w:color w:val="FFFFFF"/>
              </w:rPr>
              <w:t>“[W]e believe TSLX’s offer represents the best value out of the three and can potentially deliver to current TICC shareholders a combination of upfront return on shares, participation in future upside of a combined</w:t>
            </w:r>
          </w:p>
        </w:tc>
        <w:tc>
          <w:tcPr>
            <w:tcW w:w="0" w:type="dxa"/>
            <w:vAlign w:val="bottom"/>
          </w:tcPr>
          <w:p>
            <w:pPr>
              <w:spacing w:after="0" w:line="20" w:lineRule="exact"/>
              <w:rPr>
                <w:sz w:val="1"/>
                <w:szCs w:val="1"/>
                <w:color w:val="auto"/>
              </w:rPr>
            </w:pPr>
          </w:p>
        </w:tc>
      </w:tr>
      <w:tr>
        <w:trPr>
          <w:trHeight w:val="39"/>
        </w:trPr>
        <w:tc>
          <w:tcPr>
            <w:tcW w:w="5380" w:type="dxa"/>
            <w:vAlign w:val="bottom"/>
            <w:gridSpan w:val="2"/>
          </w:tcPr>
          <w:p>
            <w:pPr>
              <w:spacing w:after="0" w:line="40" w:lineRule="exact"/>
              <w:rPr>
                <w:sz w:val="20"/>
                <w:szCs w:val="20"/>
                <w:color w:val="auto"/>
              </w:rPr>
            </w:pPr>
            <w:r>
              <w:rPr>
                <w:rFonts w:ascii="Arial" w:cs="Arial" w:eastAsia="Arial" w:hAnsi="Arial"/>
                <w:sz w:val="4"/>
                <w:szCs w:val="4"/>
                <w:color w:val="FFFFFF"/>
              </w:rPr>
              <w:t>BDC, and access to a broader platform and quality management.”</w:t>
            </w:r>
          </w:p>
        </w:tc>
        <w:tc>
          <w:tcPr>
            <w:tcW w:w="5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240" w:type="dxa"/>
            <w:vAlign w:val="bottom"/>
          </w:tcPr>
          <w:p>
            <w:pPr>
              <w:spacing w:after="0" w:line="40" w:lineRule="exact"/>
              <w:rPr>
                <w:sz w:val="20"/>
                <w:szCs w:val="20"/>
                <w:color w:val="auto"/>
              </w:rPr>
            </w:pPr>
            <w:r>
              <w:rPr>
                <w:rFonts w:ascii="Arial" w:cs="Arial" w:eastAsia="Arial" w:hAnsi="Arial"/>
                <w:sz w:val="4"/>
                <w:szCs w:val="4"/>
                <w:color w:val="FFFFFF"/>
              </w:rPr>
              <w:t>Antoine Gara, Forbes – October 2, 2015</w:t>
            </w:r>
          </w:p>
        </w:tc>
        <w:tc>
          <w:tcPr>
            <w:tcW w:w="2140" w:type="dxa"/>
            <w:vAlign w:val="bottom"/>
          </w:tcPr>
          <w:p>
            <w:pPr>
              <w:spacing w:after="0"/>
              <w:rPr>
                <w:sz w:val="3"/>
                <w:szCs w:val="3"/>
                <w:color w:val="auto"/>
              </w:rPr>
            </w:pPr>
          </w:p>
        </w:tc>
        <w:tc>
          <w:tcPr>
            <w:tcW w:w="5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80" w:type="dxa"/>
            <w:vAlign w:val="bottom"/>
            <w:gridSpan w:val="3"/>
          </w:tcPr>
          <w:p>
            <w:pPr>
              <w:spacing w:after="0" w:line="40" w:lineRule="exact"/>
              <w:rPr>
                <w:sz w:val="20"/>
                <w:szCs w:val="20"/>
                <w:color w:val="auto"/>
              </w:rPr>
            </w:pPr>
            <w:r>
              <w:rPr>
                <w:rFonts w:ascii="Arial" w:cs="Arial" w:eastAsia="Arial" w:hAnsi="Arial"/>
                <w:sz w:val="4"/>
                <w:szCs w:val="4"/>
                <w:color w:val="FFFFFF"/>
              </w:rPr>
              <w:t>“Who wins the battle for TICC Capital or what a fair price for the BDC is remains in question. One thing is clear; investors lured by the promise of high yields should tread carefully. It turns out some companies are</w:t>
            </w:r>
          </w:p>
        </w:tc>
        <w:tc>
          <w:tcPr>
            <w:tcW w:w="0" w:type="dxa"/>
            <w:vAlign w:val="bottom"/>
          </w:tcPr>
          <w:p>
            <w:pPr>
              <w:spacing w:after="0" w:line="20" w:lineRule="exact"/>
              <w:rPr>
                <w:sz w:val="1"/>
                <w:szCs w:val="1"/>
                <w:color w:val="auto"/>
              </w:rPr>
            </w:pPr>
          </w:p>
        </w:tc>
      </w:tr>
      <w:tr>
        <w:trPr>
          <w:trHeight w:val="39"/>
        </w:trPr>
        <w:tc>
          <w:tcPr>
            <w:tcW w:w="5380" w:type="dxa"/>
            <w:vAlign w:val="bottom"/>
            <w:gridSpan w:val="2"/>
          </w:tcPr>
          <w:p>
            <w:pPr>
              <w:spacing w:after="0" w:line="40" w:lineRule="exact"/>
              <w:rPr>
                <w:sz w:val="20"/>
                <w:szCs w:val="20"/>
                <w:color w:val="auto"/>
              </w:rPr>
            </w:pPr>
            <w:r>
              <w:rPr>
                <w:rFonts w:ascii="Arial" w:cs="Arial" w:eastAsia="Arial" w:hAnsi="Arial"/>
                <w:sz w:val="4"/>
                <w:szCs w:val="4"/>
                <w:color w:val="FFFFFF"/>
              </w:rPr>
              <w:t>reaching into investors’ own pockets to make fat dividend payments.”</w:t>
            </w:r>
          </w:p>
        </w:tc>
        <w:tc>
          <w:tcPr>
            <w:tcW w:w="5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240" w:type="dxa"/>
            <w:vAlign w:val="bottom"/>
          </w:tcPr>
          <w:p>
            <w:pPr>
              <w:spacing w:after="0" w:line="40" w:lineRule="exact"/>
              <w:rPr>
                <w:sz w:val="20"/>
                <w:szCs w:val="20"/>
                <w:color w:val="auto"/>
              </w:rPr>
            </w:pPr>
            <w:r>
              <w:rPr>
                <w:rFonts w:ascii="Arial" w:cs="Arial" w:eastAsia="Arial" w:hAnsi="Arial"/>
                <w:sz w:val="4"/>
                <w:szCs w:val="4"/>
                <w:color w:val="FFFFFF"/>
              </w:rPr>
              <w:t>Wells Fargo Securities, LLC – September 22, 2015</w:t>
            </w:r>
          </w:p>
        </w:tc>
        <w:tc>
          <w:tcPr>
            <w:tcW w:w="8040" w:type="dxa"/>
            <w:vAlign w:val="bottom"/>
            <w:gridSpan w:val="2"/>
            <w:vMerge w:val="restart"/>
          </w:tcPr>
          <w:p>
            <w:pPr>
              <w:ind w:left="60"/>
              <w:spacing w:after="0" w:line="79" w:lineRule="exact"/>
              <w:rPr>
                <w:sz w:val="20"/>
                <w:szCs w:val="20"/>
                <w:color w:val="auto"/>
              </w:rPr>
            </w:pPr>
            <w:r>
              <w:rPr>
                <w:rFonts w:ascii="Arial" w:cs="Arial" w:eastAsia="Arial" w:hAnsi="Arial"/>
                <w:sz w:val="9"/>
                <w:szCs w:val="9"/>
                <w:color w:val="FFFFFF"/>
              </w:rPr>
              <w:t>collateral (which is nearly void of real proprietary transactions), we find that investors have been paying nearly 6x the normal fee that should be charged</w:t>
            </w:r>
          </w:p>
        </w:tc>
        <w:tc>
          <w:tcPr>
            <w:tcW w:w="0" w:type="dxa"/>
            <w:vAlign w:val="bottom"/>
          </w:tcPr>
          <w:p>
            <w:pPr>
              <w:spacing w:after="0" w:line="20" w:lineRule="exact"/>
              <w:rPr>
                <w:sz w:val="1"/>
                <w:szCs w:val="1"/>
                <w:color w:val="auto"/>
              </w:rPr>
            </w:pPr>
          </w:p>
        </w:tc>
      </w:tr>
      <w:tr>
        <w:trPr>
          <w:trHeight w:val="39"/>
        </w:trPr>
        <w:tc>
          <w:tcPr>
            <w:tcW w:w="3240" w:type="dxa"/>
            <w:vAlign w:val="bottom"/>
          </w:tcPr>
          <w:p>
            <w:pPr>
              <w:spacing w:after="0" w:line="40" w:lineRule="exact"/>
              <w:rPr>
                <w:sz w:val="20"/>
                <w:szCs w:val="20"/>
                <w:color w:val="auto"/>
              </w:rPr>
            </w:pPr>
            <w:r>
              <w:rPr>
                <w:rFonts w:ascii="Arial" w:cs="Arial" w:eastAsia="Arial" w:hAnsi="Arial"/>
                <w:sz w:val="4"/>
                <w:szCs w:val="4"/>
                <w:color w:val="FFFFFF"/>
              </w:rPr>
              <w:t>“Unfortunately for TICC shareholders, as we examine TICC’</w:t>
            </w:r>
          </w:p>
        </w:tc>
        <w:tc>
          <w:tcPr>
            <w:tcW w:w="80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380" w:type="dxa"/>
            <w:vAlign w:val="bottom"/>
            <w:gridSpan w:val="2"/>
          </w:tcPr>
          <w:p>
            <w:pPr>
              <w:spacing w:after="0" w:line="40" w:lineRule="exact"/>
              <w:rPr>
                <w:sz w:val="20"/>
                <w:szCs w:val="20"/>
                <w:color w:val="auto"/>
              </w:rPr>
            </w:pPr>
            <w:r>
              <w:rPr>
                <w:rFonts w:ascii="Arial" w:cs="Arial" w:eastAsia="Arial" w:hAnsi="Arial"/>
                <w:sz w:val="4"/>
                <w:szCs w:val="4"/>
                <w:color w:val="FFFFFF"/>
              </w:rPr>
              <w:t>on these large/liquid/BSL (broadly syndicated loan) type assets.”</w:t>
            </w:r>
          </w:p>
        </w:tc>
        <w:tc>
          <w:tcPr>
            <w:tcW w:w="5900" w:type="dxa"/>
            <w:vAlign w:val="bottom"/>
            <w:vMerge w:val="restart"/>
          </w:tcPr>
          <w:p>
            <w:pPr>
              <w:ind w:left="280"/>
              <w:spacing w:after="0" w:line="38" w:lineRule="exact"/>
              <w:rPr>
                <w:sz w:val="20"/>
                <w:szCs w:val="20"/>
                <w:color w:val="auto"/>
              </w:rPr>
            </w:pPr>
            <w:r>
              <w:rPr>
                <w:rFonts w:ascii="Arial" w:cs="Arial" w:eastAsia="Arial" w:hAnsi="Arial"/>
                <w:sz w:val="4"/>
                <w:szCs w:val="4"/>
                <w:color w:val="FFFFFF"/>
              </w:rPr>
              <w:t>– September 21, 2015</w:t>
            </w:r>
          </w:p>
        </w:tc>
        <w:tc>
          <w:tcPr>
            <w:tcW w:w="0" w:type="dxa"/>
            <w:vAlign w:val="bottom"/>
          </w:tcPr>
          <w:p>
            <w:pPr>
              <w:spacing w:after="0" w:line="20" w:lineRule="exact"/>
              <w:rPr>
                <w:sz w:val="1"/>
                <w:szCs w:val="1"/>
                <w:color w:val="auto"/>
              </w:rPr>
            </w:pPr>
          </w:p>
        </w:tc>
      </w:tr>
      <w:tr>
        <w:trPr>
          <w:trHeight w:val="0"/>
        </w:trPr>
        <w:tc>
          <w:tcPr>
            <w:tcW w:w="5380" w:type="dxa"/>
            <w:vAlign w:val="bottom"/>
            <w:gridSpan w:val="2"/>
          </w:tcPr>
          <w:p>
            <w:pPr>
              <w:spacing w:after="0" w:line="78" w:lineRule="exact"/>
              <w:rPr>
                <w:sz w:val="20"/>
                <w:szCs w:val="20"/>
                <w:color w:val="auto"/>
              </w:rPr>
            </w:pPr>
            <w:r>
              <w:rPr>
                <w:rFonts w:ascii="Arial" w:cs="Arial" w:eastAsia="Arial" w:hAnsi="Arial"/>
                <w:sz w:val="8"/>
                <w:szCs w:val="8"/>
                <w:color w:val="FFFFFF"/>
              </w:rPr>
              <w:t>One of the largest TICC stockholders, Raging Capital Management, LLC letter to TICC Board of</w:t>
            </w:r>
          </w:p>
        </w:tc>
        <w:tc>
          <w:tcPr>
            <w:tcW w:w="5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0"/>
        <w:spacing w:after="0" w:line="211" w:lineRule="auto"/>
        <w:rPr>
          <w:sz w:val="20"/>
          <w:szCs w:val="20"/>
          <w:color w:val="auto"/>
        </w:rPr>
      </w:pPr>
      <w:r>
        <w:rPr>
          <w:rFonts w:ascii="Arial" w:cs="Arial" w:eastAsia="Arial" w:hAnsi="Arial"/>
          <w:sz w:val="4"/>
          <w:szCs w:val="4"/>
          <w:color w:val="FFFFFF"/>
        </w:rPr>
        <w:t>“Now, we want to ensure that the TICC Board is acting in accordance with its fiduciary obligations…DirectorsWfind ourselves at a critical juncture in TICC’s history where the Board’s decisions and actions over the next few weeks will have significant ramifications to stockholders.”</w:t>
      </w:r>
    </w:p>
    <w:p>
      <w:pPr>
        <w:spacing w:after="0" w:line="205" w:lineRule="auto"/>
        <w:rPr>
          <w:sz w:val="20"/>
          <w:szCs w:val="20"/>
          <w:color w:val="auto"/>
        </w:rPr>
      </w:pPr>
      <w:r>
        <w:rPr>
          <w:rFonts w:ascii="Arial" w:cs="Arial" w:eastAsia="Arial" w:hAnsi="Arial"/>
          <w:sz w:val="4"/>
          <w:szCs w:val="4"/>
          <w:color w:val="FFFFFF"/>
        </w:rPr>
        <w:t>JMP Securities LLC – September 17, 2015</w:t>
      </w:r>
    </w:p>
    <w:p>
      <w:pPr>
        <w:ind w:right="1940"/>
        <w:spacing w:after="0" w:line="182" w:lineRule="auto"/>
        <w:rPr>
          <w:sz w:val="20"/>
          <w:szCs w:val="20"/>
          <w:color w:val="auto"/>
        </w:rPr>
      </w:pPr>
      <w:r>
        <w:rPr>
          <w:rFonts w:ascii="Arial" w:cs="Arial" w:eastAsia="Arial" w:hAnsi="Arial"/>
          <w:sz w:val="9"/>
          <w:szCs w:val="9"/>
          <w:color w:val="FFFFFF"/>
        </w:rPr>
        <w:t>“[W]e believe the action taken by [TSLX] management highlights our favorable perception of the company’s leading governance practices and focus on creating shareholder value.” Keefe, Bruyette &amp; Woods, Inc. – September 16, 2015</w:t>
      </w:r>
    </w:p>
    <w:p>
      <w:pPr>
        <w:spacing w:after="0" w:line="205" w:lineRule="auto"/>
        <w:rPr>
          <w:sz w:val="20"/>
          <w:szCs w:val="20"/>
          <w:color w:val="auto"/>
        </w:rPr>
      </w:pPr>
      <w:r>
        <w:rPr>
          <w:rFonts w:ascii="Arial" w:cs="Arial" w:eastAsia="Arial" w:hAnsi="Arial"/>
          <w:sz w:val="2"/>
          <w:szCs w:val="2"/>
          <w:color w:val="FFFFFF"/>
        </w:rPr>
        <w:t>“The $0.29 [TICC] dividend is not sustainable, and we expect it will be cut regardless of what happens. We have been talking about</w:t>
      </w:r>
      <w:r>
        <w:rPr>
          <w:rFonts w:ascii="Arial" w:cs="Arial" w:eastAsia="Arial" w:hAnsi="Arial"/>
          <w:sz w:val="4"/>
          <w:szCs w:val="4"/>
          <w:color w:val="FFFFFF"/>
          <w:vertAlign w:val="subscript"/>
        </w:rPr>
        <w:t>Board</w:t>
      </w:r>
      <w:r>
        <w:rPr>
          <w:rFonts w:ascii="Arial" w:cs="Arial" w:eastAsia="Arial" w:hAnsi="Arial"/>
          <w:sz w:val="2"/>
          <w:szCs w:val="2"/>
          <w:color w:val="FFFFFF"/>
        </w:rPr>
        <w:t>dividend cut for over a year now…Now TSLX provides an interesting offer and the</w:t>
      </w:r>
    </w:p>
    <w:p>
      <w:pPr>
        <w:spacing w:after="0"/>
        <w:tabs>
          <w:tab w:leader="none" w:pos="7060" w:val="left"/>
        </w:tabs>
        <w:rPr>
          <w:sz w:val="20"/>
          <w:szCs w:val="20"/>
          <w:color w:val="auto"/>
        </w:rPr>
      </w:pPr>
      <w:r>
        <w:rPr>
          <w:rFonts w:ascii="Arial" w:cs="Arial" w:eastAsia="Arial" w:hAnsi="Arial"/>
          <w:sz w:val="13"/>
          <w:szCs w:val="13"/>
          <w:color w:val="FFFFFF"/>
        </w:rPr>
        <w:t>[TICC] Board rejects it without negotiating with TSLX. As the title of our note implies, we are questioning whether the [TICC]</w:t>
      </w:r>
      <w:r>
        <w:rPr>
          <w:sz w:val="20"/>
          <w:szCs w:val="20"/>
          <w:color w:val="auto"/>
        </w:rPr>
        <w:tab/>
      </w:r>
      <w:r>
        <w:rPr>
          <w:rFonts w:ascii="Arial" w:cs="Arial" w:eastAsia="Arial" w:hAnsi="Arial"/>
          <w:sz w:val="12"/>
          <w:szCs w:val="12"/>
          <w:color w:val="FFFFFF"/>
        </w:rPr>
        <w:t>is really doing all they can to maximize shareholder value.”</w:t>
      </w:r>
    </w:p>
    <w:p>
      <w:pPr>
        <w:sectPr>
          <w:pgSz w:w="11900" w:h="16838" w:orient="portrait"/>
          <w:cols w:equalWidth="0" w:num="1">
            <w:col w:w="11420"/>
          </w:cols>
          <w:pgMar w:left="240" w:top="144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2145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214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FFFFFF"/>
        </w:rPr>
        <w:t>Ladenburg Thalmann &amp; Co., Inc. – September 16, 2015</w:t>
      </w:r>
    </w:p>
    <w:p>
      <w:pPr>
        <w:ind w:right="40"/>
        <w:spacing w:after="0" w:line="182" w:lineRule="auto"/>
        <w:rPr>
          <w:sz w:val="20"/>
          <w:szCs w:val="20"/>
          <w:color w:val="auto"/>
        </w:rPr>
      </w:pPr>
      <w:r>
        <w:rPr>
          <w:rFonts w:ascii="Arial" w:cs="Arial" w:eastAsia="Arial" w:hAnsi="Arial"/>
          <w:sz w:val="9"/>
          <w:szCs w:val="9"/>
          <w:color w:val="FFFFFF"/>
        </w:rPr>
        <w:t>“As part of TPG, TICC shareholders would benefit from access to its broad platform including a direct origination team. Over the last year TSLX has outperformed our BDC index by about 12% and [outperformed] TICC by about 24% on a total return basis.”</w:t>
      </w:r>
    </w:p>
    <w:p>
      <w:pPr>
        <w:spacing w:after="0" w:line="205" w:lineRule="auto"/>
        <w:rPr>
          <w:sz w:val="20"/>
          <w:szCs w:val="20"/>
          <w:color w:val="auto"/>
        </w:rPr>
      </w:pPr>
      <w:r>
        <w:rPr>
          <w:rFonts w:ascii="Arial" w:cs="Arial" w:eastAsia="Arial" w:hAnsi="Arial"/>
          <w:sz w:val="4"/>
          <w:szCs w:val="4"/>
          <w:color w:val="FFFFFF"/>
          <w:vertAlign w:val="subscript"/>
        </w:rPr>
        <w:t>Keefe,</w:t>
      </w:r>
      <w:r>
        <w:rPr>
          <w:rFonts w:ascii="Arial" w:cs="Arial" w:eastAsia="Arial" w:hAnsi="Arial"/>
          <w:sz w:val="2"/>
          <w:szCs w:val="2"/>
          <w:color w:val="FFFFFF"/>
        </w:rPr>
        <w:t xml:space="preserve"> Bruyette &amp; Woods, Inc. – August 31, 2015</w:t>
      </w:r>
    </w:p>
    <w:p>
      <w:pPr>
        <w:spacing w:after="0" w:line="182" w:lineRule="auto"/>
        <w:rPr>
          <w:sz w:val="20"/>
          <w:szCs w:val="20"/>
          <w:color w:val="auto"/>
        </w:rPr>
      </w:pPr>
      <w:r>
        <w:rPr>
          <w:rFonts w:ascii="Arial" w:cs="Arial" w:eastAsia="Arial" w:hAnsi="Arial"/>
          <w:sz w:val="9"/>
          <w:szCs w:val="9"/>
          <w:color w:val="FFFFFF"/>
        </w:rPr>
        <w:t>“W fail to see how the board of directors at TICC can fulfill their legal fiduciary responsibility to TICC shareholders and not [meaningfully] explore the potential for a transaction with an existing quality manager in the BDC sector.”</w:t>
      </w:r>
    </w:p>
    <w:p>
      <w:pPr>
        <w:spacing w:after="0"/>
        <w:rPr>
          <w:sz w:val="20"/>
          <w:szCs w:val="20"/>
          <w:color w:val="auto"/>
        </w:rPr>
      </w:pPr>
      <w:r>
        <w:rPr>
          <w:rFonts w:ascii="Arial" w:cs="Arial" w:eastAsia="Arial" w:hAnsi="Arial"/>
          <w:sz w:val="13"/>
          <w:szCs w:val="13"/>
          <w:color w:val="FFFFFF"/>
        </w:rPr>
        <w:t>Copyright 2016.</w:t>
      </w:r>
    </w:p>
    <w:p>
      <w:pPr>
        <w:sectPr>
          <w:pgSz w:w="11900" w:h="16838" w:orient="portrait"/>
          <w:cols w:equalWidth="0" w:num="1">
            <w:col w:w="11280"/>
          </w:cols>
          <w:pgMar w:left="240" w:top="1440" w:right="37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About TPG Specialty Lending</w:t>
      </w:r>
    </w:p>
    <w:p>
      <w:pPr>
        <w:spacing w:after="0" w:line="8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over $16 billion of assets under management as of March 31, 2016, and the broader TPG platform, a global private investment firm with over $74 billion of assets under management as of March 31, 2016. For more information, visit the Company’s website at www.tpgspecialtylending.com.</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84"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1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0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pacing w:after="0" w:line="130"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In addition to these factors, other factors that may affect TSLX’s plans, results or stock price are set forth in TSLX’s Annual Report on Form 10-K and in its reports on Forms 10-Q and 8-K.</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ectPr>
          <w:pgSz w:w="11900" w:h="16838" w:orient="portrait"/>
          <w:cols w:equalWidth="0" w:num="1">
            <w:col w:w="11420"/>
          </w:cols>
          <w:pgMar w:left="240" w:top="271"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Third Party-Sourced Statements and Information</w:t>
      </w:r>
    </w:p>
    <w:p>
      <w:pPr>
        <w:spacing w:after="0" w:line="84"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Proxy Solicitation Information</w:t>
      </w:r>
    </w:p>
    <w:p>
      <w:pPr>
        <w:spacing w:after="0" w:line="84"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an amended definitive proxy statement in connection therewith on Schedule 14A with the SEC on July 14, 2016 (the “TSLX Proxy Statement”). TSLX has mailed the TSLX Proxy Statement and accompanying GOLD proxy card to stockholders of TICC. This communication is not a substitute for the TSLX Proxy Statement.</w:t>
      </w:r>
    </w:p>
    <w:p>
      <w:pPr>
        <w:spacing w:after="0" w:line="107"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TSLX STRONGLY ADVISES ALL STOCKHOLDERS OF TICC TO READ THE TSLX PROXY STATEMENT AND THE OTHER PROXY MATERIALS AS THEY BECOME AVAILABLE BECAUSE THEY CONTAIN IMPORTANT INFORMATION. SUCH TSLX PROXY MATERIALS ARE AND WILL BECOME AVAILABLE AT NO CHARGE ON THE SEC’S WEB SITE AT HTTP://WWW.SEC.GOV AND ON TSLX’S WEBSITE AT HTTP://WWW.TPGSPECIALTYLENDING.COM. IN ADDITION, TSLX WILL PROVIDE COPIES OF THE TSLX PROXY STATEMENT WITHOUT CHARGE UPON REQUEST. REQUESTS FOR COPIES SHOULD BE DIRECTED TO TSLX’S PROXY SOLICITOR AT TPG@MACKENZIEPARTNERS.COM.</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participants in the solicitation are TSLX and T. Kelley Millet, and certain of TSLX’s directors and executive officers may also be deemed to be participants in the solicitation. As of the date hereof, TSLX beneficially owned 1,633,719 shares of common stock of TICC. As of the date hereof, Mr. Millet did not directly or indirectly beneficially own any shares of common stock of TICC.</w:t>
      </w:r>
    </w:p>
    <w:p>
      <w:pPr>
        <w:spacing w:after="0" w:line="115" w:lineRule="exact"/>
        <w:rPr>
          <w:sz w:val="20"/>
          <w:szCs w:val="20"/>
          <w:color w:val="auto"/>
        </w:rPr>
      </w:pPr>
    </w:p>
    <w:p>
      <w:pPr>
        <w:ind w:right="140"/>
        <w:spacing w:after="0" w:line="306" w:lineRule="auto"/>
        <w:rPr>
          <w:sz w:val="20"/>
          <w:szCs w:val="20"/>
          <w:color w:val="auto"/>
        </w:rPr>
      </w:pPr>
      <w:r>
        <w:rPr>
          <w:rFonts w:ascii="Arial" w:cs="Arial" w:eastAsia="Arial" w:hAnsi="Arial"/>
          <w:sz w:val="15"/>
          <w:szCs w:val="15"/>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Proxy Statement and other relevant materials to be filed with the SEC (if and when available).</w:t>
      </w:r>
    </w:p>
    <w:p>
      <w:pPr>
        <w:spacing w:after="0" w:line="92" w:lineRule="exact"/>
        <w:rPr>
          <w:sz w:val="20"/>
          <w:szCs w:val="20"/>
          <w:color w:val="auto"/>
        </w:rPr>
      </w:pPr>
    </w:p>
    <w:p>
      <w:pPr>
        <w:spacing w:after="0" w:line="321" w:lineRule="auto"/>
        <w:rPr>
          <w:sz w:val="20"/>
          <w:szCs w:val="20"/>
          <w:color w:val="auto"/>
        </w:rPr>
      </w:pPr>
      <w:r>
        <w:rPr>
          <w:rFonts w:ascii="Arial" w:cs="Arial" w:eastAsia="Arial" w:hAnsi="Arial"/>
          <w:sz w:val="15"/>
          <w:szCs w:val="15"/>
          <w:color w:val="auto"/>
        </w:rPr>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pgSz w:w="11900" w:h="16838" w:orient="portrait"/>
      <w:cols w:equalWidth="0" w:num="1">
        <w:col w:w="11420"/>
      </w:cols>
      <w:pgMar w:left="240" w:top="3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lvl w:ilvl="1">
      <w:lvlJc w:val="left"/>
      <w:lvlText w:val="(%2)"/>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2019-12-20T23:17:38Z</dcterms:created>
  <dcterms:modified xsi:type="dcterms:W3CDTF">2019-12-20T23:17:38Z</dcterms:modified>
</cp:coreProperties>
</file>