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3, 2018</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May 3, 2018, the registrant issued a press release announcing its financial results for the quarter ended March 31, 2018. The text of the press release is included as Exhibit 99.1 to this Form 8-K.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3, 2018, the registrant issued a press release, included herewith as Exhibit 99.1, announcing the declaration of a second fiscal quarter 2018 base dividend of $0.39 per share for stockholders of record as of June 15, 2018, payable on July 13, 2018, and a quarterly supplemental dividend of $0.06 per share for stockholders of record as of May 31, 2018, payable on June 29, 2018.</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200" w:type="dxa"/>
            <w:vAlign w:val="bottom"/>
            <w:gridSpan w:val="2"/>
          </w:tcPr>
          <w:p>
            <w:pPr>
              <w:ind w:left="18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 May 3, 2018</w:t>
            </w:r>
          </w:p>
        </w:tc>
        <w:tc>
          <w:tcPr>
            <w:tcW w:w="2480" w:type="dxa"/>
            <w:vAlign w:val="bottom"/>
          </w:tcPr>
          <w:p>
            <w:pPr>
              <w:ind w:left="186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TPG Specialty Lending, Inc. Announces Quarter Ended March 31, 2018 Financial Results; Board Declares Quarterly Base Dividend of $0.39 Per Share for the Second Fiscal Quarter of 2018 and a Quarterly Supplemental Dividend of $0.06 Per Share</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NEW YORK—(BUSINESS WIRE)—May 3, 2018— TPG Specialty Lending, Inc. (NYSE: TSLX, or the “Company”) today reported net investment income of $31.2 million, or $0.51 per share, for the quarter ended March 31, 2018. Net asset value per share was $16.27 at March 31, 2018 as compared to $16.09 at December 31, 2017. The Company’s Board of Directors previously declared a fourth quarter supplemental dividend of $0.03 per share and a first quarter base dividend of $0.39 per share, payable to stockholders of record as of February 28, 2018 and March 15, 2018, respectively, that was paid on March 30, 2018 and April 13, 2018, respectively.</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announced that its Board of Directors has declared a second quarter 2018 base dividend of $0.39 per share for stockholders of record as of June 15, 2018, payable on July 13, 2018. The Company’s Board of Directors also declared a first quarter supplemental dividend of $0.06 per share for stockholders of record as of May 31, 2018, payable on June 29,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FFFFFF"/>
        </w:rPr>
        <w:t>NII &amp;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-139065</wp:posOffset>
            </wp:positionV>
            <wp:extent cx="251269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E74B5"/>
        </w:rPr>
        <w:t>$31.2MM / $33.8MM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126365</wp:posOffset>
            </wp:positionV>
            <wp:extent cx="251269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FFFFFF"/>
        </w:rPr>
        <w:t>NII / Share &amp; NI / Share</w:t>
      </w:r>
    </w:p>
    <w:p>
      <w:pPr>
        <w:spacing w:after="0" w:line="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E74B5"/>
        </w:rPr>
        <w:t>$0.51 /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126365</wp:posOffset>
            </wp:positionV>
            <wp:extent cx="251269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FFFFFF"/>
        </w:rPr>
        <w:t>ANNUALIZED ROE (NII &amp; NI)</w:t>
      </w:r>
    </w:p>
    <w:p>
      <w:pPr>
        <w:spacing w:after="0" w:line="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E74B5"/>
        </w:rPr>
        <w:t>12.7% /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126365</wp:posOffset>
            </wp:positionV>
            <wp:extent cx="251269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FFFFFF"/>
        </w:rPr>
        <w:t>NAV / Share &amp; PF NAV / Share</w:t>
      </w:r>
    </w:p>
    <w:p>
      <w:pPr>
        <w:spacing w:after="0" w:line="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E74B5"/>
        </w:rPr>
        <w:t>$16.27 / $16.21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126365</wp:posOffset>
            </wp:positionV>
            <wp:extent cx="251269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FFFFFF"/>
        </w:rPr>
        <w:t>Base Dividend &amp; Supplemental Dividend</w:t>
      </w:r>
    </w:p>
    <w:p>
      <w:pPr>
        <w:spacing w:after="0" w:line="5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E74B5"/>
        </w:rPr>
        <w:t>$0.39 / $0.06</w:t>
      </w:r>
    </w:p>
    <w:p>
      <w:pPr>
        <w:spacing w:after="0" w:line="200" w:lineRule="exact"/>
        <w:rPr>
          <w:sz w:val="20"/>
          <w:szCs w:val="20"/>
          <w:color w:val="auto"/>
        </w:rPr>
      </w:pPr>
    </w:p>
    <w:p>
      <w:pPr>
        <w:sectPr>
          <w:pgSz w:w="11900" w:h="16838" w:orient="portrait"/>
          <w:cols w:equalWidth="0" w:num="2">
            <w:col w:w="7320" w:space="620"/>
            <w:col w:w="3480"/>
          </w:cols>
          <w:pgMar w:left="240" w:top="121"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 2018</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1,930.1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1,720.2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1,606.9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0.03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Per Share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Realized and Unrealized Gains (and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w:t>
      </w:r>
    </w:p>
    <w:p>
      <w:pPr>
        <w:spacing w:after="0" w:line="23" w:lineRule="exact"/>
        <w:rPr>
          <w:sz w:val="20"/>
          <w:szCs w:val="20"/>
          <w:color w:val="auto"/>
        </w:rPr>
      </w:pPr>
    </w:p>
    <w:p>
      <w:pPr>
        <w:ind w:right="740"/>
        <w:spacing w:after="0" w:line="258" w:lineRule="auto"/>
        <w:rPr>
          <w:sz w:val="20"/>
          <w:szCs w:val="20"/>
          <w:color w:val="auto"/>
        </w:rPr>
      </w:pPr>
      <w:r>
        <w:rPr>
          <w:rFonts w:ascii="Arial" w:cs="Arial" w:eastAsia="Arial" w:hAnsi="Arial"/>
          <w:sz w:val="18"/>
          <w:szCs w:val="18"/>
          <w:color w:val="auto"/>
        </w:rPr>
        <w:t>Annualized Return on Equity (Net Investment Income)</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r>
      <w:tr>
        <w:trPr>
          <w:trHeight w:val="230"/>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r>
      <w:tr>
        <w:trPr>
          <w:trHeight w:val="230"/>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r>
      <w:tr>
        <w:trPr>
          <w:trHeight w:val="486"/>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38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4"/>
                <w:szCs w:val="24"/>
                <w:color w:val="auto"/>
              </w:rPr>
            </w:pPr>
          </w:p>
        </w:tc>
      </w:tr>
      <w:tr>
        <w:trPr>
          <w:trHeight w:val="338"/>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338"/>
        </w:trPr>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0.56</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38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3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-1388745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-1097280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-788035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-359410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080" w:space="720"/>
            <w:col w:w="66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Annualized Return on Equity (Net Income)</w:t>
      </w:r>
      <w:r>
        <w:rPr>
          <w:rFonts w:ascii="Arial" w:cs="Arial" w:eastAsia="Arial" w:hAnsi="Arial"/>
          <w:sz w:val="14"/>
          <w:szCs w:val="14"/>
          <w:color w:val="auto"/>
        </w:rPr>
        <w:t>(2)</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Yield of Debt and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Producing Securities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Yield of Debt and Income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Producing Securities at Amortized Cost</w:t>
      </w:r>
    </w:p>
    <w:p>
      <w:pPr>
        <w:spacing w:after="0" w:line="265" w:lineRule="exact"/>
        <w:rPr>
          <w:sz w:val="20"/>
          <w:szCs w:val="20"/>
          <w:color w:val="auto"/>
        </w:rPr>
      </w:pPr>
    </w:p>
    <w:p>
      <w:pPr>
        <w:ind w:right="1800"/>
        <w:spacing w:after="0" w:line="277" w:lineRule="auto"/>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93"/>
        </w:trPr>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48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-1251585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-942975</wp:posOffset>
            </wp:positionV>
            <wp:extent cx="72466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-213995</wp:posOffset>
            </wp:positionV>
            <wp:extent cx="724662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280" w:space="720"/>
            <w:col w:w="5420"/>
          </w:cols>
          <w:pgMar w:left="240" w:top="121" w:right="239" w:bottom="1440" w:gutter="0" w:footer="0" w:header="0"/>
          <w:type w:val="continuous"/>
        </w:sectPr>
      </w:pPr>
    </w:p>
    <w:p>
      <w:pPr>
        <w:ind w:left="500" w:hanging="492"/>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 Forma Net Asset Value Per Share gives effect to the supplemental dividend declared related to earnings in the applicable period.</w:t>
      </w:r>
    </w:p>
    <w:p>
      <w:pPr>
        <w:spacing w:after="0" w:line="34" w:lineRule="exact"/>
        <w:rPr>
          <w:rFonts w:ascii="Arial" w:cs="Arial" w:eastAsia="Arial" w:hAnsi="Arial"/>
          <w:sz w:val="17"/>
          <w:szCs w:val="17"/>
          <w:color w:val="auto"/>
        </w:rPr>
      </w:pPr>
    </w:p>
    <w:p>
      <w:pPr>
        <w:ind w:left="500" w:right="480" w:hanging="492"/>
        <w:spacing w:after="0" w:line="281"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Return on equity is calculated using weighted average equity. Weighted average equity is calculated by starting with NAV at the beginning of the period, adjusting daily for equity issuances and adjusting on the last day of the period for that quarter’s net income and dividends payable. Includes one or more fixed rate investments for which the Company entered into an interest rate swap agreement to swap to floating rate.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May 4, 2018. </w:t>
      </w:r>
      <w:r>
        <w:rPr>
          <w:rFonts w:ascii="Arial" w:cs="Arial" w:eastAsia="Arial" w:hAnsi="Arial"/>
          <w:sz w:val="18"/>
          <w:szCs w:val="18"/>
          <w:b w:val="1"/>
          <w:bCs w:val="1"/>
          <w:i w:val="1"/>
          <w:iCs w:val="1"/>
          <w:color w:val="auto"/>
        </w:rPr>
        <w:t>Please visit TSLX’s webcast link located on the Events &amp; Presentation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8997046</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May 4 through May 11 via a webcast link located on the Investor Resources section of TSLX’s website, and via the dial-in numbers listed below:</w:t>
      </w:r>
    </w:p>
    <w:p>
      <w:pPr>
        <w:sectPr>
          <w:pgSz w:w="11900" w:h="16838" w:orient="portrait"/>
          <w:cols w:equalWidth="0" w:num="1">
            <w:col w:w="11380"/>
          </w:cols>
          <w:pgMar w:left="240" w:top="445" w:right="2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8997046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three months ended March 31, 2018, gross originations totaled $564.6 million. This compares to $1,066.7 million for the three months ended December 31, 2017 and $285.9 million for the three months ended March 31, 2017.</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the three months ended March 31, 2018, the Company made new investment commitments of $331.7 million in seven new portfolio companies. For this period, the Company had $106.0 million aggregate principal amount in exits and repayments.</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For the three months ended March 31, 2017, the Company made new investment commitments of $149.2 million, in five new portfolio companies. For this period, the Company had $213.5 million aggregate principal amount in exits and repayments.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2018 and December 31, 2017, the Company had investments in 48 and 45 portfolio companies, respectively, with an aggregate fair value of $1,909.3 million and $1,693.7 million, respectively. As of March 31, 2018, the average investment size in each portfolio company was $39.8 million based on fair value.</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March 31, 2018, the portfolio based on fair value consisted of 94.4% first-lien debt investments, 3.2% second-lien debt investments, and 2.4% equity and other investments. As of December 31, 2017, the portfolio based on fair value consisted of 93.4% first-lien debt investments, 3.6% second-lien debt investments, and 3.0% equity and other investments. As of March 31, 2018 and December 31, 2017, approximately 97.6% and 97.0% of the portfolio was invested in secured debt, respectively.</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March 31, 2018, 100.0% of debt investments based on fair value in the portfolio bore interest at floating rates (when including investment specific hedges), with 94.1% of these subject to interest rate floors. The Company’s credit facilities also bear interest at floating rates. In connection with the Company’s Convertible Senior Notes and other Notes, which bear interest at fixed rates, the Company entered into fixed-to-floating interest rate swaps in order to align the nature of the interest rates of its liabilities with its investment portfolio.</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2018 and December 31, 2017, the weighted average total yield of debt and income-producing securities at fair value (which includes interest income and amortization of fees and discounts) was 11.1% and 10.7%, respectively, and the weighted average total yield of debt and income-producing securities at amortized cost (which includes interest income and amortization of fees and discounts) was 11.2% and 10.8%,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-139065</wp:posOffset>
            </wp:positionV>
            <wp:extent cx="2426970"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6970" cy="317500"/>
                    </a:xfrm>
                    <a:prstGeom prst="rect">
                      <a:avLst/>
                    </a:prstGeom>
                    <a:noFill/>
                  </pic:spPr>
                </pic:pic>
              </a:graphicData>
            </a:graphic>
          </wp:anchor>
        </w:drawing>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2E74B5"/>
        </w:rPr>
        <w:t>$564.6MM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306705</wp:posOffset>
            </wp:positionV>
            <wp:extent cx="242697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6970" cy="31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FFFFFF"/>
        </w:rPr>
        <w:t>NET FUNDING</w:t>
      </w:r>
    </w:p>
    <w:p>
      <w:pPr>
        <w:spacing w:after="0" w:line="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2E74B5"/>
        </w:rPr>
        <w:t>$207.5MM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855345</wp:posOffset>
            </wp:positionV>
            <wp:extent cx="242697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69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FFFFFF"/>
        </w:rPr>
        <w:t>AVERAGE INVESTMENT SIZE</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2E74B5"/>
        </w:rPr>
        <w:t>$39.8MM (2.1%)</w:t>
      </w:r>
      <w:r>
        <w:rPr>
          <w:rFonts w:ascii="Arial" w:cs="Arial" w:eastAsia="Arial" w:hAnsi="Arial"/>
          <w:sz w:val="15"/>
          <w:szCs w:val="15"/>
          <w:color w:val="2E74B5"/>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263525</wp:posOffset>
            </wp:positionV>
            <wp:extent cx="242697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6970" cy="3175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20" w:right="1080" w:hanging="585"/>
        <w:spacing w:after="0" w:line="309" w:lineRule="auto"/>
        <w:tabs>
          <w:tab w:leader="none" w:pos="720" w:val="left"/>
        </w:tabs>
        <w:numPr>
          <w:ilvl w:val="0"/>
          <w:numId w:val="3"/>
        </w:numPr>
        <w:rPr>
          <w:rFonts w:ascii="Arial" w:cs="Arial" w:eastAsia="Arial" w:hAnsi="Arial"/>
          <w:sz w:val="18"/>
          <w:szCs w:val="18"/>
          <w:color w:val="FFFFFF"/>
        </w:rPr>
      </w:pPr>
      <w:r>
        <w:rPr>
          <w:rFonts w:ascii="Arial" w:cs="Arial" w:eastAsia="Arial" w:hAnsi="Arial"/>
          <w:sz w:val="18"/>
          <w:szCs w:val="18"/>
          <w:color w:val="FFFFFF"/>
        </w:rPr>
        <w:t xml:space="preserve">FIRST LIEN DEBT </w:t>
      </w:r>
      <w:r>
        <w:rPr>
          <w:rFonts w:ascii="Arial" w:cs="Arial" w:eastAsia="Arial" w:hAnsi="Arial"/>
          <w:sz w:val="18"/>
          <w:szCs w:val="18"/>
          <w:color w:val="2E74B5"/>
        </w:rPr>
        <w:t>94.4%</w:t>
      </w:r>
    </w:p>
    <w:p>
      <w:pPr>
        <w:spacing w:after="0" w:line="196" w:lineRule="exact"/>
        <w:rPr>
          <w:rFonts w:ascii="Arial" w:cs="Arial" w:eastAsia="Arial" w:hAnsi="Arial"/>
          <w:sz w:val="18"/>
          <w:szCs w:val="18"/>
          <w:color w:val="FFFFFF"/>
        </w:rPr>
      </w:pPr>
    </w:p>
    <w:p>
      <w:pPr>
        <w:ind w:left="1120" w:right="1140" w:hanging="523"/>
        <w:spacing w:after="0" w:line="341" w:lineRule="auto"/>
        <w:tabs>
          <w:tab w:leader="none" w:pos="783" w:val="left"/>
        </w:tabs>
        <w:numPr>
          <w:ilvl w:val="1"/>
          <w:numId w:val="3"/>
        </w:numPr>
        <w:rPr>
          <w:rFonts w:ascii="Arial" w:cs="Arial" w:eastAsia="Arial" w:hAnsi="Arial"/>
          <w:sz w:val="17"/>
          <w:szCs w:val="17"/>
          <w:color w:val="FFFFFF"/>
        </w:rPr>
      </w:pPr>
      <w:r>
        <w:rPr>
          <w:rFonts w:ascii="Arial" w:cs="Arial" w:eastAsia="Arial" w:hAnsi="Arial"/>
          <w:sz w:val="17"/>
          <w:szCs w:val="17"/>
          <w:color w:val="FFFFFF"/>
        </w:rPr>
        <w:t xml:space="preserve">SECURED DEBT </w:t>
      </w:r>
      <w:r>
        <w:rPr>
          <w:rFonts w:ascii="Arial" w:cs="Arial" w:eastAsia="Arial" w:hAnsi="Arial"/>
          <w:sz w:val="17"/>
          <w:szCs w:val="17"/>
          <w:color w:val="2E74B5"/>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1200150</wp:posOffset>
            </wp:positionV>
            <wp:extent cx="242697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6970" cy="45466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-360045</wp:posOffset>
            </wp:positionV>
            <wp:extent cx="242697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69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FFFFFF"/>
        </w:rPr>
        <w:t>WEIGHTED AVERAGE YIELD</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FFFFFF"/>
        </w:rPr>
        <w:t>FAIR VALUE / AMORTIZED COST</w:t>
      </w:r>
    </w:p>
    <w:p>
      <w:pPr>
        <w:spacing w:after="0" w:line="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2E74B5"/>
        </w:rPr>
        <w:t>11.1% / 11.2%</w:t>
      </w:r>
    </w:p>
    <w:p>
      <w:pPr>
        <w:spacing w:after="0" w:line="200" w:lineRule="exact"/>
        <w:rPr>
          <w:sz w:val="20"/>
          <w:szCs w:val="20"/>
          <w:color w:val="auto"/>
        </w:rPr>
      </w:pPr>
    </w:p>
    <w:p>
      <w:pPr>
        <w:sectPr>
          <w:pgSz w:w="11900" w:h="16838" w:orient="portrait"/>
          <w:cols w:equalWidth="0" w:num="2">
            <w:col w:w="7460" w:space="660"/>
            <w:col w:w="3260"/>
          </w:cols>
          <w:pgMar w:left="240" w:top="445" w:right="279" w:bottom="1440" w:gutter="0" w:footer="0" w:header="0"/>
          <w:type w:val="continuous"/>
        </w:sect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type w:val="continuous"/>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As of March 31, 2018, 100% of the portfolio at fair value was meeting all payment and covenant requirements. No investments were on non-accrual status at March 31, 2018.</w:t>
      </w:r>
    </w:p>
    <w:p>
      <w:pPr>
        <w:spacing w:after="0" w:line="17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percentage of total investment portfolio at fair value.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compared to the Three Months Ended March 31, 2017</w:t>
      </w:r>
    </w:p>
    <w:p>
      <w:pPr>
        <w:sectPr>
          <w:pgSz w:w="11900" w:h="16838" w:orient="portrait"/>
          <w:cols w:equalWidth="0" w:num="1">
            <w:col w:w="11440"/>
          </w:cols>
          <w:pgMar w:left="240" w:top="274" w:right="2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three months ended March 31, 2018 and 2017, investment income totaled $57.8 million and $50.9 million, respectively. The increase in investment income was primarily driven by an increase in the average size of the investment portfolio, and higher syndication and other fees.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Net expenses totaled $25.7 million and $21.7 million for the three months ended March 31, 2018 and 2017, respectively. This increase in net expenses was primarily due to an increase in the average interest rate on the debt outstanding following an increase in LIBOR, higher outstanding debt balances, as well as higher management and incentive fees.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of March 31, 2018, the Company had $8.9 million in cash and cash equivalents, including $5.7 million of restricted cash, total principal value of debt outstanding of $853.9 million, and $421.1 million of undrawn capacity on its revolving credit facility, subject to borrowing base and other limitations. The Company’s weighted average interest rate on debt outstanding was 3.7% and 3.4% for the three months ended March 31, 2018 and December 31, 2017, respectively. Average debt to equity was 0.84x and 0.72x during the three months ended March 31, 2018 and December 31, 2017, respectively.</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rated BBB- with positive outlook by Fitch Ratings and BBB- with negative outlook by Standard and Poor’s.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-131445</wp:posOffset>
            </wp:positionV>
            <wp:extent cx="252984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317500"/>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8"/>
          <w:szCs w:val="18"/>
          <w:color w:val="2E74B5"/>
        </w:rPr>
        <w:t>$57.8MM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718185</wp:posOffset>
            </wp:positionV>
            <wp:extent cx="2512695"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FFFFFF"/>
        </w:rPr>
        <w:t>NET EXPENSES</w:t>
      </w:r>
    </w:p>
    <w:p>
      <w:pPr>
        <w:spacing w:after="0" w:line="3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2E74B5"/>
        </w:rPr>
        <w:t>$25.7MM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657860</wp:posOffset>
            </wp:positionV>
            <wp:extent cx="2512695" cy="317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FFFFFF"/>
        </w:rPr>
        <w:t>TOTAL NET ASSETS</w:t>
      </w:r>
    </w:p>
    <w:p>
      <w:pPr>
        <w:spacing w:after="0" w:line="3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2E74B5"/>
        </w:rPr>
        <w:t>$1,044.0MM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169545</wp:posOffset>
            </wp:positionV>
            <wp:extent cx="251269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259"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FFFFFF"/>
        </w:rPr>
        <w:t>TOTAL DEBT OUTSTANDING</w:t>
      </w:r>
    </w:p>
    <w:p>
      <w:pPr>
        <w:spacing w:after="0" w:line="48"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2E74B5"/>
        </w:rPr>
        <w:t>$853.9MM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169545</wp:posOffset>
            </wp:positionV>
            <wp:extent cx="251269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25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FFFFFF"/>
        </w:rPr>
        <w:t xml:space="preserve">AVERAGE DEBT/EQUITY </w:t>
      </w:r>
      <w:r>
        <w:rPr>
          <w:rFonts w:ascii="Arial" w:cs="Arial" w:eastAsia="Arial" w:hAnsi="Arial"/>
          <w:sz w:val="15"/>
          <w:szCs w:val="15"/>
          <w:color w:val="FFFFFF"/>
        </w:rPr>
        <w:t>(5)</w:t>
      </w:r>
    </w:p>
    <w:p>
      <w:pPr>
        <w:spacing w:after="0" w:line="3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2E74B5"/>
        </w:rPr>
        <w:t>0.84x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169545</wp:posOffset>
            </wp:positionV>
            <wp:extent cx="2512695"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12695" cy="317500"/>
                    </a:xfrm>
                    <a:prstGeom prst="rect">
                      <a:avLst/>
                    </a:prstGeom>
                    <a:noFill/>
                  </pic:spPr>
                </pic:pic>
              </a:graphicData>
            </a:graphic>
          </wp:anchor>
        </w:drawing>
      </w:r>
    </w:p>
    <w:p>
      <w:pPr>
        <w:spacing w:after="0" w:line="25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FFFFFF"/>
        </w:rPr>
        <w:t>AVAILABLE LIQUIDITY</w:t>
      </w:r>
    </w:p>
    <w:p>
      <w:pPr>
        <w:spacing w:after="0" w:line="3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2E74B5"/>
        </w:rPr>
        <w:t>$421.1MM</w:t>
      </w:r>
    </w:p>
    <w:p>
      <w:pPr>
        <w:spacing w:after="0" w:line="200" w:lineRule="exact"/>
        <w:rPr>
          <w:sz w:val="20"/>
          <w:szCs w:val="20"/>
          <w:color w:val="auto"/>
        </w:rPr>
      </w:pPr>
    </w:p>
    <w:p>
      <w:pPr>
        <w:sectPr>
          <w:pgSz w:w="11900" w:h="16838" w:orient="portrait"/>
          <w:cols w:equalWidth="0" w:num="2">
            <w:col w:w="7520" w:space="720"/>
            <w:col w:w="3200"/>
          </w:cols>
          <w:pgMar w:left="240" w:top="274" w:right="21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(5)</w:t>
            </w:r>
          </w:p>
        </w:tc>
        <w:tc>
          <w:tcPr>
            <w:tcW w:w="11080" w:type="dxa"/>
            <w:vAlign w:val="bottom"/>
          </w:tcPr>
          <w:p>
            <w:pPr>
              <w:ind w:left="140"/>
              <w:spacing w:after="0"/>
              <w:rPr>
                <w:sz w:val="20"/>
                <w:szCs w:val="20"/>
                <w:color w:val="auto"/>
              </w:rPr>
            </w:pPr>
            <w:r>
              <w:rPr>
                <w:rFonts w:ascii="Arial" w:cs="Arial" w:eastAsia="Arial" w:hAnsi="Arial"/>
                <w:sz w:val="18"/>
                <w:szCs w:val="18"/>
                <w:color w:val="auto"/>
                <w:w w:val="91"/>
              </w:rPr>
              <w:t>Daily average debt outstanding during the quarter divided by the daily average net assets during the quarter. Daily average net assets is  calculated by</w:t>
            </w:r>
          </w:p>
        </w:tc>
      </w:tr>
      <w:tr>
        <w:trPr>
          <w:trHeight w:val="216"/>
        </w:trPr>
        <w:tc>
          <w:tcPr>
            <w:tcW w:w="360" w:type="dxa"/>
            <w:vAlign w:val="bottom"/>
          </w:tcPr>
          <w:p>
            <w:pPr>
              <w:spacing w:after="0"/>
              <w:rPr>
                <w:sz w:val="18"/>
                <w:szCs w:val="18"/>
                <w:color w:val="auto"/>
              </w:rPr>
            </w:pPr>
          </w:p>
        </w:tc>
        <w:tc>
          <w:tcPr>
            <w:tcW w:w="11080" w:type="dxa"/>
            <w:vAlign w:val="bottom"/>
          </w:tcPr>
          <w:p>
            <w:pPr>
              <w:ind w:left="140"/>
              <w:spacing w:after="0"/>
              <w:rPr>
                <w:sz w:val="20"/>
                <w:szCs w:val="20"/>
                <w:color w:val="auto"/>
              </w:rPr>
            </w:pPr>
            <w:r>
              <w:rPr>
                <w:rFonts w:ascii="Arial" w:cs="Arial" w:eastAsia="Arial" w:hAnsi="Arial"/>
                <w:sz w:val="18"/>
                <w:szCs w:val="18"/>
                <w:color w:val="auto"/>
                <w:w w:val="98"/>
              </w:rPr>
              <w:t>starting with the prior quarter end net asset value and adjusting for capital activity during the quarter (adding common stock offerings / DRIP</w:t>
            </w:r>
          </w:p>
        </w:tc>
      </w:tr>
      <w:tr>
        <w:trPr>
          <w:trHeight w:val="230"/>
        </w:trPr>
        <w:tc>
          <w:tcPr>
            <w:tcW w:w="360" w:type="dxa"/>
            <w:vAlign w:val="bottom"/>
          </w:tcPr>
          <w:p>
            <w:pPr>
              <w:spacing w:after="0"/>
              <w:rPr>
                <w:sz w:val="20"/>
                <w:szCs w:val="20"/>
                <w:color w:val="auto"/>
              </w:rPr>
            </w:pPr>
          </w:p>
        </w:tc>
        <w:tc>
          <w:tcPr>
            <w:tcW w:w="11080" w:type="dxa"/>
            <w:vAlign w:val="bottom"/>
          </w:tcPr>
          <w:p>
            <w:pPr>
              <w:ind w:left="140"/>
              <w:spacing w:after="0"/>
              <w:rPr>
                <w:sz w:val="20"/>
                <w:szCs w:val="20"/>
                <w:color w:val="auto"/>
              </w:rPr>
            </w:pPr>
            <w:r>
              <w:rPr>
                <w:rFonts w:ascii="Arial" w:cs="Arial" w:eastAsia="Arial" w:hAnsi="Arial"/>
                <w:sz w:val="18"/>
                <w:szCs w:val="18"/>
                <w:color w:val="auto"/>
              </w:rPr>
              <w:t>contributions).</w:t>
            </w:r>
          </w:p>
        </w:tc>
      </w:tr>
      <w:tr>
        <w:trPr>
          <w:trHeight w:val="675"/>
        </w:trPr>
        <w:tc>
          <w:tcPr>
            <w:tcW w:w="360" w:type="dxa"/>
            <w:vAlign w:val="bottom"/>
          </w:tcPr>
          <w:p>
            <w:pPr>
              <w:spacing w:after="0"/>
              <w:rPr>
                <w:sz w:val="24"/>
                <w:szCs w:val="24"/>
                <w:color w:val="auto"/>
              </w:rPr>
            </w:pPr>
          </w:p>
        </w:tc>
        <w:tc>
          <w:tcPr>
            <w:tcW w:w="11080" w:type="dxa"/>
            <w:vAlign w:val="bottom"/>
          </w:tcPr>
          <w:p>
            <w:pPr>
              <w:jc w:val="right"/>
              <w:ind w:right="5590"/>
              <w:spacing w:after="0"/>
              <w:rPr>
                <w:sz w:val="20"/>
                <w:szCs w:val="20"/>
                <w:color w:val="auto"/>
              </w:rPr>
            </w:pPr>
            <w:r>
              <w:rPr>
                <w:rFonts w:ascii="Arial" w:cs="Arial" w:eastAsia="Arial" w:hAnsi="Arial"/>
                <w:sz w:val="18"/>
                <w:szCs w:val="18"/>
                <w:color w:val="auto"/>
              </w:rPr>
              <w:t>3</w:t>
            </w:r>
          </w:p>
        </w:tc>
      </w:tr>
      <w:tr>
        <w:trPr>
          <w:trHeight w:val="115"/>
        </w:trPr>
        <w:tc>
          <w:tcPr>
            <w:tcW w:w="360" w:type="dxa"/>
            <w:vAlign w:val="bottom"/>
            <w:tcBorders>
              <w:bottom w:val="single" w:sz="8" w:color="9A9A9A"/>
            </w:tcBorders>
          </w:tcPr>
          <w:p>
            <w:pPr>
              <w:spacing w:after="0"/>
              <w:rPr>
                <w:sz w:val="10"/>
                <w:szCs w:val="10"/>
                <w:color w:val="auto"/>
              </w:rPr>
            </w:pPr>
          </w:p>
        </w:tc>
        <w:tc>
          <w:tcPr>
            <w:tcW w:w="1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Statements and Tables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$1,729,452</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$1,523,844, respectively)</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1,771,750</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$167,427 and $162,406,</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$1,896,879 and $1,686,250,</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1,909,320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(restricted cash of $5,697 and $3,150,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1,930,144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Debt (net of deferred financing costs of $16,512 and $11,770, respectively)</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835,914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payable to affiliate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64,256,031 and</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60,336,281 shares issued, respectively; and 64,166,951 and 60,247,201 shares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971,843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Undistributed net realized gains (losses)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1,930,144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2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2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53,981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Management fees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29,269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28,519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(3,371)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losses</w:t>
            </w:r>
          </w:p>
        </w:tc>
        <w:tc>
          <w:tcPr>
            <w:tcW w:w="2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Realized gains (losses):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transactions</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realized gains</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21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FF0FC"/>
            </w:tcBorders>
            <w:vMerge w:val="continue"/>
          </w:tcPr>
          <w:p>
            <w:pPr>
              <w:spacing w:after="0"/>
              <w:rPr>
                <w:sz w:val="18"/>
                <w:szCs w:val="18"/>
                <w:color w:val="auto"/>
              </w:rPr>
            </w:pPr>
          </w:p>
        </w:tc>
        <w:tc>
          <w:tcPr>
            <w:tcW w:w="20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shares of common stock outstanding—basic and diluted</w:t>
            </w:r>
          </w:p>
        </w:tc>
        <w:tc>
          <w:tcPr>
            <w:tcW w:w="2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60,840,459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59,796,731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5520" w:type="dxa"/>
            <w:vAlign w:val="bottom"/>
          </w:tcPr>
          <w:p>
            <w:pPr>
              <w:spacing w:after="0"/>
              <w:rPr>
                <w:sz w:val="24"/>
                <w:szCs w:val="24"/>
                <w:color w:val="auto"/>
              </w:rPr>
            </w:pPr>
          </w:p>
        </w:tc>
        <w:tc>
          <w:tcPr>
            <w:tcW w:w="2020" w:type="dxa"/>
            <w:vAlign w:val="bottom"/>
          </w:tcPr>
          <w:p>
            <w:pPr>
              <w:jc w:val="right"/>
              <w:ind w:right="169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The Company’s investment activity for the three months ended March 31, 2018 and 2017 is presented below (information presented herein is at par value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354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2018</w:t>
            </w:r>
          </w:p>
        </w:tc>
        <w:tc>
          <w:tcPr>
            <w:tcW w:w="4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564.6</w:t>
            </w:r>
          </w:p>
        </w:tc>
        <w:tc>
          <w:tcPr>
            <w:tcW w:w="18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7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60" w:right="1140" w:hanging="5611"/>
        <w:spacing w:after="0" w:line="381" w:lineRule="auto"/>
        <w:tabs>
          <w:tab w:leader="none" w:pos="391"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Includes one or more fixed rate investments for which the Company entered into an interest rate swap agreement to swap to floating rate.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over $21 billion of assets under management as of December 31, 2017, and the broader TPG platform, a global private investment firm with approximately $82 billion of assets under management as of December 31, 2017.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pfc@abmac.com</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2019-12-28T22:36:29Z</dcterms:created>
  <dcterms:modified xsi:type="dcterms:W3CDTF">2019-12-28T22:36:29Z</dcterms:modified>
</cp:coreProperties>
</file>