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14, 2011</w:t>
      </w:r>
    </w:p>
    <w:p>
      <w:pPr>
        <w:spacing w:after="0" w:line="121" w:lineRule="exact"/>
        <w:rPr>
          <w:sz w:val="20"/>
          <w:szCs w:val="20"/>
          <w:color w:val="auto"/>
        </w:rPr>
      </w:pPr>
    </w:p>
    <w:p>
      <w:pPr>
        <w:ind w:left="10100"/>
        <w:spacing w:after="0"/>
        <w:rPr>
          <w:sz w:val="20"/>
          <w:szCs w:val="20"/>
          <w:color w:val="auto"/>
        </w:rPr>
      </w:pPr>
      <w:r>
        <w:rPr>
          <w:rFonts w:ascii="Arial" w:cs="Arial" w:eastAsia="Arial" w:hAnsi="Arial"/>
          <w:sz w:val="18"/>
          <w:szCs w:val="18"/>
          <w:color w:val="auto"/>
        </w:rPr>
        <w:t>File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FORM FOR REGISTRATION OF SECURITIES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12(b) OR 12(g) OF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39370</wp:posOffset>
            </wp:positionV>
            <wp:extent cx="3764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Borders>
              <w:bottom w:val="single" w:sz="8" w:color="auto"/>
            </w:tcBorders>
          </w:tcPr>
          <w:p>
            <w:pPr>
              <w:jc w:val="center"/>
              <w:ind w:left="2050"/>
              <w:spacing w:after="0"/>
              <w:rPr>
                <w:sz w:val="20"/>
                <w:szCs w:val="20"/>
                <w:color w:val="auto"/>
              </w:rPr>
            </w:pPr>
            <w:r>
              <w:rPr>
                <w:rFonts w:ascii="Arial" w:cs="Arial" w:eastAsia="Arial" w:hAnsi="Arial"/>
                <w:sz w:val="18"/>
                <w:szCs w:val="18"/>
                <w:b w:val="1"/>
                <w:bCs w:val="1"/>
                <w:color w:val="auto"/>
                <w:w w:val="93"/>
              </w:rPr>
              <w:t>Delaware</w:t>
            </w:r>
          </w:p>
        </w:tc>
        <w:tc>
          <w:tcPr>
            <w:tcW w:w="2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jc w:val="right"/>
              <w:ind w:right="2250"/>
              <w:spacing w:after="0"/>
              <w:rPr>
                <w:sz w:val="20"/>
                <w:szCs w:val="20"/>
                <w:color w:val="auto"/>
              </w:rPr>
            </w:pPr>
            <w:r>
              <w:rPr>
                <w:rFonts w:ascii="Arial" w:cs="Arial" w:eastAsia="Arial" w:hAnsi="Arial"/>
                <w:sz w:val="18"/>
                <w:szCs w:val="18"/>
                <w:color w:val="auto"/>
              </w:rPr>
              <w:t>27-3380000</w:t>
            </w:r>
          </w:p>
        </w:tc>
      </w:tr>
      <w:tr>
        <w:trPr>
          <w:trHeight w:val="224"/>
        </w:trPr>
        <w:tc>
          <w:tcPr>
            <w:tcW w:w="5540" w:type="dxa"/>
            <w:vAlign w:val="bottom"/>
            <w:gridSpan w:val="3"/>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0" w:type="dxa"/>
            <w:vAlign w:val="bottom"/>
          </w:tcPr>
          <w:p>
            <w:pPr>
              <w:jc w:val="center"/>
              <w:ind w:right="1250"/>
              <w:spacing w:after="0"/>
              <w:rPr>
                <w:sz w:val="20"/>
                <w:szCs w:val="20"/>
                <w:color w:val="auto"/>
              </w:rPr>
            </w:pPr>
            <w:r>
              <w:rPr>
                <w:rFonts w:ascii="Arial" w:cs="Arial" w:eastAsia="Arial" w:hAnsi="Arial"/>
                <w:sz w:val="18"/>
                <w:szCs w:val="18"/>
                <w:color w:val="auto"/>
                <w:w w:val="94"/>
              </w:rPr>
              <w:t>(I.R.S. Employer Identification No.)</w:t>
            </w:r>
          </w:p>
        </w:tc>
      </w:tr>
      <w:tr>
        <w:trPr>
          <w:trHeight w:val="431"/>
        </w:trPr>
        <w:tc>
          <w:tcPr>
            <w:tcW w:w="7220" w:type="dxa"/>
            <w:vAlign w:val="bottom"/>
            <w:gridSpan w:val="6"/>
          </w:tcPr>
          <w:p>
            <w:pPr>
              <w:jc w:val="center"/>
              <w:ind w:right="1780"/>
              <w:spacing w:after="0"/>
              <w:rPr>
                <w:sz w:val="20"/>
                <w:szCs w:val="20"/>
                <w:color w:val="auto"/>
              </w:rPr>
            </w:pPr>
            <w:r>
              <w:rPr>
                <w:rFonts w:ascii="Arial" w:cs="Arial" w:eastAsia="Arial" w:hAnsi="Arial"/>
                <w:sz w:val="18"/>
                <w:szCs w:val="18"/>
                <w:color w:val="auto"/>
                <w:w w:val="90"/>
              </w:rPr>
              <w:t>301 Commerce Street, Suite 3300, Fort Worth, TX</w:t>
            </w:r>
          </w:p>
        </w:tc>
        <w:tc>
          <w:tcPr>
            <w:tcW w:w="4200" w:type="dxa"/>
            <w:vAlign w:val="bottom"/>
          </w:tcPr>
          <w:p>
            <w:pPr>
              <w:jc w:val="right"/>
              <w:ind w:right="2390"/>
              <w:spacing w:after="0"/>
              <w:rPr>
                <w:sz w:val="20"/>
                <w:szCs w:val="20"/>
                <w:color w:val="auto"/>
              </w:rPr>
            </w:pPr>
            <w:r>
              <w:rPr>
                <w:rFonts w:ascii="Arial" w:cs="Arial" w:eastAsia="Arial" w:hAnsi="Arial"/>
                <w:sz w:val="18"/>
                <w:szCs w:val="18"/>
                <w:color w:val="auto"/>
              </w:rPr>
              <w:t>76102</w:t>
            </w:r>
          </w:p>
        </w:tc>
      </w:tr>
      <w:tr>
        <w:trPr>
          <w:trHeight w:val="224"/>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gridSpan w:val="3"/>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200" w:type="dxa"/>
            <w:vAlign w:val="bottom"/>
            <w:tcBorders>
              <w:top w:val="single" w:sz="8" w:color="auto"/>
            </w:tcBorders>
          </w:tcPr>
          <w:p>
            <w:pPr>
              <w:jc w:val="center"/>
              <w:ind w:right="1150"/>
              <w:spacing w:after="0"/>
              <w:rPr>
                <w:sz w:val="20"/>
                <w:szCs w:val="20"/>
                <w:color w:val="auto"/>
              </w:rPr>
            </w:pPr>
            <w:r>
              <w:rPr>
                <w:rFonts w:ascii="Arial" w:cs="Arial" w:eastAsia="Arial" w:hAnsi="Arial"/>
                <w:sz w:val="18"/>
                <w:szCs w:val="18"/>
                <w:color w:val="auto"/>
                <w:w w:val="94"/>
              </w:rPr>
              <w:t>(Zip Code)</w:t>
            </w:r>
          </w:p>
        </w:tc>
      </w:tr>
      <w:tr>
        <w:trPr>
          <w:trHeight w:val="413"/>
        </w:trPr>
        <w:tc>
          <w:tcPr>
            <w:tcW w:w="3400" w:type="dxa"/>
            <w:vAlign w:val="bottom"/>
          </w:tcPr>
          <w:p>
            <w:pPr>
              <w:spacing w:after="0"/>
              <w:rPr>
                <w:sz w:val="24"/>
                <w:szCs w:val="24"/>
                <w:color w:val="auto"/>
              </w:rPr>
            </w:pPr>
          </w:p>
        </w:tc>
        <w:tc>
          <w:tcPr>
            <w:tcW w:w="3820" w:type="dxa"/>
            <w:vAlign w:val="bottom"/>
            <w:gridSpan w:val="5"/>
          </w:tcPr>
          <w:p>
            <w:pPr>
              <w:jc w:val="center"/>
              <w:ind w:left="730"/>
              <w:spacing w:after="0"/>
              <w:rPr>
                <w:sz w:val="20"/>
                <w:szCs w:val="20"/>
                <w:color w:val="auto"/>
              </w:rPr>
            </w:pPr>
            <w:r>
              <w:rPr>
                <w:rFonts w:ascii="Arial" w:cs="Arial" w:eastAsia="Arial" w:hAnsi="Arial"/>
                <w:sz w:val="18"/>
                <w:szCs w:val="18"/>
                <w:b w:val="1"/>
                <w:bCs w:val="1"/>
                <w:color w:val="auto"/>
                <w:w w:val="90"/>
              </w:rPr>
              <w:t>(817) 871-4000</w:t>
            </w:r>
          </w:p>
        </w:tc>
        <w:tc>
          <w:tcPr>
            <w:tcW w:w="4200" w:type="dxa"/>
            <w:vAlign w:val="bottom"/>
          </w:tcPr>
          <w:p>
            <w:pPr>
              <w:spacing w:after="0"/>
              <w:rPr>
                <w:sz w:val="24"/>
                <w:szCs w:val="24"/>
                <w:color w:val="auto"/>
              </w:rPr>
            </w:pPr>
          </w:p>
        </w:tc>
      </w:tr>
      <w:tr>
        <w:trPr>
          <w:trHeight w:val="234"/>
        </w:trPr>
        <w:tc>
          <w:tcPr>
            <w:tcW w:w="3400" w:type="dxa"/>
            <w:vAlign w:val="bottom"/>
          </w:tcPr>
          <w:p>
            <w:pPr>
              <w:spacing w:after="0"/>
              <w:rPr>
                <w:sz w:val="20"/>
                <w:szCs w:val="20"/>
                <w:color w:val="auto"/>
              </w:rPr>
            </w:pPr>
          </w:p>
        </w:tc>
        <w:tc>
          <w:tcPr>
            <w:tcW w:w="8020" w:type="dxa"/>
            <w:vAlign w:val="bottom"/>
            <w:gridSpan w:val="6"/>
          </w:tcPr>
          <w:p>
            <w:pPr>
              <w:jc w:val="center"/>
              <w:ind w:right="331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r>
        <w:trPr>
          <w:trHeight w:val="432"/>
        </w:trPr>
        <w:tc>
          <w:tcPr>
            <w:tcW w:w="3400" w:type="dxa"/>
            <w:vAlign w:val="bottom"/>
          </w:tcPr>
          <w:p>
            <w:pPr>
              <w:spacing w:after="0"/>
              <w:rPr>
                <w:sz w:val="24"/>
                <w:szCs w:val="24"/>
                <w:color w:val="auto"/>
              </w:rPr>
            </w:pPr>
          </w:p>
        </w:tc>
        <w:tc>
          <w:tcPr>
            <w:tcW w:w="3820" w:type="dxa"/>
            <w:vAlign w:val="bottom"/>
            <w:gridSpan w:val="5"/>
          </w:tcPr>
          <w:p>
            <w:pPr>
              <w:jc w:val="center"/>
              <w:ind w:left="710"/>
              <w:spacing w:after="0"/>
              <w:rPr>
                <w:sz w:val="20"/>
                <w:szCs w:val="20"/>
                <w:color w:val="auto"/>
              </w:rPr>
            </w:pPr>
            <w:r>
              <w:rPr>
                <w:rFonts w:ascii="Arial" w:cs="Arial" w:eastAsia="Arial" w:hAnsi="Arial"/>
                <w:sz w:val="18"/>
                <w:szCs w:val="18"/>
                <w:b w:val="1"/>
                <w:bCs w:val="1"/>
                <w:color w:val="auto"/>
                <w:w w:val="87"/>
              </w:rPr>
              <w:t>with copies to:</w:t>
            </w:r>
          </w:p>
        </w:tc>
        <w:tc>
          <w:tcPr>
            <w:tcW w:w="4200" w:type="dxa"/>
            <w:vAlign w:val="bottom"/>
          </w:tcPr>
          <w:p>
            <w:pPr>
              <w:spacing w:after="0"/>
              <w:rPr>
                <w:sz w:val="24"/>
                <w:szCs w:val="24"/>
                <w:color w:val="auto"/>
              </w:rPr>
            </w:pPr>
          </w:p>
        </w:tc>
      </w:tr>
      <w:tr>
        <w:trPr>
          <w:trHeight w:val="418"/>
        </w:trPr>
        <w:tc>
          <w:tcPr>
            <w:tcW w:w="3400" w:type="dxa"/>
            <w:vAlign w:val="bottom"/>
          </w:tcPr>
          <w:p>
            <w:pPr>
              <w:jc w:val="center"/>
              <w:ind w:left="30"/>
              <w:spacing w:after="0"/>
              <w:rPr>
                <w:sz w:val="20"/>
                <w:szCs w:val="20"/>
                <w:color w:val="auto"/>
              </w:rPr>
            </w:pPr>
            <w:r>
              <w:rPr>
                <w:rFonts w:ascii="Arial" w:cs="Arial" w:eastAsia="Arial" w:hAnsi="Arial"/>
                <w:sz w:val="18"/>
                <w:szCs w:val="18"/>
                <w:color w:val="auto"/>
                <w:w w:val="90"/>
              </w:rPr>
              <w:t>Ronald Cami, Esq.</w:t>
            </w:r>
          </w:p>
        </w:tc>
        <w:tc>
          <w:tcPr>
            <w:tcW w:w="3820" w:type="dxa"/>
            <w:vAlign w:val="bottom"/>
            <w:gridSpan w:val="5"/>
          </w:tcPr>
          <w:p>
            <w:pPr>
              <w:jc w:val="center"/>
              <w:ind w:left="690"/>
              <w:spacing w:after="0"/>
              <w:rPr>
                <w:sz w:val="20"/>
                <w:szCs w:val="20"/>
                <w:color w:val="auto"/>
              </w:rPr>
            </w:pPr>
            <w:r>
              <w:rPr>
                <w:rFonts w:ascii="Arial" w:cs="Arial" w:eastAsia="Arial" w:hAnsi="Arial"/>
                <w:sz w:val="18"/>
                <w:szCs w:val="18"/>
                <w:color w:val="auto"/>
                <w:w w:val="91"/>
              </w:rPr>
              <w:t>Michael L. Ryan, Esq.</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0"/>
              </w:rPr>
              <w:t>Steven B. Boehm, Esq.</w:t>
            </w:r>
          </w:p>
        </w:tc>
      </w:tr>
      <w:tr>
        <w:trPr>
          <w:trHeight w:val="216"/>
        </w:trPr>
        <w:tc>
          <w:tcPr>
            <w:tcW w:w="3400" w:type="dxa"/>
            <w:vAlign w:val="bottom"/>
          </w:tcPr>
          <w:p>
            <w:pPr>
              <w:jc w:val="center"/>
              <w:ind w:left="50"/>
              <w:spacing w:after="0"/>
              <w:rPr>
                <w:sz w:val="20"/>
                <w:szCs w:val="20"/>
                <w:color w:val="auto"/>
              </w:rPr>
            </w:pPr>
            <w:r>
              <w:rPr>
                <w:rFonts w:ascii="Arial" w:cs="Arial" w:eastAsia="Arial" w:hAnsi="Arial"/>
                <w:sz w:val="18"/>
                <w:szCs w:val="18"/>
                <w:color w:val="auto"/>
                <w:w w:val="89"/>
              </w:rPr>
              <w:t>TPG Capital, L.P.</w:t>
            </w:r>
          </w:p>
        </w:tc>
        <w:tc>
          <w:tcPr>
            <w:tcW w:w="3820" w:type="dxa"/>
            <w:vAlign w:val="bottom"/>
            <w:gridSpan w:val="5"/>
          </w:tcPr>
          <w:p>
            <w:pPr>
              <w:jc w:val="center"/>
              <w:ind w:left="690"/>
              <w:spacing w:after="0"/>
              <w:rPr>
                <w:sz w:val="20"/>
                <w:szCs w:val="20"/>
                <w:color w:val="auto"/>
              </w:rPr>
            </w:pPr>
            <w:r>
              <w:rPr>
                <w:rFonts w:ascii="Arial" w:cs="Arial" w:eastAsia="Arial" w:hAnsi="Arial"/>
                <w:sz w:val="18"/>
                <w:szCs w:val="18"/>
                <w:color w:val="auto"/>
                <w:w w:val="94"/>
              </w:rPr>
              <w:t>Cleary Gottlieb Steen &amp; Hamilton LLP</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4"/>
              </w:rPr>
              <w:t>Sutherland Asbill &amp; Brennan LLP</w:t>
            </w:r>
          </w:p>
        </w:tc>
      </w:tr>
      <w:tr>
        <w:trPr>
          <w:trHeight w:val="216"/>
        </w:trPr>
        <w:tc>
          <w:tcPr>
            <w:tcW w:w="3400" w:type="dxa"/>
            <w:vAlign w:val="bottom"/>
          </w:tcPr>
          <w:p>
            <w:pPr>
              <w:jc w:val="center"/>
              <w:ind w:left="50"/>
              <w:spacing w:after="0"/>
              <w:rPr>
                <w:sz w:val="20"/>
                <w:szCs w:val="20"/>
                <w:color w:val="auto"/>
              </w:rPr>
            </w:pPr>
            <w:r>
              <w:rPr>
                <w:rFonts w:ascii="Arial" w:cs="Arial" w:eastAsia="Arial" w:hAnsi="Arial"/>
                <w:sz w:val="18"/>
                <w:szCs w:val="18"/>
                <w:color w:val="auto"/>
                <w:w w:val="89"/>
              </w:rPr>
              <w:t>301 Commerce Street</w:t>
            </w:r>
          </w:p>
        </w:tc>
        <w:tc>
          <w:tcPr>
            <w:tcW w:w="3820" w:type="dxa"/>
            <w:vAlign w:val="bottom"/>
            <w:gridSpan w:val="5"/>
          </w:tcPr>
          <w:p>
            <w:pPr>
              <w:jc w:val="center"/>
              <w:ind w:left="690"/>
              <w:spacing w:after="0"/>
              <w:rPr>
                <w:sz w:val="20"/>
                <w:szCs w:val="20"/>
                <w:color w:val="auto"/>
              </w:rPr>
            </w:pPr>
            <w:r>
              <w:rPr>
                <w:rFonts w:ascii="Arial" w:cs="Arial" w:eastAsia="Arial" w:hAnsi="Arial"/>
                <w:sz w:val="18"/>
                <w:szCs w:val="18"/>
                <w:color w:val="auto"/>
                <w:w w:val="92"/>
              </w:rPr>
              <w:t>One Liberty Plaza</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1"/>
              </w:rPr>
              <w:t>1275 Pennsylvania Ave, NW</w:t>
            </w:r>
          </w:p>
        </w:tc>
      </w:tr>
      <w:tr>
        <w:trPr>
          <w:trHeight w:val="216"/>
        </w:trPr>
        <w:tc>
          <w:tcPr>
            <w:tcW w:w="3400" w:type="dxa"/>
            <w:vAlign w:val="bottom"/>
          </w:tcPr>
          <w:p>
            <w:pPr>
              <w:jc w:val="center"/>
              <w:ind w:left="90"/>
              <w:spacing w:after="0"/>
              <w:rPr>
                <w:sz w:val="20"/>
                <w:szCs w:val="20"/>
                <w:color w:val="auto"/>
              </w:rPr>
            </w:pPr>
            <w:r>
              <w:rPr>
                <w:rFonts w:ascii="Arial" w:cs="Arial" w:eastAsia="Arial" w:hAnsi="Arial"/>
                <w:sz w:val="18"/>
                <w:szCs w:val="18"/>
                <w:color w:val="auto"/>
                <w:w w:val="90"/>
              </w:rPr>
              <w:t>Suite 3300</w:t>
            </w:r>
          </w:p>
        </w:tc>
        <w:tc>
          <w:tcPr>
            <w:tcW w:w="3820" w:type="dxa"/>
            <w:vAlign w:val="bottom"/>
            <w:gridSpan w:val="5"/>
          </w:tcPr>
          <w:p>
            <w:pPr>
              <w:jc w:val="center"/>
              <w:ind w:left="690"/>
              <w:spacing w:after="0"/>
              <w:rPr>
                <w:sz w:val="20"/>
                <w:szCs w:val="20"/>
                <w:color w:val="auto"/>
              </w:rPr>
            </w:pPr>
            <w:r>
              <w:rPr>
                <w:rFonts w:ascii="Arial" w:cs="Arial" w:eastAsia="Arial" w:hAnsi="Arial"/>
                <w:sz w:val="18"/>
                <w:szCs w:val="18"/>
                <w:color w:val="auto"/>
                <w:w w:val="92"/>
              </w:rPr>
              <w:t>New York, New York 10006</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1"/>
              </w:rPr>
              <w:t>Washington, DC 20004-2415</w:t>
            </w:r>
          </w:p>
        </w:tc>
      </w:tr>
      <w:tr>
        <w:trPr>
          <w:trHeight w:val="216"/>
        </w:trPr>
        <w:tc>
          <w:tcPr>
            <w:tcW w:w="3400" w:type="dxa"/>
            <w:vAlign w:val="bottom"/>
          </w:tcPr>
          <w:p>
            <w:pPr>
              <w:jc w:val="center"/>
              <w:ind w:left="90"/>
              <w:spacing w:after="0"/>
              <w:rPr>
                <w:sz w:val="20"/>
                <w:szCs w:val="20"/>
                <w:color w:val="auto"/>
              </w:rPr>
            </w:pPr>
            <w:r>
              <w:rPr>
                <w:rFonts w:ascii="Arial" w:cs="Arial" w:eastAsia="Arial" w:hAnsi="Arial"/>
                <w:sz w:val="18"/>
                <w:szCs w:val="18"/>
                <w:color w:val="auto"/>
                <w:w w:val="93"/>
              </w:rPr>
              <w:t>Fort Worth, TX 76102</w:t>
            </w:r>
          </w:p>
        </w:tc>
        <w:tc>
          <w:tcPr>
            <w:tcW w:w="3820" w:type="dxa"/>
            <w:vAlign w:val="bottom"/>
            <w:gridSpan w:val="5"/>
          </w:tcPr>
          <w:p>
            <w:pPr>
              <w:jc w:val="center"/>
              <w:ind w:left="690"/>
              <w:spacing w:after="0"/>
              <w:rPr>
                <w:sz w:val="20"/>
                <w:szCs w:val="20"/>
                <w:color w:val="auto"/>
              </w:rPr>
            </w:pPr>
            <w:r>
              <w:rPr>
                <w:rFonts w:ascii="Arial" w:cs="Arial" w:eastAsia="Arial" w:hAnsi="Arial"/>
                <w:sz w:val="18"/>
                <w:szCs w:val="18"/>
                <w:color w:val="auto"/>
                <w:w w:val="90"/>
              </w:rPr>
              <w:t>(212) 225-2000</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0"/>
              </w:rPr>
              <w:t>(202) 383-0100</w:t>
            </w:r>
          </w:p>
        </w:tc>
      </w:tr>
      <w:tr>
        <w:trPr>
          <w:trHeight w:val="230"/>
        </w:trPr>
        <w:tc>
          <w:tcPr>
            <w:tcW w:w="3400" w:type="dxa"/>
            <w:vAlign w:val="bottom"/>
          </w:tcPr>
          <w:p>
            <w:pPr>
              <w:jc w:val="center"/>
              <w:ind w:left="90"/>
              <w:spacing w:after="0"/>
              <w:rPr>
                <w:sz w:val="20"/>
                <w:szCs w:val="20"/>
                <w:color w:val="auto"/>
              </w:rPr>
            </w:pPr>
            <w:r>
              <w:rPr>
                <w:rFonts w:ascii="Arial" w:cs="Arial" w:eastAsia="Arial" w:hAnsi="Arial"/>
                <w:sz w:val="18"/>
                <w:szCs w:val="18"/>
                <w:color w:val="auto"/>
                <w:w w:val="92"/>
              </w:rPr>
              <w:t>(817) 871-4000</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103"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definitions of “large accelerated filer,” “accelerated filer” and “small reporting company” in Rule 12b-2 of the Exchange Act. (Check one)</w:t>
      </w:r>
    </w:p>
    <w:tbl>
      <w:tblPr>
        <w:tblLayout w:type="fixed"/>
        <w:tblInd w:w="0" w:type="dxa"/>
        <w:tblCellMar>
          <w:top w:w="0" w:type="dxa"/>
          <w:left w:w="0" w:type="dxa"/>
          <w:bottom w:w="0" w:type="dxa"/>
          <w:right w:w="0" w:type="dxa"/>
        </w:tblCellMar>
      </w:tblPr>
      <w:tr>
        <w:trPr>
          <w:trHeight w:val="242"/>
        </w:trPr>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 xml:space="preserve">Large accelerated filer </w:t>
            </w:r>
            <w:r>
              <w:rPr>
                <w:rFonts w:ascii="Arial" w:cs="Arial" w:eastAsia="Arial" w:hAnsi="Arial"/>
                <w:sz w:val="18"/>
                <w:szCs w:val="18"/>
                <w:color w:val="auto"/>
              </w:rPr>
              <w:t>o</w:t>
            </w:r>
          </w:p>
        </w:tc>
        <w:tc>
          <w:tcPr>
            <w:tcW w:w="2140" w:type="dxa"/>
            <w:vAlign w:val="bottom"/>
          </w:tcPr>
          <w:p>
            <w:pPr>
              <w:ind w:left="340"/>
              <w:spacing w:after="0"/>
              <w:rPr>
                <w:sz w:val="20"/>
                <w:szCs w:val="20"/>
                <w:color w:val="auto"/>
              </w:rPr>
            </w:pPr>
            <w:r>
              <w:rPr>
                <w:rFonts w:ascii="Arial" w:cs="Arial" w:eastAsia="Arial" w:hAnsi="Arial"/>
                <w:sz w:val="18"/>
                <w:szCs w:val="18"/>
                <w:b w:val="1"/>
                <w:bCs w:val="1"/>
                <w:color w:val="auto"/>
              </w:rPr>
              <w:t xml:space="preserve">Accelerated filer </w:t>
            </w:r>
            <w:r>
              <w:rPr>
                <w:rFonts w:ascii="Arial" w:cs="Arial" w:eastAsia="Arial" w:hAnsi="Arial"/>
                <w:sz w:val="18"/>
                <w:szCs w:val="18"/>
                <w:color w:val="auto"/>
              </w:rPr>
              <w:t>o</w:t>
            </w:r>
          </w:p>
        </w:tc>
        <w:tc>
          <w:tcPr>
            <w:tcW w:w="4180" w:type="dxa"/>
            <w:vAlign w:val="bottom"/>
          </w:tcPr>
          <w:p>
            <w:pPr>
              <w:jc w:val="center"/>
              <w:ind w:right="110"/>
              <w:spacing w:after="0" w:line="207" w:lineRule="exact"/>
              <w:rPr>
                <w:sz w:val="20"/>
                <w:szCs w:val="20"/>
                <w:color w:val="auto"/>
              </w:rPr>
            </w:pPr>
            <w:r>
              <w:rPr>
                <w:rFonts w:ascii="Arial" w:cs="Arial" w:eastAsia="Arial" w:hAnsi="Arial"/>
                <w:sz w:val="18"/>
                <w:szCs w:val="18"/>
                <w:b w:val="1"/>
                <w:bCs w:val="1"/>
                <w:color w:val="auto"/>
                <w:w w:val="90"/>
              </w:rPr>
              <w:t xml:space="preserve">Non-accelerated filer </w:t>
            </w:r>
            <w:r>
              <w:rPr>
                <w:rFonts w:ascii="MS PGothic" w:cs="MS PGothic" w:eastAsia="MS PGothic" w:hAnsi="MS PGothic"/>
                <w:sz w:val="18"/>
                <w:szCs w:val="18"/>
                <w:color w:val="auto"/>
                <w:w w:val="90"/>
              </w:rPr>
              <w:t>☑</w:t>
            </w:r>
          </w:p>
        </w:tc>
        <w:tc>
          <w:tcPr>
            <w:tcW w:w="2780" w:type="dxa"/>
            <w:vAlign w:val="bottom"/>
          </w:tcPr>
          <w:p>
            <w:pPr>
              <w:ind w:left="480"/>
              <w:spacing w:after="0"/>
              <w:rPr>
                <w:sz w:val="20"/>
                <w:szCs w:val="20"/>
                <w:color w:val="auto"/>
              </w:rPr>
            </w:pPr>
            <w:r>
              <w:rPr>
                <w:rFonts w:ascii="Arial" w:cs="Arial" w:eastAsia="Arial" w:hAnsi="Arial"/>
                <w:sz w:val="18"/>
                <w:szCs w:val="18"/>
                <w:b w:val="1"/>
                <w:bCs w:val="1"/>
                <w:color w:val="auto"/>
                <w:w w:val="91"/>
              </w:rPr>
              <w:t xml:space="preserve">Smaller reporting company </w:t>
            </w:r>
            <w:r>
              <w:rPr>
                <w:rFonts w:ascii="Arial" w:cs="Arial" w:eastAsia="Arial" w:hAnsi="Arial"/>
                <w:sz w:val="18"/>
                <w:szCs w:val="18"/>
                <w:color w:val="auto"/>
                <w:w w:val="91"/>
              </w:rPr>
              <w:t>o</w:t>
            </w:r>
          </w:p>
        </w:tc>
      </w:tr>
      <w:tr>
        <w:trPr>
          <w:trHeight w:val="230"/>
        </w:trPr>
        <w:tc>
          <w:tcPr>
            <w:tcW w:w="2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180" w:type="dxa"/>
            <w:vAlign w:val="bottom"/>
          </w:tcPr>
          <w:p>
            <w:pPr>
              <w:jc w:val="center"/>
              <w:ind w:right="70"/>
              <w:spacing w:after="0"/>
              <w:rPr>
                <w:sz w:val="20"/>
                <w:szCs w:val="20"/>
                <w:color w:val="auto"/>
              </w:rPr>
            </w:pPr>
            <w:r>
              <w:rPr>
                <w:rFonts w:ascii="Arial" w:cs="Arial" w:eastAsia="Arial" w:hAnsi="Arial"/>
                <w:sz w:val="18"/>
                <w:szCs w:val="18"/>
                <w:color w:val="auto"/>
                <w:w w:val="91"/>
              </w:rPr>
              <w:t>(Do not check if a smaller reporting company)</w:t>
            </w:r>
          </w:p>
        </w:tc>
        <w:tc>
          <w:tcPr>
            <w:tcW w:w="2780" w:type="dxa"/>
            <w:vAlign w:val="bottom"/>
          </w:tcPr>
          <w:p>
            <w:pPr>
              <w:spacing w:after="0"/>
              <w:rPr>
                <w:sz w:val="20"/>
                <w:szCs w:val="20"/>
                <w:color w:val="auto"/>
              </w:rPr>
            </w:pPr>
          </w:p>
        </w:tc>
      </w:tr>
      <w:tr>
        <w:trPr>
          <w:trHeight w:val="243"/>
        </w:trPr>
        <w:tc>
          <w:tcPr>
            <w:tcW w:w="23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418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r>
      <w:tr>
        <w:trPr>
          <w:trHeight w:val="28"/>
        </w:trPr>
        <w:tc>
          <w:tcPr>
            <w:tcW w:w="2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618"/>
        </w:trPr>
        <w:tc>
          <w:tcPr>
            <w:tcW w:w="232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gridSpan w:val="6"/>
          </w:tcPr>
          <w:p>
            <w:pPr>
              <w:ind w:left="42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r>
      <w:tr>
        <w:trPr>
          <w:trHeight w:val="392"/>
        </w:trPr>
        <w:tc>
          <w:tcPr>
            <w:tcW w:w="958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Explanatory Note</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58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120" w:type="dxa"/>
            <w:vAlign w:val="bottom"/>
            <w:tcBorders>
              <w:top w:val="single" w:sz="8" w:color="0000EE"/>
            </w:tcBorders>
            <w:gridSpan w:val="2"/>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7460" w:type="dxa"/>
            <w:vAlign w:val="bottom"/>
            <w:gridSpan w:val="14"/>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Item 1A.</w:t>
              </w:r>
            </w:hyperlink>
          </w:p>
        </w:tc>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Risk Factors</w:t>
              </w:r>
            </w:hyperlink>
          </w:p>
        </w:tc>
        <w:tc>
          <w:tcPr>
            <w:tcW w:w="7660" w:type="dxa"/>
            <w:vAlign w:val="bottom"/>
            <w:gridSpan w:val="15"/>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1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858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Financial Information</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1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Properties</w:t>
              </w:r>
            </w:hyperlink>
          </w:p>
        </w:tc>
        <w:tc>
          <w:tcPr>
            <w:tcW w:w="840" w:type="dxa"/>
            <w:vAlign w:val="bottom"/>
            <w:tcBorders>
              <w:top w:val="single" w:sz="8" w:color="0000EE"/>
            </w:tcBorders>
            <w:gridSpan w:val="4"/>
          </w:tcPr>
          <w:p>
            <w:pPr>
              <w:spacing w:after="0"/>
              <w:rPr>
                <w:sz w:val="17"/>
                <w:szCs w:val="17"/>
                <w:color w:val="auto"/>
              </w:rPr>
            </w:pPr>
          </w:p>
        </w:tc>
        <w:tc>
          <w:tcPr>
            <w:tcW w:w="7000" w:type="dxa"/>
            <w:vAlign w:val="bottom"/>
            <w:gridSpan w:val="12"/>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1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49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Security Ownership of Certain Beneficial Owners and Management</w:t>
              </w:r>
            </w:hyperlink>
          </w:p>
        </w:tc>
        <w:tc>
          <w:tcPr>
            <w:tcW w:w="3680" w:type="dxa"/>
            <w:vAlign w:val="bottom"/>
            <w:gridSpan w:val="4"/>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5.</w:t>
              </w:r>
            </w:hyperlink>
          </w:p>
        </w:tc>
        <w:tc>
          <w:tcPr>
            <w:tcW w:w="1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23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Directors and Executive Officers</w:t>
              </w:r>
            </w:hyperlink>
          </w:p>
        </w:tc>
        <w:tc>
          <w:tcPr>
            <w:tcW w:w="6200" w:type="dxa"/>
            <w:vAlign w:val="bottom"/>
            <w:gridSpan w:val="10"/>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6.</w:t>
              </w:r>
            </w:hyperlink>
          </w:p>
        </w:tc>
        <w:tc>
          <w:tcPr>
            <w:tcW w:w="1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Executive Compensation</w:t>
              </w:r>
            </w:hyperlink>
          </w:p>
        </w:tc>
        <w:tc>
          <w:tcPr>
            <w:tcW w:w="6760" w:type="dxa"/>
            <w:vAlign w:val="bottom"/>
            <w:gridSpan w:val="11"/>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7.</w:t>
              </w:r>
            </w:hyperlink>
          </w:p>
        </w:tc>
        <w:tc>
          <w:tcPr>
            <w:tcW w:w="1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54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Certain Relationships and Related Transactions, and Director Independence</w:t>
              </w:r>
            </w:hyperlink>
          </w:p>
        </w:tc>
        <w:tc>
          <w:tcPr>
            <w:tcW w:w="3120" w:type="dxa"/>
            <w:vAlign w:val="bottom"/>
            <w:gridSpan w:val="3"/>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8.</w:t>
              </w:r>
            </w:hyperlink>
          </w:p>
        </w:tc>
        <w:tc>
          <w:tcPr>
            <w:tcW w:w="1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858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9.</w:t>
              </w:r>
            </w:hyperlink>
          </w:p>
        </w:tc>
        <w:tc>
          <w:tcPr>
            <w:tcW w:w="1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72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Market Price of and Dividends on the Registrant’s Common Equity and Related Stockholder Matters</w:t>
              </w:r>
            </w:hyperlink>
          </w:p>
        </w:tc>
        <w:tc>
          <w:tcPr>
            <w:tcW w:w="130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640" w:type="dxa"/>
            <w:vAlign w:val="bottom"/>
            <w:gridSpan w:val="3"/>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10.</w:t>
              </w:r>
            </w:hyperlink>
          </w:p>
        </w:tc>
        <w:tc>
          <w:tcPr>
            <w:tcW w:w="8940" w:type="dxa"/>
            <w:vAlign w:val="bottom"/>
            <w:gridSpan w:val="20"/>
          </w:tcPr>
          <w:p>
            <w:pPr>
              <w:ind w:left="36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Recent Sales of Unregistered Securities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11.</w:t>
              </w:r>
            </w:hyperlink>
          </w:p>
        </w:tc>
        <w:tc>
          <w:tcPr>
            <w:tcW w:w="8940" w:type="dxa"/>
            <w:vAlign w:val="bottom"/>
            <w:gridSpan w:val="20"/>
          </w:tcPr>
          <w:p>
            <w:pPr>
              <w:ind w:left="36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Registrant’s Securities to be Registered</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Item 12.</w:t>
              </w:r>
            </w:hyperlink>
          </w:p>
        </w:tc>
        <w:tc>
          <w:tcPr>
            <w:tcW w:w="8940" w:type="dxa"/>
            <w:vAlign w:val="bottom"/>
            <w:gridSpan w:val="20"/>
          </w:tcPr>
          <w:p>
            <w:pPr>
              <w:ind w:left="36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Indemnification of Directors and Officers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5"/>
              </w:rPr>
            </w:pPr>
            <w:hyperlink w:anchor="page47">
              <w:r>
                <w:rPr>
                  <w:rFonts w:ascii="Arial" w:cs="Arial" w:eastAsia="Arial" w:hAnsi="Arial"/>
                  <w:sz w:val="18"/>
                  <w:szCs w:val="18"/>
                  <w:color w:val="0000EE"/>
                  <w:w w:val="95"/>
                </w:rPr>
                <w:t>Item 13.</w:t>
              </w:r>
            </w:hyperlink>
          </w:p>
        </w:tc>
        <w:tc>
          <w:tcPr>
            <w:tcW w:w="8940" w:type="dxa"/>
            <w:vAlign w:val="bottom"/>
            <w:gridSpan w:val="20"/>
          </w:tcPr>
          <w:p>
            <w:pPr>
              <w:ind w:left="36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5"/>
              </w:rPr>
            </w:pPr>
            <w:hyperlink w:anchor="page47">
              <w:r>
                <w:rPr>
                  <w:rFonts w:ascii="Arial" w:cs="Arial" w:eastAsia="Arial" w:hAnsi="Arial"/>
                  <w:sz w:val="18"/>
                  <w:szCs w:val="18"/>
                  <w:color w:val="0000EE"/>
                  <w:w w:val="95"/>
                </w:rPr>
                <w:t>Item 14.</w:t>
              </w:r>
            </w:hyperlink>
          </w:p>
        </w:tc>
        <w:tc>
          <w:tcPr>
            <w:tcW w:w="8940" w:type="dxa"/>
            <w:vAlign w:val="bottom"/>
            <w:gridSpan w:val="20"/>
          </w:tcPr>
          <w:p>
            <w:pPr>
              <w:ind w:left="36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Changes in and Disagreements with Accountants on Accounting and Financial Disclosure</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4020" w:type="dxa"/>
            <w:vAlign w:val="bottom"/>
            <w:gridSpan w:val="7"/>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5"/>
              </w:rPr>
            </w:pPr>
            <w:hyperlink w:anchor="page47">
              <w:r>
                <w:rPr>
                  <w:rFonts w:ascii="Arial" w:cs="Arial" w:eastAsia="Arial" w:hAnsi="Arial"/>
                  <w:sz w:val="18"/>
                  <w:szCs w:val="18"/>
                  <w:color w:val="0000EE"/>
                  <w:w w:val="95"/>
                </w:rPr>
                <w:t>Item 15.</w:t>
              </w:r>
            </w:hyperlink>
          </w:p>
        </w:tc>
        <w:tc>
          <w:tcPr>
            <w:tcW w:w="8940" w:type="dxa"/>
            <w:vAlign w:val="bottom"/>
            <w:gridSpan w:val="20"/>
          </w:tcPr>
          <w:p>
            <w:pPr>
              <w:ind w:left="36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Financial Statements and Exhibits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58" w:right="5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TPG Specialty Lending, Inc. is filing this registration statement on Form 10 (the “Registration Statement”) under the Securities Exchange Act of 1934, as amended (the “1934 Act”), on a voluntary basis to permit it to file an election to be regulated as a business development company, or BDC, under the Investment Company Act of 1940, as amended (the “1940 Act”), to provide current public information to the investment community and to comply with applicable requirements for the quotation or listing of its securities on a national securities exchange or other public trading market. In this Registration Statement, the “Company,” “TSL,” “we,” “us,” and “our” refer to TPG Specialty Lending, Inc., unless otherwise specified.</w:t>
      </w:r>
    </w:p>
    <w:p>
      <w:pPr>
        <w:spacing w:after="0" w:line="64"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Once this Registration Statement has been deemed effective, we will be subject to the requirements of Section 13(a) of the 1934 Act, including the rules and regulations promulgated thereunder, which will require us, among other things, to file annual reports on Form 10-K, quarterly reports on Form 10-Q, and current reports on Form 8-K, and we will be required to comply with all other obligations of the 1934 Act applicable to issuers filing registration statements pursuant to Section 12(g) of the 1934 Act.</w:t>
      </w:r>
    </w:p>
    <w:p>
      <w:pPr>
        <w:spacing w:after="0" w:line="79"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Concurrently with the effectiveness of this Registration Statement, we will file an election to be regulated as a BDC under the 1940 Act. Upon filing of such election, we will become subject to the 1940 Act requirements applicable to BDCs.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This Registration Statement contains forward-looking statements that involve substantial risks and uncertainties. These forward-looking statements are not historical facts, but rather are based on current expectations, estimates and projections about us, our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 including, without limitation:</w:t>
      </w:r>
    </w:p>
    <w:p>
      <w:pPr>
        <w:spacing w:after="0" w:line="57" w:lineRule="exact"/>
        <w:rPr>
          <w:sz w:val="20"/>
          <w:szCs w:val="20"/>
          <w:color w:val="auto"/>
        </w:rPr>
      </w:pPr>
    </w:p>
    <w:p>
      <w:pPr>
        <w:ind w:left="660" w:right="6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 economic downturn, or a continuation or worsening of the current global recession, could impair our portfolio companies’ abilities to continue to operate, which could lead to the loss of some or all of our investments in such portfolio companies;</w:t>
      </w:r>
    </w:p>
    <w:p>
      <w:pPr>
        <w:spacing w:after="0" w:line="75" w:lineRule="exact"/>
        <w:rPr>
          <w:rFonts w:ascii="Arial" w:cs="Arial" w:eastAsia="Arial" w:hAnsi="Arial"/>
          <w:sz w:val="18"/>
          <w:szCs w:val="18"/>
          <w:b w:val="1"/>
          <w:bCs w:val="1"/>
          <w:color w:val="auto"/>
        </w:rPr>
      </w:pPr>
    </w:p>
    <w:p>
      <w:pPr>
        <w:ind w:left="660" w:right="48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such an economic downturn could disproportionately impact the companies which we intend to target for investment, potentially causing us to experience a decrease in investment opportunities and diminished demand for capital from these companies;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 inability to access the equity markets could impair our ability to raise capital and our investment activities; and</w:t>
      </w:r>
    </w:p>
    <w:p>
      <w:pPr>
        <w:spacing w:after="0" w:line="130"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risks, uncertainties and other factors we identify in the section entitled “Risk Factors” and elsewhere in this Registration Statement and in our filings with the Securities Exchange Commissions (the “SEC”).</w:t>
      </w:r>
    </w:p>
    <w:p>
      <w:pPr>
        <w:spacing w:after="0" w:line="62" w:lineRule="exact"/>
        <w:rPr>
          <w:sz w:val="20"/>
          <w:szCs w:val="20"/>
          <w:color w:val="auto"/>
        </w:rPr>
      </w:pPr>
    </w:p>
    <w:p>
      <w:pPr>
        <w:jc w:val="both"/>
        <w:ind w:right="200" w:firstLine="215"/>
        <w:spacing w:after="0" w:line="312"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the forward-looking statements based on those assumptions also could prove to be inaccurate. In light of these and other uncertainties, the inclusion of a projection or forward-looking statement in this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Registration Statement should not be regarded as a representation by us that our plans and objectives will be achieved. These risks and uncertainties include those described or identified in the section entitled “</w:t>
      </w:r>
      <w:r>
        <w:rPr>
          <w:rFonts w:ascii="Arial" w:cs="Arial" w:eastAsia="Arial" w:hAnsi="Arial"/>
          <w:sz w:val="17"/>
          <w:szCs w:val="17"/>
          <w:i w:val="1"/>
          <w:iCs w:val="1"/>
          <w:color w:val="auto"/>
        </w:rPr>
        <w:t>Item 1A. Risk Factors</w:t>
      </w:r>
      <w:r>
        <w:rPr>
          <w:rFonts w:ascii="Arial" w:cs="Arial" w:eastAsia="Arial" w:hAnsi="Arial"/>
          <w:sz w:val="17"/>
          <w:szCs w:val="17"/>
          <w:color w:val="auto"/>
        </w:rPr>
        <w:t>” and elsewhere in this Registration Statement. You should not place undue reliance on these forward-looking statements, which apply only as of the date of this Registration Statement. We do not undertake any obligation to update or revise any forward-looking statements or any other information contained herein, except as required by applicable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General Development of Business</w:t>
      </w:r>
    </w:p>
    <w:p>
      <w:pPr>
        <w:spacing w:after="0" w:line="117"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We were formed on July 21, 2010 as a corporation under the laws of the State of Delaware. We expect to conduct private offerings (the “Private Offering”) of our common shares to investors in reliance on exemptions from the registration requirements of the U.S. Securities Act of 1933, as amended (the “1933 Act”). At the closing of any Private Offering, each investor will make a capital commitment to purchase shares of our common stock pursuant to a subscription agreement entered into with the Company. Investors will be required to fund drawdowns to purchase shares of the Company’s common stock up to the amount of their respective capital commitments on an as-needed basis with a minimum of 10 business days’ prior notice to the investors. See</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Item 1(c). Description of Business—The Private Offering</w:t>
      </w:r>
      <w:r>
        <w:rPr>
          <w:rFonts w:ascii="Arial" w:cs="Arial" w:eastAsia="Arial" w:hAnsi="Arial"/>
          <w:sz w:val="18"/>
          <w:szCs w:val="18"/>
          <w:color w:val="auto"/>
        </w:rPr>
        <w:t>.” We anticipate commencing our loan origination and investment activities contemporaneously with the initial closing of the Private Offering, which is expected to occur in the first quarter of 2011 (the “Closing”).</w:t>
      </w:r>
    </w:p>
    <w:p>
      <w:pPr>
        <w:spacing w:after="0" w:line="76" w:lineRule="exact"/>
        <w:rPr>
          <w:sz w:val="20"/>
          <w:szCs w:val="20"/>
          <w:color w:val="auto"/>
        </w:rPr>
      </w:pPr>
    </w:p>
    <w:p>
      <w:pPr>
        <w:jc w:val="both"/>
        <w:ind w:right="180" w:firstLine="225"/>
        <w:spacing w:after="0" w:line="288" w:lineRule="auto"/>
        <w:rPr>
          <w:sz w:val="20"/>
          <w:szCs w:val="20"/>
          <w:color w:val="auto"/>
        </w:rPr>
      </w:pPr>
      <w:r>
        <w:rPr>
          <w:rFonts w:ascii="Arial" w:cs="Arial" w:eastAsia="Arial" w:hAnsi="Arial"/>
          <w:sz w:val="16"/>
          <w:szCs w:val="16"/>
          <w:color w:val="auto"/>
        </w:rPr>
        <w:t>Concurrently with the effectiveness of this Registration Statement, we intend to file with the SEC an election to be treated as a BDC under the 1940 Act. We also intend to elect to be treated for U.S. federal income tax purposes as a regulated investment company, or a RIC, under Subchapter M of the Internal Revenue Code of 1986, as amended (the “Code”). As a BDC and a RIC, we are required to comply with certain regulatory requirements. See “</w:t>
      </w:r>
      <w:r>
        <w:rPr>
          <w:rFonts w:ascii="Arial" w:cs="Arial" w:eastAsia="Arial" w:hAnsi="Arial"/>
          <w:sz w:val="16"/>
          <w:szCs w:val="16"/>
          <w:i w:val="1"/>
          <w:iCs w:val="1"/>
          <w:color w:val="auto"/>
        </w:rPr>
        <w:t>Item 1(c).</w:t>
      </w:r>
    </w:p>
    <w:p>
      <w:pPr>
        <w:ind w:right="260"/>
        <w:spacing w:after="0" w:line="261" w:lineRule="auto"/>
        <w:rPr>
          <w:sz w:val="20"/>
          <w:szCs w:val="20"/>
          <w:color w:val="auto"/>
        </w:rPr>
      </w:pPr>
      <w:r>
        <w:rPr>
          <w:rFonts w:ascii="Arial" w:cs="Arial" w:eastAsia="Arial" w:hAnsi="Arial"/>
          <w:sz w:val="18"/>
          <w:szCs w:val="18"/>
          <w:i w:val="1"/>
          <w:iCs w:val="1"/>
          <w:color w:val="auto"/>
        </w:rPr>
        <w:t>Description of Business—Regulation as a Public Business Development Company</w:t>
      </w:r>
      <w:r>
        <w:rPr>
          <w:rFonts w:ascii="Arial" w:cs="Arial" w:eastAsia="Arial" w:hAnsi="Arial"/>
          <w:sz w:val="18"/>
          <w:szCs w:val="18"/>
          <w:color w:val="auto"/>
        </w:rPr>
        <w:t>” and “</w:t>
      </w:r>
      <w:r>
        <w:rPr>
          <w:rFonts w:ascii="Arial" w:cs="Arial" w:eastAsia="Arial" w:hAnsi="Arial"/>
          <w:sz w:val="18"/>
          <w:szCs w:val="18"/>
          <w:i w:val="1"/>
          <w:iCs w:val="1"/>
          <w:color w:val="auto"/>
        </w:rPr>
        <w:t>Item 1(c). Description of Business—Certain U.S. Federal Income Tax Consequences</w:t>
      </w:r>
      <w:r>
        <w:rPr>
          <w:rFonts w:ascii="Arial" w:cs="Arial" w:eastAsia="Arial" w:hAnsi="Arial"/>
          <w:sz w:val="18"/>
          <w:szCs w:val="18"/>
          <w:color w:val="auto"/>
        </w:rPr>
        <w:t>.”</w:t>
      </w:r>
    </w:p>
    <w:p>
      <w:pPr>
        <w:spacing w:after="0" w:line="7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Financial Information about Industry Segments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operations comprise only a single reportable segment. See “</w:t>
      </w:r>
      <w:r>
        <w:rPr>
          <w:rFonts w:ascii="Arial" w:cs="Arial" w:eastAsia="Arial" w:hAnsi="Arial"/>
          <w:sz w:val="18"/>
          <w:szCs w:val="18"/>
          <w:i w:val="1"/>
          <w:iCs w:val="1"/>
          <w:color w:val="auto"/>
        </w:rPr>
        <w:t>Item 2. Financial Information</w:t>
      </w:r>
      <w:r>
        <w:rPr>
          <w:rFonts w:ascii="Arial" w:cs="Arial" w:eastAsia="Arial" w:hAnsi="Arial"/>
          <w:sz w:val="18"/>
          <w:szCs w:val="18"/>
          <w:color w:val="auto"/>
        </w:rPr>
        <w:t>.”</w:t>
      </w:r>
    </w:p>
    <w:p>
      <w:pPr>
        <w:spacing w:after="0" w:line="11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Description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are a specialty finance investment company. Our primary focus is to generate current income and capital appreciation through direct investments in senior secured loans, mezzanine loans and, to a lesser extent, equity securities of eligible portfolio companies (i.e., U.S. domiciled, middle-market issuers). By “middle-market issuers,” we mean companies that have annual earnings before interest, income taxes, depreciation and amortization (EBITDA), which we believe is a useful proxy for cash flow, of $10 million to $250 million. We may on occasion invest in larger or smaller companies. We also may invest up to 30% of our portfolio opportunistically in non-eligible portfolio companies.</w:t>
      </w:r>
    </w:p>
    <w:p>
      <w:pPr>
        <w:spacing w:after="0" w:line="8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Our business model is focused primarily on the direct origination of loans to middle-market companies. We expect to generate returns through a combination of contractual interest payments on debt investments, equity appreciation (through options, warrants, conversion rights or direct equity investments) and origination and similar fees. Our primary focus is to generate current income and capital appreciation through these direct investments. We can offer no assurances that we will achieve our investment objective.</w:t>
      </w:r>
    </w:p>
    <w:p>
      <w:pPr>
        <w:spacing w:after="0" w:line="79" w:lineRule="exact"/>
        <w:rPr>
          <w:sz w:val="20"/>
          <w:szCs w:val="20"/>
          <w:color w:val="auto"/>
        </w:rPr>
      </w:pPr>
    </w:p>
    <w:p>
      <w:pPr>
        <w:jc w:val="both"/>
        <w:ind w:right="240" w:firstLine="222"/>
        <w:spacing w:after="0" w:line="279" w:lineRule="auto"/>
        <w:rPr>
          <w:sz w:val="20"/>
          <w:szCs w:val="20"/>
          <w:color w:val="auto"/>
        </w:rPr>
      </w:pPr>
      <w:r>
        <w:rPr>
          <w:rFonts w:ascii="Arial" w:cs="Arial" w:eastAsia="Arial" w:hAnsi="Arial"/>
          <w:sz w:val="17"/>
          <w:szCs w:val="17"/>
          <w:color w:val="auto"/>
        </w:rPr>
        <w:t>We expect our capital will be used to support organic growth, acquisitions, market or product expansion and/or recapitalizations. Over time, as we build our portfolio, we expect no single investment to be larger than 10% of our available capital base. The debt in which we invest typically will not be initially rated by any rating agency, but if such investments were rated, it is likely they would be below investment grade. We expect most of our investments to be floating-rate in nature, which we believe will help act as a portfolio-wide hedge against inflation.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Because we intend to be a BDC, and we intend to qualify as a RIC under the Code, our portfolio will be subject to diversification and other requirements. See “</w:t>
      </w:r>
      <w:r>
        <w:rPr>
          <w:rFonts w:ascii="Arial" w:cs="Arial" w:eastAsia="Arial" w:hAnsi="Arial"/>
          <w:sz w:val="18"/>
          <w:szCs w:val="18"/>
          <w:i w:val="1"/>
          <w:iCs w:val="1"/>
          <w:color w:val="auto"/>
        </w:rPr>
        <w:t>—Certain U.S. Federal Income Tax Consequences.</w:t>
      </w:r>
      <w:r>
        <w:rPr>
          <w:rFonts w:ascii="Arial" w:cs="Arial" w:eastAsia="Arial" w:hAnsi="Arial"/>
          <w:sz w:val="18"/>
          <w:szCs w:val="18"/>
          <w:color w:val="auto"/>
        </w:rPr>
        <w:t>”</w:t>
      </w:r>
    </w:p>
    <w:p>
      <w:pPr>
        <w:spacing w:after="0" w:line="62"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may borrow money from time to time within the levels permitted by the 1940 Act (which generally allows us to incur leverage for up to one-half of our assets). In determining whether to borrow money, we will analyze the maturity, covenant package and rate structure of the proposed borrowings as well as the risks of such borrowings compared to our investment outlook. The use of borrowed funds or the proceeds of preferred stock offerings to make investments would have its own specific set of benefits and risks, and all of the costs of borrowing funds or issuing preferred stock would be borne by holders of our common stock. See “</w:t>
      </w:r>
      <w:r>
        <w:rPr>
          <w:rFonts w:ascii="Arial" w:cs="Arial" w:eastAsia="Arial" w:hAnsi="Arial"/>
          <w:sz w:val="18"/>
          <w:szCs w:val="18"/>
          <w:i w:val="1"/>
          <w:iCs w:val="1"/>
          <w:color w:val="auto"/>
        </w:rPr>
        <w:t>Item 1A. Risk Factors—Risks Relating to Our Business and Structure—We may borrow money, which may magnify the potential for gain</w:t>
      </w:r>
      <w:r>
        <w:rPr>
          <w:rFonts w:ascii="Arial" w:cs="Arial" w:eastAsia="Arial" w:hAnsi="Arial"/>
          <w:sz w:val="18"/>
          <w:szCs w:val="18"/>
          <w:color w:val="auto"/>
        </w:rPr>
        <w:t xml:space="preserve"> </w:t>
      </w:r>
      <w:r>
        <w:rPr>
          <w:rFonts w:ascii="Arial" w:cs="Arial" w:eastAsia="Arial" w:hAnsi="Arial"/>
          <w:sz w:val="18"/>
          <w:szCs w:val="18"/>
          <w:i w:val="1"/>
          <w:iCs w:val="1"/>
          <w:color w:val="auto"/>
        </w:rPr>
        <w:t>or loss and may increase the risk of investing in us</w:t>
      </w:r>
      <w:r>
        <w:rPr>
          <w:rFonts w:ascii="Arial" w:cs="Arial" w:eastAsia="Arial" w:hAnsi="Arial"/>
          <w:sz w:val="18"/>
          <w:szCs w:val="18"/>
          <w:color w:val="auto"/>
        </w:rPr>
        <w:t>.”</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Investment Adviser</w:t>
      </w:r>
    </w:p>
    <w:p>
      <w:pPr>
        <w:spacing w:after="0" w:line="117"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TSL Advisers, LLC, a Delaware limited liability company (the “Adviser”) and an affiliate of TPG Capital, L.P. (“TPG”), will act as our investment adviser. The Adviser will register with the SEC as a registered investment adviser under the Investment Advisers Act of 1940, as amended (the “Advisers Act”). We expect that the Adviser will source and manage our portfolio through a team of investment professionals (the “Investment Team”), led by Co-Chief Investment Officers Alan Waxman and Joshua Easterly, who have substantial experience in credit origination. Mr. Waxman was the co-founder of the Goldman Sachs Specialty Lending Group (“GSSLG”) and Mr. Easterly is the former co-head of GSSLG. Our investments will also be made in coordination with an investment review committee (the “Investment Review Committee”) that includes senior partners of TPG.</w:t>
      </w:r>
    </w:p>
    <w:p>
      <w:pPr>
        <w:spacing w:after="0" w:line="70"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Adviser is affiliated with TPG, one of the largest diversified alternative investment firms in the world, with total assets under management of approximately $48.3 billion as of September 30, 2010. Management of the Adviser will be centered in TPG Opportunities Partners, L.P. (“TOP”), formed in 2009 as TPG’s distressed and special situations platform. Along with Messrs. Waxman and Easterly, TOP has a team of over 20 dedicated professionals and collectively brings extensive experience in the credit markets and special situations investing. See “</w:t>
      </w:r>
      <w:r>
        <w:rPr>
          <w:rFonts w:ascii="Arial" w:cs="Arial" w:eastAsia="Arial" w:hAnsi="Arial"/>
          <w:sz w:val="18"/>
          <w:szCs w:val="18"/>
          <w:i w:val="1"/>
          <w:iCs w:val="1"/>
          <w:color w:val="auto"/>
        </w:rPr>
        <w:t>Item 7. Certain Relationships and Related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Director Independence</w:t>
      </w:r>
      <w:r>
        <w:rPr>
          <w:rFonts w:ascii="Arial" w:cs="Arial" w:eastAsia="Arial" w:hAnsi="Arial"/>
          <w:sz w:val="18"/>
          <w:szCs w:val="18"/>
          <w:color w:val="auto"/>
        </w:rPr>
        <w: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Board of Directors</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Our board of directors (the “Board”) will have ultimate authority as to our investments, but we expect it will delegate authority to the Adviser to select and monitor our investments, subject to the supervision of the Board. Pursuant to our amended and restated certificate of incorporation, which we anticipate will have been adopted prior to the Closing (the “Amended and Restated Certificate of Incorporation”), the Board will initially consist of five members. A majority of the Board will at all times consist of directors who are not “interested persons” of the Company, of the Adviser or of any of their respective affiliates, as defined in the 1940 Act (the “Independent Directors”).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Advisory Agreement; Administration Agreement; License Agreement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enter into an Advisory Agreement with our Adviser, which we refer to as the “Advisory Agreement,” under which the Adviser will:</w:t>
      </w:r>
    </w:p>
    <w:p>
      <w:pPr>
        <w:spacing w:after="0" w:line="117"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determine the composition of our portfolio, the nature and timing of the changes to our portfolio and the manner of implementing such changes;</w:t>
      </w:r>
    </w:p>
    <w:p>
      <w:pPr>
        <w:spacing w:after="0" w:line="142" w:lineRule="exact"/>
        <w:rPr>
          <w:rFonts w:ascii="Arial" w:cs="Arial" w:eastAsia="Arial" w:hAnsi="Arial"/>
          <w:sz w:val="17"/>
          <w:szCs w:val="17"/>
          <w:b w:val="1"/>
          <w:bCs w:val="1"/>
          <w:color w:val="auto"/>
        </w:rPr>
      </w:pPr>
    </w:p>
    <w:p>
      <w:pPr>
        <w:ind w:left="660" w:right="80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identify, evaluate and negotiate the structure of the investments we make (including performing due diligence on our prospective portfolio companies);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determine the assets we will originate, purchase, retain or sell;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close, monitor and administer the investments we make, including the exercise of any rights in our capacity as a lender;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provide us such other investment advice, research and related services as we may, from time to time, require.</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or other services to others so long as its services to us are not impaired.</w:t>
      </w:r>
    </w:p>
    <w:p>
      <w:pPr>
        <w:spacing w:after="0" w:line="62"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Under the terms of the Advisory Agreement, we will pay the Adviser a base management fee (the “Management Fee”) and may also pay to it incentive fees (each, an “Incentive Fee”). The Management Fee will be payable quarterly in arrears as of the last day of the quarter to which it relates at an annual rate of 1.5% of the average of the Company’s total gross assets as of the end of that quarter and the immediately preceding quarter. For each of the first two calendar quarters of the Company’s operations, the Management Fee will be calculated based on the Company’s total gross assets at the end of such calendar quarter. Prior to any initial public offering of the Company’s common stock (an “IPO”), the Adviser will waive its right to receive a portion of the Management Fee. The fee waiver will terminate if and when an IPO becomes effective.</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Incentive Fee will consist of two components:</w:t>
      </w:r>
    </w:p>
    <w:p>
      <w:pPr>
        <w:spacing w:after="0" w:line="117" w:lineRule="exact"/>
        <w:rPr>
          <w:sz w:val="20"/>
          <w:szCs w:val="20"/>
          <w:color w:val="auto"/>
        </w:rPr>
      </w:pPr>
    </w:p>
    <w:p>
      <w:pPr>
        <w:ind w:right="80" w:firstLine="233"/>
        <w:spacing w:after="0" w:line="25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an IPO, the first component of the Incentive Fee will equal 100% of the excess (if any) of pre-Incentive Fee net investment income over a 1.5% quarterly (6% annualized) hurdle rate, until the Adviser has received 17.5% of total net investment income for that quarter, and 17.5% of all remaining pre-Incentive Fee net investment income for that quarter. No Incentive Fee will be payable under this component for any quarter in which pre-Incentive Fee net investment income does not exceed the hurdle rate for that quarter. Prior to an IPO, the first component of the Incentive Fee payable by the Company will be subject to a reduced rate.</w:t>
      </w:r>
    </w:p>
    <w:p>
      <w:pPr>
        <w:spacing w:after="0" w:line="8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“Pre-Incentive Fee net investment income” means dividends (whether or not reinvested), interest and fee income less operating expenses, calculated on an accrual basis.</w:t>
      </w:r>
    </w:p>
    <w:p>
      <w:pPr>
        <w:spacing w:after="0" w:line="62" w:lineRule="exact"/>
        <w:rPr>
          <w:sz w:val="20"/>
          <w:szCs w:val="20"/>
          <w:color w:val="auto"/>
        </w:rPr>
      </w:pPr>
    </w:p>
    <w:p>
      <w:pPr>
        <w:ind w:right="80" w:firstLine="233"/>
        <w:spacing w:after="0" w:line="291" w:lineRule="auto"/>
        <w:tabs>
          <w:tab w:leader="none" w:pos="49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Following an IPO, the second component, payable at the end of each fiscal year in arrears, will equal a percentage, which we refer to as the “Weighted Percentage,” of the cumulative capital gains from the inception of the Company to the end of such fiscal year, minus the aggregate amount of any previously paid capital gain Incentive Fees for prior periods; but in no event will be less than zero. The Weighted Percentage will be calculated at the end of each fiscal year of the Company that occurs following an IPO and is intended to ensure that the portion of the Company’s capital gains that accrued following an IPO will be subject to an incentive fee rate of 17.5% and the portion of the Company’s capital gains that accrued prior to an IPO will be subject to a reduced rate. The Weighted Percentage will be calculated in the manner set forth in the Advisory Agreement, the form of which is filed as Exhibit 10.1 of this Registration Statement. Prior to an IPO, the second component of the Incentive Fee payable by the Company will be subject to a reduced rate.</w:t>
      </w:r>
    </w:p>
    <w:p>
      <w:pPr>
        <w:spacing w:after="0" w:line="5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“Cumulative capital gains” means, on any relevant date, cumulative realized capital gains, less the sum of (a) realized capital losses and (b) unrealized capital depreciation on investments, in each case as of such date.</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Our Board will monitor the mix and performance of our investments over time and will seek to satisfy itself that the Adviser is acting in our interests and that our fee structure appropriately incentivizes the Adviser to do so.</w:t>
      </w:r>
    </w:p>
    <w:p>
      <w:pPr>
        <w:spacing w:after="0" w:line="62"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will also enter into an Administration Agreement with our Adviser, which we refer to as the “Administration Agreement,” under which the Adviser will provide administrative services to us. These services will include providing office space to us, providing us with equipment and office services, maintaining our financial records, preparing reports to our stockholders and reports filed with the SEC, and managing the payment of our expenses and the performance of administrative and professional services rendered to us by others. We will reimburse the Adviser for reasonable costs and expenses incurred by the Adviser in providing these services, facilities and personnel, as provided by the Administration Agreement. We will also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 See “</w:t>
      </w:r>
      <w:r>
        <w:rPr>
          <w:rFonts w:ascii="Arial" w:cs="Arial" w:eastAsia="Arial" w:hAnsi="Arial"/>
          <w:sz w:val="18"/>
          <w:szCs w:val="18"/>
          <w:i w:val="1"/>
          <w:iCs w:val="1"/>
          <w:color w:val="auto"/>
        </w:rPr>
        <w:t>Fees and Expenses</w:t>
      </w:r>
      <w:r>
        <w:rPr>
          <w:rFonts w:ascii="Arial" w:cs="Arial" w:eastAsia="Arial" w:hAnsi="Arial"/>
          <w:sz w:val="18"/>
          <w:szCs w:val="18"/>
          <w:color w:val="auto"/>
        </w:rPr>
        <w:t>.” In addition, the Adviser is permitted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delegate its duties under the Administration Agreement to affiliates or third parties and we will reimburse the expenses of these parties incurred and paid by the Adviser on our behalf.</w:t>
      </w:r>
    </w:p>
    <w:p>
      <w:pPr>
        <w:spacing w:after="0" w:line="62"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anticipate that both the Advisory Agreement and the Administration Agreement will be approved by our Board prior to or contemporaneously with the Closing. Unless earlier terminated as described below, both the Advisory Agreement and the Administration Agreement will remain in effect for a period of two years from such approval and will remain in effect from year to year thereafter if approved annually by (i) the vote of our Board, or by the vote of a majority of our outstanding voting securities, and (ii) the vote of a majority of our Independent Directors. The Advisory Agreement and the Administration Agreement will automatically terminate in the event of assignment. Both the Advisory Agreement and the Administration Agreement may be terminated by either party without penalty upon not less than 60 days’ written notice to the other. See “</w:t>
      </w:r>
      <w:r>
        <w:rPr>
          <w:rFonts w:ascii="Arial" w:cs="Arial" w:eastAsia="Arial" w:hAnsi="Arial"/>
          <w:sz w:val="17"/>
          <w:szCs w:val="17"/>
          <w:i w:val="1"/>
          <w:iCs w:val="1"/>
          <w:color w:val="auto"/>
        </w:rPr>
        <w:t>Item 1A. Risk Factors—Risks Relating to Our Business and Structure</w:t>
      </w:r>
      <w:r>
        <w:rPr>
          <w:rFonts w:ascii="Arial" w:cs="Arial" w:eastAsia="Arial" w:hAnsi="Arial"/>
          <w:sz w:val="17"/>
          <w:szCs w:val="17"/>
          <w:color w:val="auto"/>
        </w:rPr>
        <w:t xml:space="preserve"> </w:t>
      </w:r>
      <w:r>
        <w:rPr>
          <w:rFonts w:ascii="Arial" w:cs="Arial" w:eastAsia="Arial" w:hAnsi="Arial"/>
          <w:sz w:val="17"/>
          <w:szCs w:val="17"/>
          <w:i w:val="1"/>
          <w:iCs w:val="1"/>
          <w:color w:val="auto"/>
        </w:rPr>
        <w:t>—We will be dependent upon management personnel of the Adviser for our future success</w:t>
      </w:r>
      <w:r>
        <w:rPr>
          <w:rFonts w:ascii="Arial" w:cs="Arial" w:eastAsia="Arial" w:hAnsi="Arial"/>
          <w:sz w:val="17"/>
          <w:szCs w:val="17"/>
          <w:color w:val="auto"/>
        </w:rPr>
        <w:t>.”</w:t>
      </w:r>
    </w:p>
    <w:p>
      <w:pPr>
        <w:spacing w:after="0" w:line="70"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Adviser will not assume any responsibility to us other than to render the services described in, and on the terms of, the Advisory Agreement and the Administration Agreement, and will not be responsible for any action of our Board in declining to follow the advice or recommendations of the Adviser. Under the terms of the Advisory Agreement and the Administration Agreement, the Adviser (and its members, managers, officers, employees, agents, controlling persons and any other person or entity affiliated with it) shall not be liable to the Company for any action taken or omitted to be taken by the Adviser in connection with the performance of any of its duties or obligations under the Advisory Agreement, the Administration Agreement or otherwise as an investment adviser of the Company (except to the extent specified in Section 36(b) of the Investment Company Act concerning loss resulting from a breach of fiduciary duty (as the same is finally determined by judicial proceedings) with respect to the receipt of compensation for services).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of the Adviser or any other person or entity affiliated with the Adviser or is or was a member of the Adviser’s Investment Review Committee, on the same general terms set forth in Article VIII of our Amended and Restated Certificate of Incorporation.</w:t>
      </w:r>
    </w:p>
    <w:p>
      <w:pPr>
        <w:spacing w:after="0" w:line="61"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color w:val="auto"/>
        </w:rPr>
        <w:t>United States federal and state securities laws may impose liability under certain circumstances on persons who act in good faith. Nothing in the Advisory Agreement will constitute a waiver or limitation of any rights that the Company may have under any applicable federal or state securities laws.</w:t>
      </w:r>
    </w:p>
    <w:p>
      <w:pPr>
        <w:spacing w:after="0" w:line="38" w:lineRule="exact"/>
        <w:rPr>
          <w:sz w:val="20"/>
          <w:szCs w:val="20"/>
          <w:color w:val="auto"/>
        </w:rPr>
      </w:pPr>
    </w:p>
    <w:p>
      <w:pPr>
        <w:jc w:val="both"/>
        <w:ind w:right="340" w:firstLine="222"/>
        <w:spacing w:after="0" w:line="312" w:lineRule="auto"/>
        <w:rPr>
          <w:sz w:val="20"/>
          <w:szCs w:val="20"/>
          <w:color w:val="auto"/>
        </w:rPr>
      </w:pPr>
      <w:r>
        <w:rPr>
          <w:rFonts w:ascii="Arial" w:cs="Arial" w:eastAsia="Arial" w:hAnsi="Arial"/>
          <w:sz w:val="16"/>
          <w:szCs w:val="16"/>
          <w:color w:val="auto"/>
        </w:rPr>
        <w:t>We will also enter into a license agreement (the “License Agreement”) with an affiliate of TPG, pursuant to which we will be granted a non-exclusive license to use the name “TPG.” Under the License Agreement, we will have a right to use the TPG name and logo for so long as the Adviser or one of its affiliates remains our investment adviser. Other than with respect to this limited license, we will have no legal right to the “TPG” name or logo.</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Decision Process</w:t>
      </w:r>
    </w:p>
    <w:p>
      <w:pPr>
        <w:spacing w:after="0" w:line="117"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Adviser will be responsible for managing our day-to-day business affairs, including implementing investment policies and strategic initiatives set by the Investment Team and managing our portfolio under the general oversight of the Investment Review Committee. The Investment Review Committee will be comprised of senior personnel of TPG, TOP, senior members of the Adviser and certain other persons appointed by the Adviser from time to time. The investment professionals of the Adviser and the Investment Review Committee will be supported by and have access to the investment professionals, analytical capabilities and support personnel of TPG or its affiliates. Some of the officers and employees of the Adviser, including some of its senior officers, will be also employees of TPG. See “</w:t>
      </w:r>
      <w:r>
        <w:rPr>
          <w:rFonts w:ascii="Arial" w:cs="Arial" w:eastAsia="Arial" w:hAnsi="Arial"/>
          <w:sz w:val="16"/>
          <w:szCs w:val="16"/>
          <w:i w:val="1"/>
          <w:iCs w:val="1"/>
          <w:color w:val="auto"/>
        </w:rPr>
        <w:t>Item 7. Certain Relationships and Related Transactions, and Director Independence</w:t>
      </w:r>
      <w:r>
        <w:rPr>
          <w:rFonts w:ascii="Arial" w:cs="Arial" w:eastAsia="Arial" w:hAnsi="Arial"/>
          <w:sz w:val="16"/>
          <w:szCs w:val="16"/>
          <w:color w:val="auto"/>
        </w:rPr>
        <w:t>.”</w:t>
      </w:r>
    </w:p>
    <w:p>
      <w:pPr>
        <w:spacing w:after="0" w:line="57"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Adviser will keep our Board well informed as to the identity and title of each member of its Investment Review Committee and provide to the Board such other information with respect to such persons and the functioning of the Investment Review Committee and the Investment Team as the Board may from time to time request.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Portfolio Composition</w:t>
      </w:r>
    </w:p>
    <w:p>
      <w:pPr>
        <w:spacing w:after="0" w:line="117"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Our investments will primarily take the form of senior secured loans with embedded first lien and junior secured risk; standalone senior secured loans that are typically senior on a lien basis to other liabilities in the issuer’s capital structure and have the benefit of a security interest over the assets of the portfolio company; standalone second lien loans (i.e., senior secured loans that are typically senior on a lien basis to other liabilities in the issuer’s capital structure and have the benefit of a security interest over the assets of the borrower, though ranking junior to first lien loans); and mezzanine loans/structured equity. Any of our loans may also include an equity component such as a warrant or profit participation right. In certain instances we will also make direct equity investments, although typically in connection with making an investment in a more senior part of the capital structure.</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100" w:firstLine="222"/>
        <w:spacing w:after="0" w:line="293" w:lineRule="auto"/>
        <w:rPr>
          <w:sz w:val="20"/>
          <w:szCs w:val="20"/>
          <w:color w:val="auto"/>
        </w:rPr>
      </w:pPr>
      <w:r>
        <w:rPr>
          <w:rFonts w:ascii="Arial" w:cs="Arial" w:eastAsia="Arial" w:hAnsi="Arial"/>
          <w:sz w:val="16"/>
          <w:szCs w:val="16"/>
          <w:color w:val="auto"/>
        </w:rPr>
        <w:t>We will compete for investments with a number of business development companies and other investment funds (including private equity funds and venture capital funds), special purpose acquisition company (“SPAC”) sponsors, investment banks that underwrite initial public offerings, hedge funds that invest in private investments in public equities (“PIPEs”), traditional financial services companies such as commercial banks, and other sources of financing. Many of these entities have greater financial and managerial resources than we do. Furthermore, many of our competitors are not subject to the regulatory restrictions that the 1940 Act will impose on us as a BDC. For additional information concerning the competitive risks we expect to face, see “</w:t>
      </w:r>
      <w:r>
        <w:rPr>
          <w:rFonts w:ascii="Arial" w:cs="Arial" w:eastAsia="Arial" w:hAnsi="Arial"/>
          <w:sz w:val="16"/>
          <w:szCs w:val="16"/>
          <w:i w:val="1"/>
          <w:iCs w:val="1"/>
          <w:color w:val="auto"/>
        </w:rPr>
        <w:t>Item 1A. 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Factors—Risks Relating to Our Business and Structure—We will operate in a highly competitive market for investment opportunities</w:t>
      </w:r>
      <w:r>
        <w:rPr>
          <w:rFonts w:ascii="Arial" w:cs="Arial" w:eastAsia="Arial" w:hAnsi="Arial"/>
          <w:sz w:val="16"/>
          <w:szCs w:val="16"/>
          <w:color w:val="auto"/>
        </w:rPr>
        <w: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Fees and Expenses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anticipate that all investment professionals and staff of the Adviser, when and to the extent engaged in providing us investment advisory and management services, and the base compensation, bonus and benefits, and the routine overhead expenses, of such personnel allocable to such services, will be provided and paid for by the Adviser.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bear all other costs and expenses of our operations, administration and transactions, including, but not limited to, those relating to:</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our initial organization costs and operating costs incurred prior to the commencement of commercial activities (up to an aggregate of $1,500,000);</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expenses, including travel expenses, incurred by the Adviser, or members of the Investment Team, or payable to third parties, performing due diligence on prospective portfolio companies and, if necessary, enforcing our rights;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costs of the offerings of common shares and other securities, if 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allocated costs incurred by the Adviser in providing managerial assistance to those portfolio companies that request it;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b w:val="1"/>
          <w:bCs w:val="1"/>
          <w:color w:val="auto"/>
        </w:rPr>
      </w:pPr>
    </w:p>
    <w:p>
      <w:pPr>
        <w:jc w:val="both"/>
        <w:ind w:left="660" w:right="160" w:hanging="436"/>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86" w:lineRule="exact"/>
        <w:rPr>
          <w:rFonts w:ascii="Arial" w:cs="Arial" w:eastAsia="Arial" w:hAnsi="Arial"/>
          <w:sz w:val="18"/>
          <w:szCs w:val="18"/>
          <w:b w:val="1"/>
          <w:bCs w:val="1"/>
          <w:color w:val="auto"/>
        </w:rPr>
      </w:pPr>
    </w:p>
    <w:p>
      <w:pPr>
        <w:ind w:left="660" w:right="140" w:hanging="436"/>
        <w:spacing w:after="0" w:line="342"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b w:val="1"/>
          <w:bCs w:val="1"/>
          <w:color w:val="auto"/>
        </w:rPr>
      </w:pPr>
    </w:p>
    <w:p>
      <w:pPr>
        <w:ind w:left="660" w:right="3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fidelity bond (as described more fully under “</w:t>
      </w:r>
      <w:r>
        <w:rPr>
          <w:rFonts w:ascii="Arial" w:cs="Arial" w:eastAsia="Arial" w:hAnsi="Arial"/>
          <w:sz w:val="18"/>
          <w:szCs w:val="18"/>
          <w:i w:val="1"/>
          <w:iCs w:val="1"/>
          <w:color w:val="auto"/>
        </w:rPr>
        <w:t>Item 1(c). Description of Business—Regulation as a Public Business Development Company</w:t>
      </w:r>
      <w:r>
        <w:rPr>
          <w:rFonts w:ascii="Arial" w:cs="Arial" w:eastAsia="Arial" w:hAnsi="Arial"/>
          <w:sz w:val="18"/>
          <w:szCs w:val="18"/>
          <w:color w:val="auto"/>
        </w:rPr>
        <w:t>,” below);</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From time to time, the Adviser may pay third-party providers of goods or services. We will subsequently reimburse the Adviser for such amounts paid on our behalf. In addition, we will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 All of these expenses will ultimately be borne by our shareholders.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 and Borrowings</w:t>
      </w:r>
    </w:p>
    <w:p>
      <w:pPr>
        <w:spacing w:after="0" w:line="117"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We anticipate cash to be generated from the Private Offering and other future offerings of securities (including an IPO), and cash flows from operations, including interest earned from the temporary investment of cash in cash equivalents, U.S. government securities and other high-quality debt investments that mature in one year or less. Additionally, we will be permitted, under specified conditions, to issue multiple classes of indebtedness and one class of stock senior to our common stock if our asset coverage, as defined in the 1940 Act, is at least equal to 200% immediately after each such issuance. Furthermore, while any indebtedness and senior securities remain outstanding, we must make provisions to prohibit any distribution to our stockholders or the repurchase of such securities or shares unless we meet the applicable asset coverage ratios at the time of the distribution or repurchase. In connection with borrowings, our lenders may require us to pledge assets, investor commitments to fund capital calls and/or the proceeds of those capital calls. In addition, the lenders may ask us to comply with positive or negative covenants that could have an effect on our operations.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Reinvestment Plan</w:t>
      </w:r>
    </w:p>
    <w:p>
      <w:pPr>
        <w:spacing w:after="0" w:line="117"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We intend to adopt a dividend reinvestment plan, pursuant to which the Company will reinvest all cash dividends declared by the Board on behalf of investors who do not elect to receive their dividends in cash as provided below. As a result, if the Board authorizes, and we declare, a cash dividend or other distribution, then our stockholders who have not opted out of our dividend reinvestment plan will have their cash distributions automatically reinvested in additional shares of our common stock as described below, rather than receiving the cash dividend or other distribution.</w:t>
      </w:r>
    </w:p>
    <w:p>
      <w:pPr>
        <w:spacing w:after="0" w:line="63" w:lineRule="exact"/>
        <w:rPr>
          <w:sz w:val="20"/>
          <w:szCs w:val="20"/>
          <w:color w:val="auto"/>
        </w:rPr>
      </w:pPr>
    </w:p>
    <w:p>
      <w:pPr>
        <w:ind w:right="280" w:firstLine="222"/>
        <w:spacing w:after="0" w:line="259" w:lineRule="auto"/>
        <w:rPr>
          <w:sz w:val="20"/>
          <w:szCs w:val="20"/>
          <w:color w:val="auto"/>
        </w:rPr>
      </w:pPr>
      <w:r>
        <w:rPr>
          <w:rFonts w:ascii="Arial" w:cs="Arial" w:eastAsia="Arial" w:hAnsi="Arial"/>
          <w:sz w:val="18"/>
          <w:szCs w:val="18"/>
          <w:color w:val="auto"/>
        </w:rPr>
        <w:t>The number of shares to be issued to a stockholder under the dividend reinvestment plan will be determined by dividing the total dollar amount of the distribution payable to such stockholder by (i) prior to an IPO, the net asset value per share of our common stock, as of the last day of our fiscal quarter immediately preceding the date such distribution was declared, or (ii) following an IPO, the market price of our common stock. We intend to use primarily newly issued shares to implement the plan.</w:t>
      </w:r>
    </w:p>
    <w:p>
      <w:pPr>
        <w:spacing w:after="0" w:line="79" w:lineRule="exact"/>
        <w:rPr>
          <w:sz w:val="20"/>
          <w:szCs w:val="20"/>
          <w:color w:val="auto"/>
        </w:rPr>
      </w:pPr>
    </w:p>
    <w:p>
      <w:pPr>
        <w:jc w:val="both"/>
        <w:ind w:right="500" w:firstLine="225"/>
        <w:spacing w:after="0" w:line="286" w:lineRule="auto"/>
        <w:rPr>
          <w:sz w:val="20"/>
          <w:szCs w:val="20"/>
          <w:color w:val="auto"/>
        </w:rPr>
      </w:pPr>
      <w:r>
        <w:rPr>
          <w:rFonts w:ascii="Arial" w:cs="Arial" w:eastAsia="Arial" w:hAnsi="Arial"/>
          <w:sz w:val="17"/>
          <w:szCs w:val="17"/>
          <w:color w:val="auto"/>
        </w:rPr>
        <w:t>No action will be required on the part of a registered stockholder to have his, her or its cash dividend or other distribution reinvested in shares of our common stock. A registered stockholder will be able to elect to receive an entire cash dividend or other distribution in cash by notifying the Adviser in writing, so that such notice is received by the Adviser no later than 10 days prior to the record date for distributions to the stockholders.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will be no brokerage charges or other charges to stockholders who participate in the plan.</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plan will be terminable by us upon notice in writing mailed to each shareholder of record at least 30 days prior to any record date for the payment of any distribution by us.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will be provided by individuals who are employees of our Adviser or its affiliates, pursuant to the terms of the Advisory Agreement and the Administration Agreement. Each of our executive officers described under “</w:t>
      </w:r>
      <w:r>
        <w:rPr>
          <w:rFonts w:ascii="Arial" w:cs="Arial" w:eastAsia="Arial" w:hAnsi="Arial"/>
          <w:sz w:val="18"/>
          <w:szCs w:val="18"/>
          <w:i w:val="1"/>
          <w:iCs w:val="1"/>
          <w:color w:val="auto"/>
        </w:rPr>
        <w:t>Item 5. Directors and Executive Officers</w:t>
      </w:r>
      <w:r>
        <w:rPr>
          <w:rFonts w:ascii="Arial" w:cs="Arial" w:eastAsia="Arial" w:hAnsi="Arial"/>
          <w:sz w:val="18"/>
          <w:szCs w:val="18"/>
          <w:color w:val="auto"/>
        </w:rPr>
        <w:t>” will be an employee of our Adviser or its affiliates. Our day-to-day investment operations will be managed by our Adviser. The services necessary for the origination and administration of our investment portfolio will be provided by investment professionals employed by our Adviser or its affiliates. This Investment Team will focus on origination and transaction development and the ongoing monitoring of our investments. In addition, we will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 See “</w:t>
      </w:r>
      <w:r>
        <w:rPr>
          <w:rFonts w:ascii="Arial" w:cs="Arial" w:eastAsia="Arial" w:hAnsi="Arial"/>
          <w:sz w:val="18"/>
          <w:szCs w:val="18"/>
          <w:i w:val="1"/>
          <w:iCs w:val="1"/>
          <w:color w:val="auto"/>
        </w:rPr>
        <w:t>Item 1(c). Description of Business—General—Advisory Agreement; Administration Agreement;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Private Offering</w:t>
      </w:r>
    </w:p>
    <w:p>
      <w:pPr>
        <w:spacing w:after="0" w:line="121"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 xml:space="preserve">We expect to enter into separate subscription agreements with a number of investors providing for the private placement of the Company’s common shares pursuant to the Private Offering. Each investor will make a capital commitment to purchase shares of our common stock pursuant to the subscription agreement. Investors will be required to make capital contributions to purchase shares of the Company’s common stock each time the Company delivers a drawdown notice, which will be delivered at least 10 business days prior to the required funding date, in an aggregate amount not to exceed their respective capital commitments. All purchases will generally be made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investors’ capital commitments, at a per-share price equal to the net asset value per share of the Company’s common stock as of the close of the last quarter preceding the drawdown date. Upon the earlier to occur of an IPO of the Company’s common stock that results in an unaffiliated public float of at least $75 million (a “Qualified IPO”), and the fourth anniversary of the Closing (the “Commitment Period”), investors will be released from any further obligation to purchase additional shares, subject to certain exceptions contained in the subscription agreement. Prior to a Qualified IPO, no investor who participated in the Private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Offering will be permitted to sell, assign, transfer or otherwise dispose of its shares or capital commitment unless the Adviser provides its prior written consent and the transfer is otherwise made in accordance with applicable law.</w:t>
      </w:r>
    </w:p>
    <w:p>
      <w:pPr>
        <w:spacing w:after="0" w:line="62" w:lineRule="exact"/>
        <w:rPr>
          <w:sz w:val="20"/>
          <w:szCs w:val="20"/>
          <w:color w:val="auto"/>
        </w:rPr>
      </w:pPr>
    </w:p>
    <w:p>
      <w:pPr>
        <w:ind w:right="40" w:firstLine="222"/>
        <w:spacing w:after="0" w:line="289" w:lineRule="auto"/>
        <w:rPr>
          <w:sz w:val="20"/>
          <w:szCs w:val="20"/>
          <w:color w:val="auto"/>
        </w:rPr>
      </w:pPr>
      <w:r>
        <w:rPr>
          <w:rFonts w:ascii="Arial" w:cs="Arial" w:eastAsia="Arial" w:hAnsi="Arial"/>
          <w:sz w:val="16"/>
          <w:szCs w:val="16"/>
          <w:color w:val="auto"/>
        </w:rPr>
        <w:t>While the Company expects each subscription agreement to reflect the terms and conditions summarized in the preceding paragraph, the Company reserves the right to enter into subscription agreements that contain terms and conditions not found in the subscription agreements entered into with other investors, subject to applicable law. For example, we anticipate entering into a subscription agreement with one of our founding investors that would permit such investor to nominate a representative to serve as a director on the Company’s Board. Pursuant to this subscription agreement, the Adviser will be required to cause a representative of the investor to be nominated for election as a director of the Company at each annual meeting of the Company’s shareholders during which a representative of the investor does not already serve on our Board, subject to applicable law. Furthermore, for so long as the investor’s representative continues to serve as a director of the Company, the Adviser will be required to cause the investor’s representative to be appointed to the Board’s IPO committee. During any period in which the investor’s representative does not serve on the Board, the Company will generally be required to invite a representative of the investor to attend meetings of the Board and the Board’s IPO committee in a nonvoting observer capacity.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Public Business Development Company</w:t>
      </w:r>
    </w:p>
    <w:p>
      <w:pPr>
        <w:spacing w:after="0" w:line="121"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We intend to be regulated as a BDC under the 1940 Act. The 1940 Act contains prohibitions and restrictions relating to transactions between BDCs and their affiliates (including any investment advisers or sub-advisers), principal underwriters and affiliates of those affiliates or underwriters. In addition,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46" w:lineRule="exact"/>
        <w:rPr>
          <w:sz w:val="20"/>
          <w:szCs w:val="20"/>
          <w:color w:val="auto"/>
        </w:rPr>
      </w:pPr>
    </w:p>
    <w:p>
      <w:pPr>
        <w:ind w:firstLine="215"/>
        <w:spacing w:after="0" w:line="273" w:lineRule="auto"/>
        <w:rPr>
          <w:sz w:val="20"/>
          <w:szCs w:val="20"/>
          <w:color w:val="auto"/>
        </w:rPr>
      </w:pPr>
      <w:r>
        <w:rPr>
          <w:rFonts w:ascii="Arial" w:cs="Arial" w:eastAsia="Arial" w:hAnsi="Arial"/>
          <w:sz w:val="17"/>
          <w:szCs w:val="17"/>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 As a BDC, we are also required to meet a coverage ratio of the value of total assets to total senior securities, which include all of our borrowings and any preferred stock we may issue in the future, of at least 200%.</w:t>
      </w:r>
    </w:p>
    <w:p>
      <w:pPr>
        <w:spacing w:after="0" w:line="70"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80"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We may invest up to 100% of our assets in securities acquired directly from, or loans originated directly to, issuers in privately-negotiated transactions. We do not intend to acquire securities issued by any investment company that exceed the limits imposed by the 1940 Act. Under these limits, except for registered money market funds, the Company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may subject our stockholders to additional expenses. Our investment portfolio is also subject to diversification requirements by virtue of our status as a RIC for U.S. tax purposes; the related requirements are set forth below. See “</w:t>
      </w:r>
      <w:r>
        <w:rPr>
          <w:rFonts w:ascii="Arial" w:cs="Arial" w:eastAsia="Arial" w:hAnsi="Arial"/>
          <w:sz w:val="16"/>
          <w:szCs w:val="16"/>
          <w:i w:val="1"/>
          <w:iCs w:val="1"/>
          <w:color w:val="auto"/>
        </w:rPr>
        <w:t>—Certain U.S. Federal Income Tax Considerations—Regulated Investment Company Classification</w:t>
      </w:r>
      <w:r>
        <w:rPr>
          <w:rFonts w:ascii="Arial" w:cs="Arial" w:eastAsia="Arial" w:hAnsi="Arial"/>
          <w:sz w:val="16"/>
          <w:szCs w:val="16"/>
          <w:color w:val="auto"/>
        </w:rPr>
        <w:t>.”</w:t>
      </w:r>
    </w:p>
    <w:p>
      <w:pPr>
        <w:spacing w:after="0" w:line="59"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w:t>
      </w:r>
      <w:r>
        <w:rPr>
          <w:rFonts w:ascii="Arial" w:cs="Arial" w:eastAsia="Arial" w:hAnsi="Arial"/>
          <w:sz w:val="17"/>
          <w:szCs w:val="17"/>
          <w:i w:val="1"/>
          <w:iCs w:val="1"/>
          <w:color w:val="auto"/>
        </w:rPr>
        <w:t>Item 1A. Risk Factors—Risks Relating to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and Structure—Regulations governing our operation as a BDC affect our ability to, and the way in which we, raise additional capital.</w:t>
      </w:r>
      <w:r>
        <w:rPr>
          <w:rFonts w:ascii="Arial" w:cs="Arial" w:eastAsia="Arial" w:hAnsi="Arial"/>
          <w:sz w:val="17"/>
          <w:szCs w:val="17"/>
          <w:color w:val="auto"/>
        </w:rPr>
        <w:t>” We may,</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issue and sell our common stock, or warrants, options or rights to acquire our common stock, at a price below the then current net asset value of our common stock if our Board determines that such sale is in our best interests and the best interests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 our stockholders, and our stockholders have approved our policy and practice of making such sales within the preceding 12 months. In any such case, the price at which our securities are to be issued and sold may not be less than a price that, in the determination of our Board, closely approximates the market value of such securities. In addition, we may generally issue new shares of our common stock at a price below net asset value in rights offerings to existing stockholders, in payment of dividends and in certain other limited circumstances.</w:t>
      </w:r>
    </w:p>
    <w:p>
      <w:pPr>
        <w:spacing w:after="0" w:line="7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the members of our Board who are not interested persons and, in some cases, prior approval by the SEC through an exemptive order (other than in certain limited situations pursuant to current regulatory guidance). We will apply for an exemptive order from the SEC that will permit us to co-invest with funds or other pools of capital or persons managed by TPG or its affiliates. Any such order will be subject to certain terms and conditions and there can be no assurance that the application for exemptive relief will be granted by the SEC. Accordingly, we cannot assure you that the Company will be permitted to co-invest with funds managed by TPG, other than in the limited circumstances currently permitted by regulatory guidance. See “</w:t>
      </w:r>
      <w:r>
        <w:rPr>
          <w:rFonts w:ascii="Arial" w:cs="Arial" w:eastAsia="Arial" w:hAnsi="Arial"/>
          <w:sz w:val="18"/>
          <w:szCs w:val="18"/>
          <w:i w:val="1"/>
          <w:iCs w:val="1"/>
          <w:color w:val="auto"/>
        </w:rPr>
        <w:t>Item 7. Certain Relationships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w:t>
      </w:r>
      <w:r>
        <w:rPr>
          <w:rFonts w:ascii="Arial" w:cs="Arial" w:eastAsia="Arial" w:hAnsi="Arial"/>
          <w:sz w:val="18"/>
          <w:szCs w:val="18"/>
          <w:i w:val="1"/>
          <w:iCs w:val="1"/>
          <w:color w:val="auto"/>
        </w:rPr>
        <w:t xml:space="preserve"> and Director Independence</w:t>
      </w:r>
      <w:r>
        <w:rPr>
          <w:rFonts w:ascii="Arial" w:cs="Arial" w:eastAsia="Arial" w:hAnsi="Arial"/>
          <w:sz w:val="18"/>
          <w:szCs w:val="18"/>
          <w:color w:val="auto"/>
        </w:rPr>
        <w: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expect to be periodically examined by the SEC for compliance with the 1940 Act.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a BDC, we are subject to certain risks and uncertainties. See “</w:t>
      </w:r>
      <w:r>
        <w:rPr>
          <w:rFonts w:ascii="Arial" w:cs="Arial" w:eastAsia="Arial" w:hAnsi="Arial"/>
          <w:sz w:val="18"/>
          <w:szCs w:val="18"/>
          <w:i w:val="1"/>
          <w:iCs w:val="1"/>
          <w:color w:val="auto"/>
        </w:rPr>
        <w:t>Item 1A. Risk Factors—Risks Relating to Our Business and Structure.</w:t>
      </w:r>
      <w:r>
        <w:rPr>
          <w:rFonts w:ascii="Arial" w:cs="Arial" w:eastAsia="Arial" w:hAnsi="Arial"/>
          <w:sz w:val="18"/>
          <w:szCs w:val="18"/>
          <w:color w:val="auto"/>
        </w:rPr>
        <w: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Qualifying Assets</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73" w:lineRule="exact"/>
        <w:rPr>
          <w:sz w:val="20"/>
          <w:szCs w:val="20"/>
          <w:color w:val="auto"/>
        </w:rPr>
      </w:pPr>
    </w:p>
    <w:p>
      <w:pPr>
        <w:ind w:left="660" w:right="400" w:hanging="436"/>
        <w:spacing w:after="0" w:line="259"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78"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o</w:t>
      </w:r>
      <w:r>
        <w:rPr>
          <w:rFonts w:ascii="Arial" w:cs="Arial" w:eastAsia="Arial" w:hAnsi="Arial"/>
          <w:sz w:val="16"/>
          <w:szCs w:val="16"/>
          <w:color w:val="auto"/>
        </w:rPr>
        <w:t>is organized under the laws of, and has its principal place of business in, the United States;</w:t>
      </w:r>
    </w:p>
    <w:p>
      <w:pPr>
        <w:spacing w:after="0" w:line="130" w:lineRule="exact"/>
        <w:rPr>
          <w:rFonts w:ascii="Arial" w:cs="Arial" w:eastAsia="Arial" w:hAnsi="Arial"/>
          <w:sz w:val="18"/>
          <w:szCs w:val="18"/>
          <w:b w:val="1"/>
          <w:bCs w:val="1"/>
          <w:color w:val="auto"/>
        </w:rPr>
      </w:pPr>
    </w:p>
    <w:p>
      <w:pPr>
        <w:ind w:left="1120" w:right="100" w:hanging="44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ois not an investment company (other than a small business investment company wholly owned by the Company) or a company that would be an investment company but for certain exclusions under the 1940 Act; and</w:t>
      </w:r>
    </w:p>
    <w:p>
      <w:pPr>
        <w:spacing w:after="0" w:line="75"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o</w:t>
      </w:r>
      <w:r>
        <w:rPr>
          <w:rFonts w:ascii="Arial" w:cs="Arial" w:eastAsia="Arial" w:hAnsi="Arial"/>
          <w:sz w:val="16"/>
          <w:szCs w:val="16"/>
          <w:color w:val="auto"/>
        </w:rPr>
        <w:t>satisfies either of the following:</w:t>
      </w:r>
    </w:p>
    <w:p>
      <w:pPr>
        <w:spacing w:after="0" w:line="117" w:lineRule="exact"/>
        <w:rPr>
          <w:rFonts w:ascii="Arial" w:cs="Arial" w:eastAsia="Arial" w:hAnsi="Arial"/>
          <w:sz w:val="18"/>
          <w:szCs w:val="18"/>
          <w:b w:val="1"/>
          <w:bCs w:val="1"/>
          <w:color w:val="auto"/>
        </w:rPr>
      </w:pPr>
    </w:p>
    <w:p>
      <w:pPr>
        <w:ind w:left="1580" w:hanging="438"/>
        <w:spacing w:after="0"/>
        <w:tabs>
          <w:tab w:leader="none" w:pos="15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has a market capitalization of less than $250 million or does not have any class of securities listed on a national securities exchange; or</w:t>
      </w:r>
    </w:p>
    <w:p>
      <w:pPr>
        <w:spacing w:after="0" w:line="153" w:lineRule="exact"/>
        <w:rPr>
          <w:rFonts w:ascii="Arial" w:cs="Arial" w:eastAsia="Arial" w:hAnsi="Arial"/>
          <w:sz w:val="16"/>
          <w:szCs w:val="16"/>
          <w:color w:val="auto"/>
        </w:rPr>
      </w:pPr>
    </w:p>
    <w:p>
      <w:pPr>
        <w:ind w:left="1580" w:right="60" w:hanging="438"/>
        <w:spacing w:after="0" w:line="264" w:lineRule="auto"/>
        <w:tabs>
          <w:tab w:leader="none" w:pos="1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w:t>
      </w:r>
    </w:p>
    <w:p>
      <w:pPr>
        <w:spacing w:after="0" w:line="73" w:lineRule="exact"/>
        <w:rPr>
          <w:rFonts w:ascii="Arial" w:cs="Arial" w:eastAsia="Arial" w:hAnsi="Arial"/>
          <w:sz w:val="18"/>
          <w:szCs w:val="18"/>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Securities of any eligible portfolio company that we control.</w:t>
      </w:r>
    </w:p>
    <w:p>
      <w:pPr>
        <w:spacing w:after="0" w:line="130" w:lineRule="exact"/>
        <w:rPr>
          <w:rFonts w:ascii="Arial" w:cs="Arial" w:eastAsia="Arial" w:hAnsi="Arial"/>
          <w:sz w:val="18"/>
          <w:szCs w:val="18"/>
          <w:b w:val="1"/>
          <w:bCs w:val="1"/>
          <w:color w:val="auto"/>
        </w:rPr>
      </w:pPr>
    </w:p>
    <w:p>
      <w:pPr>
        <w:ind w:left="660" w:right="320" w:hanging="436"/>
        <w:spacing w:after="0" w:line="259"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12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Limitations on Leverage</w:t>
      </w:r>
    </w:p>
    <w:p>
      <w:pPr>
        <w:spacing w:after="0" w:line="117" w:lineRule="exact"/>
        <w:rPr>
          <w:sz w:val="20"/>
          <w:szCs w:val="20"/>
          <w:color w:val="auto"/>
        </w:rPr>
      </w:pPr>
    </w:p>
    <w:p>
      <w:pPr>
        <w:jc w:val="both"/>
        <w:ind w:right="280" w:firstLine="215"/>
        <w:spacing w:after="0" w:line="342" w:lineRule="auto"/>
        <w:rPr>
          <w:sz w:val="20"/>
          <w:szCs w:val="20"/>
          <w:color w:val="auto"/>
        </w:rPr>
      </w:pPr>
      <w:r>
        <w:rPr>
          <w:rFonts w:ascii="Arial" w:cs="Arial" w:eastAsia="Arial" w:hAnsi="Arial"/>
          <w:sz w:val="16"/>
          <w:szCs w:val="16"/>
          <w:color w:val="auto"/>
        </w:rPr>
        <w:t>As a BDC, the Company generally must have 200% asset coverage for its debt after incurring any new indebtedness, meaning that the total value of the Company’s assets must be at least twice the amount of the debt (i.e., 50% leverage). However, we intend to use less than this amount of allowed leverage.</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Managerial Assistance to Portfolio Companies</w:t>
      </w:r>
    </w:p>
    <w:p>
      <w:pPr>
        <w:spacing w:after="0" w:line="117"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w:t>
      </w:r>
      <w:r>
        <w:rPr>
          <w:rFonts w:ascii="Arial" w:cs="Arial" w:eastAsia="Arial" w:hAnsi="Arial"/>
          <w:sz w:val="18"/>
          <w:szCs w:val="18"/>
          <w:i w:val="1"/>
          <w:iCs w:val="1"/>
          <w:color w:val="auto"/>
        </w:rPr>
        <w:t>Qualifying Assets</w:t>
      </w:r>
      <w:r>
        <w:rPr>
          <w:rFonts w:ascii="Arial" w:cs="Arial" w:eastAsia="Arial" w:hAnsi="Arial"/>
          <w:sz w:val="18"/>
          <w:szCs w:val="18"/>
          <w:color w:val="auto"/>
        </w:rPr>
        <w:t>,” above. However, in order to count portfolio securities as qualifying assets for the purpose of the 70% test, the BDC must either control the issuer of the securities or must offer to make available to the issuer of the securities significant managerial assistance; except that, where the BDC purchases such securities in conjunction with one or more other persons acting together, the BDC will satisfy this test if one of the other persons in the group may make available such managerial assistance. Making available managerial assistance means, among other things,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Ongoing Relationships with Portfolio Companies; Valuation</w:t>
      </w:r>
    </w:p>
    <w:p>
      <w:pPr>
        <w:spacing w:after="0" w:line="117" w:lineRule="exact"/>
        <w:rPr>
          <w:sz w:val="20"/>
          <w:szCs w:val="20"/>
          <w:color w:val="auto"/>
        </w:rPr>
      </w:pPr>
    </w:p>
    <w:p>
      <w:pPr>
        <w:ind w:right="660" w:firstLine="222"/>
        <w:spacing w:after="0" w:line="308" w:lineRule="auto"/>
        <w:rPr>
          <w:sz w:val="20"/>
          <w:szCs w:val="20"/>
          <w:color w:val="auto"/>
        </w:rPr>
      </w:pPr>
      <w:r>
        <w:rPr>
          <w:rFonts w:ascii="Arial" w:cs="Arial" w:eastAsia="Arial" w:hAnsi="Arial"/>
          <w:sz w:val="17"/>
          <w:szCs w:val="17"/>
          <w:color w:val="auto"/>
        </w:rPr>
        <w:t>The Adviser will monitor the Company’s portfolio companies on an ongoing basis. The Adviser will monitor the financial trends of each portfolio company to determine if it is meeting its business plans and to assess the appropriate course of action for each company.</w:t>
      </w:r>
    </w:p>
    <w:p>
      <w:pPr>
        <w:spacing w:after="0" w:line="38"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Adviser has several methods of evaluating and monitoring the performance and fair value of the Company’s investments, which may include, but are not limited to, the following:</w:t>
      </w:r>
    </w:p>
    <w:p>
      <w:pPr>
        <w:spacing w:after="0" w:line="62"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1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Item 9. Market Price of and Dividends on the Registrant’s Common Equity and Related Stockholder Matters—Valuation of Portfolio Securities</w:t>
      </w:r>
      <w:r>
        <w:rPr>
          <w:rFonts w:ascii="Arial" w:cs="Arial" w:eastAsia="Arial" w:hAnsi="Arial"/>
          <w:sz w:val="17"/>
          <w:szCs w:val="17"/>
          <w:color w:val="auto"/>
        </w:rPr>
        <w: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Temporary Investments</w:t>
      </w:r>
    </w:p>
    <w:p>
      <w:pPr>
        <w:spacing w:after="0" w:line="117"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See “</w:t>
      </w:r>
      <w:r>
        <w:rPr>
          <w:rFonts w:ascii="Arial" w:cs="Arial" w:eastAsia="Arial" w:hAnsi="Arial"/>
          <w:sz w:val="16"/>
          <w:szCs w:val="16"/>
          <w:i w:val="1"/>
          <w:iCs w:val="1"/>
          <w:color w:val="auto"/>
        </w:rPr>
        <w:t>Item I. Certain U.S. Federal Income Tax Consequences—Regulated Investment Company</w:t>
      </w:r>
      <w:r>
        <w:rPr>
          <w:rFonts w:ascii="Arial" w:cs="Arial" w:eastAsia="Arial" w:hAnsi="Arial"/>
          <w:sz w:val="16"/>
          <w:szCs w:val="16"/>
          <w:color w:val="auto"/>
        </w:rPr>
        <w:t xml:space="preserve"> </w:t>
      </w:r>
      <w:r>
        <w:rPr>
          <w:rFonts w:ascii="Arial" w:cs="Arial" w:eastAsia="Arial" w:hAnsi="Arial"/>
          <w:sz w:val="16"/>
          <w:szCs w:val="16"/>
          <w:i w:val="1"/>
          <w:iCs w:val="1"/>
          <w:color w:val="auto"/>
        </w:rPr>
        <w:t>Classification</w:t>
      </w:r>
      <w:r>
        <w:rPr>
          <w:rFonts w:ascii="Arial" w:cs="Arial" w:eastAsia="Arial" w:hAnsi="Arial"/>
          <w:sz w:val="16"/>
          <w:szCs w:val="16"/>
          <w:color w:val="auto"/>
        </w:rPr>
        <w:t>.” Our investment adviser will monitor the creditworthiness of the counterparties with which we enter into repurchase agreement transactions.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Securities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preferred stock or publicly traded debt securities are outstanding, we may be prohibited from making distributions to our stockholders or the repurchasing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Relating to Our Business and Structure—We may borrow money, which may magnify the potential for gain or loss and may increase the risk of investing in us</w:t>
      </w:r>
      <w:r>
        <w:rPr>
          <w:rFonts w:ascii="Arial" w:cs="Arial" w:eastAsia="Arial" w:hAnsi="Arial"/>
          <w:sz w:val="18"/>
          <w:szCs w:val="18"/>
          <w:color w:val="auto"/>
        </w:rPr>
        <w:t>.”</w:t>
      </w:r>
    </w:p>
    <w:p>
      <w:pPr>
        <w:spacing w:after="0" w:line="8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1940 Act imposes limitations on a BDC’s issuance of preferred shares, which are considered “senior securities” and thus are subject to the 200% asset coverage requirement described above. In addition, (i) preferred shares must have the same voting rights as the common stockholders (one share, one vote); and (ii) preferred stockholders must have the right, as a class, to appoint directors to the board of directors.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Code of Ethics</w:t>
      </w:r>
    </w:p>
    <w:p>
      <w:pPr>
        <w:spacing w:after="0" w:line="117"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 xml:space="preserve">We and our Adviser intend to adopt a code of ethics pursuant to Rule 17j-1 under the 1940 Act and Rule 204A-1 under the Advisers Act, respectively, that establishes procedures for personal investments and restricts certain transactions by our personnel. Our code of ethics generally will not permit investments by our employees in securities that may be purchased or held by us. Once it is filed, you may read and copy this code of ethics at the SEC’s Public Reference Room in Washington, D.C. You may obtain information on the operation of the Public Reference Room by calling the SEC at (202) 551-8090. In addition, this code of ethics will be filed as an exhibit hereto, and will be available on the EDGAR Database on the SEC’s Internet site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You may also obtain copies of the code of ethics, after paying a duplicating fee, by electronic request at the following email address: </w:t>
      </w:r>
      <w:r>
        <w:rPr>
          <w:rFonts w:ascii="Arial" w:cs="Arial" w:eastAsia="Arial" w:hAnsi="Arial"/>
          <w:sz w:val="17"/>
          <w:szCs w:val="17"/>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Compliance Policies and Procedures</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and our Adviser intend to adopt and implement written policies and procedures reasonably designed to detect and prevent violation of the federal securities laws and will be required to review these compliance policies and procedures annually for their adequacy and the effectiveness of their implementation and designate a chief compliance officer to be responsible for administering the policies and procedures. The chief compliance officer of TPG will be our chief compliance officer.</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Sarbanes-Oxley Act of 2002</w:t>
      </w:r>
    </w:p>
    <w:p>
      <w:pPr>
        <w:spacing w:after="0" w:line="117"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62" w:lineRule="exact"/>
        <w:rPr>
          <w:sz w:val="20"/>
          <w:szCs w:val="20"/>
          <w:color w:val="auto"/>
        </w:rPr>
      </w:pPr>
    </w:p>
    <w:p>
      <w:pPr>
        <w:ind w:left="660" w:right="62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pursuant to Rule 13a-14 of the Exchange Act, our chief executive officer and chief financial officer would have to certify the accuracy of the financial statements contained in our periodic reports;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56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pursuant to Item 307 of Regulation S-K, our periodic reports would have to disclose our conclusions about the effectiveness of our disclosure controls and procedures;</w:t>
      </w:r>
    </w:p>
    <w:p>
      <w:pPr>
        <w:spacing w:after="0" w:line="75" w:lineRule="exact"/>
        <w:rPr>
          <w:rFonts w:ascii="Arial" w:cs="Arial" w:eastAsia="Arial" w:hAnsi="Arial"/>
          <w:sz w:val="18"/>
          <w:szCs w:val="18"/>
          <w:b w:val="1"/>
          <w:bCs w:val="1"/>
          <w:color w:val="auto"/>
        </w:rPr>
      </w:pPr>
    </w:p>
    <w:p>
      <w:pPr>
        <w:ind w:left="660" w:right="320" w:hanging="436"/>
        <w:spacing w:after="0" w:line="264"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pursuant to Rule 13a-15 of the Exchange Act, subject to certain assumptions, our management will in the future be required to prepare an annual report regarding its assessment of our internal control over financial reporting and, depending on our accelerated filer status, this report may be required to be audited by our independent registered public accounting firm; and</w:t>
      </w:r>
    </w:p>
    <w:p>
      <w:pPr>
        <w:spacing w:after="0" w:line="86" w:lineRule="exact"/>
        <w:rPr>
          <w:rFonts w:ascii="Arial" w:cs="Arial" w:eastAsia="Arial" w:hAnsi="Arial"/>
          <w:sz w:val="18"/>
          <w:szCs w:val="18"/>
          <w:b w:val="1"/>
          <w:bCs w:val="1"/>
          <w:color w:val="auto"/>
        </w:rPr>
      </w:pPr>
    </w:p>
    <w:p>
      <w:pPr>
        <w:ind w:left="660" w:right="100" w:hanging="436"/>
        <w:spacing w:after="0" w:line="286" w:lineRule="auto"/>
        <w:tabs>
          <w:tab w:leader="none" w:pos="66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57"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The Sarbanes-Oxley Act will require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Proxy Voting Policies and Procedures</w:t>
      </w:r>
    </w:p>
    <w:p>
      <w:pPr>
        <w:spacing w:after="0" w:line="117"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We intend to delegate our proxy voting responsibility to our Adviser. The Proxy Voting Policies and Procedures of our Adviser are set forth below. The guidelines will be reviewed periodically by our investment adviser and our non-interested directors, and, accordingly, are subject to change.</w:t>
      </w:r>
    </w:p>
    <w:p>
      <w:pPr>
        <w:spacing w:after="0" w:line="16"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7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 term economic value of our shareholders’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the Company’s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the Company’s Chief Compliance Officer or the relevant investment professional(s) employed by the Adviser, the costs associated with voting such proxy outweigh the benefits to our shareholders or if the circumstances make such an abstention or withholding otherwise advisable and in the best interest of the relevant shareholder(s).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Privacy Principles</w:t>
      </w:r>
    </w:p>
    <w:p>
      <w:pPr>
        <w:spacing w:after="0" w:line="117"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you understand what personal information we collect, how we protect that information and why, in certain cases, we may share information with select other parties.</w:t>
      </w:r>
    </w:p>
    <w:p>
      <w:pPr>
        <w:spacing w:after="0" w:line="73"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may collect nonpublic personal information regarding investors from sources such as subscription agreements, investor questionnaires and other forms; individual investors’ account histories; and correspondence between us and individual investors. We may share information that we collect regarding an investor with our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affiliates and the employees of such affiliates for legitimate business purposes, for example, in order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or Company transactions.</w:t>
      </w:r>
    </w:p>
    <w:p>
      <w:pPr>
        <w:spacing w:after="0" w:line="64" w:lineRule="exact"/>
        <w:rPr>
          <w:sz w:val="20"/>
          <w:szCs w:val="20"/>
          <w:color w:val="auto"/>
        </w:rPr>
      </w:pPr>
    </w:p>
    <w:p>
      <w:pPr>
        <w:ind w:firstLine="215"/>
        <w:spacing w:after="0" w:line="279" w:lineRule="auto"/>
        <w:rPr>
          <w:sz w:val="20"/>
          <w:szCs w:val="20"/>
          <w:color w:val="auto"/>
        </w:rPr>
      </w:pPr>
      <w:r>
        <w:rPr>
          <w:rFonts w:ascii="Arial" w:cs="Arial" w:eastAsia="Arial" w:hAnsi="Arial"/>
          <w:sz w:val="17"/>
          <w:szCs w:val="17"/>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in order to provide services to the Company and investors. The Company maintains physical, electronic and procedural safeguards to seek to guard investor nonpublic personal information.</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Reporting Obligations</w:t>
      </w:r>
    </w:p>
    <w:p>
      <w:pPr>
        <w:spacing w:after="0" w:line="11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filing this Registration Statement with the SEC voluntarily with the intention of establishing the Company as a reporting company under the 1934 Act. Upon the effectiveness of this Registration Statement, we will be required to comply with all periodic reporting, proxy solicitation and other applicable requirements under the 1934 Act.</w:t>
      </w:r>
    </w:p>
    <w:p>
      <w:pPr>
        <w:spacing w:after="0" w:line="79" w:lineRule="exact"/>
        <w:rPr>
          <w:sz w:val="20"/>
          <w:szCs w:val="20"/>
          <w:color w:val="auto"/>
        </w:rPr>
      </w:pPr>
    </w:p>
    <w:p>
      <w:pPr>
        <w:jc w:val="both"/>
        <w:ind w:right="260" w:firstLine="225"/>
        <w:spacing w:after="0" w:line="264" w:lineRule="auto"/>
        <w:rPr>
          <w:sz w:val="20"/>
          <w:szCs w:val="20"/>
          <w:color w:val="auto"/>
        </w:rPr>
      </w:pPr>
      <w:r>
        <w:rPr>
          <w:rFonts w:ascii="Arial" w:cs="Arial" w:eastAsia="Arial" w:hAnsi="Arial"/>
          <w:sz w:val="18"/>
          <w:szCs w:val="18"/>
          <w:color w:val="auto"/>
        </w:rPr>
        <w:t>Because we do not currently maintain a corporate website, we do not intend to make available on a website our annual reports on Form 10-K, quarterly reports on Form 10-Q and our current reports on Form 8-K. We do intend, however, to provide electronic or paper copies of our filings free of charge upon request.</w:t>
      </w:r>
    </w:p>
    <w:p>
      <w:pPr>
        <w:spacing w:after="0" w:line="73"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Stockholders and the public may also read and copy any materials we file with the SEC at the SEC’s Public Reference Room at 450 Fifth Street, NW, Washington, DC 20549. The public may also obtain information on the operation of the Public Reference Room by calling the SEC at 1-800-SEC-0330. The SEC also maintains a website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that contains such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121"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The following is a summary of certain material U.S. federal income tax considerations related to an investment in our shares. This summary is based upon the provisions of the Code, as amended, the Treasury regulations promulgated thereunder, published rulings of the Internal Revenue Service (the “IRS”) and judicial decisions in effect as of the date hereof, all of which are subject to change, possibly with retroactive effect. The discussion does not purport to describe all of the U.S. federal income tax consequences that may be relevant to a particular investor in light of that investor’s particular circumstances and is not directed to investors subject to special treatment under the U.S. federal income tax laws, such as banks, dealers in securities, tax-exempt entities and insurance companies. In addition, this summary does not discuss any aspect of state, local or foreign tax law and assumes that investors will hold their interests in us as capital assets (generally, assets held for investment).</w:t>
      </w:r>
    </w:p>
    <w:p>
      <w:pPr>
        <w:spacing w:after="0" w:line="70"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For purposes of this discussion, a “U.S. Holder” is a holder that is, for U.S. federal income tax purposes: (a) an individual who is a citizen or resident of the United States; (b) a corporation created or organized in or under the laws of the United States, any state thereof or the District of Columbia; (c) an estate, the income of which is subject to U.S. federal income taxation regardless of its source or (d) a trust if a court within the United States can exercise primary supervision over its administration and certain other conditions are met. A “Non-U.S. Holder” is a holder who is not a U.S. Holder.</w:t>
      </w:r>
    </w:p>
    <w:p>
      <w:pPr>
        <w:spacing w:after="0" w:line="46"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investor that will own shares of our common stock through a partnership should consult its tax advisors with respect to the purchase, ownership and disposition of those shares.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Regulated Investment Company Classification.</w:t>
      </w:r>
    </w:p>
    <w:p>
      <w:pPr>
        <w:spacing w:after="0" w:line="117" w:lineRule="exact"/>
        <w:rPr>
          <w:sz w:val="20"/>
          <w:szCs w:val="20"/>
          <w:color w:val="auto"/>
        </w:rPr>
      </w:pPr>
    </w:p>
    <w:p>
      <w:pPr>
        <w:ind w:right="140" w:firstLine="222"/>
        <w:spacing w:after="0" w:line="312" w:lineRule="auto"/>
        <w:rPr>
          <w:sz w:val="20"/>
          <w:szCs w:val="20"/>
          <w:color w:val="auto"/>
        </w:rPr>
      </w:pPr>
      <w:r>
        <w:rPr>
          <w:rFonts w:ascii="Arial" w:cs="Arial" w:eastAsia="Arial" w:hAnsi="Arial"/>
          <w:sz w:val="16"/>
          <w:szCs w:val="16"/>
          <w:color w:val="auto"/>
        </w:rPr>
        <w:t>We intend to qualify as a RIC for U.S. tax purposes. Our status as a RIC will enable us to deduct qualifying distributions to our stockholders, so that we will be subject to U.S. federal income taxation only in respect of earnings that we retain and do not distribute. In addition, certain distributions that we make to our stockholders may be eligible for look-through tax treatment determined by reference to the earnings from which the distribution is made.</w:t>
      </w:r>
    </w:p>
    <w:p>
      <w:pPr>
        <w:spacing w:after="0" w:line="39"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order to qualify as a RIC, we must, among other things, (a) derive in each taxable year at least 90% of our gross income from dividends, interest, gains from the sale or other disposition of stock or securities and other specified categories of investment income; and (b) diversify our holdings so that, subject to certain exceptions and cure periods, at the end of each quarter (i) at least 50% of the value of our total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and greater than 10% of the outstanding voting securities of such issuer, and</w:t>
      </w:r>
    </w:p>
    <w:p>
      <w:pPr>
        <w:spacing w:after="0" w:line="2" w:lineRule="exact"/>
        <w:rPr>
          <w:sz w:val="20"/>
          <w:szCs w:val="20"/>
          <w:color w:val="auto"/>
        </w:rPr>
      </w:pPr>
    </w:p>
    <w:p>
      <w:pPr>
        <w:jc w:val="both"/>
        <w:ind w:firstLine="8"/>
        <w:spacing w:after="0" w:line="255"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82" w:lineRule="exact"/>
        <w:rPr>
          <w:sz w:val="20"/>
          <w:szCs w:val="20"/>
          <w:color w:val="auto"/>
        </w:rPr>
      </w:pPr>
    </w:p>
    <w:p>
      <w:pPr>
        <w:ind w:right="100" w:firstLine="215"/>
        <w:spacing w:after="0" w:line="297" w:lineRule="auto"/>
        <w:rPr>
          <w:sz w:val="20"/>
          <w:szCs w:val="20"/>
          <w:color w:val="auto"/>
        </w:rPr>
      </w:pPr>
      <w:r>
        <w:rPr>
          <w:rFonts w:ascii="Arial" w:cs="Arial" w:eastAsia="Arial" w:hAnsi="Arial"/>
          <w:sz w:val="16"/>
          <w:szCs w:val="16"/>
          <w:color w:val="auto"/>
        </w:rPr>
        <w:t>As a RIC, in any taxable year with respect to which we distribute at least 90% of our investment company taxable income (which includes, among other items, dividends, interest and the excess of any net short-term capital gains over net long-term capital losses and other taxable income other than any net capital gain reduced by deductible expenses), we generally will not be subject to U.S. federal income tax on our investment company taxable income and net capital gains that we distribute to stockholders. If we fail to distribute our income on a timely basis, we will be subject to a nondeductible 4% excise tax. To avoid this tax, we must distribute (or be deemed to have distributed) during each calendar year an amount equal to the sum of:</w:t>
      </w:r>
    </w:p>
    <w:p>
      <w:pPr>
        <w:spacing w:after="0" w:line="50"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at least 98% of our ordinary income (not taking into account any capital gains or losses) for the calendar year;</w:t>
      </w:r>
    </w:p>
    <w:p>
      <w:pPr>
        <w:spacing w:after="0" w:line="130"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at least 98.2% of our capital gains in excess of our capital losses (adjusted for certain ordinary losses) for a one-year period generally ending on October 31 of the calendar year;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any undistributed amounts from previous years on which we paid no U.S. federal income tax.</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generally expect to distribute all of our earnings on a quarterly basis, but will reinvest dividends on behalf of those investors that do not elect to receive their dividends in cash. See “</w:t>
      </w:r>
      <w:r>
        <w:rPr>
          <w:rFonts w:ascii="Arial" w:cs="Arial" w:eastAsia="Arial" w:hAnsi="Arial"/>
          <w:sz w:val="18"/>
          <w:szCs w:val="18"/>
          <w:i w:val="1"/>
          <w:iCs w:val="1"/>
          <w:color w:val="auto"/>
        </w:rPr>
        <w:t>Item 1(c). Description of—General—Dividend Reinvestment Plan.</w:t>
      </w:r>
      <w:r>
        <w:rPr>
          <w:rFonts w:ascii="Arial" w:cs="Arial" w:eastAsia="Arial" w:hAnsi="Arial"/>
          <w:sz w:val="18"/>
          <w:szCs w:val="18"/>
          <w:color w:val="auto"/>
        </w:rPr>
        <w:t>” One or more of the considerations described below, however, could result in the deferral of dividend distributions until the end of the fiscal year:</w:t>
      </w:r>
    </w:p>
    <w:p>
      <w:pPr>
        <w:spacing w:after="0" w:line="73" w:lineRule="exact"/>
        <w:rPr>
          <w:sz w:val="20"/>
          <w:szCs w:val="20"/>
          <w:color w:val="auto"/>
        </w:rPr>
      </w:pPr>
    </w:p>
    <w:p>
      <w:pPr>
        <w:ind w:left="660" w:right="20" w:hanging="436"/>
        <w:spacing w:after="0" w:line="312" w:lineRule="auto"/>
        <w:tabs>
          <w:tab w:leader="none" w:pos="66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discount will be included in income in the taxable year of accrual and before we receive any corresponding cash payments.</w:t>
      </w:r>
    </w:p>
    <w:p>
      <w:pPr>
        <w:spacing w:after="0" w:line="52" w:lineRule="exact"/>
        <w:rPr>
          <w:rFonts w:ascii="Arial" w:cs="Arial" w:eastAsia="Arial" w:hAnsi="Arial"/>
          <w:sz w:val="16"/>
          <w:szCs w:val="16"/>
          <w:b w:val="1"/>
          <w:bCs w:val="1"/>
          <w:color w:val="auto"/>
        </w:rPr>
      </w:pPr>
    </w:p>
    <w:p>
      <w:pPr>
        <w:ind w:left="660" w:right="10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will raise funds for this purpose opportunistically over the course of the year.</w:t>
      </w:r>
    </w:p>
    <w:p>
      <w:pPr>
        <w:spacing w:after="0" w:line="75" w:lineRule="exact"/>
        <w:rPr>
          <w:rFonts w:ascii="Arial" w:cs="Arial" w:eastAsia="Arial" w:hAnsi="Arial"/>
          <w:sz w:val="18"/>
          <w:szCs w:val="18"/>
          <w:b w:val="1"/>
          <w:bCs w:val="1"/>
          <w:color w:val="auto"/>
        </w:rPr>
      </w:pPr>
    </w:p>
    <w:p>
      <w:pPr>
        <w:ind w:left="660" w:right="20" w:hanging="436"/>
        <w:spacing w:after="0" w:line="286" w:lineRule="auto"/>
        <w:tabs>
          <w:tab w:leader="none" w:pos="6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The withholding tax treatment of dividends payable to certain non-U.S. stockholders will depend on the extension by Congress of the pass-through rules applicable to “interest-related dividends” and “short-term capital gain dividends” (see “</w:t>
      </w:r>
      <w:r>
        <w:rPr>
          <w:rFonts w:ascii="Arial" w:cs="Arial" w:eastAsia="Arial" w:hAnsi="Arial"/>
          <w:sz w:val="17"/>
          <w:szCs w:val="17"/>
          <w:i w:val="1"/>
          <w:iCs w:val="1"/>
          <w:color w:val="auto"/>
        </w:rPr>
        <w:t>Taxation of Non-U.S. Holders</w:t>
      </w:r>
      <w:r>
        <w:rPr>
          <w:rFonts w:ascii="Arial" w:cs="Arial" w:eastAsia="Arial" w:hAnsi="Arial"/>
          <w:sz w:val="17"/>
          <w:szCs w:val="17"/>
          <w:color w:val="auto"/>
        </w:rPr>
        <w:t>,” below) for periods after December 31, 2011, and we may defer dividends pending the resolution of this issue in those periods.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income tax.</w:t>
      </w:r>
    </w:p>
    <w:p>
      <w:pPr>
        <w:spacing w:after="0" w:line="80"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While we intend to distribute income and capital gains to the extent necessary to avoid or minimize exposure to the 4% excise tax, we may not be able to distribute amounts sufficient to avoid the imposition of the tax entirely. In that event, we will be liable for the tax only on the amount by which we do not meet the foregoing distribution requirement.</w:t>
      </w:r>
    </w:p>
    <w:p>
      <w:pPr>
        <w:spacing w:after="0" w:line="73" w:lineRule="exact"/>
        <w:rPr>
          <w:sz w:val="20"/>
          <w:szCs w:val="20"/>
          <w:color w:val="auto"/>
        </w:rPr>
      </w:pPr>
    </w:p>
    <w:p>
      <w:pPr>
        <w:jc w:val="both"/>
        <w:ind w:right="360" w:firstLine="225"/>
        <w:spacing w:after="0" w:line="264" w:lineRule="auto"/>
        <w:rPr>
          <w:sz w:val="20"/>
          <w:szCs w:val="20"/>
          <w:color w:val="auto"/>
        </w:rPr>
      </w:pPr>
      <w:r>
        <w:rPr>
          <w:rFonts w:ascii="Arial" w:cs="Arial" w:eastAsia="Arial" w:hAnsi="Arial"/>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and accumulated earnings and profits.</w:t>
      </w:r>
    </w:p>
    <w:p>
      <w:pPr>
        <w:spacing w:after="0" w:line="73"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U.S. Holders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Distributions from our investment company taxable income (consisting generally of net investment income, net short-term capital gain, and net gains from certain foreign currency transactions) generally will be taxable to U.S. Holders as ordinary income to the extent made out of our current or accumulated earnings and profits. Distributions generally will not be eligible for the dividends received deduction allowed to corporate stockholders. Distributions that we designate as net capital gain distributions will be taxable to U.S. Holders as long-term capital gain regardless of how long particular U.S. Holders have held their shares.</w:t>
      </w:r>
    </w:p>
    <w:p>
      <w:pPr>
        <w:spacing w:after="0" w:line="80" w:lineRule="exact"/>
        <w:rPr>
          <w:sz w:val="20"/>
          <w:szCs w:val="20"/>
          <w:color w:val="auto"/>
        </w:rPr>
      </w:pPr>
    </w:p>
    <w:p>
      <w:pPr>
        <w:ind w:right="440" w:firstLine="222"/>
        <w:spacing w:after="0" w:line="259" w:lineRule="auto"/>
        <w:rPr>
          <w:sz w:val="20"/>
          <w:szCs w:val="20"/>
          <w:color w:val="auto"/>
        </w:rPr>
      </w:pPr>
      <w:r>
        <w:rPr>
          <w:rFonts w:ascii="Arial" w:cs="Arial" w:eastAsia="Arial" w:hAnsi="Arial"/>
          <w:sz w:val="18"/>
          <w:szCs w:val="18"/>
          <w:color w:val="auto"/>
        </w:rPr>
        <w:t>We expect to give holders the option of participating in a dividend reinvestment plan that will allow them to elect to receive dividends in the form of additional shares instead of in cash. If you elect to reinvest dividends in additional shares, you will be treated as if you had received a distribution in the amount of cash that you would have received if you had not made the election. Any such additional shares will have a basis equal to the amount of the distribution.</w:t>
      </w:r>
    </w:p>
    <w:p>
      <w:pPr>
        <w:spacing w:after="0" w:line="79"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Distributions declared by us in October, November, or December of any year and payable to stockholders of record on a specified date in such a month will be deemed to have been paid by us on December 31st if the distributions are paid by us during the following January. Accordingly, distributions received in January may be subject to taxation in the preceding year.</w:t>
      </w:r>
    </w:p>
    <w:p>
      <w:pPr>
        <w:spacing w:after="0" w:line="73"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If a U.S. Holder sells or exchanges shares of our common stock, the holder will recognize gain or loss equal to the difference between its adjusted basis in the shares sold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Deduction for Certain Expenses</w:t>
      </w:r>
      <w:r>
        <w:rPr>
          <w:rFonts w:ascii="Arial" w:cs="Arial" w:eastAsia="Arial" w:hAnsi="Arial"/>
          <w:sz w:val="18"/>
          <w:szCs w:val="18"/>
          <w:color w:val="auto"/>
        </w:rPr>
        <w:t>.</w:t>
      </w:r>
    </w:p>
    <w:p>
      <w:pPr>
        <w:spacing w:after="0" w:line="117"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If our shares are not held by at least 500 persons at all times during the taxable year, then a U.S. Holder that is an individual, estate or trust may be subject to limitations on miscellaneous itemized deductions in respect of its share of expenses that we incur, to the extent that the expenses would have been subject to limitations if the holder had incurred them directly.</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If we do not satisfy the 500-stockholder requirement, we would be required to report the relevant expenses, including the management fee, on Form 1099-DIV, and affected holders will be required to take into account their allocable share of such income and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Taxation of Tax-Exempt U.S. Holders.</w:t>
      </w:r>
    </w:p>
    <w:p>
      <w:pPr>
        <w:spacing w:after="0" w:line="117" w:lineRule="exact"/>
        <w:rPr>
          <w:sz w:val="20"/>
          <w:szCs w:val="20"/>
          <w:color w:val="auto"/>
        </w:rPr>
      </w:pPr>
    </w:p>
    <w:p>
      <w:pPr>
        <w:ind w:right="120" w:firstLine="215"/>
        <w:spacing w:after="0" w:line="288" w:lineRule="auto"/>
        <w:rPr>
          <w:sz w:val="20"/>
          <w:szCs w:val="20"/>
          <w:color w:val="auto"/>
        </w:rPr>
      </w:pPr>
      <w:r>
        <w:rPr>
          <w:rFonts w:ascii="Arial" w:cs="Arial" w:eastAsia="Arial" w:hAnsi="Arial"/>
          <w:sz w:val="16"/>
          <w:szCs w:val="16"/>
          <w:color w:val="auto"/>
        </w:rPr>
        <w:t>A U.S. 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Holder of the activities that we propose to conduct could give rise to UBTI. However, a BDC is a corporation for U.S. federal income tax purposes and its business activities generally will not be attributed to its stockholders for purposes of determining their treatment under current law. Therefore, a tax-exempt U.S. Holder should not be subject to U.S. taxation solely as a result of the holder’s ownership of our shares and receipt of dividends that we pay. Moreover, under current law, if we incur indebtedness, such indebtedness will not be attributed to portfolio investors in our stock. Therefore, a tax-exempt U.S. Holder should not be treated as earning income from “debt-financed property” and dividends we pay should not be treated as “unrelated debt-financed income” solely as a result of indebtedness that we incur. Proposals periodically are made to change the treatment of “blocker” investment vehicles interposed between tax-exempt investors and nonqualifying investments. In the event that any such proposals were to be adopted and applied to BDCs, the treatment of dividends payable to tax-exempt investors could be adversely affected.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Non-U.S. Holders</w:t>
      </w:r>
      <w:r>
        <w:rPr>
          <w:rFonts w:ascii="Arial" w:cs="Arial" w:eastAsia="Arial" w:hAnsi="Arial"/>
          <w:sz w:val="18"/>
          <w:szCs w:val="18"/>
          <w:color w:val="auto"/>
        </w:rPr>
        <w:t>.</w:t>
      </w:r>
    </w:p>
    <w:p>
      <w:pPr>
        <w:spacing w:after="0" w:line="117" w:lineRule="exact"/>
        <w:rPr>
          <w:sz w:val="20"/>
          <w:szCs w:val="20"/>
          <w:color w:val="auto"/>
        </w:rPr>
      </w:pPr>
    </w:p>
    <w:p>
      <w:pPr>
        <w:ind w:right="100" w:firstLine="225"/>
        <w:spacing w:after="0" w:line="285" w:lineRule="auto"/>
        <w:rPr>
          <w:sz w:val="20"/>
          <w:szCs w:val="20"/>
          <w:color w:val="auto"/>
        </w:rPr>
      </w:pPr>
      <w:r>
        <w:rPr>
          <w:rFonts w:ascii="Arial" w:cs="Arial" w:eastAsia="Arial" w:hAnsi="Arial"/>
          <w:sz w:val="16"/>
          <w:szCs w:val="16"/>
          <w:color w:val="auto"/>
        </w:rPr>
        <w:t>Dividends that we pay to a Non-U.S. Holder will be subject to U.S. withholding tax at a 30% rate unless (i) the dividend qualifies for pass-through treatment under the rules described below, and the holder could have received the underlying income free of tax; or (ii) the holder qualifies for, and complies with the procedures for claiming, an exemption or reduced rate under an applicable income tax treaty; or (iii) the holder qualifies, and complies with the procedures for claiming, an exemption by reason of its status as a foreign government-related entity. Non-U.S. Holders generally are not subject to U.S. tax on capital gains realized on the sale of our shares if (i) such gains are not effectively connected with the conduct of a U.S. trade or business by the holder,</w:t>
      </w:r>
    </w:p>
    <w:p>
      <w:pPr>
        <w:spacing w:after="0" w:line="2" w:lineRule="exact"/>
        <w:rPr>
          <w:sz w:val="20"/>
          <w:szCs w:val="20"/>
          <w:color w:val="auto"/>
        </w:rPr>
      </w:pPr>
    </w:p>
    <w:p>
      <w:pPr>
        <w:ind w:right="360" w:firstLine="8"/>
        <w:spacing w:after="0" w:line="261"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is not present in the United States for 183 or more days during the taxable year; and (iii) the holder is not a former citizen or resident of the United States.</w:t>
      </w:r>
    </w:p>
    <w:p>
      <w:pPr>
        <w:spacing w:after="0" w:line="76"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In recent years, Congress has renewed the pass-through rules under which certain dividend distributions by RICs qualify for an exemption from U.S. withholding tax annually for a one-year period. The exemption expired at the end of 2009, and a two-year exemption (applicable to dividends distributed in 2010 and 2011) was enacted in December 2010. Further legislation would be required to make the exemption available in years beyond 2011. </w:t>
      </w:r>
      <w:r>
        <w:rPr>
          <w:rFonts w:ascii="Arial" w:cs="Arial" w:eastAsia="Arial" w:hAnsi="Arial"/>
          <w:sz w:val="17"/>
          <w:szCs w:val="17"/>
          <w:b w:val="1"/>
          <w:bCs w:val="1"/>
          <w:color w:val="auto"/>
        </w:rPr>
        <w:t>There can be</w:t>
      </w:r>
      <w:r>
        <w:rPr>
          <w:rFonts w:ascii="Arial" w:cs="Arial" w:eastAsia="Arial" w:hAnsi="Arial"/>
          <w:sz w:val="17"/>
          <w:szCs w:val="17"/>
          <w:color w:val="auto"/>
        </w:rPr>
        <w:t xml:space="preserve"> </w:t>
      </w:r>
      <w:r>
        <w:rPr>
          <w:rFonts w:ascii="Arial" w:cs="Arial" w:eastAsia="Arial" w:hAnsi="Arial"/>
          <w:sz w:val="17"/>
          <w:szCs w:val="17"/>
          <w:b w:val="1"/>
          <w:bCs w:val="1"/>
          <w:color w:val="auto"/>
        </w:rPr>
        <w:t>no assurance that Congress will extend the pass-through rules for periods after December 31, 2011, or that any such extension will apply to dividends that we distribute after that date</w:t>
      </w:r>
      <w:r>
        <w:rPr>
          <w:rFonts w:ascii="Arial" w:cs="Arial" w:eastAsia="Arial" w:hAnsi="Arial"/>
          <w:sz w:val="17"/>
          <w:szCs w:val="17"/>
          <w:color w:val="auto"/>
        </w:rPr>
        <w:t>. If, and for so long as, Congress extends the exemption, dividends that we designate as “interest-related</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or “short-term capital gain dividends” generally will be exempt from U.S. withholding tax if the holder could have received the underlying income free of tax. If the exemption is not extended, some Non-U.S. 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70"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In order to qualify for an exemption or reduced rate of U.S. withholding tax (under a treaty, by reason of an exemption for sovereign investors, or under the rules applicable to interest-related dividends or short-term capital gain dividends), a holder must comply with the U.S. tax certification requirements described below. A Non-U.S. Holder must deliver and maintain in effect a valid IRS Form W-8BEN or other applicable tax certification establishing its entitlement to the exemption or reduced rate. In the case of distributions and proceeds from the sale of shares after December 31, 2012, additional requirements will apply to Non-U.S. Holders that are considered for U.S. tax purposes to be a foreign financial institution or entity and to Non-U.S. Holders that hold their shares through such an institution or entity. In general, an exemption from U.S. withholding tax will be available only if the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foreign financial institution or entity has entered into an agreement with the U.S. government to collect and provide to the U.S. tax authorities information about its accountholders (including certain investors in such institution or entity) and, if required, the Non-U.S. Holder has provided the withholding agent with a certification identifying its direct and indirect U.S. owners.</w:t>
      </w:r>
    </w:p>
    <w:p>
      <w:pPr>
        <w:spacing w:after="0" w:line="73"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 BDC is a corporation for U.S. federal income tax purposes. Under current law, a Non-U.S. Holder will not be considered to be engaged in the conduct of a business in the United States solely by reason of its ownership in a BDC. Proposals periodically are made to change the treatment of “blocker” investment vehicles interposed between foreign investors and investments that would otherwise result in such investors being considered to be engaged in the conduct of a business in the United States. In the event that any such proposals were to be adopted and applied to BDCs, the treatment of dividends payable to foreign investors could be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Backup Withholding</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U.S. information reporting requirements and backup withholding tax will not apply to dividends paid on our shares to a Non-U.S. Holder, provided the Non-U.S. Holder provides a Form W-8BEN (or satisfies certain documentary evidence requirements for establishing that it is a non-United States person) or otherwise establishes an exemption. Information reporting and backup withholding also generally will not apply to a payment of the proceeds of a sale of our shares effected outside the United States by a foreign office of a foreign broker. However,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 U.S. holder and certain conditions are met, or the holder otherwise establishes an exemption. Payment by a United States office of a broker of the proceeds of a sale of our shares will be subject to both backup withholding and information reporting unless the holder certifies its non United States status under penalties of perjury or otherwise establishes an exemption. Backup withholding is not an additional tax. Any amounts withheld from payments made to a stockholder may be refunded or credited against such stockholder’s U.S. federal income tax liability, if any, provided that the required information is furnished to the IRS.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An investment in our securities involves certain risks relating to our structure and investment objective. The risks set forth below are not the only risks we face, and we may face other risks that we have not yet identified, which we do not currently deem material or which are not yet predictable. If any of the following risks occur, our business, financial condition and results of operations could be materially adversely affected. In such case, our net asset value and the price of our common stock could decline, and you may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a newly-formed company with no operating history.</w:t>
      </w:r>
    </w:p>
    <w:p>
      <w:pPr>
        <w:spacing w:after="0" w:line="117" w:lineRule="exact"/>
        <w:rPr>
          <w:sz w:val="20"/>
          <w:szCs w:val="20"/>
          <w:color w:val="auto"/>
        </w:rPr>
      </w:pPr>
    </w:p>
    <w:p>
      <w:pPr>
        <w:ind w:right="120" w:firstLine="222"/>
        <w:spacing w:after="0" w:line="290" w:lineRule="auto"/>
        <w:rPr>
          <w:sz w:val="20"/>
          <w:szCs w:val="20"/>
          <w:color w:val="auto"/>
        </w:rPr>
      </w:pPr>
      <w:r>
        <w:rPr>
          <w:rFonts w:ascii="Arial" w:cs="Arial" w:eastAsia="Arial" w:hAnsi="Arial"/>
          <w:sz w:val="16"/>
          <w:szCs w:val="16"/>
          <w:color w:val="auto"/>
        </w:rPr>
        <w:t>We were initially formed in July 2010. As a result, we have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 We anticipate that it will take multiple years to invest substantially all of the capital commitments received by us from the Private Offering due to the time necessary to identify, evaluate, structure, negotiate and close suitable investments in private middle-market companies. To the extent required to comply with diversification requirements during the startup period, we will use funds to invest in temporary investments, such as cash, cash equivalents, U.S. government securities and other high-quality debt investments that mature in one year or less, which we expect will earn yields substantially lower than the interest, dividend or other income that we anticipate receiving in respect of suitable portfolio investments. We may not be able to pay any significant dividends during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this period, and any such dividends may be substantially lower than the dividends we expect to pay when our portfolio is fully invested.</w:t>
      </w:r>
    </w:p>
    <w:p>
      <w:pPr>
        <w:spacing w:after="0" w:line="117"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will pay a Management Fee to the Adviser throughout this interim period. If the Management Fee and our other expenses exceed the return on the temporary investments, our equity capital will be eroded.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will be dependent upon management personnel of the Adviser for our future success.</w:t>
      </w:r>
    </w:p>
    <w:p>
      <w:pPr>
        <w:spacing w:after="0" w:line="117" w:lineRule="exact"/>
        <w:rPr>
          <w:sz w:val="20"/>
          <w:szCs w:val="20"/>
          <w:color w:val="auto"/>
        </w:rPr>
      </w:pPr>
    </w:p>
    <w:p>
      <w:pPr>
        <w:ind w:right="180" w:firstLine="222"/>
        <w:spacing w:after="0" w:line="272" w:lineRule="auto"/>
        <w:rPr>
          <w:sz w:val="20"/>
          <w:szCs w:val="20"/>
          <w:color w:val="auto"/>
        </w:rPr>
      </w:pPr>
      <w:r>
        <w:rPr>
          <w:rFonts w:ascii="Arial" w:cs="Arial" w:eastAsia="Arial" w:hAnsi="Arial"/>
          <w:sz w:val="17"/>
          <w:szCs w:val="17"/>
          <w:color w:val="auto"/>
        </w:rPr>
        <w:t>We will depend on the experience, diligence, skill and network of business contacts of the Adviser’s senior investment professionals. The senior investment professionals, together with other investment professionals that the Adviser currently retains or may subsequently retain, will identify, evaluate, negotiate, structure, close, monitor and manage our investments. Our future success will depend to a significant extent on the continued service and coordination of the Adviser’s senior investment professionals. The departure of any of the Adviser’s key personnel, including members of the Adviser’s Investment Review Committee, or of a significant number of the investment professionals or partners of TPG, could have a material adverse effect on our business, financial condition or results of operations. In addition, we cannot assure you that the Adviser will remain our investment adviser or that we will continue to have access to TPG or its investment professionals.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Adviser and its management have no prior experience managing a BDC.</w:t>
      </w:r>
    </w:p>
    <w:p>
      <w:pPr>
        <w:spacing w:after="0" w:line="117" w:lineRule="exact"/>
        <w:rPr>
          <w:sz w:val="20"/>
          <w:szCs w:val="20"/>
          <w:color w:val="auto"/>
        </w:rPr>
      </w:pPr>
    </w:p>
    <w:p>
      <w:pPr>
        <w:ind w:right="140" w:firstLine="222"/>
        <w:spacing w:after="0" w:line="276" w:lineRule="auto"/>
        <w:rPr>
          <w:sz w:val="20"/>
          <w:szCs w:val="20"/>
          <w:color w:val="auto"/>
        </w:rPr>
      </w:pPr>
      <w:r>
        <w:rPr>
          <w:rFonts w:ascii="Arial" w:cs="Arial" w:eastAsia="Arial" w:hAnsi="Arial"/>
          <w:sz w:val="17"/>
          <w:szCs w:val="17"/>
          <w:color w:val="auto"/>
        </w:rPr>
        <w:t>The senior investment professionals of the Adviser have no prior experience managing a business development company, and the investment philosophy and techniques used by the Adviser to manage a public company may differ from the investment philosophy and techniques previously employed by the Adviser’s senior investment professionals in identifying and managing past investments. Accordingly, we can offer no assurance that we will replicate the historical performance of other businesses or companies with which the Adviser’s senior investment professionals have been affiliated, and we caution you that our investment returns could be substantially lower than the returns achieved by such other companies.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1940 Act imposes numerous constraints on the operations of business development companies. See “</w:t>
      </w:r>
      <w:r>
        <w:rPr>
          <w:rFonts w:ascii="Arial" w:cs="Arial" w:eastAsia="Arial" w:hAnsi="Arial"/>
          <w:sz w:val="18"/>
          <w:szCs w:val="18"/>
          <w:i w:val="1"/>
          <w:iCs w:val="1"/>
          <w:color w:val="auto"/>
        </w:rPr>
        <w:t>Item 1(c). Regulation as a Public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Company</w:t>
      </w:r>
      <w:r>
        <w:rPr>
          <w:rFonts w:ascii="Arial" w:cs="Arial" w:eastAsia="Arial" w:hAnsi="Arial"/>
          <w:sz w:val="18"/>
          <w:szCs w:val="18"/>
          <w:color w:val="auto"/>
        </w:rPr>
        <w:t>” for a discussion of business development company limitations. For example, business development companies are required to invest</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70% of their total assets in securities of nonpublic or thinly traded U.S. companies, cash, cash equivalents, U.S. government securities and other high quality debt investments that mature in one year or less. These constraints may hinder the Adviser’s ability to take advantage of attractive investment opportunities and to achieve our investment objective.</w:t>
      </w:r>
    </w:p>
    <w:p>
      <w:pPr>
        <w:spacing w:after="0" w:line="8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Regulations governing our operation as a business development company affect our ability to raise additional capital, and the ways in which we can do so. Raising additional capital may expose us to risks, including the typical risks associated with leverage, and may result in dilution to our current stockholders. The 1940 Act limits our ability to issue debt and preferred stock (“senior securities”) to amounts such that our asset coverage ratio is at least 200% of assets less liabilities and other indebtedness. Consequently, if the value of our assets declines, we may be required to sell a portion of our investments and, depending on the nature of our leverage, repay a portion of our indebtedness at a time when this may be disadvantageous.</w:t>
      </w:r>
    </w:p>
    <w:p>
      <w:pPr>
        <w:spacing w:after="0" w:line="64"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are not generally able to issue and sell our common stock at a price below net asset value per share. We may, however, sell our common stock, or warrants, options or rights to acquire our common stock, at a price below the then-current net asset value per share of our common stock if our Board determines that a sale is in the best interests of us and our stockholders, and our stockholders approve it.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borrow money, which may magnify the potential for gain or loss and may increase the risk of investing in us.</w:t>
      </w:r>
    </w:p>
    <w:p>
      <w:pPr>
        <w:spacing w:after="0" w:line="117"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 part of our business strategy, we may borrow from and issue senior debt securities to banks, insurance companies, and other lenders. Holders of these senior securities will have fixed-dollar claims on our assets that are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superior to the claims of our common stockholders. If the value of our assets decreases, leveraging would cause net asset value to decline more sharply than it otherwise would have had we not leveraged. Similarly, any decrease in our income would cause net income to decline more sharply than it would have had we not borrowed. Such a decline could negatively affect our ability to make common stock dividend payments. Our ability to service any debt that we incur will depend largely on our financial performance and will be subject to prevailing economic conditions and competitive pressures. Moreover, the Management Fee will be payable based on our gross assets, including those assets acquired through the use of leverage.</w:t>
      </w:r>
    </w:p>
    <w:p>
      <w:pPr>
        <w:spacing w:after="0" w:line="64"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Furthermore, any debt facility into which we may enter may impose financial and operating covenants that restrict our business activities, our ability to call capital, remedies on default and similar matters. In connection with borrowings, our lenders may also require us to pledge assets, subscription commitments and/or the proceeds of our capital calls.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Lastly, we may be unable to obtain our desired leverage, which would, in turn, affect our return on capital.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will operate in a highly competitive market for investment opportunities.</w:t>
      </w:r>
    </w:p>
    <w:p>
      <w:pPr>
        <w:spacing w:after="0" w:line="117"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Other entities, including commercial banks, commercial financing companies, other business development companies and insurance companies compete with us to make the types of investments that we plan to make in middle-market companies. Certain of these competitors may be substantially larger, have considerably greater financial, technical and marketing resources than we will have and offer a wider array of financial services. For example, some competitors may have a lower cost of funds and access to funding sources that are not available to us. Many competitors are not subject to the regulatory restrictions that the 1940 Act will impose on us as a business development company or the restrictions that the Code will impose on us as a RIC.</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Even in the event the value of your investment declines, the Management Fee and, in certain circumstances, the Incentive Fee will still be payable.</w:t>
      </w:r>
    </w:p>
    <w:p>
      <w:pPr>
        <w:spacing w:after="0" w:line="129"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Even in the event the value of your investment declines, the Management Fee and, in certain circumstances, the Incentive Fee will still be payable. The Management Fee will be calculated as a percentage of the value of our gross assets at a specific time. Accordingly, the Management Fee is payable regardless of whether the value of our gross assets and/or your investment have decreased. Moreover,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w:t>
      </w:r>
    </w:p>
    <w:p>
      <w:pPr>
        <w:spacing w:after="0" w:line="7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 producing securities. Such a practice could result in our investing in more speculative securities than would otherwise be the case, which could result in higher investment losses, particularly during cyclical economic downturns.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will be subject to corporate-level income tax if we are unable to qualify as a RIC under Subchapter M of the Code.</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will incur corporate-level income tax costs if we are unable to qualify as a RIC for U.S. tax purposes or if we are not able to distribute all of our income in a timely fashion. Although we intend to elect to be treated as a RIC concurrently with the effectiveness of this Registration Statement, no assurance can be given that we will be able to qualify for and maintain RIC status. To obtain and maintain RIC tax treatment under the Code, we must meet the following annual distribution, income source and asset diversification requirements: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line="255"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We must distribute to our stockholders on an annual basis at least 90% of our net ordinary income and realized net short-term capital gains in excess of realized net long-term capital losses, if any. In the event we use debt financing, we will be subject to certain asset coverage ratio requirements under the 1940 Act and financial covenants under loan and credit agreements that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qualify for RIC tax treatment and thus become subject to corporate-level income tax.</w:t>
      </w:r>
    </w:p>
    <w:p>
      <w:pPr>
        <w:spacing w:after="0" w:line="98"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We must derive at least 90% of our gross income for each year from dividends, interest, gains from the sale of stock or securities or similar sources.</w:t>
      </w:r>
    </w:p>
    <w:p>
      <w:pPr>
        <w:spacing w:after="0" w:line="153" w:lineRule="exact"/>
        <w:rPr>
          <w:rFonts w:ascii="Arial" w:cs="Arial" w:eastAsia="Arial" w:hAnsi="Arial"/>
          <w:sz w:val="16"/>
          <w:szCs w:val="16"/>
          <w:b w:val="1"/>
          <w:bCs w:val="1"/>
          <w:color w:val="auto"/>
        </w:rPr>
      </w:pPr>
    </w:p>
    <w:p>
      <w:pPr>
        <w:ind w:left="660" w:hanging="436"/>
        <w:spacing w:after="0" w:line="312" w:lineRule="auto"/>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in order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3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If we fail to qualify for RIC tax treatment for any reason, the resulting federal income tax liability could substantially reduce our net assets, the amount of income available for distribution, and the amount of our distributions.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There is a risk that you may not receive dividends or that our dividends may not grow over time.</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cannot assure you that we will achieve investment results or maintain a tax status that will allow or require any specified level of cash distributions or year-to-year increases in cash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79"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In certain cases, we may recognize income before or without receiving cash representing the income. Depending on the amount of noncash income, this could result in difficulty satisfying the annual distribution requirement applicable to RICs. Accordingly, we may delay distributions during a year until we generate cash or we may have to sell some of our investments at times we would not consider advantageous, raise additional debt or equity capital or reduce new investments to meet these distribution requirements. In addition, the withholding tax treatment of our distributions to certain of our non-U.S. stockholders will depend on whether and when Congress enacts legislation extending the pass-through treatment of “interest-related dividends,” and we may elect to defer the payment of dividends in any year pending the resolution of this issue.</w:t>
      </w:r>
    </w:p>
    <w:p>
      <w:pPr>
        <w:spacing w:after="0" w:line="7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Since we expect to have an average holding period for our portfolio company investments of two to four years, it is unlikely we will generate any capital gains during our initial years of operation and thus we are likely to pay dividends in those years principally from interest we receive from our initial and follow-on investments prior to the sale or refinancing of loans we make. Moreover, our ability to pay dividends in our initial years of operation will be based on our ability to invest our capital in suitable portfolio companies in a timely manner.</w:t>
      </w:r>
    </w:p>
    <w:p>
      <w:pPr>
        <w:spacing w:after="0" w:line="79"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In addition, the middle-market companies in which we intend to invest are generally more susceptible to economic downturns than larger operating companies, and therefore may be more likely to default on their payment obligations to us during recessionary periods, including the current economic environment. Any such defaults could substantially reduce our net investment income available for distribution in the form of dividends to our stockholders.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You may be subject to filing requirements under the 1934 Act as a result of your investment in the Company.</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Because our common stock will be registered under the 1934 Act, ownership information for any person who beneficially owns 5% or more of our common stock will have to be disclosed in a Schedule 13G or other filings with the SEC. Beneficial ownership for these purposes is determined in accordance with the rules of the SEC, and includes having voting or investment power over the securities. In some circumstances, investors who choose to reinvest their dividends may see their percentage stake in the Company increased to more than 5%, thus triggering this filing requirement. Although we will provide in our quarterly statements the amount of outstanding stock and the amount of the investor’s stock, the responsibility for determining the filing obligation and preparing the filing remains with the investor.</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You may be subject to the short-swing profits rules under the 1934 Act as a result of your investment in the Company.</w:t>
      </w:r>
    </w:p>
    <w:p>
      <w:pPr>
        <w:spacing w:after="0" w:line="117"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Persons with the right to appoint a director or who hold more than 10% of a class of our shares may be subject to Section 16(b) of the 1934 Act, which recaptures for the benefit of the Company profits from the purchase and sale of registered stock within a six-month period.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Potential conflicts of interest could impact our investment returns.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Stockholders should note the matters discussed in “</w:t>
      </w:r>
      <w:r>
        <w:rPr>
          <w:rFonts w:ascii="Arial" w:cs="Arial" w:eastAsia="Arial" w:hAnsi="Arial"/>
          <w:sz w:val="18"/>
          <w:szCs w:val="18"/>
          <w:i w:val="1"/>
          <w:iCs w:val="1"/>
          <w:color w:val="auto"/>
        </w:rPr>
        <w:t>Item 7. Certain Relationships and Related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Director Independence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Our Board has the authority to modify or waive certain of our operating policies and strategies without prior notice (except as required by the 1940 Act) and without stockholder approval.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laws or regulations governing our operations may adversely affect our business.</w:t>
      </w:r>
    </w:p>
    <w:p>
      <w:pPr>
        <w:spacing w:after="0" w:line="117" w:lineRule="exact"/>
        <w:rPr>
          <w:sz w:val="20"/>
          <w:szCs w:val="20"/>
          <w:color w:val="auto"/>
        </w:rPr>
      </w:pPr>
    </w:p>
    <w:p>
      <w:pPr>
        <w:jc w:val="both"/>
        <w:ind w:right="140" w:firstLine="225"/>
        <w:spacing w:after="0" w:line="342" w:lineRule="auto"/>
        <w:rPr>
          <w:sz w:val="20"/>
          <w:szCs w:val="20"/>
          <w:color w:val="auto"/>
        </w:rPr>
      </w:pPr>
      <w:r>
        <w:rPr>
          <w:rFonts w:ascii="Arial" w:cs="Arial" w:eastAsia="Arial" w:hAnsi="Arial"/>
          <w:sz w:val="16"/>
          <w:szCs w:val="16"/>
          <w:color w:val="auto"/>
        </w:rPr>
        <w:t>Changes to the laws and regulations governing our operations may cause us to alter our investment strategy in order to avail ourselves of new or different opportunities. These changes could result in material differences to the strategies and plans described herein and may result in our investment focus shifting.</w:t>
      </w:r>
    </w:p>
    <w:p>
      <w:pPr>
        <w:spacing w:after="0" w:line="16"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i w:val="1"/>
          <w:iCs w:val="1"/>
          <w:color w:val="auto"/>
        </w:rPr>
        <w:t>The Adviser can resign on 60 days’ notice. We may not be able to find a suitable replacement within that time, resulting in a disruption in our operations that could adversely affect our financial condition, business and results of operations.</w:t>
      </w:r>
    </w:p>
    <w:p>
      <w:pPr>
        <w:spacing w:after="0" w:line="6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Adviser has the right, under the Advisory Agreement, to resign at any time upon not less than 60 days’ written notice, regardless of whether we have found a replacement. If the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common stock may decline.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i w:val="1"/>
          <w:iCs w:val="1"/>
          <w:color w:val="auto"/>
        </w:rPr>
        <w:t>To the extent that we do not realize income or choose not to retain after-tax realized capital gains, we will have a greater need for additional capital to fund our investments and operating expenses.</w:t>
      </w:r>
    </w:p>
    <w:p>
      <w:pPr>
        <w:spacing w:after="0" w:line="62" w:lineRule="exact"/>
        <w:rPr>
          <w:sz w:val="20"/>
          <w:szCs w:val="20"/>
          <w:color w:val="auto"/>
        </w:rPr>
      </w:pPr>
    </w:p>
    <w:p>
      <w:pPr>
        <w:ind w:right="80" w:firstLine="215"/>
        <w:spacing w:after="0" w:line="273" w:lineRule="auto"/>
        <w:rPr>
          <w:sz w:val="20"/>
          <w:szCs w:val="20"/>
          <w:color w:val="auto"/>
        </w:rPr>
      </w:pPr>
      <w:r>
        <w:rPr>
          <w:rFonts w:ascii="Arial" w:cs="Arial" w:eastAsia="Arial" w:hAnsi="Arial"/>
          <w:sz w:val="17"/>
          <w:szCs w:val="17"/>
          <w:color w:val="auto"/>
        </w:rPr>
        <w:t>As a RIC, we must annually distribute at least 90% of our investment company taxable income as a dividend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There is no assurance that we will be able to sell our investments and thereby fund our operating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investments are very risky and highly speculative.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invest primarily in senior secured term loans, and select mezzanine and/or equity investments issued by middle-market companies.</w:t>
      </w:r>
    </w:p>
    <w:p>
      <w:pPr>
        <w:spacing w:after="0" w:line="117"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i w:val="1"/>
          <w:iCs w:val="1"/>
          <w:color w:val="auto"/>
        </w:rPr>
        <w:t xml:space="preserve">Senior Secured Loans. </w:t>
      </w:r>
      <w:r>
        <w:rPr>
          <w:rFonts w:ascii="Arial" w:cs="Arial" w:eastAsia="Arial" w:hAnsi="Arial"/>
          <w:sz w:val="17"/>
          <w:szCs w:val="17"/>
          <w:color w:val="auto"/>
        </w:rPr>
        <w:t>When we make a senior secured loan, we generally take a security interest in the available assets of the portfolio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7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 xml:space="preserve">Mezzanine or Other Junior Debt. </w:t>
      </w:r>
      <w:r>
        <w:rPr>
          <w:rFonts w:ascii="Arial" w:cs="Arial" w:eastAsia="Arial" w:hAnsi="Arial"/>
          <w:sz w:val="18"/>
          <w:szCs w:val="18"/>
          <w:color w:val="auto"/>
        </w:rPr>
        <w:t>Our junior debt investments generally will be subordinated to senior loans and will either have junior security interests or</w:t>
      </w:r>
      <w:r>
        <w:rPr>
          <w:rFonts w:ascii="Arial" w:cs="Arial" w:eastAsia="Arial" w:hAnsi="Arial"/>
          <w:sz w:val="18"/>
          <w:szCs w:val="18"/>
          <w:i w:val="1"/>
          <w:iCs w:val="1"/>
          <w:color w:val="auto"/>
        </w:rPr>
        <w:t xml:space="preserve"> </w:t>
      </w:r>
      <w:r>
        <w:rPr>
          <w:rFonts w:ascii="Arial" w:cs="Arial" w:eastAsia="Arial" w:hAnsi="Arial"/>
          <w:sz w:val="18"/>
          <w:szCs w:val="18"/>
          <w:color w:val="auto"/>
        </w:rPr>
        <w:t>be unsecured. As such, other creditors may rank senior to us in the event of an insolvency. This may result in an above average amount of risk and loss of principal.</w:t>
      </w:r>
    </w:p>
    <w:p>
      <w:pPr>
        <w:spacing w:after="0" w:line="73"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When we invest in senior secured loans or mezzanine loans, we may acquire equity securities as well. In addition, we may invest</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 the equity securities of portfolio companies. Our goal is ultimately to dispose of such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17" w:lineRule="exact"/>
        <w:rPr>
          <w:sz w:val="20"/>
          <w:szCs w:val="20"/>
          <w:color w:val="auto"/>
        </w:rPr>
      </w:pPr>
    </w:p>
    <w:p>
      <w:pPr>
        <w:ind w:left="660" w:right="240" w:hanging="436"/>
        <w:spacing w:after="0" w:line="264"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such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b w:val="1"/>
          <w:bCs w:val="1"/>
          <w:color w:val="auto"/>
        </w:rPr>
      </w:pPr>
    </w:p>
    <w:p>
      <w:pPr>
        <w:ind w:left="660" w:right="300" w:hanging="436"/>
        <w:spacing w:after="0" w:line="308" w:lineRule="auto"/>
        <w:tabs>
          <w:tab w:leader="none" w:pos="66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such companies typically have shorter operating histories, narrower product lines and smaller market shares than larger businesses, which tend to render them more vulnerable to competitors’ actions and market conditions, as well as general economic downturns;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560" w:hanging="436"/>
        <w:spacing w:after="0" w:line="342" w:lineRule="auto"/>
        <w:tabs>
          <w:tab w:leader="none" w:pos="66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such companies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9" w:lineRule="exact"/>
        <w:rPr>
          <w:rFonts w:ascii="Arial" w:cs="Arial" w:eastAsia="Arial" w:hAnsi="Arial"/>
          <w:sz w:val="16"/>
          <w:szCs w:val="16"/>
          <w:b w:val="1"/>
          <w:bCs w:val="1"/>
          <w:color w:val="auto"/>
        </w:rPr>
      </w:pPr>
    </w:p>
    <w:p>
      <w:pPr>
        <w:ind w:left="660" w:right="80" w:hanging="436"/>
        <w:spacing w:after="0" w:line="26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such companies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86"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our executive officers, directors and our investment adviser may, in the ordinary course of business, be named as defendants in litigation arising from our investments in the portfolio companies; and</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such companies may have difficulty accessing the capital markets to meet future capital needs, which may limit their ability to grow or to repay their outstanding indebtedness upon maturity.</w:t>
      </w:r>
    </w:p>
    <w:p>
      <w:pPr>
        <w:spacing w:after="0" w:line="62"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i w:val="1"/>
          <w:iCs w:val="1"/>
          <w:color w:val="auto"/>
        </w:rPr>
        <w:t>The value of our portfolio securities may not have a readily available market price and, in such a case, we will value these securities at fair value as determined in good faith by our Board, which valuation is inherently subjective and may not reflect what we may actually realize for the sale of the investment.</w:t>
      </w:r>
    </w:p>
    <w:p>
      <w:pPr>
        <w:spacing w:after="0" w:line="73" w:lineRule="exact"/>
        <w:rPr>
          <w:sz w:val="20"/>
          <w:szCs w:val="20"/>
          <w:color w:val="auto"/>
        </w:rPr>
      </w:pPr>
    </w:p>
    <w:p>
      <w:pPr>
        <w:ind w:right="100" w:firstLine="225"/>
        <w:spacing w:after="0" w:line="254" w:lineRule="auto"/>
        <w:rPr>
          <w:sz w:val="20"/>
          <w:szCs w:val="20"/>
          <w:color w:val="auto"/>
        </w:rPr>
      </w:pPr>
      <w:r>
        <w:rPr>
          <w:rFonts w:ascii="Arial" w:cs="Arial" w:eastAsia="Arial" w:hAnsi="Arial"/>
          <w:sz w:val="18"/>
          <w:szCs w:val="18"/>
          <w:color w:val="auto"/>
        </w:rPr>
        <w:t>Investments are valued at the end of each fiscal quarter. Substantially all of our investments are expected to be in loans that do not have readily ascertainable market prices. The fair value of assets that are not publicly traded or whose market prices are not readily available will be determined in good faith by the valuation committee of our Adviser and reviewed by the audit committee of our Board. Pursuant to a letter agreement, the Company has retained Duff &amp; Phelps, a global independent provider of financial advisory and investment banking services, to assist the Board by performing certain limited third-party valuation services. In connection with that determination, investment professionals from the Adviser will prepare portfolio company valuations using sources and/or proprietary models depending on the availability of information on our assets and the type of asset being valued, all in accordance with our valuation policy. The participation of the Adviser in our valuation process could result in a conflict of interest, since the Management Fee is based in part on our gross assets.</w:t>
      </w:r>
    </w:p>
    <w:p>
      <w:pPr>
        <w:spacing w:after="0" w:line="84"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portfolio securities may be thinly traded and, as a result, the lack of liquidity in our investments may adversely affect our business.</w:t>
      </w:r>
    </w:p>
    <w:p>
      <w:pPr>
        <w:spacing w:after="0" w:line="117" w:lineRule="exact"/>
        <w:rPr>
          <w:sz w:val="20"/>
          <w:szCs w:val="20"/>
          <w:color w:val="auto"/>
        </w:rPr>
      </w:pPr>
    </w:p>
    <w:p>
      <w:pPr>
        <w:jc w:val="both"/>
        <w:ind w:right="180" w:firstLine="222"/>
        <w:spacing w:after="0" w:line="279" w:lineRule="auto"/>
        <w:rPr>
          <w:sz w:val="20"/>
          <w:szCs w:val="20"/>
          <w:color w:val="auto"/>
        </w:rPr>
      </w:pPr>
      <w:r>
        <w:rPr>
          <w:rFonts w:ascii="Arial" w:cs="Arial" w:eastAsia="Arial" w:hAnsi="Arial"/>
          <w:sz w:val="17"/>
          <w:szCs w:val="17"/>
          <w:color w:val="auto"/>
        </w:rPr>
        <w:t>We will generally make loans to private companies. The illiquidity of these investments may make it difficult for us to sell positions if the need arises. In addition, if we are required to liquidate all or a portion of our portfolio quickly, we may realize significantly less than the value at which we had previously recorded such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63"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i w:val="1"/>
          <w:iCs w:val="1"/>
          <w:color w:val="auto"/>
        </w:rPr>
        <w:t>Our portfolio may be focused in a limited number of portfolio companies, which will subject us to a risk of significant loss if any of these companies defaults on its obligations under any of its debt instruments or if there is a downturn in a particular industry.</w:t>
      </w:r>
    </w:p>
    <w:p>
      <w:pPr>
        <w:spacing w:after="0" w:line="62"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Our portfolio may be concentrated in a limited number of portfolio companies and industries. Beyond the asset diversification requirements associated with our qualification as a RIC for U.S. tax purposes, we do not have fixed guidelines for diversification, and while we are not targeting any specific industries, our investments may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concentrated in relatively few industries.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have not yet identified any potential investments.</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have not identified any of the portfolio companies in which we will invest the net proceeds of the Private Offering. Our investments will be selected by our Adviser’s investment professionals, subject to the approval of its Investment Review Committee, and our stockholders will not have input into our investment decisions. These factors will increase the uncertainty, and possibly also the risk, of investing in our common stock as compared with an established portfolio and operating history.</w:t>
      </w:r>
    </w:p>
    <w:p>
      <w:pPr>
        <w:spacing w:after="0" w:line="79"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i w:val="1"/>
          <w:iCs w:val="1"/>
          <w:color w:val="auto"/>
        </w:rPr>
        <w:t>We are currently in a period of capital markets disruption and recession and do not expect these conditions to improve in the near future; as a result, we may be unable to list shares of our common stock.</w:t>
      </w:r>
    </w:p>
    <w:p>
      <w:pPr>
        <w:spacing w:after="0" w:line="62"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U.S. capital markets have been experiencing extreme volatility and disruption for more than two years and we believe that the U.S. economy has not fully emerged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events could limit our investment originations, limit their ability to grow, negatively impact our operating results, and delay or prevent us from launching or completing an IPO of our common stock.</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enter into collateralized loan obligations, which may subject us to certain structured financing risks.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To finance investments, the Company may securitize certain of its investments, including through the formation of one or more Collateralized Loan Obligations (“CLOs”), while retaining all or most of the exposure to the performance of these investments. This would involve contributing a pool of assets to a special purpose entity, and selling debt interests in such entity on a non-recourse or limited-recourse basis to purchasers.</w:t>
      </w:r>
    </w:p>
    <w:p>
      <w:pPr>
        <w:spacing w:after="0" w:line="73"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If the Company creates a CLO, the Company depends on distributions from the CLO’s assets out of its earnings and cash flows to enable it to make distributions to its stockholders. The ability of a CLO to make distributions or pay dividends will be subject to various limitations, including the terms and covenants of the debt it issues. For example, tests (based on interest coverage or other financial ratios or other criteria) may restrict our ability, as holder of a CLO’s equity interests, to receive cash flow from these investments. There is no assurance any such performance tests will be satisfied. Also, a CLO may take actions that delay distributions in order to preserve ratings and to keep the cost of present and future financings lower or the CLO may be obligated to retain cash or other assets to satisfy over-collateralization requirements commonly provided for holders of the CLO’s debt. As a result, there may be a lag, which could be significant, between the repayment or other realization on a loan or other assets in, and the distribution of cash out of, a CLO, or cash flow may be completely restricted for the life of the CLO.</w:t>
      </w:r>
    </w:p>
    <w:p>
      <w:pPr>
        <w:spacing w:after="0" w:line="7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addition, a decline in the credit quality of loans in a CLO due to poor operating results of the relevant borrower, declines in the value of loan collateral or increases in defaults, among other things, may force a CLO to sell certain assets at a loss, reducing their earnings and, in turn, cash potentially available for distribution to the Company for distribution to its stockholders.</w:t>
      </w:r>
    </w:p>
    <w:p>
      <w:pPr>
        <w:spacing w:after="0" w:line="73"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To the extent that any losses are incurred by the CLO in respect of any collateral, such losses will be borne first by the Company as owner of equity interests. Finally, any equity interests that the Company retains in a CLO will not be secured by the assets of the CLO and the Company will rank behind all creditors of the CLO.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firstLine="225"/>
        <w:spacing w:after="0" w:line="308" w:lineRule="auto"/>
        <w:rPr>
          <w:sz w:val="20"/>
          <w:szCs w:val="20"/>
          <w:color w:val="auto"/>
        </w:rPr>
      </w:pPr>
      <w:r>
        <w:rPr>
          <w:rFonts w:ascii="Arial" w:cs="Arial" w:eastAsia="Arial" w:hAnsi="Arial"/>
          <w:sz w:val="17"/>
          <w:szCs w:val="17"/>
          <w:i w:val="1"/>
          <w:iCs w:val="1"/>
          <w:color w:val="auto"/>
        </w:rPr>
        <w:t>Because we likely will not hold controlling interests in our portfolio companies, we may not be in a position to exercise control over such portfolio companies or to prevent decisions by management of such portfolio companies that could decrease the value of our investments.</w:t>
      </w:r>
    </w:p>
    <w:p>
      <w:pPr>
        <w:spacing w:after="0" w:line="38"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We are a lender, and loans (and any equity investments we make) will be non-controlling investments, meaning we will not be in a position to control the management, operation and strategic decision-making of the companies we invest in.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Due to the lack of liquidity for the debt and equity investments that we will typically hold in our portfolio companies, we may not be able to dispose of our investments in the event that we disagree with the actions of a portfolio company, and may therefore suffer a decrease in the value of our investments.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will be exposed to risks associated with changes in interest rates.</w:t>
      </w:r>
    </w:p>
    <w:p>
      <w:pPr>
        <w:spacing w:after="0" w:line="11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majority of our debt investments are likely to be based on floating rates, such as LIBOR, EURIBOR, the Federal Funds Rate or the Prime Rate. 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 yield bonds,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 portion of our debt securities may be rated below investment grade, or of comparative quality, and may be considered speculative.</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Our investments are likely to be in lower grade obligations. The lower grade investments in which we invest may be rated below investment grade by one or more nationally recognized statistical rating agencies at the time of investment or may be unrated but determined by the Adviser to be of comparable quality. Loans or debt securities rated below investment grade are considered speculative with respect to the issuer’s capacity to pay interest and repay principal.</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By originating loans to companies that are experiencing significant financial or business difficulties, we may be exposed to distressed lending risks.</w:t>
      </w:r>
    </w:p>
    <w:p>
      <w:pPr>
        <w:spacing w:after="0" w:line="129" w:lineRule="exact"/>
        <w:rPr>
          <w:sz w:val="20"/>
          <w:szCs w:val="20"/>
          <w:color w:val="auto"/>
        </w:rPr>
      </w:pPr>
    </w:p>
    <w:p>
      <w:pPr>
        <w:ind w:right="80" w:firstLine="215"/>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There is no assurance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be exposed to special risks associated with bankruptcy cases.</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Many of the events within a bankruptcy case are adversarial and often beyond the control of the creditors. While creditors generally are afforded an opportunity to object to significant actions, there can be no assurance that a bankruptcy court would not approve actions that may be contrary to the interests of the Company. Furthermore, there are instances where creditors can lose their ranking and priority if they are considered to have taken over management of a borrower.</w:t>
      </w:r>
    </w:p>
    <w:p>
      <w:pPr>
        <w:spacing w:after="0" w:line="79"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80" w:lineRule="exact"/>
        <w:rPr>
          <w:sz w:val="20"/>
          <w:szCs w:val="20"/>
          <w:color w:val="auto"/>
        </w:rPr>
      </w:pPr>
    </w:p>
    <w:p>
      <w:pPr>
        <w:ind w:right="520" w:firstLine="225"/>
        <w:spacing w:after="0" w:line="286" w:lineRule="auto"/>
        <w:rPr>
          <w:sz w:val="20"/>
          <w:szCs w:val="20"/>
          <w:color w:val="auto"/>
        </w:rPr>
      </w:pPr>
      <w:r>
        <w:rPr>
          <w:rFonts w:ascii="Arial" w:cs="Arial" w:eastAsia="Arial" w:hAnsi="Arial"/>
          <w:sz w:val="17"/>
          <w:szCs w:val="17"/>
          <w:color w:val="auto"/>
        </w:rPr>
        <w:t>In addition, lenders can be subject to lender liability claims for actions taken by them where they become too involved in the borrower’s business or exercise control over the borrower. For example, we could become subject to a lender’s liability claim, if, among other things, the borrower requests significant managerial assistance from us and we provide such assistance as contemplated by the 1940 Act.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cannot guarantee that we will be able to obtain various required state licenses.</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Company may be required to obtain various state licenses in order to, among other things, originate commercial loans. Applying for and obtaining required licenses can be costly and take several months. There is no assurance that the Company will obtain all of the licenses that we need on a timely basis. Furthermore, the Company will be subject to various information and other requirements in order to obtain and maintain these licenses, and there is no assurance that the Company will satisfy those requirements. Our failure to obtain or maintain licenses might restrict investment options and have other adverse consequences.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will have broad discretion over the use of proceeds of the funds we raise from investors and will use proceeds in part to satisfy operating expenses.</w:t>
      </w:r>
    </w:p>
    <w:p>
      <w:pPr>
        <w:spacing w:after="0" w:line="140"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There can be no assurance that we will be able to locate a sufficient number of suitable investment opportunities to allow us to successfully deploy substantially all of the net proceeds of the offering in a timeframe that will permit investors to earn above-market returns. To the extent we are unable to invest substantially all of the net proceeds of the offering within our contemplated timeframe after the completion of the offering, our investment income, and in turn our results of operations, will likely be materially adversely affected.</w:t>
      </w:r>
    </w:p>
    <w:p>
      <w:pPr>
        <w:spacing w:after="0" w:line="7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will have significant flexibility in applying the proceeds of the funds we raise from investors and may use the net proceeds in ways with which stockholders may not agree, or for purposes other than those contemplated at the time of the capital raising. We will also pay operating expenses, and may pay other expenses such as due diligence expenses of potential new investments, from net proceeds. Our ability to achieve our investment objective may be limited to the extent that net proceeds of the funds we raise from investors, pending full investment by us in portfolio companies, are used to pay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220" w:firstLine="222"/>
        <w:spacing w:after="0" w:line="286" w:lineRule="auto"/>
        <w:rPr>
          <w:sz w:val="20"/>
          <w:szCs w:val="20"/>
          <w:color w:val="auto"/>
        </w:rPr>
      </w:pPr>
      <w:r>
        <w:rPr>
          <w:rFonts w:ascii="Arial" w:cs="Arial" w:eastAsia="Arial" w:hAnsi="Arial"/>
          <w:sz w:val="17"/>
          <w:szCs w:val="17"/>
          <w:color w:val="auto"/>
        </w:rPr>
        <w:t>We were incorporated under the laws of the State of Delaware on July 21, 2010. We intend to file an election to be treated as a business development company under the 1940 Act, and as a regulated investment company for federal income tax purposes. As such, we will be required to comply with various regulatory requirements, such as the requirement to invest at least 70% of our assets in “qualifying assets,” source of income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limitations, asset diversification requirements, and the requirement to distribute annually at least 90% of our taxable income and tax-exempt interest. See</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Item 1(c). Description of Business—Regulation as a Public Business Development Company</w:t>
      </w:r>
      <w:r>
        <w:rPr>
          <w:rFonts w:ascii="Arial" w:cs="Arial" w:eastAsia="Arial" w:hAnsi="Arial"/>
          <w:sz w:val="18"/>
          <w:szCs w:val="18"/>
          <w:color w:val="auto"/>
        </w:rPr>
        <w:t>” and “</w:t>
      </w:r>
      <w:r>
        <w:rPr>
          <w:rFonts w:ascii="Arial" w:cs="Arial" w:eastAsia="Arial" w:hAnsi="Arial"/>
          <w:sz w:val="18"/>
          <w:szCs w:val="18"/>
          <w:i w:val="1"/>
          <w:iCs w:val="1"/>
          <w:color w:val="auto"/>
        </w:rPr>
        <w:t>Item 1(c). Description of Business</w:t>
      </w:r>
      <w:r>
        <w:rPr>
          <w:rFonts w:ascii="Arial" w:cs="Arial" w:eastAsia="Arial" w:hAnsi="Arial"/>
          <w:sz w:val="18"/>
          <w:szCs w:val="18"/>
          <w:color w:val="auto"/>
        </w:rPr>
        <w:t>—</w:t>
      </w:r>
      <w:r>
        <w:rPr>
          <w:rFonts w:ascii="Arial" w:cs="Arial" w:eastAsia="Arial" w:hAnsi="Arial"/>
          <w:sz w:val="18"/>
          <w:szCs w:val="18"/>
          <w:i w:val="1"/>
          <w:iCs w:val="1"/>
          <w:color w:val="auto"/>
        </w:rPr>
        <w:t>Certain U.S.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Consequences—Regulated Investment Company Classification</w:t>
      </w:r>
      <w:r>
        <w:rPr>
          <w:rFonts w:ascii="Arial" w:cs="Arial" w:eastAsia="Arial" w:hAnsi="Arial"/>
          <w:sz w:val="18"/>
          <w:szCs w:val="18"/>
          <w:color w:val="auto"/>
        </w:rPr>
        <w:t>.”</w:t>
      </w:r>
    </w:p>
    <w:p>
      <w:pPr>
        <w:spacing w:after="0" w:line="76"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TSL is currently in the development stage and has not commenced commercial operations. Since inception, there has been no activity other than an initial $1,000 capital contribution received from Tarrant Advisors, Inc., an affiliate of TPG and our initial shareholder, in exchange for 1,000 shares of our common stock. To date our efforts have been limited to organizational and initial operating activities, the cost of which has been borne by the Adviser and its affiliates. We have agreed to repay the Adviser for initial organization and operating costs incurred up to a maximum of $1.5 million, upon receipt of a formal commitment of external capital. In the event receipt of a formal commitment of external capital does not occur, all initial organization and operating costs will be borne by the Adviser. As there has been no formal commitment of external capital to date, no such costs have been recorded by the Company.</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We plan to generate revenues in the form of interest income from the debt securities we hold and dividends and capital appreciation on either direct equity investments or equity interests obtained in connection with originating loans, such as options, warrants or conversion rights. We expect most of the debt securities we will hold will be floating rate in nature. The debt we invest in will typically not be rated by any rating agency, but if it were, it is likely that such debt would be below investment grade. We intend to structure our debt investments with interest payable quarterly, semi-annually or annually, but we may structure certain investments with terms to provide for longer interest payment periods or to allow interest to be paid by adding amounts due to the principal balance of the loan, resulting in deferred cash receipts. In addition, we may also generate revenue in the form of commitment, loan origination, structuring or diligence fees, fees for providing managerial assistance to our portfolio companies, and possibly consulting fees. Certain of these fees may be capitalized and amortized as additional interest income over the life of the related loan.</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All of our officers are employees of TSL Advisers, LLC or of other TPG affiliated companies. We do not have any direct employees. Once we commence commercial operations, our primary operating expenses will include those related to:</w:t>
      </w:r>
    </w:p>
    <w:p>
      <w:pPr>
        <w:spacing w:after="0" w:line="62" w:lineRule="exact"/>
        <w:rPr>
          <w:sz w:val="20"/>
          <w:szCs w:val="20"/>
          <w:color w:val="auto"/>
        </w:rPr>
      </w:pPr>
    </w:p>
    <w:p>
      <w:pPr>
        <w:ind w:left="660" w:hanging="436"/>
        <w:spacing w:after="0"/>
        <w:tabs>
          <w:tab w:leader="none" w:pos="66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our initial organization costs and operating costs incurred prior to the commencement of commercial activities (up to an aggregate of $1,500,000);</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expenses, including travel expenses, incurred by the Adviser, or members of the Investment Team, or payable to third parties, performing due diligence on prospective portfolio companies and, if necessary, enforcing our rights;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costs of the offerings of common shares and other securities, if 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debt service and other costs of borrowings or other financing arrangements;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allocated costs incurred by the Adviser in providing managerial assistance to those portfolio companies that request it;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b w:val="1"/>
          <w:bCs w:val="1"/>
          <w:color w:val="auto"/>
        </w:rPr>
      </w:pPr>
    </w:p>
    <w:p>
      <w:pPr>
        <w:jc w:val="both"/>
        <w:ind w:left="660" w:right="140" w:hanging="436"/>
        <w:spacing w:after="0" w:line="264"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86" w:lineRule="exact"/>
        <w:rPr>
          <w:rFonts w:ascii="Arial" w:cs="Arial" w:eastAsia="Arial" w:hAnsi="Arial"/>
          <w:sz w:val="18"/>
          <w:szCs w:val="18"/>
          <w:b w:val="1"/>
          <w:bCs w:val="1"/>
          <w:color w:val="auto"/>
        </w:rPr>
      </w:pPr>
    </w:p>
    <w:p>
      <w:pPr>
        <w:ind w:left="660" w:right="120" w:hanging="436"/>
        <w:spacing w:after="0" w:line="342" w:lineRule="auto"/>
        <w:tabs>
          <w:tab w:leader="none" w:pos="66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b w:val="1"/>
          <w:bCs w:val="1"/>
          <w:color w:val="auto"/>
        </w:rPr>
      </w:pPr>
    </w:p>
    <w:p>
      <w:pPr>
        <w:ind w:left="660" w:right="280" w:hanging="436"/>
        <w:spacing w:after="0" w:line="277"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our fidelity bond (as described more fully under “Item 1(c). Description of Business—Regulation as a Public Business Development Company,” below);</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addition, we will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w:t>
      </w:r>
    </w:p>
    <w:p>
      <w:pPr>
        <w:spacing w:after="0" w:line="73"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We may also enter into a credit facility or other debt arrangements to partially fund our operations, and could incur costs and expenses including commitment, origination, or structuring fees and the related interest costs associated with any amounts borrowed.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Hedging</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may, but are not required to, enter into interest rate or foreign exchange derivative agreements to hedge certain risks. Such hedging activities, which will be in compliance with applicable legal and regulatory requirements, may include the use of futures, options and forward contracts. We will bear the costs incurred in connection with entering into, administering and settling any such derivative contracts. There can be no assurance any hedging strategy we employ will be successful.</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Condition, Liquidity and Capital Resources</w:t>
      </w:r>
    </w:p>
    <w:p>
      <w:pPr>
        <w:spacing w:after="0" w:line="117" w:lineRule="exact"/>
        <w:rPr>
          <w:sz w:val="20"/>
          <w:szCs w:val="20"/>
          <w:color w:val="auto"/>
        </w:rPr>
      </w:pPr>
    </w:p>
    <w:p>
      <w:pPr>
        <w:ind w:right="360" w:firstLine="215"/>
        <w:spacing w:after="0" w:line="291" w:lineRule="auto"/>
        <w:rPr>
          <w:sz w:val="20"/>
          <w:szCs w:val="20"/>
          <w:color w:val="auto"/>
        </w:rPr>
      </w:pPr>
      <w:r>
        <w:rPr>
          <w:rFonts w:ascii="Arial" w:cs="Arial" w:eastAsia="Arial" w:hAnsi="Arial"/>
          <w:sz w:val="16"/>
          <w:szCs w:val="16"/>
          <w:color w:val="auto"/>
        </w:rPr>
        <w:t>As we have not yet commenced commercial activities, the only transaction to date has been the receipt of an initial capital contribution of $1,000 from Tarrant Advisors, Inc., an affiliate of TPG and our initial shareholder, in exchange for 1,000 shares of our securities. We expect to generate cash from</w:t>
      </w:r>
    </w:p>
    <w:p>
      <w:pPr>
        <w:jc w:val="both"/>
        <w:ind w:right="200" w:firstLine="8"/>
        <w:spacing w:after="0" w:line="255"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offerings of our common or preferred stock, (2) cash flows from operations and (3) borrowings from banks or other lenders. We will seek to enter into any bank debt, credit facility or other financing arrangements on at least customary market terms; however, we cannot assure you we will be able to do so.</w:t>
      </w:r>
    </w:p>
    <w:p>
      <w:pPr>
        <w:spacing w:after="0" w:line="82"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Our primary use of cash will be for (1) investments in portfolio companies and other investments to comply with certain portfolio diversification requirements, (2) the cost of operations (including paying the Adviser), (3) debt service of any borrowings and (4) cash distributions to the holders of our stock.</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Environment</w:t>
      </w:r>
    </w:p>
    <w:p>
      <w:pPr>
        <w:spacing w:after="0" w:line="117"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U.S. capital markets have been experiencing extreme volatility and disruption for more than two years, and we believe that the U.S. economy has not fully emerged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events could limit our investment originations, limit their ability to grow, negatively impact our operating results, and delay or prevent us from launching or completing an IPO of our common stock.</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117"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are subject to financial market risks, including changes in interest rates. We plan to invest primarily in illiquid debt and equity securities of private companies. Most of our investments will not have a readily available market price, and we will value these investments at fair value as determined in good faith by the Board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See “</w:t>
      </w:r>
      <w:r>
        <w:rPr>
          <w:rFonts w:ascii="Arial" w:cs="Arial" w:eastAsia="Arial" w:hAnsi="Arial"/>
          <w:sz w:val="18"/>
          <w:szCs w:val="18"/>
          <w:i w:val="1"/>
          <w:iCs w:val="1"/>
          <w:color w:val="auto"/>
        </w:rPr>
        <w:t>Item 9. Market Price of and Dividends on the Registrant’s Common Equity and Related Stockholder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Matters—Valuation of Portfolio Securities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Properties</w:t>
      </w:r>
    </w:p>
    <w:p>
      <w:pPr>
        <w:spacing w:after="0" w:line="121"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 We believe that our present facilities are adequate to meet our current needs. If new or additional space is required, we believe that adequate facilities are available at competitive prices in the same area.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Security Ownership of Certain Beneficial Owners and Management.</w:t>
      </w:r>
    </w:p>
    <w:p>
      <w:pPr>
        <w:spacing w:after="0" w:line="121"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In conjunction with our initial incorporation, Tarrant Advisors, Inc., an affiliate of TPG, purchased 1,000 common shares of the Company at a price of $1.00 per share as our initial capital. Effective upon the Closing and our commencement of business operations, however, no entity would be deemed to “control” us by virtue of its beneficial ownership of our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Directors and Executive Officers.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Our Board will oversee our management. Our Board elects our officers, who will serve at the discretion of the Board. Pursuant to our Amended and Restated Certificate of Incorporation and our Bylaws, our Board will initially consist of five members, a majority of whom will be Independent Directors. The responsibilities of each director will include, among other things, the oversight of our investment activity, the quarterly valuation of our assets, and oversight of our financing arrangements. The Board will initially maintain only an audit committee 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 IPO committee, but may establish additional committees in the future. Unless approved by our Board, we will not permit our executive officers or directors to serve as officers, directors or principals of entities that operate in the same or related line of business as we do, other than investment funds, if any, managed by the Adviser and its affiliates.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Executive Officers</w:t>
      </w:r>
    </w:p>
    <w:p>
      <w:pPr>
        <w:spacing w:after="0" w:line="121"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Under our Amended and Restated Certificate of Incorporation, our directors will be divided into three classes. Each class of directors will hold office for a three-year term. However, the initial members of the three classes have initial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will hold office for the term to which he or she is elected and until his or her successor is duly elected and qualified.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Directors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address for each director is c/o TPG Specialty Lending, Inc., 301 Commerce Street, Suite 3300, Fort Worth, TX 76102. Information regarding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is as follows:</w:t>
      </w:r>
    </w:p>
    <w:p>
      <w:pPr>
        <w:spacing w:after="0" w:line="202" w:lineRule="exact"/>
        <w:rPr>
          <w:sz w:val="20"/>
          <w:szCs w:val="20"/>
          <w:color w:val="auto"/>
        </w:rPr>
      </w:pPr>
    </w:p>
    <w:p>
      <w:pPr>
        <w:spacing w:after="0"/>
        <w:tabs>
          <w:tab w:leader="none" w:pos="7680" w:val="left"/>
          <w:tab w:leader="none" w:pos="8800" w:val="left"/>
          <w:tab w:leader="none" w:pos="101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u w:val="single" w:color="auto"/>
          <w:color w:val="auto"/>
        </w:rPr>
        <w:t>Position(s)</w:t>
      </w:r>
      <w:r>
        <w:rPr>
          <w:sz w:val="20"/>
          <w:szCs w:val="20"/>
          <w:color w:val="auto"/>
        </w:rPr>
        <w:tab/>
      </w:r>
      <w:r>
        <w:rPr>
          <w:rFonts w:ascii="Arial" w:cs="Arial" w:eastAsia="Arial" w:hAnsi="Arial"/>
          <w:sz w:val="13"/>
          <w:szCs w:val="13"/>
          <w:b w:val="1"/>
          <w:bCs w:val="1"/>
          <w:u w:val="single" w:color="auto"/>
          <w:color w:val="auto"/>
        </w:rPr>
        <w:t>Expiration of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171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Interested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Executive Officers who are not Directors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regarding our executive officers who are not directors is as follows:</w:t>
      </w:r>
    </w:p>
    <w:p>
      <w:pPr>
        <w:spacing w:after="0" w:line="217" w:lineRule="exact"/>
        <w:rPr>
          <w:sz w:val="20"/>
          <w:szCs w:val="20"/>
          <w:color w:val="auto"/>
        </w:rPr>
      </w:pPr>
    </w:p>
    <w:p>
      <w:pPr>
        <w:spacing w:after="0"/>
        <w:tabs>
          <w:tab w:leader="none" w:pos="7660" w:val="left"/>
          <w:tab w:leader="none" w:pos="8800" w:val="left"/>
          <w:tab w:leader="none" w:pos="101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u w:val="single" w:color="auto"/>
          <w:color w:val="auto"/>
        </w:rPr>
        <w:t>Position(s)</w:t>
      </w:r>
      <w:r>
        <w:rPr>
          <w:sz w:val="20"/>
          <w:szCs w:val="20"/>
          <w:color w:val="auto"/>
        </w:rPr>
        <w:tab/>
      </w:r>
      <w:r>
        <w:rPr>
          <w:rFonts w:ascii="Arial" w:cs="Arial" w:eastAsia="Arial" w:hAnsi="Arial"/>
          <w:sz w:val="13"/>
          <w:szCs w:val="13"/>
          <w:b w:val="1"/>
          <w:bCs w:val="1"/>
          <w:u w:val="single" w:color="auto"/>
          <w:color w:val="auto"/>
        </w:rPr>
        <w:t>Expiration of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1625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Independent Directors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Interested Directors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Executive Officers who are not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right="80" w:firstLine="222"/>
        <w:spacing w:after="0" w:line="291" w:lineRule="auto"/>
        <w:rPr>
          <w:sz w:val="20"/>
          <w:szCs w:val="20"/>
          <w:color w:val="auto"/>
        </w:rPr>
      </w:pPr>
      <w:r>
        <w:rPr>
          <w:rFonts w:ascii="Arial" w:cs="Arial" w:eastAsia="Arial" w:hAnsi="Arial"/>
          <w:sz w:val="16"/>
          <w:szCs w:val="16"/>
          <w:color w:val="auto"/>
        </w:rPr>
        <w:t>The audit committee will operate pursuant to our bylaws, which we anticipate will be adopted prior to the Closing (the “Bylaws”). The Bylaws will set forth the responsibilities of the audit committee. The primary function of the audit committee is to serve as an independent and objective party to assist the Board in fulfilling its responsibilities for valuing our assets, overseeing and monitoring the quality and integrity of our financial statements, the adequacy of our system of internal controls, the review of the independence and performance of (as well as communicate openly with) our registered public accounting firm and our compliance with legal and regulatory requirements. Because of the absence of a public listing or trading market for our common stock, our Board has not designated any member of the audit committee as an “audit committee financial expert” and our audit committee is not required to be comprised of Independent Directors. However, our audit committee will be comprised solely of members who are Independent Directors.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IPO Committee</w:t>
      </w:r>
    </w:p>
    <w:p>
      <w:pPr>
        <w:spacing w:after="0" w:line="117"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Bylaws will also establish an IPO committee. The IPO committee’s primary function will be to advise the Board regarding matters relating to an IPO of the Company, including: (i) the preparation of any registration statement and prospectus in connection with an IPO, (ii) the issuance and sale of the Company’s common stock, (iii) the negotiation of the terms and conditions of any underwriting agreements relating to an IPO, (iv) the determination that all common stock is validly issued and (v) the authorization of certain of the Company’s officers to execute and deliver the documents relevant to an IPO. The IPO committee will act solely in an advisory capacity to the Board and will not be authorized to take any actions on behalf of the Board or the Company.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Board does not currently intend to delegate any authority to a compensation committee because our executive officers will not receive any direct compensation from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code of ethics relates to written standards that are reasonably designed to deter wrongdoing and to promote:</w:t>
      </w:r>
    </w:p>
    <w:p>
      <w:pPr>
        <w:spacing w:after="0" w:line="117" w:lineRule="exact"/>
        <w:rPr>
          <w:sz w:val="20"/>
          <w:szCs w:val="20"/>
          <w:color w:val="auto"/>
        </w:rPr>
      </w:pPr>
    </w:p>
    <w:p>
      <w:pPr>
        <w:ind w:left="660" w:hanging="436"/>
        <w:spacing w:after="0"/>
        <w:tabs>
          <w:tab w:leader="none" w:pos="66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153" w:lineRule="exact"/>
        <w:rPr>
          <w:rFonts w:ascii="Arial" w:cs="Arial" w:eastAsia="Arial" w:hAnsi="Arial"/>
          <w:sz w:val="16"/>
          <w:szCs w:val="16"/>
          <w:b w:val="1"/>
          <w:bCs w:val="1"/>
          <w:color w:val="auto"/>
        </w:rPr>
      </w:pPr>
    </w:p>
    <w:p>
      <w:pPr>
        <w:ind w:left="660" w:right="180" w:hanging="436"/>
        <w:spacing w:after="0" w:line="277"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full, fair, accurate, timely and understandable disclosure in reports and documents that are filed with, or submitted to, the SEC and in other public communications made by us;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compliance with applicable governmental laws, rules and regulations;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prompt internal reporting of violations of the code to an appropriate person or persons identified in the code;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accountability for adherence to the code.</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Our Board expects to adopt a corporate code of ethics that applies to our executive officers. See “</w:t>
      </w:r>
      <w:r>
        <w:rPr>
          <w:rFonts w:ascii="Arial" w:cs="Arial" w:eastAsia="Arial" w:hAnsi="Arial"/>
          <w:sz w:val="18"/>
          <w:szCs w:val="18"/>
          <w:i w:val="1"/>
          <w:iCs w:val="1"/>
          <w:color w:val="auto"/>
        </w:rPr>
        <w:t>Item I(c). Description of Business—Regulation as a</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Development Company—Code of Ethics</w:t>
      </w:r>
      <w:r>
        <w:rPr>
          <w:rFonts w:ascii="Arial" w:cs="Arial" w:eastAsia="Arial" w:hAnsi="Arial"/>
          <w:sz w:val="18"/>
          <w:szCs w:val="18"/>
          <w:color w:val="auto"/>
        </w:rPr>
        <w: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Executive Compensation.</w:t>
      </w:r>
    </w:p>
    <w:p>
      <w:pPr>
        <w:spacing w:after="0" w:line="121"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Compensation of Executive Officers</w:t>
      </w:r>
    </w:p>
    <w:p>
      <w:pPr>
        <w:spacing w:after="0" w:line="117" w:lineRule="exact"/>
        <w:rPr>
          <w:sz w:val="20"/>
          <w:szCs w:val="20"/>
          <w:color w:val="auto"/>
        </w:rPr>
      </w:pPr>
    </w:p>
    <w:p>
      <w:pPr>
        <w:ind w:right="120" w:firstLine="222"/>
        <w:spacing w:after="0" w:line="302" w:lineRule="auto"/>
        <w:rPr>
          <w:sz w:val="20"/>
          <w:szCs w:val="20"/>
          <w:color w:val="auto"/>
        </w:rPr>
      </w:pPr>
      <w:r>
        <w:rPr>
          <w:rFonts w:ascii="Arial" w:cs="Arial" w:eastAsia="Arial" w:hAnsi="Arial"/>
          <w:sz w:val="16"/>
          <w:szCs w:val="16"/>
          <w:color w:val="auto"/>
        </w:rPr>
        <w:t>We do not currently have any employees and do not expect to have any employees. Services necessary for our business will be provided by individuals who are employees of the Adviser or its affiliates, pursuant to the terms of our Advisory and Administration Agreements. Each of our executive officers will be an employee of the Adviser or its affiliates. Our day-to-day investment operations will be managed by the Adviser. Most of the services necessary for the origination and administration of our investment portfolio will be provided by investment professionals employed by the Adviser or its affiliates.</w:t>
      </w:r>
    </w:p>
    <w:p>
      <w:pPr>
        <w:spacing w:after="0" w:line="46"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None of our executive officers will receive direct compensation from us. We will reimburse the Adviser the allocable portion of the compensation paid by the Adviser (or its affiliates) to the Company’s chief compliance officer and chief financial officer (based on the percentage of time such individuals devote, on an estimated basis, to the business and affairs of the Company). Certain of our executive officers and other members of our Investment Team or our Adviser’s Investment Review Committee, through their ownership interest in or management positions with the Adviser, may be entitled to a portion of any profits earned by the Adviser, which includes amounts payable to the Adviser under the terms of our Advisory Agreement, less expenses incurred by the Adviser in performing its services under our Advisory Agreement. The Adviser may pay additional salaries, bonuses, and individual performance awards and/or individual performance bonuses to our executive officers in addition to their ownership interest.</w:t>
      </w:r>
    </w:p>
    <w:p>
      <w:pPr>
        <w:spacing w:after="0" w:line="178"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Compensation of Independent Directors</w:t>
      </w:r>
    </w:p>
    <w:p>
      <w:pPr>
        <w:spacing w:after="0" w:line="117"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We will pay no compensation to officers who are “interested persons” (as defined in the 1940 Act) of the Adviser or to directors other than the Independent Directors. We are authorized to pay each Independent Director the following amounts for serving as a director: (i) $75,000 ($100,000 after an IPO) per year,</w:t>
      </w:r>
    </w:p>
    <w:p>
      <w:pPr>
        <w:ind w:right="40" w:firstLine="8"/>
        <w:spacing w:after="0" w:line="254"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$2,500 for each meeting of the Board attended, (iii) $1,000 for each committee meeting of the Company attended, (iv) an additional fee of $5,000 ($7,500 after an IPO) per year for the chairman of the audit committee and (v) an additional fee of $2,500 per year for each chairman of any other committee of the Board. We are also authorized to pay the reasonable out-of-pocket expenses of each Independent Director incurred by such director in connection with the fulfillment of his or her duties as an Independent Director.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Certain Relationships and Related Transactions, and Director Independence.</w:t>
      </w:r>
    </w:p>
    <w:p>
      <w:pPr>
        <w:spacing w:after="0" w:line="121"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Transactions with Related Persons; Review Approval or Ratification of Transaction with Related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TPG</w:t>
      </w:r>
    </w:p>
    <w:p>
      <w:pPr>
        <w:spacing w:after="0" w:line="121"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Our investment activities are managed by our Adviser, which is responsible for sourcing, researching and structuring potential investments, monitoring our portfolio companies and providing operating, managerial and administrative assistance to the Company and to our portfolio companies as required.</w:t>
      </w:r>
    </w:p>
    <w:p>
      <w:pPr>
        <w:spacing w:after="0" w:line="16"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Adviser will be registered with the SEC as an investment adviser under the Advisers Act, and is an affiliate of TPG. TPG is also an SEC-registered investment adviser and provides investment advisory services to a number of private investment funds. However, the Adviser, and not TPG, will be responsible for providing the services to the Company described herein. In addition, TPG and its affiliates engage in a broad range of other investment activities, including pursuing investments for their own account and for the account of associated funds and providing other services to these funds and their portfolio companies.</w:t>
      </w:r>
    </w:p>
    <w:p>
      <w:pPr>
        <w:spacing w:after="0" w:line="80"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In addition, the Adviser or certain of its affiliates will make capital commitments to purchase shares of our common stock as of the Closing. These capital commitments will be made pursuant to subscription agreements entered into with the Company, on terms and conditions substantially the same as those offered to our other investors.</w:t>
      </w:r>
    </w:p>
    <w:p>
      <w:pPr>
        <w:spacing w:after="0" w:line="73" w:lineRule="exact"/>
        <w:rPr>
          <w:sz w:val="20"/>
          <w:szCs w:val="20"/>
          <w:color w:val="auto"/>
        </w:rPr>
      </w:pPr>
    </w:p>
    <w:p>
      <w:pPr>
        <w:ind w:right="440" w:firstLine="222"/>
        <w:spacing w:after="0" w:line="312" w:lineRule="auto"/>
        <w:rPr>
          <w:sz w:val="20"/>
          <w:szCs w:val="20"/>
          <w:color w:val="auto"/>
        </w:rPr>
      </w:pPr>
      <w:r>
        <w:rPr>
          <w:rFonts w:ascii="Arial" w:cs="Arial" w:eastAsia="Arial" w:hAnsi="Arial"/>
          <w:sz w:val="16"/>
          <w:szCs w:val="16"/>
          <w:color w:val="auto"/>
        </w:rPr>
        <w:t>We expect to benefit from the Adviser’s relationships with TPG, since the Adviser will have access to the contacts and industry knowledge of TPG’s investment professionals, and will also be able to consult with TPG investment professionals on specific industry issues, trends and other matters to complement our investment process. However, the Adviser and members of the Adviser’s Investment Review Committee are expected to face a number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of actual and potential conflicts of interest involving the Company, TPG and other private investment funds affiliated with TPG, including conflicts in the allocation of investment opportunities among the Company and other TPG-affiliated funds as well as in their time and attention requirements to these other funds. Various potential and actual conflicts of interest may arise from the overall advisory, investment and other activities of the Adviser, its affiliates, including TPG, and their respective clients.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Allocations of Investment Opportunities</w:t>
      </w:r>
    </w:p>
    <w:p>
      <w:pPr>
        <w:spacing w:after="0" w:line="121"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In the ordinary course of conducting its activities, the Adviser and members of the Adviser’s Investment Review Committee are expected to encounter situations in which they must determine how to allocate investment opportunities among the Company and other investment funds affiliated with TPG. The Adviser, TOP and TPG expect, however, to first make all loan origination opportunities to middle-market borrowers (including any equity or equity-like interests connected to such opportunities) available to the Company.</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Obligations to TPG-Affiliated Funds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Members of the Adviser’s senior management and Investment Review Committee are and will continue to be active in other investment funds affiliated with TPG that pursue investment opportunities that could overlap with those pursued by the Company. Under the agreements governing these other investment funds, such investment opportunities may be required to be offered first to these funds. While the investment strategy pursued by these funds may overlap with the investment objective pursued by the Company in certain respects, members of the Adviser’s senior management and Investment Review Committee are generally not required to offer investment opportunities in middle-market loan originations, which is the Company’s primary investment focus, to TPG’s existing funds.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Allocation of Loan Origination Investment Opportunities</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Subject to the above, TPG intends to conduct all middle-market loan origination activities through the Company, unless it would not be permissible, advisable or otherwise suitable for the Company to pursue a particular investment opportunity. For example, certain loan origination investment opportunities may not be appropriate for the Company if they might cause the Company to violate asset coverage or concentration limitations imposed by the 1940 Act or the Code, would be ineligible for financing under the Company’s financing arrangements, pose adverse legal, regulatory or tax risks, constrain the Company’s resources to make future investments or would otherwise be inappropriate or inadvisable as an investment for the Company. TPG or TOP may in the future organize a separate investment vehicle aimed specifically at non-U.S. middle-market loan originations or other loan origination opportunities that are inappropriate for the Company. Any such loan origination opportunities not pursued by the Company may then be presented to other TPG-managed or sponsored vehicles, including vehicles managed by TOP investment professionals. In addition, upon the first to occur of (i) the fourth anniversary of the Closing, (ii) the date of a Qualified IPO and the time that at least 75% of the investors’ aggregate capital commitments have been contributed to the Company, the Adviser and its affiliates will not be contractually prohibited from acting as manager of, or the primary source of transactions for, other pooled investment funds with the same investment objective as the Company.</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Allocation of Non-Loan Origination Investment Opportunities</w:t>
      </w:r>
    </w:p>
    <w:p>
      <w:pPr>
        <w:spacing w:after="0" w:line="117"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While our primary focus is to generate current income and capital appreciation through direct lending to eligible portfolio companies (i.e., U.S. domiciled, middle-market issuers in which a BDC must invest at least 70% of its total assets), we also may invest up to 30% of our portfolio opportunistically in non-eligible portfolio companies. These non-eligible assets may include, among other things, debt issued by companies located outside the United States, publicly and privately traded debt and equity securities, high yield bonds and other instruments or assets (including consumer and commercial loans).</w:t>
      </w:r>
    </w:p>
    <w:p>
      <w:pPr>
        <w:spacing w:after="0" w:line="46" w:lineRule="exact"/>
        <w:rPr>
          <w:sz w:val="20"/>
          <w:szCs w:val="20"/>
          <w:color w:val="auto"/>
        </w:rPr>
      </w:pPr>
    </w:p>
    <w:p>
      <w:pPr>
        <w:jc w:val="both"/>
        <w:ind w:right="180" w:firstLine="225"/>
        <w:spacing w:after="0" w:line="312" w:lineRule="auto"/>
        <w:rPr>
          <w:sz w:val="20"/>
          <w:szCs w:val="20"/>
          <w:color w:val="auto"/>
        </w:rPr>
      </w:pPr>
      <w:r>
        <w:rPr>
          <w:rFonts w:ascii="Arial" w:cs="Arial" w:eastAsia="Arial" w:hAnsi="Arial"/>
          <w:sz w:val="16"/>
          <w:szCs w:val="16"/>
          <w:color w:val="auto"/>
        </w:rPr>
        <w:t>In the event that TPG is not required to forward a particular investment opportunity to an affiliated fund, then the Company may be permitted to take up such opportunity. The decision to allocate any such opportunity as between the Company and other TPG-managed or TPG-sponsored vehicles will take into account various factors that TPG and the Adviser deem appropriate. It is possible that the Company may not be given the opportunity 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participate in certain investments made by other TPG-affiliated funds that would otherwise be suitable for the Company.</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If TPG and the Adviser were to determine that an investment is appropriate both for the Company and for one or more other TPG-managed or TPG-sponsored vehicles, the Company would only be able to make any such investments subject to compliance with applicable regulations and interpretations and in accordance with the Adviser’s allocation procedures. In certain circumstances, co-investments with affiliates may be made only if the Company requests and receives an order from the SEC permitting us to do so. There can be no assurance that such an order will be obtained.</w:t>
      </w:r>
    </w:p>
    <w:p>
      <w:pPr>
        <w:spacing w:after="0" w:line="63"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Adviser will also serve as our administrator. The administrator, on behalf of and at the expense of the Company, may retain one or more service providers that may also be affiliates of TPG to serve as sub-administrator, custodian, accounting agent, investor services agent, transfer agent or other service provider for the Company. Any fees paid by the Company, or indemnification obligations undertaken by the Company, in respect of the administrator and such other service providers that are TPG affiliates will be set at arm’s length and approved by the Independent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In the course of our investing activities, we will pay Management Fees and Incentive Fees to the Adviser, incur direct expenses and will reimburse the Adviser for certain expenses it incurs. See “</w:t>
      </w:r>
      <w:r>
        <w:rPr>
          <w:rFonts w:ascii="Arial" w:cs="Arial" w:eastAsia="Arial" w:hAnsi="Arial"/>
          <w:sz w:val="18"/>
          <w:szCs w:val="18"/>
          <w:i w:val="1"/>
          <w:iCs w:val="1"/>
          <w:color w:val="auto"/>
        </w:rPr>
        <w:t>Item 1(c). Description of Business—General—The Investment Adviser</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Business Relationships</w:t>
      </w:r>
    </w:p>
    <w:p>
      <w:pPr>
        <w:spacing w:after="0" w:line="121"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Certain of the current directors and officers of the Company are directors or officers of the Adviser. See Item 7(b) below for a description of the Advisory Agreement and the Administration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of Management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Promoters and Certain Control Persons</w:t>
      </w:r>
    </w:p>
    <w:p>
      <w:pPr>
        <w:spacing w:after="0" w:line="11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Adviser may be deemed a promoter of the Company. The Company will enter into the Advisory Agreement and the Administration Agreement with the Adviser.</w:t>
      </w:r>
    </w:p>
    <w:p>
      <w:pPr>
        <w:spacing w:after="0" w:line="6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Pursuant to the Advisory Agreement, the Adviser will act as the investment adviser to the Company and manage the investment and reinvestment of the assets of the Company, subject to the supervision of the Board, in accordance with the investment objective, policies and restrictions set forth in this Registration Statement, in accordance with all applicable federal and state laws, rules and regulations, and the Company’s certificate of incorporation and bylaws (as amended from time to time), and in accordance with the 1940 Act. In carrying out its duties as the investment adviser to the Company pursuant to the Advisory Agreement, the Adviser will:</w:t>
      </w:r>
    </w:p>
    <w:p>
      <w:pPr>
        <w:spacing w:after="0" w:line="80" w:lineRule="exact"/>
        <w:rPr>
          <w:sz w:val="20"/>
          <w:szCs w:val="20"/>
          <w:color w:val="auto"/>
        </w:rPr>
      </w:pPr>
    </w:p>
    <w:p>
      <w:pPr>
        <w:ind w:left="660" w:right="420" w:hanging="436"/>
        <w:spacing w:after="0" w:line="277" w:lineRule="auto"/>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determine the composition of the portfolio of the Company, the nature and timing of the changes therein and the manner of implementing such changes;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identify/source, research, evaluate and negotiate the structure of the investments made by the Company;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close and monitor the Company’s investments;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determine the assets that the Company will originate, purchase, retain, or sell;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perform due diligence on prospective portfolio companies; and</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line="342" w:lineRule="auto"/>
        <w:tabs>
          <w:tab w:leader="none" w:pos="66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provide the Company with such other investment advisory, research, and related services as the Company may, from time to time, reasonably require for the investment of its funds, including providing operating and managerial assistance to the Company and its portfolio companies as required.</w:t>
      </w:r>
    </w:p>
    <w:p>
      <w:pPr>
        <w:spacing w:after="0" w:line="16"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We will also enter into the Administration Agreement with our Adviser, under which the Adviser will provide administrative services to us. These services will include providing office space to us, providing us with equipment and office services, maintaining our financial records, preparing reports to our stockholders and reports filed with the SEC and managing the payment of our expenses and the performance of administrative and professional services rendered to us by others. We will reimburse the Adviser for reasonable costs and expenses incurred by the Adviser in providing these services, facilities and personnel, as provided by the Administration Agreement. In addition, the Adviser is permitted to delegate its duties under the Administration Agreement to affiliates or third parties and we will reimburse the expenses of these parties incurred and paid by the Adviser on our behalf.</w:t>
      </w:r>
    </w:p>
    <w:p>
      <w:pPr>
        <w:spacing w:after="0" w:line="5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Except as otherwise provided herein, the Adviser will bear all costs and expenses of its employees and any overhead incurred in connection with its duties under the Advisory Agreement and Administration Agreement and will be solely responsible for the compensation of its investment professionals and employees and all overhead expenses of the Adviser (including rent, office equipment and utilities). The Company will bear all other costs and expenses of its operations, administration and transactions, including (without limitation) those relating to:</w:t>
      </w:r>
    </w:p>
    <w:p>
      <w:pPr>
        <w:spacing w:after="0" w:line="63" w:lineRule="exact"/>
        <w:rPr>
          <w:sz w:val="20"/>
          <w:szCs w:val="20"/>
          <w:color w:val="auto"/>
        </w:rPr>
      </w:pPr>
    </w:p>
    <w:p>
      <w:pPr>
        <w:ind w:left="660" w:hanging="436"/>
        <w:spacing w:after="0"/>
        <w:tabs>
          <w:tab w:leader="none" w:pos="66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our initial organization costs and operating costs incurred prior to the commencement of commercial activities (up to an aggregate of $1,500,000);</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expenses, including travel expenses, incurred by the Adviser, or members of the Investment Team, or payable to third parties, performing due diligence on prospective portfolio companies and, if necessary, enforcing our rights;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costs of the offerings of common shares and other securities, if 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allocated costs incurred by the Adviser in providing managerial assistance to those portfolio companies that request it;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Independent Director fees and expenses;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left="660" w:right="180" w:hanging="436"/>
        <w:spacing w:after="0" w:line="264"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86" w:lineRule="exact"/>
        <w:rPr>
          <w:rFonts w:ascii="Arial" w:cs="Arial" w:eastAsia="Arial" w:hAnsi="Arial"/>
          <w:sz w:val="18"/>
          <w:szCs w:val="18"/>
          <w:b w:val="1"/>
          <w:bCs w:val="1"/>
          <w:color w:val="auto"/>
        </w:rPr>
      </w:pPr>
    </w:p>
    <w:p>
      <w:pPr>
        <w:ind w:left="660" w:right="160" w:hanging="436"/>
        <w:spacing w:after="0" w:line="342" w:lineRule="auto"/>
        <w:tabs>
          <w:tab w:leader="none" w:pos="66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b w:val="1"/>
          <w:bCs w:val="1"/>
          <w:color w:val="auto"/>
        </w:rPr>
      </w:pPr>
    </w:p>
    <w:p>
      <w:pPr>
        <w:ind w:left="660" w:right="360" w:hanging="436"/>
        <w:spacing w:after="0" w:line="277"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our fidelity bond (as described more fully under “</w:t>
      </w:r>
      <w:r>
        <w:rPr>
          <w:rFonts w:ascii="Arial" w:cs="Arial" w:eastAsia="Arial" w:hAnsi="Arial"/>
          <w:sz w:val="18"/>
          <w:szCs w:val="18"/>
          <w:i w:val="1"/>
          <w:iCs w:val="1"/>
          <w:color w:val="auto"/>
        </w:rPr>
        <w:t>Item 1(c). Description of Business—Regulation as a Public Business Development Company</w:t>
      </w:r>
      <w:r>
        <w:rPr>
          <w:rFonts w:ascii="Arial" w:cs="Arial" w:eastAsia="Arial" w:hAnsi="Arial"/>
          <w:sz w:val="18"/>
          <w:szCs w:val="18"/>
          <w:color w:val="auto"/>
        </w:rPr>
        <w:t>,” below);</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Furthermore, the Company will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w:t>
      </w:r>
    </w:p>
    <w:p>
      <w:pPr>
        <w:spacing w:after="0" w:line="73"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Adviser, for its services to the Company, will be entitled to receive fees as described under “</w:t>
      </w:r>
      <w:r>
        <w:rPr>
          <w:rFonts w:ascii="Arial" w:cs="Arial" w:eastAsia="Arial" w:hAnsi="Arial"/>
          <w:sz w:val="18"/>
          <w:szCs w:val="18"/>
          <w:i w:val="1"/>
          <w:iCs w:val="1"/>
          <w:color w:val="auto"/>
        </w:rPr>
        <w:t>Item 1(c). Description of Business—General—Advisory</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Administration Agreement; License Agreement</w:t>
      </w:r>
      <w:r>
        <w:rPr>
          <w:rFonts w:ascii="Arial" w:cs="Arial" w:eastAsia="Arial" w:hAnsi="Arial"/>
          <w:sz w:val="18"/>
          <w:szCs w:val="18"/>
          <w:color w:val="auto"/>
        </w:rPr>
        <w:t>.”</w:t>
      </w:r>
    </w:p>
    <w:p>
      <w:pPr>
        <w:spacing w:after="0" w:line="62" w:lineRule="exact"/>
        <w:rPr>
          <w:sz w:val="20"/>
          <w:szCs w:val="20"/>
          <w:color w:val="auto"/>
        </w:rPr>
      </w:pPr>
    </w:p>
    <w:p>
      <w:pPr>
        <w:jc w:val="both"/>
        <w:ind w:right="460" w:firstLine="225"/>
        <w:spacing w:after="0" w:line="264" w:lineRule="auto"/>
        <w:rPr>
          <w:sz w:val="20"/>
          <w:szCs w:val="20"/>
          <w:color w:val="auto"/>
        </w:rPr>
      </w:pPr>
      <w:r>
        <w:rPr>
          <w:rFonts w:ascii="Arial" w:cs="Arial" w:eastAsia="Arial" w:hAnsi="Arial"/>
          <w:sz w:val="18"/>
          <w:szCs w:val="18"/>
          <w:color w:val="auto"/>
        </w:rPr>
        <w:t>Under the Advisory Agreement, the Company expects, to the extent permitted by applicable law and in the discretion of the Board, to indemnify the Adviser and certain of its affiliates, as described under “</w:t>
      </w:r>
      <w:r>
        <w:rPr>
          <w:rFonts w:ascii="Arial" w:cs="Arial" w:eastAsia="Arial" w:hAnsi="Arial"/>
          <w:sz w:val="18"/>
          <w:szCs w:val="18"/>
          <w:i w:val="1"/>
          <w:iCs w:val="1"/>
          <w:color w:val="auto"/>
        </w:rPr>
        <w:t>Item 1(c). Description of Business—General—Advisory Agreement; Administration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License Agreement</w:t>
      </w:r>
      <w:r>
        <w:rPr>
          <w:rFonts w:ascii="Arial" w:cs="Arial" w:eastAsia="Arial" w:hAnsi="Arial"/>
          <w:sz w:val="18"/>
          <w:szCs w:val="18"/>
          <w:color w:val="auto"/>
        </w:rPr>
        <w:t>.”</w:t>
      </w:r>
    </w:p>
    <w:p>
      <w:pPr>
        <w:spacing w:after="0" w:line="73"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We anticipate that both the Advisory Agreement and the Administration Agreement will be approved by our Board prior to or contemporaneously with the Closing. Unless earlier terminated as described below, both the Advisory Agreement and the Administration Agreement will remain in effect for a period of two years from such approval and will remain in effect from year to year thereafter if approved annually by (i) the vote of our Board, or by the vote of a majority of our outstanding voting securities, and (ii) the vote of a majority of our Independent Directors. The Advisory Agreement and the Administration Agreement will automatically terminate in the event of assignment. See “</w:t>
      </w:r>
      <w:r>
        <w:rPr>
          <w:rFonts w:ascii="Arial" w:cs="Arial" w:eastAsia="Arial" w:hAnsi="Arial"/>
          <w:sz w:val="17"/>
          <w:szCs w:val="17"/>
          <w:i w:val="1"/>
          <w:iCs w:val="1"/>
          <w:color w:val="auto"/>
        </w:rPr>
        <w:t>Item 1A. Risk Factors—Risks Relating to Our Business and Structure—We will be</w:t>
      </w:r>
      <w:r>
        <w:rPr>
          <w:rFonts w:ascii="Arial" w:cs="Arial" w:eastAsia="Arial" w:hAnsi="Arial"/>
          <w:sz w:val="17"/>
          <w:szCs w:val="17"/>
          <w:color w:val="auto"/>
        </w:rPr>
        <w:t xml:space="preserve"> </w:t>
      </w:r>
      <w:r>
        <w:rPr>
          <w:rFonts w:ascii="Arial" w:cs="Arial" w:eastAsia="Arial" w:hAnsi="Arial"/>
          <w:sz w:val="17"/>
          <w:szCs w:val="17"/>
          <w:i w:val="1"/>
          <w:iCs w:val="1"/>
          <w:color w:val="auto"/>
        </w:rPr>
        <w:t>dependent upon management personnel of the Adviser for our future success</w:t>
      </w:r>
      <w:r>
        <w:rPr>
          <w:rFonts w:ascii="Arial" w:cs="Arial" w:eastAsia="Arial" w:hAnsi="Arial"/>
          <w:sz w:val="17"/>
          <w:szCs w:val="17"/>
          <w:color w:val="auto"/>
        </w:rPr>
        <w:t>.”</w:t>
      </w:r>
    </w:p>
    <w:p>
      <w:pPr>
        <w:spacing w:after="0" w:line="70"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Notwithstanding the foregoing, the Advisory Agreement and the Administration Agreement may be terminated at any time, without the payment of any penalty, upon sixty (60) days’ written notice, provided that such termination will be directed or approved by the vote of a majority of the outstanding voting securities of the Company, by the vote of the Company’s directors, or by the Adviser. The Advisory Agreement will also immediately terminate in the event of its assignment. If the Advisory Agreement is terminated according to this paragraph, the Company will pay the Adviser a pro-rated portion of the Management Fee and Incentive Fee.</w:t>
      </w:r>
    </w:p>
    <w:p>
      <w:pPr>
        <w:spacing w:after="0" w:line="80"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The Company will engage at its own expense a firm acceptable to the Company and the Adviser to determine the maximum reasonable fair value as of the termination date of the Company’s consolidated assets (assuming each asset is readily marketable among institutional investors without minority discount and with an appropriate control premium for any control positions and ascribing an appropriate net present value to unamortized organizational and offering costs and going concern value).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Legal Proceedings</w:t>
      </w:r>
    </w:p>
    <w:p>
      <w:pPr>
        <w:spacing w:after="0" w:line="121"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loans to or other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67" w:lineRule="exact"/>
        <w:rPr>
          <w:sz w:val="20"/>
          <w:szCs w:val="20"/>
          <w:color w:val="auto"/>
        </w:rPr>
      </w:pPr>
    </w:p>
    <w:p>
      <w:pPr>
        <w:ind w:right="3000"/>
        <w:spacing w:after="0" w:line="378" w:lineRule="auto"/>
        <w:rPr>
          <w:sz w:val="20"/>
          <w:szCs w:val="20"/>
          <w:color w:val="auto"/>
        </w:rPr>
      </w:pPr>
      <w:r>
        <w:rPr>
          <w:rFonts w:ascii="Arial" w:cs="Arial" w:eastAsia="Arial" w:hAnsi="Arial"/>
          <w:sz w:val="18"/>
          <w:szCs w:val="18"/>
          <w:b w:val="1"/>
          <w:bCs w:val="1"/>
          <w:color w:val="auto"/>
        </w:rPr>
        <w:t>Item 9. Market Price of and Dividends on the Registrant’s Common Equity and Related Stockholder Matters Market Information</w:t>
      </w:r>
    </w:p>
    <w:p>
      <w:pPr>
        <w:jc w:val="both"/>
        <w:ind w:right="140" w:firstLine="225"/>
        <w:spacing w:after="0" w:line="264" w:lineRule="auto"/>
        <w:rPr>
          <w:sz w:val="20"/>
          <w:szCs w:val="20"/>
          <w:color w:val="auto"/>
        </w:rPr>
      </w:pPr>
      <w:r>
        <w:rPr>
          <w:rFonts w:ascii="Arial" w:cs="Arial" w:eastAsia="Arial" w:hAnsi="Arial"/>
          <w:sz w:val="18"/>
          <w:szCs w:val="18"/>
          <w:color w:val="auto"/>
        </w:rPr>
        <w:t>Until an IPO, our outstanding common stock will be offered and sold in transactions exempt from registration under the 1933 Act under section 4(2) and Regulation D. See “</w:t>
      </w:r>
      <w:r>
        <w:rPr>
          <w:rFonts w:ascii="Arial" w:cs="Arial" w:eastAsia="Arial" w:hAnsi="Arial"/>
          <w:sz w:val="18"/>
          <w:szCs w:val="18"/>
          <w:i w:val="1"/>
          <w:iCs w:val="1"/>
          <w:color w:val="auto"/>
        </w:rPr>
        <w:t>Item 10. Recent Sales of Unregistered Securities</w:t>
      </w:r>
      <w:r>
        <w:rPr>
          <w:rFonts w:ascii="Arial" w:cs="Arial" w:eastAsia="Arial" w:hAnsi="Arial"/>
          <w:sz w:val="18"/>
          <w:szCs w:val="18"/>
          <w:color w:val="auto"/>
        </w:rPr>
        <w:t>” for more information. There is currently no public market for our common stock, nor can we give any assurance that one will develop.</w:t>
      </w:r>
    </w:p>
    <w:p>
      <w:pPr>
        <w:spacing w:after="0" w:line="73"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Because shares of our common stock are being acquired by investors in one or more transactions “not involving a public offering,” they are “restricted securities” and may be required to be held indefinitely. Our common shares may not be sold, transferred, assigned, pledged or otherwise disposed of unless</w:t>
      </w:r>
    </w:p>
    <w:p>
      <w:pPr>
        <w:ind w:firstLine="8"/>
        <w:spacing w:after="0" w:line="270" w:lineRule="auto"/>
        <w:tabs>
          <w:tab w:leader="none" w:pos="2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consent is granted, and (ii) the common shares are registered under applicable securities laws or specifically exempted from registration (in which case the stockholder may, at our option, be required to provide us with a legal opinion, in form and substance satisfactory to us, that registration is not required). Accordingly, an investor must be willing to bear the economic risk of investment in the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the common shares and to execute such other instruments or certifications as are reasonably required by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Item 4. Security Ownership of Certain Beneficial Owners and Management</w:t>
      </w:r>
      <w:r>
        <w:rPr>
          <w:rFonts w:ascii="Arial" w:cs="Arial" w:eastAsia="Arial" w:hAnsi="Arial"/>
          <w:sz w:val="18"/>
          <w:szCs w:val="18"/>
          <w:color w:val="auto"/>
        </w:rPr>
        <w:t>” for disclosure regarding the holders of the Company’s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Securities</w:t>
      </w:r>
    </w:p>
    <w:p>
      <w:pPr>
        <w:spacing w:after="0" w:line="121"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We will determine the net asset value per share of our common stock quarterly. The net asset value per share is equal to the value of our total assets minus liabilities and any preferred stock outstanding divided by the total number of shares of common stock outstanding. At present, we do not have any preferred stock outstanding.</w:t>
      </w:r>
    </w:p>
    <w:p>
      <w:pPr>
        <w:spacing w:after="0" w:line="73"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Investments are valued at the end of each fiscal quarter. Substantially all of our investments are expected to be in loans that do not have readily ascertainable market prices. Assets that are not publicly traded or whose market prices are not readily available are valued at fair value as determined in good faith by the valuation committee of our Adviser and reviewed by the audit committee of our Board. Pursuant to a letter agreement, the Company has retained Duff &amp; Phelps, a global independent provider of financial advisory and investment banking services, to assist the Board by performing certain limited third-party valuation services. In connection with that determination, investment professionals from the Adviser will prepare portfolio company valuations using sources and/or proprietary models depending on the availability of information on our assets and the type of asset being valued, all in accordance with our valuation policy. The participation of the Adviser in our valuation process could result in a conflict of interest, since the Management Fee is based in part on our gross assets.</w:t>
      </w:r>
    </w:p>
    <w:p>
      <w:pPr>
        <w:spacing w:after="0" w:line="84"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We generally intend to distribute, out of assets legally available for distribution, substantially all of our available earnings, on a quarterly basis, as determined by our board of directors in its discretion.</w:t>
      </w:r>
    </w:p>
    <w:p>
      <w:pPr>
        <w:spacing w:after="0" w:line="62" w:lineRule="exact"/>
        <w:rPr>
          <w:sz w:val="20"/>
          <w:szCs w:val="20"/>
          <w:color w:val="auto"/>
        </w:rPr>
      </w:pPr>
    </w:p>
    <w:p>
      <w:pPr>
        <w:ind w:right="520" w:firstLine="222"/>
        <w:spacing w:after="0" w:line="308" w:lineRule="auto"/>
        <w:rPr>
          <w:sz w:val="20"/>
          <w:szCs w:val="20"/>
          <w:color w:val="auto"/>
        </w:rPr>
      </w:pPr>
      <w:r>
        <w:rPr>
          <w:rFonts w:ascii="Arial" w:cs="Arial" w:eastAsia="Arial" w:hAnsi="Arial"/>
          <w:sz w:val="17"/>
          <w:szCs w:val="17"/>
          <w:color w:val="auto"/>
        </w:rPr>
        <w:t>We will reinvest dividends on behalf of those investors that do not elect to receive their dividends in cash. An investor may elect to receive its entire dividend in cash by notifying the Adviser in writing no later than 10 days prior to the record date for dividends to investors.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to Stockholders</w:t>
      </w:r>
    </w:p>
    <w:p>
      <w:pPr>
        <w:spacing w:after="0" w:line="121" w:lineRule="exact"/>
        <w:rPr>
          <w:sz w:val="20"/>
          <w:szCs w:val="20"/>
          <w:color w:val="auto"/>
        </w:rPr>
      </w:pPr>
    </w:p>
    <w:p>
      <w:pPr>
        <w:ind w:right="540" w:firstLine="222"/>
        <w:spacing w:after="0" w:line="342" w:lineRule="auto"/>
        <w:rPr>
          <w:sz w:val="20"/>
          <w:szCs w:val="20"/>
          <w:color w:val="auto"/>
        </w:rPr>
      </w:pPr>
      <w:r>
        <w:rPr>
          <w:rFonts w:ascii="Arial" w:cs="Arial" w:eastAsia="Arial" w:hAnsi="Arial"/>
          <w:sz w:val="16"/>
          <w:szCs w:val="16"/>
          <w:color w:val="auto"/>
        </w:rPr>
        <w:t>We plan to furnish our stockholders with an annual report for each fiscal year ending December 31 containing financial statements audited by our independent registered public accounting firm. Additionally, we intend to continue to comply with the periodic reporting requirements of the 1934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Recent Sales of Unregistered Securities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December 21, 2010, we issued and sold 1,000 shares of common stock at an aggregate purchase price of $1,000 to Tarrant Advisors, Inc., an affiliate of TPG. These shares were issued and sold in reliance upon the available exemptions from registration requirements of Section 4(2) of the Securities Act. Prior to or concurrently with the adoption of the Amended and Restated Certificate of Incorporation, the Company expects to redeem these shares at cost and sell a number of its shares pursuant to the Private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Description of Registrant’s Securities to be Registered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Under the terms of our certificate of incorporation as currently in effect, our authorized capital stock consists solely of 10,000 shares of common stock, par value $0.01 per share, of which 1,000 shares were outstanding as of January 14, 2011, and 100,000,000 shares of preferred stock, par value $0.01 per share, of which no shares were outstanding as of January 14, 2011. Prior to or concurrently with the adoption of the Amended and Restated Certificate of Incorporation, the Company expects to redeem these shares at cost and sell a number of its shares pursuant to the Private Offering. Under the terms of our Amended and Restated Certificate of Incorporation, our authorized capital stock will consist solely of 100,000,000 shares of common stock, par value $0.01 per share, and 100,000,000 shares of preferred stock, par value $0.01 per share. There is currently no market for our common stock, and we can offer no assurance that a market for our shares will develop in the future.</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53" w:lineRule="auto"/>
        <w:rPr>
          <w:sz w:val="20"/>
          <w:szCs w:val="20"/>
          <w:color w:val="auto"/>
        </w:rPr>
      </w:pPr>
      <w:r>
        <w:rPr>
          <w:rFonts w:ascii="Arial" w:cs="Arial" w:eastAsia="Arial" w:hAnsi="Arial"/>
          <w:sz w:val="18"/>
          <w:szCs w:val="18"/>
          <w:color w:val="auto"/>
        </w:rPr>
        <w:t>Under the terms of our Amended and Restated Certificate of Incorporation, holders of common stock will be entitled to one vote for each share held on all matters submitted to a vote of stockholders, and holders of common stock will not have cumulative voting rights. Accordingly, subject to the rights of any outstanding preferred stock, holders of a majority of the shares of common stock entitled to vote in any election of directors may elect all of the directors standing for election. Holders of common stock will be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Each share of common stock will entitle the holder to a preemptive right, for a period of thirty days, to subscribe for any shares of preferred stock (including rights to purchase shares of preferred stock or securities convertible into, or exchangeable for, shares of preferred stock) that the Company proposes to issue. Holders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common stock will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Under the terms of our Amended and Restated Certificate of Incorporation, our Board will be authorized to issue shares of preferred stock in one or more series without stockholder approval. The Board will have discretion to establish the number of shares to be included in each such series and to fix the voting powers (if any), designations, powers, preferences, and relative, participating, optional or other rights, if any, of the shares of each such series, and any qualifications, limitations, or restrictions thereof. The 1940 Act limits our flexibility as to certain rights and preferences of the preferred stock that our Amended and Restated Certificate of Incorporation may provide and requires, among other things: (i) immediately after issuance and before any distribution is made with respect to common stock, we must meet a coverage ratio of total assets to total senior securities, which include all of our borrowings and our preferred stock, of at least 200%; and (ii) the holders of shares of preferred stock, if any are issued, must be entitled as a class to elect two directors at all times and to elect a majority of the directors if and for so long as dividends on the preferred stock are unpaid in an amount equal to two full years of dividends on the preferred stock. The features of the preferred stock will be further limited by the requirements applicable to RICs under the Code. 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w:t>
      </w:r>
    </w:p>
    <w:p>
      <w:pPr>
        <w:spacing w:after="0" w:line="121"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Unless and until an IPO, our common shares will not be registered under the 1933 Act. The common shares are exempt from registration requirements pursuant to Section 4(2) of and Regulation D under the 1933 Act.</w:t>
      </w:r>
    </w:p>
    <w:p>
      <w:pPr>
        <w:spacing w:after="0" w:line="62"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Because our common shares will be acquired by investors in one or more transactions “not involving a public offering,” they will be “restricted securities” and may be required to be held indefinitely. Our common shares may not be sold, transferred, assigned, pledged or otherwise disposed of unless (i) our consent is granted, and (ii) the common shares are registered under applicable securities laws or specifically exempted from registration (in which case the stockholder may, at our option, be required to provide us with a legal opinion, in form and substance satisfactory to us, that registration is not required). Accordingly, an investor must be willing to bear the economic risk of investment in the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the common shares and to execute such other instruments or certifications as are reasonably required by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Dissolution of the Company</w:t>
      </w:r>
    </w:p>
    <w:p>
      <w:pPr>
        <w:spacing w:after="0" w:line="121"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Prior to an IPO of our common stock that may occur, if our Board determines that there has been a significant adverse change in our regulatory or tax treatment or that of our stockholders that, in our Board’s judgment makes it inadvisable for the Company to continue in its present form, then our Board will endeavor to restructure or change the form of the Company to preserve (insofar as possible) the overall benefits previously enjoyed by stockholders as a whole or, if our Board determines it appropriate (and subject to any necessary stockholder approvals and applicable requirements of the 1940 Act), (i) cause the Company to change its form and/or jurisdiction of organization or (ii) wind down and/or liquidate and dissolve the Company.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If we have not consummated an IPO of our common stock within six years following the Closing, then our Board (subject to any necessary stockholder approvals and applicable requirements of the 1940 Act) will use its best efforts to wind down and/or liquidate and dissolve the Company.</w:t>
      </w:r>
    </w:p>
    <w:p>
      <w:pPr>
        <w:spacing w:after="0" w:line="16"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the event of and upon any liquidation, dissolution or winding up of our affairs, whether voluntary or involuntary, after payment or provision for payment of our debts and other liabilities and subject to the prior rights of any outstanding preferred shares, our remaining net assets will be distributed among holders of our common shares equally on a per share basis. For the purposes of this paragraph, a merger or consolidation of the Company with or into any other corporation or other entity, or a sale or conveyance of all or any part of our property or assets will not be deemed to be a dissolution, liquidation or winding up, voluntary or involuntary.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 and Certain Charter and Bylaw Provisions; Anti-Takeover Measures</w:t>
      </w:r>
    </w:p>
    <w:p>
      <w:pPr>
        <w:spacing w:after="0" w:line="121"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We are subject to the provisions of Section 203 of the General Corporation Law of Delaware.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is a person who, together with his affiliates and associates, owns, or within three years did own, 15% or more of the corporation’s voting stock. Our Amended and Restated Certificate of Incorporation and Bylaws will provide that:</w:t>
      </w:r>
    </w:p>
    <w:p>
      <w:pPr>
        <w:spacing w:after="0" w:line="57" w:lineRule="exact"/>
        <w:rPr>
          <w:sz w:val="20"/>
          <w:szCs w:val="20"/>
          <w:color w:val="auto"/>
        </w:rPr>
      </w:pPr>
    </w:p>
    <w:p>
      <w:pPr>
        <w:ind w:left="660" w:hanging="436"/>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Board be divided into three classes, as nearly equal in size as possible, with staggered three-year terms;</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75"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a majority of the directors then in office.</w:t>
      </w:r>
    </w:p>
    <w:p>
      <w:pPr>
        <w:spacing w:after="0" w:line="62"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Bylaws will also provide that:</w:t>
      </w:r>
    </w:p>
    <w:p>
      <w:pPr>
        <w:spacing w:after="0" w:line="117" w:lineRule="exact"/>
        <w:rPr>
          <w:sz w:val="20"/>
          <w:szCs w:val="20"/>
          <w:color w:val="auto"/>
        </w:rPr>
      </w:pPr>
    </w:p>
    <w:p>
      <w:pPr>
        <w:ind w:left="660" w:right="200" w:hanging="436"/>
        <w:spacing w:after="0" w:line="277" w:lineRule="auto"/>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may only be called by our Board of Directors, Chairman, or Chief Executive Officer.</w:t>
      </w:r>
    </w:p>
    <w:p>
      <w:pPr>
        <w:spacing w:after="0" w:line="11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Our Bylaws provide that, in order for any matter to be considered “properly brought” before a meeting, a stockholder must comply with requirements regarding advance notice to us. These provisions could delay until the next stockholders’ meeting stockholder actions which are favored by the holders of a majority of our outstanding voting securities.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w:t>
      </w:r>
    </w:p>
    <w:p>
      <w:pPr>
        <w:spacing w:after="0" w:line="64"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Delaware’s corporation law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73"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Our Amended and Restated Certificate of Incorporation will permit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Our Amended and Restated Certificate of Incorporation will include provisions that could have the effect of limiting the ability of other entities or persons to acquire control of us or to change the composition of our Board. This could have the effect of depriving stockholders of an opportunity to sell their shares at a premium over prevailing market prices by discouraging a third party from seeking to obtain control over us. Such attempts could have the effect of increasing our expenses and disrupting our normal operation. One of these provisions is that our Board will be divided into three classes, with the term of one class expiring at each annual meeting of stockholders. At each annual meeting, one class of directors is elected to a three-year term. This provision could delay for up to two years the replacement of a majority of the Board. A director may be removed from office by the affirmative vote of 75% of the holders of our capital stock then outstanding and entitled to vote in the election of directors, voting together as a single class.</w:t>
      </w:r>
    </w:p>
    <w:p>
      <w:pPr>
        <w:spacing w:after="0" w:line="59"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In addition, our Amended and Restated Certificate of Incorporation will require the favorable vote of a majority of our Board followed by the favorable vote of the holders of at least 75% of our outstanding shares of each affected class or series, voting separately as a class or series, to approve, adopt or authorize certain transactions with 10% or greater holders of a class or series of shares and their associates, unless the transaction has been approved by at least 80% of our directors, in which case “a majority of the outstanding voting securities” (as defined in the 1940 Act) will be required. For purposes of these provisions, a 10% or greater holder of a class or series of shares, or a principal stockholder, refers to any person who, whether directly or indirectly and whether alone or together with its affiliates and associates, beneficially owns 10% or more of the outstanding shares of our voting securities.</w:t>
      </w:r>
    </w:p>
    <w:p>
      <w:pPr>
        <w:spacing w:after="0" w:line="57"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10% holder transactions subject to these special approval requirements are: the merger or consolidation of us or any subsidiary of ours with or into any principal stockholder; the issuance of any of our securities to any principal stockholder for cash, except pursuant to any automatic dividend reinvestment plan or rights offering in which the holder does not increase its percentage of voting securities or pursuant to any subscription agreement by and among the Company, the Adviser and such principal stockholder; the sale, lease or exchange of all or any substantial part of our assets to any principal stockholder, except assets having an aggregate fair market value of less than 5% of our total assets, aggregating for the purpose of such computation all assets sold, leased or exchanged in any series of similar transactions within a twelve-month period; or the sale, lease or exchange to us or any subsidiary of ours, in exchange for our securities, of any assets of any principal stockholder, except assets having an aggregate fair market value of less than 5% of our total assets, aggregating for purposes of such computation all assets sold, leased or exchanged in any series of similar transactions within a twelve-month period.</w:t>
      </w:r>
    </w:p>
    <w:p>
      <w:pPr>
        <w:spacing w:after="0" w:line="58"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To convert us to an open-end investment company, to merge or consolidate us with any entity or sell all or substantially all of our assets to any entity in a transaction as a result of which the governing documents of the surviving entity do not contain substantially the same anti-takeover provisions as are provided in our certificate of incorporation, to liquidate and dissolve us other than in connection with a qualifying merger, consolidation or sale of assets or to amend any of the provisions discussed herein, our certificate of incorporation requires the favorable vote of a majority of our Board followed by the favorable vote of the holders of at least 75% of our outstanding shares of each affected class or series of our shares, voting separately as a class or series, unless such amendment has been approved by at least 80% of our directors, in which case “a majority of the outstanding voting securities” (as defined in the 1940 Act) shall be required. If approved in the foregoing manner, our conversion to an open-end investment company could not occur until 90 days after the stockholders meeting at which such conversion was approved and would also require at least 30 days prior notice to all stockholders. As part of any such conversion to an open-end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64" w:lineRule="exact"/>
        <w:rPr>
          <w:sz w:val="20"/>
          <w:szCs w:val="20"/>
          <w:color w:val="auto"/>
        </w:rPr>
      </w:pPr>
    </w:p>
    <w:p>
      <w:pPr>
        <w:ind w:right="100" w:firstLine="215"/>
        <w:spacing w:after="0" w:line="273" w:lineRule="auto"/>
        <w:rPr>
          <w:sz w:val="20"/>
          <w:szCs w:val="20"/>
          <w:color w:val="auto"/>
        </w:rPr>
      </w:pPr>
      <w:r>
        <w:rPr>
          <w:rFonts w:ascii="Arial" w:cs="Arial" w:eastAsia="Arial" w:hAnsi="Arial"/>
          <w:sz w:val="17"/>
          <w:szCs w:val="17"/>
          <w:color w:val="auto"/>
        </w:rPr>
        <w:t>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70"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 Reference should be made to our certificate of incorporation on file with the SEC for the full text of these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Indemnification of Directors and Officers</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Section 145 of the Delaware General Corporation Law allows for the indemnification of officers, directors, and any corporate agents in terms sufficiently broad to indemnify such person under certain circumstances for liabilities, including reimbursement for expenses, incurred arising under the Securities Act. Our Amended and Restated Certificate of Incorporation and Bylaws will provide that the Company will indemnify its directors and officers to the fullest extent authorized or permitted by law and such right to indemnification will continue as to a person who has ceased to be a director or officer of the Company and will inure to the benefit of his or her heirs, executors and personal and legal representatives; provided, however, that, except for proceedings to enforce rights to indemnification, the Company will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The right to indemnification conferred will include the right to be paid by the Company the expenses incurred in defending or otherwise participating in any proceeding in advance of its final disposition.</w:t>
      </w:r>
    </w:p>
    <w:p>
      <w:pPr>
        <w:spacing w:after="0" w:line="74"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85"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Company may, to the extent authorized from time to time by the Board, provide rights to indemnification and to the advancement of expenses to employees and agents of the Company similar to those conferred to directors and officers of the Company. The rights to indemnification and to the advance of expenses are subject to the requirements of the 1940 Act to the extent applicable. Any repeal or modification of our Amended and Restated Certificate of Incorporation by the stockholders of the Company will not adversely affect any rights to indemnification and to the advancement of expenses of a director or officer of the Company existing at the time of such repeal or modification with respect to any acts or omissions occurring prior to such repeal or modification.</w:t>
      </w:r>
    </w:p>
    <w:p>
      <w:pPr>
        <w:spacing w:after="0" w:line="50"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Under the Advisory Agreement, the Company may, to the extent permitted by applicable law, in the discretion of the Board, indemnify the Adviser and certain of its affiliates, as described under “</w:t>
      </w:r>
      <w:r>
        <w:rPr>
          <w:rFonts w:ascii="Arial" w:cs="Arial" w:eastAsia="Arial" w:hAnsi="Arial"/>
          <w:sz w:val="18"/>
          <w:szCs w:val="18"/>
          <w:i w:val="1"/>
          <w:iCs w:val="1"/>
          <w:color w:val="auto"/>
        </w:rPr>
        <w:t>Item 1(c). Description of Business—General—Advisory Agreement; Administration Agreement;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set forth below a list of our audited financial statements included in this Registration Statement.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w:t>
            </w:r>
          </w:p>
        </w:tc>
        <w:tc>
          <w:tcPr>
            <w:tcW w:w="3900" w:type="dxa"/>
            <w:vAlign w:val="bottom"/>
            <w:tcBorders>
              <w:bottom w:val="single" w:sz="8" w:color="auto"/>
            </w:tcBorders>
          </w:tcPr>
          <w:p>
            <w:pPr>
              <w:jc w:val="center"/>
              <w:ind w:left="2874"/>
              <w:spacing w:after="0"/>
              <w:rPr>
                <w:sz w:val="20"/>
                <w:szCs w:val="20"/>
                <w:color w:val="auto"/>
              </w:rPr>
            </w:pPr>
            <w:r>
              <w:rPr>
                <w:rFonts w:ascii="Arial" w:cs="Arial" w:eastAsia="Arial" w:hAnsi="Arial"/>
                <w:sz w:val="14"/>
                <w:szCs w:val="14"/>
                <w:b w:val="1"/>
                <w:bCs w:val="1"/>
                <w:color w:val="auto"/>
                <w:w w:val="89"/>
              </w:rPr>
              <w:t>Page</w:t>
            </w:r>
          </w:p>
        </w:tc>
      </w:tr>
      <w:tr>
        <w:trPr>
          <w:trHeight w:val="195"/>
        </w:trPr>
        <w:tc>
          <w:tcPr>
            <w:tcW w:w="7520" w:type="dxa"/>
            <w:vAlign w:val="bottom"/>
          </w:tcPr>
          <w:p>
            <w:pPr>
              <w:spacing w:after="0" w:line="195" w:lineRule="exact"/>
              <w:rPr>
                <w:sz w:val="20"/>
                <w:szCs w:val="20"/>
                <w:color w:val="auto"/>
              </w:rPr>
            </w:pPr>
            <w:r>
              <w:rPr>
                <w:rFonts w:ascii="Arial" w:cs="Arial" w:eastAsia="Arial" w:hAnsi="Arial"/>
                <w:sz w:val="18"/>
                <w:szCs w:val="18"/>
                <w:color w:val="auto"/>
              </w:rPr>
              <w:t>Index to Financial Statements</w:t>
            </w:r>
          </w:p>
        </w:tc>
        <w:tc>
          <w:tcPr>
            <w:tcW w:w="3900" w:type="dxa"/>
            <w:vAlign w:val="bottom"/>
          </w:tcPr>
          <w:p>
            <w:pPr>
              <w:jc w:val="center"/>
              <w:ind w:left="2894"/>
              <w:spacing w:after="0" w:line="195" w:lineRule="exact"/>
              <w:rPr>
                <w:sz w:val="20"/>
                <w:szCs w:val="20"/>
                <w:color w:val="auto"/>
              </w:rPr>
            </w:pPr>
            <w:r>
              <w:rPr>
                <w:rFonts w:ascii="Arial" w:cs="Arial" w:eastAsia="Arial" w:hAnsi="Arial"/>
                <w:sz w:val="18"/>
                <w:szCs w:val="18"/>
                <w:color w:val="auto"/>
                <w:w w:val="88"/>
              </w:rPr>
              <w:t>F-1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900" w:type="dxa"/>
            <w:vAlign w:val="bottom"/>
          </w:tcPr>
          <w:p>
            <w:pPr>
              <w:jc w:val="center"/>
              <w:ind w:left="2894"/>
              <w:spacing w:after="0"/>
              <w:rPr>
                <w:sz w:val="20"/>
                <w:szCs w:val="20"/>
                <w:color w:val="auto"/>
              </w:rPr>
            </w:pPr>
            <w:r>
              <w:rPr>
                <w:rFonts w:ascii="Arial" w:cs="Arial" w:eastAsia="Arial" w:hAnsi="Arial"/>
                <w:sz w:val="18"/>
                <w:szCs w:val="18"/>
                <w:color w:val="auto"/>
                <w:w w:val="88"/>
              </w:rPr>
              <w:t>F-2</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Balance Sheet as of December 31, 2010</w:t>
            </w:r>
          </w:p>
        </w:tc>
        <w:tc>
          <w:tcPr>
            <w:tcW w:w="3900" w:type="dxa"/>
            <w:vAlign w:val="bottom"/>
          </w:tcPr>
          <w:p>
            <w:pPr>
              <w:jc w:val="center"/>
              <w:ind w:left="2894"/>
              <w:spacing w:after="0"/>
              <w:rPr>
                <w:sz w:val="20"/>
                <w:szCs w:val="20"/>
                <w:color w:val="auto"/>
              </w:rPr>
            </w:pPr>
            <w:r>
              <w:rPr>
                <w:rFonts w:ascii="Arial" w:cs="Arial" w:eastAsia="Arial" w:hAnsi="Arial"/>
                <w:sz w:val="18"/>
                <w:szCs w:val="18"/>
                <w:color w:val="auto"/>
                <w:w w:val="88"/>
              </w:rPr>
              <w:t>F-3</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Notes to Balance Sheet</w:t>
            </w:r>
          </w:p>
        </w:tc>
        <w:tc>
          <w:tcPr>
            <w:tcW w:w="3900" w:type="dxa"/>
            <w:vAlign w:val="bottom"/>
          </w:tcPr>
          <w:p>
            <w:pPr>
              <w:jc w:val="center"/>
              <w:ind w:left="2894"/>
              <w:spacing w:after="0"/>
              <w:rPr>
                <w:sz w:val="20"/>
                <w:szCs w:val="20"/>
                <w:color w:val="auto"/>
              </w:rPr>
            </w:pPr>
            <w:r>
              <w:rPr>
                <w:rFonts w:ascii="Arial" w:cs="Arial" w:eastAsia="Arial" w:hAnsi="Arial"/>
                <w:sz w:val="18"/>
                <w:szCs w:val="18"/>
                <w:color w:val="auto"/>
                <w:w w:val="88"/>
              </w:rPr>
              <w:t>F-4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Changes in and Disagreements with Accountants on Accounting and Financial Disclosure</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There are not and have not been any disagreements between the Company and its accountant on any matter of accounting principles, practices, or financial statement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Financial Statements and Exhibits</w:t>
      </w:r>
    </w:p>
    <w:p>
      <w:pPr>
        <w:spacing w:after="0" w:line="121"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List separately all financial statements filed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financial statements included in this Registration Statement are listed in Item 13 and commence on page F-3.</w:t>
      </w:r>
    </w:p>
    <w:p>
      <w:pPr>
        <w:spacing w:after="0" w:line="117"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as currently in effect</w:t>
      </w:r>
    </w:p>
    <w:p>
      <w:pPr>
        <w:spacing w:after="0" w:line="185"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Form of Amended and Restated Certificate of Incorporation, expected to be effective upon effectiveness of this Registration Statement</w:t>
      </w:r>
    </w:p>
    <w:p>
      <w:pPr>
        <w:spacing w:after="0" w:line="185"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Form of Bylaws, expected to be effective upon effectiveness of this Registration Statement</w:t>
      </w:r>
    </w:p>
    <w:p>
      <w:pPr>
        <w:spacing w:after="0" w:line="185" w:lineRule="exact"/>
        <w:rPr>
          <w:sz w:val="20"/>
          <w:szCs w:val="20"/>
          <w:color w:val="auto"/>
        </w:rPr>
      </w:pPr>
    </w:p>
    <w:p>
      <w:pPr>
        <w:ind w:left="800" w:hanging="548"/>
        <w:spacing w:after="0" w:line="277"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Subscription Agreement to be entered into between the Company, the Adviser, and certain other persons in connection with the Private Offering</w:t>
      </w:r>
    </w:p>
    <w:p>
      <w:pPr>
        <w:spacing w:after="0" w:line="130"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Advisory Agreement between the Company and the Adviser</w:t>
      </w:r>
    </w:p>
    <w:p>
      <w:pPr>
        <w:spacing w:after="0" w:line="185"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Administration Agreement between the Company and the Adviser</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Ronald Cami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and Secretary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Statement</w:t>
            </w:r>
          </w:p>
        </w:tc>
        <w:tc>
          <w:tcPr>
            <w:tcW w:w="6520" w:type="dxa"/>
            <w:vAlign w:val="bottom"/>
            <w:tcBorders>
              <w:bottom w:val="single" w:sz="8" w:color="auto"/>
            </w:tcBorders>
          </w:tcPr>
          <w:p>
            <w:pPr>
              <w:jc w:val="center"/>
              <w:ind w:left="5494"/>
              <w:spacing w:after="0"/>
              <w:rPr>
                <w:sz w:val="20"/>
                <w:szCs w:val="20"/>
                <w:color w:val="auto"/>
              </w:rPr>
            </w:pPr>
            <w:r>
              <w:rPr>
                <w:rFonts w:ascii="Arial" w:cs="Arial" w:eastAsia="Arial" w:hAnsi="Arial"/>
                <w:sz w:val="14"/>
                <w:szCs w:val="14"/>
                <w:b w:val="1"/>
                <w:bCs w:val="1"/>
                <w:color w:val="auto"/>
                <w:w w:val="89"/>
              </w:rPr>
              <w:t>Page</w:t>
            </w:r>
          </w:p>
        </w:tc>
      </w:tr>
      <w:tr>
        <w:trPr>
          <w:trHeight w:val="169"/>
        </w:trPr>
        <w:tc>
          <w:tcPr>
            <w:tcW w:w="4900" w:type="dxa"/>
            <w:vAlign w:val="bottom"/>
            <w:gridSpan w:val="4"/>
          </w:tcPr>
          <w:p>
            <w:pPr>
              <w:spacing w:after="0" w:line="170" w:lineRule="exact"/>
              <w:rPr>
                <w:rFonts w:ascii="Arial" w:cs="Arial" w:eastAsia="Arial" w:hAnsi="Arial"/>
                <w:sz w:val="18"/>
                <w:szCs w:val="18"/>
                <w:color w:val="0000EE"/>
              </w:rPr>
            </w:pPr>
            <w:hyperlink w:anchor="page51">
              <w:r>
                <w:rPr>
                  <w:rFonts w:ascii="Arial" w:cs="Arial" w:eastAsia="Arial" w:hAnsi="Arial"/>
                  <w:sz w:val="18"/>
                  <w:szCs w:val="18"/>
                  <w:color w:val="0000EE"/>
                </w:rPr>
                <w:t>Report of Independent Registered Public Accounting Firm</w:t>
              </w:r>
            </w:hyperlink>
          </w:p>
        </w:tc>
        <w:tc>
          <w:tcPr>
            <w:tcW w:w="6520" w:type="dxa"/>
            <w:vAlign w:val="bottom"/>
          </w:tcPr>
          <w:p>
            <w:pPr>
              <w:jc w:val="center"/>
              <w:ind w:left="5514"/>
              <w:spacing w:after="0" w:line="170" w:lineRule="exact"/>
              <w:rPr>
                <w:sz w:val="20"/>
                <w:szCs w:val="20"/>
                <w:color w:val="auto"/>
              </w:rPr>
            </w:pPr>
            <w:r>
              <w:rPr>
                <w:rFonts w:ascii="Arial" w:cs="Arial" w:eastAsia="Arial" w:hAnsi="Arial"/>
                <w:sz w:val="18"/>
                <w:szCs w:val="18"/>
                <w:color w:val="auto"/>
                <w:w w:val="88"/>
              </w:rPr>
              <w:t>F-2</w:t>
            </w:r>
          </w:p>
        </w:tc>
      </w:tr>
      <w:tr>
        <w:trPr>
          <w:trHeight w:val="196"/>
        </w:trPr>
        <w:tc>
          <w:tcPr>
            <w:tcW w:w="42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Balance Sheet as of December 31, 2010</w:t>
              </w:r>
            </w:hyperlink>
          </w:p>
        </w:tc>
        <w:tc>
          <w:tcPr>
            <w:tcW w:w="680" w:type="dxa"/>
            <w:vAlign w:val="bottom"/>
          </w:tcPr>
          <w:p>
            <w:pPr>
              <w:spacing w:after="0"/>
              <w:rPr>
                <w:sz w:val="17"/>
                <w:szCs w:val="17"/>
                <w:color w:val="auto"/>
              </w:rPr>
            </w:pPr>
          </w:p>
        </w:tc>
        <w:tc>
          <w:tcPr>
            <w:tcW w:w="6520" w:type="dxa"/>
            <w:vAlign w:val="bottom"/>
          </w:tcPr>
          <w:p>
            <w:pPr>
              <w:jc w:val="center"/>
              <w:ind w:left="5514"/>
              <w:spacing w:after="0" w:line="196" w:lineRule="exact"/>
              <w:rPr>
                <w:sz w:val="20"/>
                <w:szCs w:val="20"/>
                <w:color w:val="auto"/>
              </w:rPr>
            </w:pPr>
            <w:r>
              <w:rPr>
                <w:rFonts w:ascii="Arial" w:cs="Arial" w:eastAsia="Arial" w:hAnsi="Arial"/>
                <w:sz w:val="18"/>
                <w:szCs w:val="18"/>
                <w:color w:val="auto"/>
                <w:w w:val="88"/>
              </w:rPr>
              <w:t>F-3</w:t>
            </w:r>
          </w:p>
        </w:tc>
      </w:tr>
      <w:tr>
        <w:trPr>
          <w:trHeight w:val="196"/>
        </w:trPr>
        <w:tc>
          <w:tcPr>
            <w:tcW w:w="28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Notes to Balance Sheet</w:t>
              </w:r>
            </w:hyperlink>
          </w:p>
        </w:tc>
        <w:tc>
          <w:tcPr>
            <w:tcW w:w="2020" w:type="dxa"/>
            <w:vAlign w:val="bottom"/>
            <w:gridSpan w:val="2"/>
          </w:tcPr>
          <w:p>
            <w:pPr>
              <w:spacing w:after="0"/>
              <w:rPr>
                <w:sz w:val="17"/>
                <w:szCs w:val="17"/>
                <w:color w:val="auto"/>
              </w:rPr>
            </w:pPr>
          </w:p>
        </w:tc>
        <w:tc>
          <w:tcPr>
            <w:tcW w:w="6520" w:type="dxa"/>
            <w:vAlign w:val="bottom"/>
          </w:tcPr>
          <w:p>
            <w:pPr>
              <w:jc w:val="center"/>
              <w:ind w:left="5514"/>
              <w:spacing w:after="0" w:line="196" w:lineRule="exact"/>
              <w:rPr>
                <w:sz w:val="20"/>
                <w:szCs w:val="20"/>
                <w:color w:val="auto"/>
              </w:rPr>
            </w:pPr>
            <w:r>
              <w:rPr>
                <w:rFonts w:ascii="Arial" w:cs="Arial" w:eastAsia="Arial" w:hAnsi="Arial"/>
                <w:sz w:val="18"/>
                <w:szCs w:val="18"/>
                <w:color w:val="auto"/>
                <w:w w:val="88"/>
              </w:rPr>
              <w:t>F-4</w:t>
            </w:r>
          </w:p>
        </w:tc>
      </w:tr>
      <w:tr>
        <w:trPr>
          <w:trHeight w:val="426"/>
        </w:trPr>
        <w:tc>
          <w:tcPr>
            <w:tcW w:w="168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20" w:type="dxa"/>
            <w:vAlign w:val="bottom"/>
          </w:tcPr>
          <w:p>
            <w:pPr>
              <w:ind w:left="680"/>
              <w:spacing w:after="0"/>
              <w:rPr>
                <w:sz w:val="20"/>
                <w:szCs w:val="20"/>
                <w:color w:val="auto"/>
              </w:rPr>
            </w:pPr>
            <w:r>
              <w:rPr>
                <w:rFonts w:ascii="Arial" w:cs="Arial" w:eastAsia="Arial" w:hAnsi="Arial"/>
                <w:sz w:val="18"/>
                <w:szCs w:val="18"/>
                <w:color w:val="auto"/>
              </w:rPr>
              <w:t>F-1</w:t>
            </w:r>
          </w:p>
        </w:tc>
      </w:tr>
      <w:tr>
        <w:trPr>
          <w:trHeight w:val="226"/>
        </w:trPr>
        <w:tc>
          <w:tcPr>
            <w:tcW w:w="16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0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audited the accompanying balance sheet of TPG Specialty Lending, Inc. (a development stage company) as of December 31, 2010. This financial statement is the responsibility of the Company’s management. Our responsibility is to express an opinion on this financial statement based on our audit.</w:t>
      </w:r>
    </w:p>
    <w:p>
      <w:pPr>
        <w:spacing w:after="0" w:line="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of the balance sheet provides a reasonable basis for our opinion.</w:t>
      </w:r>
    </w:p>
    <w:p>
      <w:pPr>
        <w:spacing w:after="0" w:line="8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In our opinion, the balance sheet referred to above presents fairly, in all material respects, the financial position of TPG Specialty Lending, Inc. (a development stage company) as of December 31, 2010, in conformity with U.S. generally accepted accounting principles.</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2011</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780" w:type="dxa"/>
            <w:vAlign w:val="bottom"/>
          </w:tcPr>
          <w:p>
            <w:pPr>
              <w:jc w:val="center"/>
              <w:ind w:left="1510"/>
              <w:spacing w:after="0"/>
              <w:rPr>
                <w:sz w:val="20"/>
                <w:szCs w:val="20"/>
                <w:color w:val="auto"/>
              </w:rPr>
            </w:pPr>
            <w:r>
              <w:rPr>
                <w:rFonts w:ascii="Arial" w:cs="Arial" w:eastAsia="Arial" w:hAnsi="Arial"/>
                <w:sz w:val="18"/>
                <w:szCs w:val="18"/>
                <w:b w:val="1"/>
                <w:bCs w:val="1"/>
                <w:color w:val="auto"/>
                <w:w w:val="91"/>
              </w:rPr>
              <w:t>TPG Specialty Lending, Inc.</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780" w:type="dxa"/>
            <w:vAlign w:val="bottom"/>
          </w:tcPr>
          <w:p>
            <w:pPr>
              <w:jc w:val="center"/>
              <w:ind w:left="1530"/>
              <w:spacing w:after="0"/>
              <w:rPr>
                <w:sz w:val="20"/>
                <w:szCs w:val="20"/>
                <w:color w:val="auto"/>
              </w:rPr>
            </w:pPr>
            <w:r>
              <w:rPr>
                <w:rFonts w:ascii="Arial" w:cs="Arial" w:eastAsia="Arial" w:hAnsi="Arial"/>
                <w:sz w:val="18"/>
                <w:szCs w:val="18"/>
                <w:b w:val="1"/>
                <w:bCs w:val="1"/>
                <w:color w:val="auto"/>
                <w:w w:val="90"/>
              </w:rPr>
              <w:t>(A Development Stage Company)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780" w:type="dxa"/>
            <w:vAlign w:val="bottom"/>
          </w:tcPr>
          <w:p>
            <w:pPr>
              <w:jc w:val="center"/>
              <w:ind w:left="1530"/>
              <w:spacing w:after="0"/>
              <w:rPr>
                <w:sz w:val="20"/>
                <w:szCs w:val="20"/>
                <w:color w:val="auto"/>
              </w:rPr>
            </w:pPr>
            <w:r>
              <w:rPr>
                <w:rFonts w:ascii="Arial" w:cs="Arial" w:eastAsia="Arial" w:hAnsi="Arial"/>
                <w:sz w:val="18"/>
                <w:szCs w:val="18"/>
                <w:b w:val="1"/>
                <w:bCs w:val="1"/>
                <w:color w:val="auto"/>
                <w:w w:val="87"/>
              </w:rPr>
              <w:t>Balance Sheet</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w w:val="96"/>
              </w:rPr>
              <w:t>As of December 31, 2010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7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8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3)</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80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shares, $0.01 par value; 100,000,000 shares authorized; no shares issued and outstanding</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Common shares, $0.01 par value; 10,000 shares authorized; 1,000 shares issued and outstanding</w:t>
            </w:r>
          </w:p>
        </w:tc>
        <w:tc>
          <w:tcPr>
            <w:tcW w:w="6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400"/>
              <w:spacing w:after="0"/>
              <w:rPr>
                <w:sz w:val="20"/>
                <w:szCs w:val="20"/>
                <w:color w:val="auto"/>
              </w:rPr>
            </w:pPr>
            <w:r>
              <w:rPr>
                <w:rFonts w:ascii="Arial" w:cs="Arial" w:eastAsia="Arial" w:hAnsi="Arial"/>
                <w:sz w:val="18"/>
                <w:szCs w:val="18"/>
                <w:color w:val="auto"/>
              </w:rPr>
              <w:t>Total Net Assets</w:t>
            </w: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this Balance Sheet.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As of December 31, 2010, no operations other than the sale and issuance of 1,000 shares of common stock at an aggregate purchase price of $1,000 to Tarrant Advisors, Inc., an affiliate of TPG, have occurred. TSL intends to be managed by TSL Advisers, LLC (the “Adviser”). No management fees will be paid to the Adviser until commencement of commercial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Stage Company</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Company is a development stage company as defined by ASC 915-10-05, “Development Stage Entity”. The Company is still devoting substantially all of its efforts to establishing the business and its planned principal operations have not commenced.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balance sheet has been prepared in accordance with accounting principles generally accepted in the 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fiscal year ends on December 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Such estimates could differ from those estimates and such differences could be material.</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580" w:firstLine="225"/>
        <w:spacing w:after="0" w:line="264" w:lineRule="auto"/>
        <w:rPr>
          <w:sz w:val="20"/>
          <w:szCs w:val="20"/>
          <w:color w:val="auto"/>
        </w:rPr>
      </w:pPr>
      <w:r>
        <w:rPr>
          <w:rFonts w:ascii="Arial" w:cs="Arial" w:eastAsia="Arial" w:hAnsi="Arial"/>
          <w:sz w:val="18"/>
          <w:szCs w:val="18"/>
          <w:color w:val="auto"/>
        </w:rPr>
        <w:t>Cash and cash equivalents consist of demand deposits and highly liquid investments (e.g. money market funds, U.S. treasury notes) with original maturities of three months or less. Cash and cash equivalents are carried at cost which approximates fair value. The Company places its cash and cash equivalents with financial institutions.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Company intends to file an election to be treated as a Business Development Company under the Investment Company Act of 1940, as amended. The Company also intends to elect to be treated as a Registered Investment Company (RIC) under Subchapter M of the Internal Revenue Code of 1986, as amended, for the taxable year ending December 31, 2011. So long as the Company maintains its status as a RIC, it generally will not pay corporate-level U.S. federal income taxes on any ordinary income or capital gains that it distributes at least annually to its stockholders as dividends. Rather, any tax liability related to income earned by TSL represents obligations of the Company’s investors and will not be reflected in the financial statements of the Company.</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Management does not believe any recently issued, but not yet effective, accounting standards, if currently adopted, would have a material effect on the accompanying financial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21"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Initial organization and operating costs will be borne by the Company up to a maximum amount of $1.5 million upon receipt of a formal commitment of external capital. Any initial organization and operating costs in excess of $1.5 million will be borne by the Adviser. In the event receipt of a formal commitment of external capital does not occur, initial organization and operating costs incurred will be borne by the Adviser. As there has been no formal commitment of external capital as of the date of issuance of this balance sheet, no such costs have been recorded by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Assets</w:t>
      </w:r>
    </w:p>
    <w:p>
      <w:pPr>
        <w:spacing w:after="0" w:line="121" w:lineRule="exact"/>
        <w:rPr>
          <w:sz w:val="20"/>
          <w:szCs w:val="20"/>
          <w:color w:val="auto"/>
        </w:rPr>
      </w:pPr>
    </w:p>
    <w:p>
      <w:pPr>
        <w:ind w:right="540" w:firstLine="225"/>
        <w:spacing w:after="0" w:line="308" w:lineRule="auto"/>
        <w:rPr>
          <w:sz w:val="20"/>
          <w:szCs w:val="20"/>
          <w:color w:val="auto"/>
        </w:rPr>
      </w:pPr>
      <w:r>
        <w:rPr>
          <w:rFonts w:ascii="Arial" w:cs="Arial" w:eastAsia="Arial" w:hAnsi="Arial"/>
          <w:sz w:val="17"/>
          <w:szCs w:val="17"/>
          <w:color w:val="auto"/>
        </w:rPr>
        <w:t>In connection with its formation, the Company has the authority to issue 10,000 common shares at $0.01 per share par value. The Company has the authority to issue 100,000,000 preferred shares at $0.01 per share par value. The Company’s preferred shares are non-convertible.</w:t>
      </w:r>
    </w:p>
    <w:p>
      <w:pPr>
        <w:spacing w:after="0" w:line="3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On December 21, 2010, the Company issued 1,000 common shares for $1,000 to Tarrant Advisors, Inc., an affiliate of TPG. The Company has not had any other equity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Subsequent Events</w:t>
      </w:r>
    </w:p>
    <w:p>
      <w:pPr>
        <w:spacing w:after="0" w:line="121"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There have been no subsequent events that require recognition or disclosure through January 14, 2011, the date that the financial statement was available to be issued.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419" w:right="2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121"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I, the undersigned natural person acting as an incorporator of 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under the General Corporation Law of the State of Delaware (the “</w:t>
      </w:r>
      <w:r>
        <w:rPr>
          <w:rFonts w:ascii="Arial" w:cs="Arial" w:eastAsia="Arial" w:hAnsi="Arial"/>
          <w:sz w:val="17"/>
          <w:szCs w:val="17"/>
          <w:u w:val="single" w:color="auto"/>
          <w:color w:val="auto"/>
        </w:rPr>
        <w:t>Delaware General Corporation Law</w:t>
      </w:r>
      <w:r>
        <w:rPr>
          <w:rFonts w:ascii="Arial" w:cs="Arial" w:eastAsia="Arial" w:hAnsi="Arial"/>
          <w:sz w:val="17"/>
          <w:szCs w:val="17"/>
          <w:color w:val="auto"/>
        </w:rPr>
        <w:t>”), do hereby adopt the following Certificate of Incorporation (the “</w:t>
      </w:r>
      <w:r>
        <w:rPr>
          <w:rFonts w:ascii="Arial" w:cs="Arial" w:eastAsia="Arial" w:hAnsi="Arial"/>
          <w:sz w:val="17"/>
          <w:szCs w:val="17"/>
          <w:u w:val="single" w:color="auto"/>
          <w:color w:val="auto"/>
        </w:rPr>
        <w:t>Certificate</w:t>
      </w:r>
      <w:r>
        <w:rPr>
          <w:rFonts w:ascii="Arial" w:cs="Arial" w:eastAsia="Arial" w:hAnsi="Arial"/>
          <w:sz w:val="17"/>
          <w:szCs w:val="17"/>
          <w:color w:val="auto"/>
        </w:rPr>
        <w:t>”) for the Company: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name of the Company is TPG Specialty Lending, Inc.</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TWO</w:t>
      </w:r>
    </w:p>
    <w:p>
      <w:pPr>
        <w:spacing w:after="0" w:line="121"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registered office of the Company in the State of Delaware is located at 1209 Orange Street, Wilmington, New Castle County, Delaware 19801, and the name of the registered agent whose office address will be the same as the registered office is The Corporation Trust Company.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THREE</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Delaware General Corporation Law.</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FOUR</w:t>
      </w:r>
    </w:p>
    <w:p>
      <w:pPr>
        <w:spacing w:after="0" w:line="121"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total number of shares of capital stock that the Company has authority to issue is 10,000 shares, which will be designated Common Stock, par value $0.01 per share. The total number of shares of preferred stock that the Company has authority to issue is 100,000,000 shares, which will be designated Preferred Stock, par value $0.01 per share.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00" w:type="dxa"/>
            <w:vAlign w:val="bottom"/>
          </w:tcPr>
          <w:p>
            <w:pPr>
              <w:ind w:left="140"/>
              <w:spacing w:after="0"/>
              <w:rPr>
                <w:sz w:val="20"/>
                <w:szCs w:val="20"/>
                <w:color w:val="auto"/>
              </w:rPr>
            </w:pPr>
            <w:r>
              <w:rPr>
                <w:rFonts w:ascii="Arial" w:cs="Arial" w:eastAsia="Arial" w:hAnsi="Arial"/>
                <w:sz w:val="18"/>
                <w:szCs w:val="18"/>
                <w:b w:val="1"/>
                <w:bCs w:val="1"/>
                <w:color w:val="auto"/>
              </w:rPr>
              <w:t>ARTICLE FIVE</w:t>
            </w:r>
          </w:p>
        </w:tc>
      </w:tr>
      <w:tr>
        <w:trPr>
          <w:trHeight w:val="324"/>
        </w:trPr>
        <w:tc>
          <w:tcPr>
            <w:tcW w:w="11420" w:type="dxa"/>
            <w:vAlign w:val="bottom"/>
            <w:gridSpan w:val="3"/>
          </w:tcPr>
          <w:p>
            <w:pPr>
              <w:ind w:left="220"/>
              <w:spacing w:after="0"/>
              <w:rPr>
                <w:sz w:val="20"/>
                <w:szCs w:val="20"/>
                <w:color w:val="auto"/>
              </w:rPr>
            </w:pPr>
            <w:r>
              <w:rPr>
                <w:rFonts w:ascii="Arial" w:cs="Arial" w:eastAsia="Arial" w:hAnsi="Arial"/>
                <w:sz w:val="18"/>
                <w:szCs w:val="18"/>
                <w:color w:val="auto"/>
              </w:rPr>
              <w:t>The name and mailing address of the Incorporator are as follows:</w:t>
            </w:r>
          </w:p>
        </w:tc>
      </w:tr>
      <w:tr>
        <w:trPr>
          <w:trHeight w:val="365"/>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340" w:type="dxa"/>
            <w:vAlign w:val="bottom"/>
          </w:tcPr>
          <w:p>
            <w:pPr>
              <w:spacing w:after="0"/>
              <w:rPr>
                <w:sz w:val="24"/>
                <w:szCs w:val="24"/>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Address</w:t>
            </w:r>
          </w:p>
        </w:tc>
      </w:tr>
      <w:tr>
        <w:trPr>
          <w:trHeight w:val="411"/>
        </w:trPr>
        <w:tc>
          <w:tcPr>
            <w:tcW w:w="4580" w:type="dxa"/>
            <w:vAlign w:val="bottom"/>
          </w:tcPr>
          <w:p>
            <w:pPr>
              <w:spacing w:after="0"/>
              <w:rPr>
                <w:sz w:val="20"/>
                <w:szCs w:val="20"/>
                <w:color w:val="auto"/>
              </w:rPr>
            </w:pPr>
            <w:r>
              <w:rPr>
                <w:rFonts w:ascii="Arial" w:cs="Arial" w:eastAsia="Arial" w:hAnsi="Arial"/>
                <w:sz w:val="18"/>
                <w:szCs w:val="18"/>
                <w:color w:val="auto"/>
              </w:rPr>
              <w:t>Ronald Cami</w:t>
            </w:r>
          </w:p>
        </w:tc>
        <w:tc>
          <w:tcPr>
            <w:tcW w:w="3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301 Commerce Street, Suite 3300</w:t>
            </w:r>
          </w:p>
        </w:tc>
      </w:tr>
      <w:tr>
        <w:trPr>
          <w:trHeight w:val="230"/>
        </w:trPr>
        <w:tc>
          <w:tcPr>
            <w:tcW w:w="4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Fort Worth, TX 76102</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SIX</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Unless, and except to the extent that, the Bylaws of the Company (the “Bylaws”) so require, the election of directors need not be by written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ARTICLE SEVEN</w:t>
      </w:r>
    </w:p>
    <w:p>
      <w:pPr>
        <w:spacing w:after="0" w:line="121"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board of directors of the Company (the “Board of Directors”) may from time to time adopt, amend or repeal the Bylaws, subject to the power of the stockholders to adopt any Bylaws or to amend or repeal any Bylaws adopted, amended or repealed by the Board of Directors.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EIGHT</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To the fullest extent that the Delaware General Corporation Law as it exists on the date hereof or as it may hereafter be amended permits the limitation or elimination of the liability of directors, no director will be liable to the Company or its stockholders for monetary damage for breach of fiduciary duty as a director. Any repeal or amendment of this Article will not adversely affect any limitation on the personal liability or alleged liability of a director arising from an act or omission of that director occurring prior to the time of such repeal or amendment.</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NINE</w:t>
      </w:r>
    </w:p>
    <w:p>
      <w:pPr>
        <w:spacing w:after="0" w:line="121" w:lineRule="exact"/>
        <w:rPr>
          <w:sz w:val="20"/>
          <w:szCs w:val="20"/>
          <w:color w:val="auto"/>
        </w:rPr>
      </w:pPr>
    </w:p>
    <w:p>
      <w:pPr>
        <w:ind w:right="420" w:firstLine="222"/>
        <w:spacing w:after="0" w:line="264" w:lineRule="auto"/>
        <w:rPr>
          <w:sz w:val="20"/>
          <w:szCs w:val="20"/>
          <w:color w:val="auto"/>
        </w:rPr>
      </w:pPr>
      <w:r>
        <w:rPr>
          <w:rFonts w:ascii="Arial" w:cs="Arial" w:eastAsia="Arial" w:hAnsi="Arial"/>
          <w:sz w:val="18"/>
          <w:szCs w:val="18"/>
          <w:color w:val="auto"/>
        </w:rPr>
        <w:t>The directors shall have powers without the assent or vote of the stockholders to fix and vary the amount to be reserved for any proper purpose; to authorize and cause to be executed mortgages and liens upon all or any part of the property of the Company; to determine the use and disposition of any surplus or net profits; and to fix the times for the declaration and payment of dividends.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TEN</w:t>
      </w:r>
    </w:p>
    <w:p>
      <w:pPr>
        <w:spacing w:after="0" w:line="121"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Company which is represented in person or by proxy at such meeting and entitled to vote thereat (provided that a lawful quorum of stockholders be there represented in person or by proxy) shall be as valid and as binding upon the Company and upon all the stockholders as though it had been approved or ratified by every stockholder of the Company, whether or not the contract or act would otherwise be open to legal attack because of directors’ interest, or for any other reason.</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ELEVEN</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addition to the powers and authorities hereinbefore or by statute expressly conferred upon them, the directors are hereby empowered to exercise all such powers and do all such acts and things as may be exercised or done by the Company; subject, nevertheless, to the provisions of the statutes of Delaware, of this certificate, and to any bylaws from time to time made by the stockholders; provided, however, that no bylaws so made shall invalidate any prior act of the directors which would have been valid if such bylaw had not been made.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56" w:name="page57"/>
    <w:bookmarkEnd w:id="56"/>
    <w:p>
      <w:pPr>
        <w:jc w:val="center"/>
        <w:ind w:right="-219"/>
        <w:spacing w:after="0"/>
        <w:rPr>
          <w:sz w:val="20"/>
          <w:szCs w:val="20"/>
          <w:color w:val="auto"/>
        </w:rPr>
      </w:pPr>
      <w:r>
        <w:rPr>
          <w:rFonts w:ascii="Arial" w:cs="Arial" w:eastAsia="Arial" w:hAnsi="Arial"/>
          <w:sz w:val="18"/>
          <w:szCs w:val="18"/>
          <w:b w:val="1"/>
          <w:bCs w:val="1"/>
          <w:color w:val="auto"/>
        </w:rPr>
        <w:t>ARTICLE TWELVE</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shall, to the full extent permitted by Section 145 of the General Corporation Law of the State of Delaware, as amended from time to time, indemnify all persons whom it may indemnify pursuant thereto.</w:t>
      </w:r>
    </w:p>
    <w:p>
      <w:pPr>
        <w:spacing w:after="0" w:line="27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ARTICLE THIRTEEN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203 of the General Corporation Law of the State of Delaware shall not apply to the Company.</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59" w:right="439" w:bottom="1440" w:gutter="0" w:footer="0" w:header="0"/>
        </w:sectPr>
      </w:pPr>
    </w:p>
    <w:bookmarkStart w:id="57" w:name="page58"/>
    <w:bookmarkEnd w:id="57"/>
    <w:p>
      <w:pPr>
        <w:ind w:firstLine="225"/>
        <w:spacing w:after="0" w:line="282" w:lineRule="auto"/>
        <w:rPr>
          <w:sz w:val="20"/>
          <w:szCs w:val="20"/>
          <w:color w:val="auto"/>
        </w:rPr>
      </w:pPr>
      <w:r>
        <w:rPr>
          <w:rFonts w:ascii="Arial" w:cs="Arial" w:eastAsia="Arial" w:hAnsi="Arial"/>
          <w:sz w:val="18"/>
          <w:szCs w:val="18"/>
          <w:b w:val="1"/>
          <w:bCs w:val="1"/>
          <w:color w:val="auto"/>
        </w:rPr>
        <w:t>THE UNDERSIGNED INCORPORATOR</w:t>
      </w:r>
      <w:r>
        <w:rPr>
          <w:rFonts w:ascii="Arial" w:cs="Arial" w:eastAsia="Arial" w:hAnsi="Arial"/>
          <w:sz w:val="18"/>
          <w:szCs w:val="18"/>
          <w:color w:val="auto"/>
        </w:rPr>
        <w:t>, for the purposes of forming the corporation, does make and file this Certificate of Incorporation, hereby</w:t>
      </w:r>
      <w:r>
        <w:rPr>
          <w:rFonts w:ascii="Arial" w:cs="Arial" w:eastAsia="Arial" w:hAnsi="Arial"/>
          <w:sz w:val="18"/>
          <w:szCs w:val="18"/>
          <w:b w:val="1"/>
          <w:bCs w:val="1"/>
          <w:color w:val="auto"/>
        </w:rPr>
        <w:t xml:space="preserve"> </w:t>
      </w:r>
      <w:r>
        <w:rPr>
          <w:rFonts w:ascii="Arial" w:cs="Arial" w:eastAsia="Arial" w:hAnsi="Arial"/>
          <w:sz w:val="18"/>
          <w:szCs w:val="18"/>
          <w:color w:val="auto"/>
        </w:rPr>
        <w:t>declaring and certifying that the facts here stated are true and accordingly has set his hand on July 21, 2010.</w:t>
      </w:r>
    </w:p>
    <w:p>
      <w:pPr>
        <w:spacing w:after="0" w:line="38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Ronald Cami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Sole Incorporator</w:t>
      </w:r>
    </w:p>
    <w:p>
      <w:pPr>
        <w:sectPr>
          <w:pgSz w:w="11900" w:h="16838" w:orient="portrait"/>
          <w:cols w:equalWidth="0" w:num="1">
            <w:col w:w="11080"/>
          </w:cols>
          <w:pgMar w:left="240" w:top="932" w:right="5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AMENDED AND RESTATED CERTIFICATE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TPG SPECIALTY LENDING, INC.</w:t>
      </w:r>
    </w:p>
    <w:p>
      <w:pPr>
        <w:spacing w:after="0" w:line="103"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TPG Specialty Lending, Inc., a Delaware corporation, the original Certificate of Incorporation of which was filed with the Secretary of State of the State of Delaware on July 21, 2010, hereby certifies that this Amended and Restated Certificate of Incorporation, restating, integrating and amending its Certificate of Incorporation, was duly adopted by its original Incorporator in accordance with Sections 241 and 245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The Certificate of Incorporation of TPG Specialty Lending, Inc. is hereby amended, integrated and restated in its entirety to read as follows: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name of the corporation is TPG Specialty Lending,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AND AGENT</w:t>
      </w:r>
    </w:p>
    <w:p>
      <w:pPr>
        <w:spacing w:after="0" w:line="103" w:lineRule="exact"/>
        <w:rPr>
          <w:sz w:val="20"/>
          <w:szCs w:val="20"/>
          <w:color w:val="auto"/>
        </w:rPr>
      </w:pPr>
    </w:p>
    <w:p>
      <w:pPr>
        <w:ind w:right="440" w:firstLine="222"/>
        <w:spacing w:after="0" w:line="342" w:lineRule="auto"/>
        <w:rPr>
          <w:sz w:val="20"/>
          <w:szCs w:val="20"/>
          <w:color w:val="auto"/>
        </w:rPr>
      </w:pPr>
      <w:r>
        <w:rPr>
          <w:rFonts w:ascii="Arial" w:cs="Arial" w:eastAsia="Arial" w:hAnsi="Arial"/>
          <w:sz w:val="16"/>
          <w:szCs w:val="16"/>
          <w:color w:val="auto"/>
        </w:rPr>
        <w:t>The address of the registered office of the Corporation in the State of Delaware is The Corporation Trust Company, 1209 Orange Street, Wilmington, Delaware 19801, County of New Castle. The name of the registered agent of the Corporation at such address is The Corporation Trust Company.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DGCL.</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103"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total number of shares of all classes of capital stock that the Corporation shall have authority to issue is 100,000,000 shares, par value $0.01 per share of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The total number of shares of preferred stock that the Corporation shall have authority to issue is 100,000,000 shares, par value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ind w:left="-20" w:right="60" w:firstLine="458"/>
        <w:spacing w:after="0" w:line="261" w:lineRule="auto"/>
        <w:tabs>
          <w:tab w:leader="none" w:pos="725"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 Except as (i) otherwise required by laws of the State of Delaware or (ii) expressly provided in this Certificate of Incorporation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from time to time), each share of Common Stock shall have the same powers, rights and privileges and shall rank equally, share ratably and be identical in all respects as to all matters. The shares of Common Stock shall be entitled only to the preemptive rights set forth in paragraph (A)(4) of this Article IV.</w:t>
      </w:r>
    </w:p>
    <w:p>
      <w:pPr>
        <w:spacing w:after="0" w:line="71" w:lineRule="exact"/>
        <w:rPr>
          <w:rFonts w:ascii="Arial" w:cs="Arial" w:eastAsia="Arial" w:hAnsi="Arial"/>
          <w:sz w:val="18"/>
          <w:szCs w:val="18"/>
          <w:color w:val="auto"/>
        </w:rPr>
      </w:pPr>
    </w:p>
    <w:p>
      <w:pPr>
        <w:ind w:left="220" w:right="200" w:firstLine="446"/>
        <w:spacing w:after="0" w:line="277" w:lineRule="auto"/>
        <w:tabs>
          <w:tab w:leader="none" w:pos="925" w:val="left"/>
        </w:tabs>
        <w:numPr>
          <w:ilvl w:val="1"/>
          <w:numId w:val="41"/>
        </w:numPr>
        <w:rPr>
          <w:rFonts w:ascii="Arial" w:cs="Arial" w:eastAsia="Arial" w:hAnsi="Arial"/>
          <w:sz w:val="17"/>
          <w:szCs w:val="17"/>
          <w:color w:val="auto"/>
        </w:rPr>
      </w:pPr>
      <w:r>
        <w:rPr>
          <w:rFonts w:ascii="Arial" w:cs="Arial" w:eastAsia="Arial" w:hAnsi="Arial"/>
          <w:sz w:val="17"/>
          <w:szCs w:val="17"/>
          <w:b w:val="1"/>
          <w:bCs w:val="1"/>
          <w:color w:val="auto"/>
        </w:rPr>
        <w:t>Dividends</w:t>
      </w:r>
      <w:r>
        <w:rPr>
          <w:rFonts w:ascii="Arial" w:cs="Arial" w:eastAsia="Arial" w:hAnsi="Arial"/>
          <w:sz w:val="17"/>
          <w:szCs w:val="17"/>
          <w:color w:val="auto"/>
        </w:rPr>
        <w:t>. Subject to the provisions of the laws of the State of Delaware, and to the other provisions of this Certificate of Incorporation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from time to time), holders of shares of Common Stock shall be entitled to receive equally, on a per share basis, such dividends and other distributions in cash, securities or other property of the Corporation as may be declared thereon by the Board of Directors from time to time out of assets or funds of the Corporation legally available therefor, subject to any preferential dividend rights of outstanding Preferred Stock. Holders of shares of Common Stock may participate in the Corporation’s dividend reinvestment plan.</w:t>
      </w:r>
    </w:p>
    <w:p>
      <w:pPr>
        <w:spacing w:after="0" w:line="60" w:lineRule="exact"/>
        <w:rPr>
          <w:rFonts w:ascii="Arial" w:cs="Arial" w:eastAsia="Arial" w:hAnsi="Arial"/>
          <w:sz w:val="17"/>
          <w:szCs w:val="17"/>
          <w:color w:val="auto"/>
        </w:rPr>
      </w:pPr>
    </w:p>
    <w:p>
      <w:pPr>
        <w:ind w:left="220" w:right="20" w:firstLine="446"/>
        <w:spacing w:after="0" w:line="258" w:lineRule="auto"/>
        <w:tabs>
          <w:tab w:leader="none" w:pos="925"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Voting Rights</w:t>
      </w:r>
      <w:r>
        <w:rPr>
          <w:rFonts w:ascii="Arial" w:cs="Arial" w:eastAsia="Arial" w:hAnsi="Arial"/>
          <w:sz w:val="18"/>
          <w:szCs w:val="18"/>
          <w:color w:val="auto"/>
        </w:rPr>
        <w:t>. At every annual or special meeting of stockholders of the Corporation, each record holder of Common Stock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cast one (1) vote for each share of Common Stock standing in such holder’s name on the stock transfer records of the Corporation for the election of directors and on matters submitted to a vote of stockholders of the Corporation. Except as provided with respect to any other class or series of capital stock of the Corporation hereafter classified or reclassified, the exclusive voting power for all purposes shall solely be vested with the holders of Common Stock. There shall be no cumulative voting.</w:t>
      </w:r>
    </w:p>
    <w:p>
      <w:pPr>
        <w:spacing w:after="0" w:line="75" w:lineRule="exact"/>
        <w:rPr>
          <w:rFonts w:ascii="Arial" w:cs="Arial" w:eastAsia="Arial" w:hAnsi="Arial"/>
          <w:sz w:val="18"/>
          <w:szCs w:val="18"/>
          <w:color w:val="auto"/>
        </w:rPr>
      </w:pPr>
    </w:p>
    <w:p>
      <w:pPr>
        <w:ind w:left="220" w:right="60" w:firstLine="446"/>
        <w:spacing w:after="0" w:line="255" w:lineRule="auto"/>
        <w:tabs>
          <w:tab w:leader="none" w:pos="925"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Liquidation Rights</w:t>
      </w:r>
      <w:r>
        <w:rPr>
          <w:rFonts w:ascii="Arial" w:cs="Arial" w:eastAsia="Arial" w:hAnsi="Arial"/>
          <w:sz w:val="18"/>
          <w:szCs w:val="18"/>
          <w:color w:val="auto"/>
        </w:rPr>
        <w:t>. In the event of any liquidation, dissolution or winding up of the affairs of the Corporation, whether voluntary or</w:t>
      </w:r>
      <w:r>
        <w:rPr>
          <w:rFonts w:ascii="Arial" w:cs="Arial" w:eastAsia="Arial" w:hAnsi="Arial"/>
          <w:sz w:val="18"/>
          <w:szCs w:val="18"/>
          <w:b w:val="1"/>
          <w:bCs w:val="1"/>
          <w:color w:val="auto"/>
        </w:rPr>
        <w:t xml:space="preserve"> </w:t>
      </w:r>
      <w:r>
        <w:rPr>
          <w:rFonts w:ascii="Arial" w:cs="Arial" w:eastAsia="Arial" w:hAnsi="Arial"/>
          <w:sz w:val="18"/>
          <w:szCs w:val="18"/>
          <w:color w:val="auto"/>
        </w:rPr>
        <w:t>involuntary, after payment or provision for payment of the Corporation’s debts and other liabilities and subject to the prior rights of any outstanding Preferred Stock, upon such dissolution, liquidation or winding up, the remaining net assets of the Corporation shall be distributed among holders of shares of Common Stock equally on a per share basis. A merger or consolidation of the Corporation with or into any other corporation or other entity, or a sale or conveyance of all or any part of the assets of the Corporation (which shall not in fact result in the liquidation of the Corporation and the distribution of assets to its stockholders) shall not be deemed to be a voluntary or involuntary liquidation or dissolution or winding up of the Corporation within the meaning of this Paragraph (A)(3).</w:t>
      </w:r>
    </w:p>
    <w:p>
      <w:pPr>
        <w:spacing w:after="0" w:line="81" w:lineRule="exact"/>
        <w:rPr>
          <w:rFonts w:ascii="Arial" w:cs="Arial" w:eastAsia="Arial" w:hAnsi="Arial"/>
          <w:sz w:val="18"/>
          <w:szCs w:val="18"/>
          <w:color w:val="auto"/>
        </w:rPr>
      </w:pPr>
    </w:p>
    <w:p>
      <w:pPr>
        <w:jc w:val="both"/>
        <w:ind w:left="220" w:firstLine="446"/>
        <w:spacing w:after="0" w:line="281" w:lineRule="auto"/>
        <w:tabs>
          <w:tab w:leader="none" w:pos="925" w:val="left"/>
        </w:tabs>
        <w:numPr>
          <w:ilvl w:val="1"/>
          <w:numId w:val="41"/>
        </w:numPr>
        <w:rPr>
          <w:rFonts w:ascii="Arial" w:cs="Arial" w:eastAsia="Arial" w:hAnsi="Arial"/>
          <w:sz w:val="17"/>
          <w:szCs w:val="17"/>
          <w:color w:val="auto"/>
        </w:rPr>
      </w:pPr>
      <w:r>
        <w:rPr>
          <w:rFonts w:ascii="Arial" w:cs="Arial" w:eastAsia="Arial" w:hAnsi="Arial"/>
          <w:sz w:val="17"/>
          <w:szCs w:val="17"/>
          <w:b w:val="1"/>
          <w:bCs w:val="1"/>
          <w:color w:val="auto"/>
        </w:rPr>
        <w:t>Preemptive Rights</w:t>
      </w:r>
      <w:r>
        <w:rPr>
          <w:rFonts w:ascii="Arial" w:cs="Arial" w:eastAsia="Arial" w:hAnsi="Arial"/>
          <w:sz w:val="17"/>
          <w:szCs w:val="17"/>
          <w:color w:val="auto"/>
        </w:rPr>
        <w:t>. Prior to any underwritten initial public offering of the Corporation’s Common Stock registered under the U.S. Securities Act</w:t>
      </w:r>
      <w:r>
        <w:rPr>
          <w:rFonts w:ascii="Arial" w:cs="Arial" w:eastAsia="Arial" w:hAnsi="Arial"/>
          <w:sz w:val="17"/>
          <w:szCs w:val="17"/>
          <w:b w:val="1"/>
          <w:bCs w:val="1"/>
          <w:color w:val="auto"/>
        </w:rPr>
        <w:t xml:space="preserve"> </w:t>
      </w:r>
      <w:r>
        <w:rPr>
          <w:rFonts w:ascii="Arial" w:cs="Arial" w:eastAsia="Arial" w:hAnsi="Arial"/>
          <w:sz w:val="17"/>
          <w:szCs w:val="17"/>
          <w:color w:val="auto"/>
        </w:rPr>
        <w:t>of 1933, as amended, that may occur (an “</w:t>
      </w:r>
      <w:r>
        <w:rPr>
          <w:rFonts w:ascii="Arial" w:cs="Arial" w:eastAsia="Arial" w:hAnsi="Arial"/>
          <w:sz w:val="17"/>
          <w:szCs w:val="17"/>
          <w:u w:val="single" w:color="auto"/>
          <w:color w:val="auto"/>
        </w:rPr>
        <w:t>IPO</w:t>
      </w:r>
      <w:r>
        <w:rPr>
          <w:rFonts w:ascii="Arial" w:cs="Arial" w:eastAsia="Arial" w:hAnsi="Arial"/>
          <w:sz w:val="17"/>
          <w:szCs w:val="17"/>
          <w:color w:val="auto"/>
        </w:rPr>
        <w:t>”), each share of Common Stock of the Corporation shall entitle the holder thereof to a preemptive right, for a period of thirty days, to subscribe for, purchase, or otherwise acquire any shares of Preferred Stock of the Corporation which the Corporation proposes to issue or any rights or options which the Corporation proposes to grant for the purchase of shares of Preferred Stock of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1" w:right="239" w:bottom="1440" w:gutter="0" w:footer="0" w:header="0"/>
        </w:sectPr>
      </w:pPr>
    </w:p>
    <w:bookmarkStart w:id="60" w:name="page61"/>
    <w:bookmarkEnd w:id="60"/>
    <w:p>
      <w:pPr>
        <w:ind w:left="240" w:right="40"/>
        <w:spacing w:after="0" w:line="293" w:lineRule="auto"/>
        <w:rPr>
          <w:sz w:val="20"/>
          <w:szCs w:val="20"/>
          <w:color w:val="auto"/>
        </w:rPr>
      </w:pPr>
      <w:r>
        <w:rPr>
          <w:rFonts w:ascii="Arial" w:cs="Arial" w:eastAsia="Arial" w:hAnsi="Arial"/>
          <w:sz w:val="16"/>
          <w:szCs w:val="16"/>
          <w:color w:val="auto"/>
        </w:rPr>
        <w:t>Corporation or for the purchase of any shares of stocks, bonds, securities, or obligations of the Corporation which are convertible into or exchangeable for, or which carry any rights, to subscribe for, purchase, or otherwise acquire shares of Preferred Stock of the Corporation, whether now or hereafter authorized or created, whether having unissued or treasury status, and whether the proposed issue, reissue, transfer or grant is for cash, property, or any other lawful consideration; and after the expiration of said thirty days, any and all of such shares of stock, rights, options, bonds, securities or obligations of the Corporation may be issued, reissued, transferred, or granted by the Board of Directors, as the case may be, to such persons, firms, corporations and associations, and for such lawful consideration, and on such terms, as the Board of Directors in its discretion may determine.</w:t>
      </w:r>
    </w:p>
    <w:p>
      <w:pPr>
        <w:spacing w:after="0" w:line="53" w:lineRule="exact"/>
        <w:rPr>
          <w:sz w:val="20"/>
          <w:szCs w:val="20"/>
          <w:color w:val="auto"/>
        </w:rPr>
      </w:pPr>
    </w:p>
    <w:p>
      <w:pPr>
        <w:ind w:right="20" w:firstLine="458"/>
        <w:spacing w:after="0" w:line="281" w:lineRule="auto"/>
        <w:tabs>
          <w:tab w:leader="none" w:pos="735"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Preferred Stock</w:t>
      </w:r>
      <w:r>
        <w:rPr>
          <w:rFonts w:ascii="Arial" w:cs="Arial" w:eastAsia="Arial" w:hAnsi="Arial"/>
          <w:sz w:val="17"/>
          <w:szCs w:val="17"/>
          <w:color w:val="auto"/>
        </w:rPr>
        <w:t>. The Board of Directors of the Corporation is authorized, subject to limitations prescribed by law, to provide by resolution or</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resolutions for the issuance of shares of Preferred Stock in one or more series without stockholder approval. The Board of Directors has discretion to establish the number of shares to be included in each such series, and to fix the voting powers (if any), designations, powers, preferences, and relative, participating, optional or other rights, if any, of the shares of each such series, and any qualifications, limitations, or restrictions thereof.</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00" w:type="dxa"/>
            <w:vAlign w:val="bottom"/>
          </w:tcPr>
          <w:p>
            <w:pPr>
              <w:jc w:val="center"/>
              <w:ind w:right="4834"/>
              <w:spacing w:after="0"/>
              <w:rPr>
                <w:sz w:val="20"/>
                <w:szCs w:val="20"/>
                <w:color w:val="auto"/>
              </w:rPr>
            </w:pPr>
            <w:r>
              <w:rPr>
                <w:rFonts w:ascii="Arial" w:cs="Arial" w:eastAsia="Arial" w:hAnsi="Arial"/>
                <w:sz w:val="18"/>
                <w:szCs w:val="18"/>
                <w:b w:val="1"/>
                <w:bCs w:val="1"/>
                <w:color w:val="auto"/>
              </w:rPr>
              <w:t>ARTICLE V</w:t>
            </w:r>
          </w:p>
        </w:tc>
      </w:tr>
      <w:tr>
        <w:trPr>
          <w:trHeight w:val="234"/>
        </w:trPr>
        <w:tc>
          <w:tcPr>
            <w:tcW w:w="4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00" w:type="dxa"/>
            <w:vAlign w:val="bottom"/>
          </w:tcPr>
          <w:p>
            <w:pPr>
              <w:jc w:val="center"/>
              <w:ind w:right="4814"/>
              <w:spacing w:after="0"/>
              <w:rPr>
                <w:sz w:val="20"/>
                <w:szCs w:val="20"/>
                <w:color w:val="auto"/>
              </w:rPr>
            </w:pPr>
            <w:r>
              <w:rPr>
                <w:rFonts w:ascii="Arial" w:cs="Arial" w:eastAsia="Arial" w:hAnsi="Arial"/>
                <w:sz w:val="18"/>
                <w:szCs w:val="18"/>
                <w:b w:val="1"/>
                <w:bCs w:val="1"/>
                <w:color w:val="auto"/>
                <w:w w:val="99"/>
              </w:rPr>
              <w:t>INCORPORATOR</w:t>
            </w:r>
          </w:p>
        </w:tc>
      </w:tr>
      <w:tr>
        <w:trPr>
          <w:trHeight w:val="324"/>
        </w:trPr>
        <w:tc>
          <w:tcPr>
            <w:tcW w:w="11420" w:type="dxa"/>
            <w:vAlign w:val="bottom"/>
            <w:gridSpan w:val="3"/>
          </w:tcPr>
          <w:p>
            <w:pPr>
              <w:ind w:left="220"/>
              <w:spacing w:after="0"/>
              <w:rPr>
                <w:sz w:val="20"/>
                <w:szCs w:val="20"/>
                <w:color w:val="auto"/>
              </w:rPr>
            </w:pPr>
            <w:r>
              <w:rPr>
                <w:rFonts w:ascii="Arial" w:cs="Arial" w:eastAsia="Arial" w:hAnsi="Arial"/>
                <w:sz w:val="18"/>
                <w:szCs w:val="18"/>
                <w:color w:val="auto"/>
              </w:rPr>
              <w:t>The name and mailing address of the Incorporator are as follows:</w:t>
            </w:r>
          </w:p>
        </w:tc>
      </w:tr>
      <w:tr>
        <w:trPr>
          <w:trHeight w:val="365"/>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340" w:type="dxa"/>
            <w:vAlign w:val="bottom"/>
          </w:tcPr>
          <w:p>
            <w:pPr>
              <w:spacing w:after="0"/>
              <w:rPr>
                <w:sz w:val="24"/>
                <w:szCs w:val="24"/>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Address</w:t>
            </w:r>
          </w:p>
        </w:tc>
      </w:tr>
      <w:tr>
        <w:trPr>
          <w:trHeight w:val="411"/>
        </w:trPr>
        <w:tc>
          <w:tcPr>
            <w:tcW w:w="4580" w:type="dxa"/>
            <w:vAlign w:val="bottom"/>
          </w:tcPr>
          <w:p>
            <w:pPr>
              <w:spacing w:after="0"/>
              <w:rPr>
                <w:sz w:val="20"/>
                <w:szCs w:val="20"/>
                <w:color w:val="auto"/>
              </w:rPr>
            </w:pPr>
            <w:r>
              <w:rPr>
                <w:rFonts w:ascii="Arial" w:cs="Arial" w:eastAsia="Arial" w:hAnsi="Arial"/>
                <w:sz w:val="18"/>
                <w:szCs w:val="18"/>
                <w:color w:val="auto"/>
              </w:rPr>
              <w:t>Ronald Cami</w:t>
            </w:r>
          </w:p>
        </w:tc>
        <w:tc>
          <w:tcPr>
            <w:tcW w:w="3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301 Commerce Street, Suite 3300</w:t>
            </w:r>
          </w:p>
        </w:tc>
      </w:tr>
      <w:tr>
        <w:trPr>
          <w:trHeight w:val="230"/>
        </w:trPr>
        <w:tc>
          <w:tcPr>
            <w:tcW w:w="4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Fort Worth, Texas 76102</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99" w:lineRule="exact"/>
        <w:rPr>
          <w:sz w:val="20"/>
          <w:szCs w:val="20"/>
          <w:color w:val="auto"/>
        </w:rPr>
      </w:pPr>
    </w:p>
    <w:p>
      <w:pPr>
        <w:ind w:right="140" w:firstLine="458"/>
        <w:spacing w:after="0" w:line="266" w:lineRule="auto"/>
        <w:tabs>
          <w:tab w:leader="none" w:pos="74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 The business and affairs of the Corporation shall be managed by or under the direction of the Board of Directors.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exercise all such authority and powers of the Corporation and do all such lawful acts and things as are not by laws of the State of Delaware or this Certificate of Incorporation directed or required to be exercised or done by the stockholders.</w:t>
      </w:r>
    </w:p>
    <w:p>
      <w:pPr>
        <w:spacing w:after="0" w:line="68" w:lineRule="exact"/>
        <w:rPr>
          <w:rFonts w:ascii="Arial" w:cs="Arial" w:eastAsia="Arial" w:hAnsi="Arial"/>
          <w:sz w:val="18"/>
          <w:szCs w:val="18"/>
          <w:color w:val="auto"/>
        </w:rPr>
      </w:pPr>
    </w:p>
    <w:p>
      <w:pPr>
        <w:jc w:val="both"/>
        <w:ind w:right="40" w:firstLine="458"/>
        <w:spacing w:after="0" w:line="314" w:lineRule="auto"/>
        <w:tabs>
          <w:tab w:leader="none" w:pos="735"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Number of Directors</w:t>
      </w:r>
      <w:r>
        <w:rPr>
          <w:rFonts w:ascii="Arial" w:cs="Arial" w:eastAsia="Arial" w:hAnsi="Arial"/>
          <w:sz w:val="16"/>
          <w:szCs w:val="16"/>
          <w:color w:val="auto"/>
        </w:rPr>
        <w:t>. The number of directors of the Corporation shall be fixed from time to time by, or in the manner provided in, the Bylaws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(the “</w:t>
      </w:r>
      <w:r>
        <w:rPr>
          <w:rFonts w:ascii="Arial" w:cs="Arial" w:eastAsia="Arial" w:hAnsi="Arial"/>
          <w:sz w:val="16"/>
          <w:szCs w:val="16"/>
          <w:u w:val="single" w:color="auto"/>
          <w:color w:val="auto"/>
        </w:rPr>
        <w:t>Bylaws</w:t>
      </w:r>
      <w:r>
        <w:rPr>
          <w:rFonts w:ascii="Arial" w:cs="Arial" w:eastAsia="Arial" w:hAnsi="Arial"/>
          <w:sz w:val="16"/>
          <w:szCs w:val="16"/>
          <w:color w:val="auto"/>
        </w:rPr>
        <w:t>”). A majority of the directors shall be “independent” directors under applicable law and the rules of the relevant stock exchange on which the Common Stock is listed. Additionally, so long as the Corporation operates as a business development company, a majority of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ind w:right="80"/>
        <w:spacing w:after="0" w:line="308" w:lineRule="auto"/>
        <w:rPr>
          <w:sz w:val="20"/>
          <w:szCs w:val="20"/>
          <w:color w:val="auto"/>
        </w:rPr>
      </w:pPr>
      <w:r>
        <w:rPr>
          <w:rFonts w:ascii="Arial" w:cs="Arial" w:eastAsia="Arial" w:hAnsi="Arial"/>
          <w:sz w:val="17"/>
          <w:szCs w:val="17"/>
          <w:color w:val="auto"/>
        </w:rPr>
        <w:t>Corporation’s directors will not be “interested persons” of either the Corporation, the Corporation’s investment adviser (TSL Advisers, LLC, and hereinafter, the “</w:t>
      </w:r>
      <w:r>
        <w:rPr>
          <w:rFonts w:ascii="Arial" w:cs="Arial" w:eastAsia="Arial" w:hAnsi="Arial"/>
          <w:sz w:val="17"/>
          <w:szCs w:val="17"/>
          <w:u w:val="single" w:color="auto"/>
          <w:color w:val="auto"/>
        </w:rPr>
        <w:t>Adviser</w:t>
      </w:r>
      <w:r>
        <w:rPr>
          <w:rFonts w:ascii="Arial" w:cs="Arial" w:eastAsia="Arial" w:hAnsi="Arial"/>
          <w:sz w:val="17"/>
          <w:szCs w:val="17"/>
          <w:color w:val="auto"/>
        </w:rPr>
        <w:t>”), or any of their respective affiliates (as defined in Section 2(a)(19) of the Investment Company Act of 1940 (the “</w:t>
      </w:r>
      <w:r>
        <w:rPr>
          <w:rFonts w:ascii="Arial" w:cs="Arial" w:eastAsia="Arial" w:hAnsi="Arial"/>
          <w:sz w:val="17"/>
          <w:szCs w:val="17"/>
          <w:u w:val="single" w:color="auto"/>
          <w:color w:val="auto"/>
        </w:rPr>
        <w:t>1940 Act</w:t>
      </w:r>
      <w:r>
        <w:rPr>
          <w:rFonts w:ascii="Arial" w:cs="Arial" w:eastAsia="Arial" w:hAnsi="Arial"/>
          <w:sz w:val="17"/>
          <w:szCs w:val="17"/>
          <w:color w:val="auto"/>
        </w:rPr>
        <w:t>”)).</w:t>
      </w:r>
    </w:p>
    <w:p>
      <w:pPr>
        <w:spacing w:after="0" w:line="34" w:lineRule="exact"/>
        <w:rPr>
          <w:sz w:val="20"/>
          <w:szCs w:val="20"/>
          <w:color w:val="auto"/>
        </w:rPr>
      </w:pPr>
    </w:p>
    <w:p>
      <w:pPr>
        <w:ind w:firstLine="458"/>
        <w:spacing w:after="0" w:line="270" w:lineRule="auto"/>
        <w:tabs>
          <w:tab w:leader="none" w:pos="735"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Classified Board</w:t>
      </w:r>
      <w:r>
        <w:rPr>
          <w:rFonts w:ascii="Arial" w:cs="Arial" w:eastAsia="Arial" w:hAnsi="Arial"/>
          <w:sz w:val="17"/>
          <w:szCs w:val="17"/>
          <w:color w:val="auto"/>
        </w:rPr>
        <w:t>. The Board of Directors shall be divided into three classes, designated Class I, Class II and Class III, as nearly equal in number as</w:t>
      </w:r>
      <w:r>
        <w:rPr>
          <w:rFonts w:ascii="Arial" w:cs="Arial" w:eastAsia="Arial" w:hAnsi="Arial"/>
          <w:sz w:val="17"/>
          <w:szCs w:val="17"/>
          <w:b w:val="1"/>
          <w:bCs w:val="1"/>
          <w:color w:val="auto"/>
        </w:rPr>
        <w:t xml:space="preserve"> </w:t>
      </w:r>
      <w:r>
        <w:rPr>
          <w:rFonts w:ascii="Arial" w:cs="Arial" w:eastAsia="Arial" w:hAnsi="Arial"/>
          <w:sz w:val="17"/>
          <w:szCs w:val="17"/>
          <w:color w:val="auto"/>
        </w:rPr>
        <w:t>possible and no class shall include less than one director. The term of office of directors of one class shall expire at each annual meeting of stockholders, and in all cases as to each director when such director’s successor shall be elected and shall qualify or upon such director’s earlier resignation, removal from office, death or incapacity. Additional directorships resulting from an increase in number of directors shall be apportioned among the classes as equally as possible. In the event of any decrease in the number of directors, all classes of directors shall be decreased equally as nearly as possible. The initial term of office of directors of Class I shall expire at the annual meeting of stockholders in 2012; that of Class II shall expire at the annual meeting in 2013; and that of Class III shall expire at the annual meeting in 2014; and in all cases as to each director when such director’s successor shall be elected and shall qualify or upon such director’s earlier resignation, removal from office, death or incapacity. At each annual meeting of stockholders, beginning with the annual meeting of stockholders in 2012, the number of directors equal to the number of directors of the class whose term expires at the time of such meeting (or, if less, the number of directors properly nominated and qualified for election) shall be elected to hold office for a term expiring at the annual meeting of stockholders held in the third year following the year of election.</w:t>
      </w:r>
    </w:p>
    <w:p>
      <w:pPr>
        <w:spacing w:after="0" w:line="65" w:lineRule="exact"/>
        <w:rPr>
          <w:rFonts w:ascii="Arial" w:cs="Arial" w:eastAsia="Arial" w:hAnsi="Arial"/>
          <w:sz w:val="17"/>
          <w:szCs w:val="17"/>
          <w:color w:val="auto"/>
        </w:rPr>
      </w:pPr>
    </w:p>
    <w:p>
      <w:pPr>
        <w:ind w:firstLine="458"/>
        <w:spacing w:after="0" w:line="256" w:lineRule="auto"/>
        <w:tabs>
          <w:tab w:leader="none" w:pos="745"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Newly-Created Directorships and Vacancies</w:t>
      </w:r>
      <w:r>
        <w:rPr>
          <w:rFonts w:ascii="Arial" w:cs="Arial" w:eastAsia="Arial" w:hAnsi="Arial"/>
          <w:sz w:val="18"/>
          <w:szCs w:val="18"/>
          <w:color w:val="auto"/>
        </w:rPr>
        <w:t>. The Board of Directors is expressly authorized to change the number of directors in any or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classes without the consent of the stockholders. Newly created directorships resulting from any increase in the number of directors or any vacancies on the Board of Directors resulting from death, resignation, retirement, disqualification, removal from office or any other cause may be filled by a majority of the directors then in office, although less than a quorum, or by a sole remaining director. Directors elected to fill a newly created directorship or other vacancies shall hold office for the remainder of the full term of the class of directors in which the new directorship was created or the vacancy occurred and until such director’s successor has been elected and has qualified.</w:t>
      </w:r>
    </w:p>
    <w:p>
      <w:pPr>
        <w:spacing w:after="0" w:line="79" w:lineRule="exact"/>
        <w:rPr>
          <w:rFonts w:ascii="Arial" w:cs="Arial" w:eastAsia="Arial" w:hAnsi="Arial"/>
          <w:sz w:val="18"/>
          <w:szCs w:val="18"/>
          <w:color w:val="auto"/>
        </w:rPr>
      </w:pPr>
    </w:p>
    <w:p>
      <w:pPr>
        <w:ind w:right="180" w:firstLine="458"/>
        <w:spacing w:after="0" w:line="266" w:lineRule="auto"/>
        <w:tabs>
          <w:tab w:leader="none" w:pos="725"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Removal of Directors</w:t>
      </w:r>
      <w:r>
        <w:rPr>
          <w:rFonts w:ascii="Arial" w:cs="Arial" w:eastAsia="Arial" w:hAnsi="Arial"/>
          <w:sz w:val="18"/>
          <w:szCs w:val="18"/>
          <w:color w:val="auto"/>
        </w:rPr>
        <w:t>. Upon and following the Corporation’s receipt of payment for any of its stock, any director may be removed from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but only for cause, at a meeting called for that purpose, and only by the affirmative vote of 75% of the holders of the Corporation’s capital stock then outstanding and entitled to vote in the election of directors, voting together as a single class.</w:t>
      </w:r>
    </w:p>
    <w:p>
      <w:pPr>
        <w:spacing w:after="0" w:line="68" w:lineRule="exact"/>
        <w:rPr>
          <w:rFonts w:ascii="Arial" w:cs="Arial" w:eastAsia="Arial" w:hAnsi="Arial"/>
          <w:sz w:val="18"/>
          <w:szCs w:val="18"/>
          <w:color w:val="auto"/>
        </w:rPr>
      </w:pPr>
    </w:p>
    <w:p>
      <w:pPr>
        <w:ind w:left="720" w:hanging="262"/>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Written Ballot Not Required</w:t>
      </w:r>
      <w:r>
        <w:rPr>
          <w:rFonts w:ascii="Arial" w:cs="Arial" w:eastAsia="Arial" w:hAnsi="Arial"/>
          <w:sz w:val="18"/>
          <w:szCs w:val="18"/>
          <w:color w:val="auto"/>
        </w:rPr>
        <w:t>. Elections of directors need not be by written ballot unless the Bylaws shall otherwise provide.</w:t>
      </w:r>
    </w:p>
    <w:p>
      <w:pPr>
        <w:spacing w:after="0" w:line="117" w:lineRule="exact"/>
        <w:rPr>
          <w:rFonts w:ascii="Arial" w:cs="Arial" w:eastAsia="Arial" w:hAnsi="Arial"/>
          <w:sz w:val="18"/>
          <w:szCs w:val="18"/>
          <w:color w:val="auto"/>
        </w:rPr>
      </w:pPr>
    </w:p>
    <w:p>
      <w:pPr>
        <w:ind w:right="420" w:firstLine="458"/>
        <w:spacing w:after="0" w:line="282" w:lineRule="auto"/>
        <w:tabs>
          <w:tab w:leader="none" w:pos="745"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Bylaws</w:t>
      </w:r>
      <w:r>
        <w:rPr>
          <w:rFonts w:ascii="Arial" w:cs="Arial" w:eastAsia="Arial" w:hAnsi="Arial"/>
          <w:sz w:val="18"/>
          <w:szCs w:val="18"/>
          <w:color w:val="auto"/>
        </w:rPr>
        <w:t>. The Board of Directors is expressly authorized to adopt, amend or repeal the Bylaws, upon the affirmative vote of at least 75%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directors then in office. Notwithstanding the foregoing and anything contained in this Certificate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2" w:name="page63"/>
    <w:bookmarkEnd w:id="62"/>
    <w:p>
      <w:pPr>
        <w:ind w:right="240"/>
        <w:spacing w:after="0" w:line="308" w:lineRule="auto"/>
        <w:rPr>
          <w:sz w:val="20"/>
          <w:szCs w:val="20"/>
          <w:color w:val="auto"/>
        </w:rPr>
      </w:pPr>
      <w:r>
        <w:rPr>
          <w:rFonts w:ascii="Arial" w:cs="Arial" w:eastAsia="Arial" w:hAnsi="Arial"/>
          <w:sz w:val="17"/>
          <w:szCs w:val="17"/>
          <w:color w:val="auto"/>
        </w:rPr>
        <w:t>Incorporation to the contrary, once the Corporation has received payment for any of its stock, the Corporation’s stockholders shall have the power to adopt, amend or repeal the Corporation’s Bylaws, upon the affirmative vote of 75% of the Corporation’s stockholders entitled to vote on any matter.</w:t>
      </w:r>
    </w:p>
    <w:p>
      <w:pPr>
        <w:spacing w:after="0" w:line="34" w:lineRule="exact"/>
        <w:rPr>
          <w:sz w:val="20"/>
          <w:szCs w:val="20"/>
          <w:color w:val="auto"/>
        </w:rPr>
      </w:pPr>
    </w:p>
    <w:p>
      <w:pPr>
        <w:ind w:right="60" w:firstLine="458"/>
        <w:spacing w:after="0" w:line="281" w:lineRule="auto"/>
        <w:tabs>
          <w:tab w:leader="none" w:pos="745"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Modification/Waiver of Operating Policies and Strategies</w:t>
      </w:r>
      <w:r>
        <w:rPr>
          <w:rFonts w:ascii="Arial" w:cs="Arial" w:eastAsia="Arial" w:hAnsi="Arial"/>
          <w:sz w:val="17"/>
          <w:szCs w:val="17"/>
          <w:color w:val="auto"/>
        </w:rPr>
        <w:t>. Notwithstanding anything contained in this Certificate of Incorporation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contrary, the Board of Directors shall have the authority to modify or waive the Corporation’s operating policies and strategies without prior notice (except as required by the 1940 Act) and without stockholder approval. However, absent stockholder approval, the Board of Directors shall not change the nature of the Corporation’s business so as to cease to be, or withdraw the Corporation’s election as, a business development company.</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 OF LIABILITY</w:t>
      </w:r>
    </w:p>
    <w:p>
      <w:pPr>
        <w:spacing w:after="0" w:line="103" w:lineRule="exact"/>
        <w:rPr>
          <w:sz w:val="20"/>
          <w:szCs w:val="20"/>
          <w:color w:val="auto"/>
        </w:rPr>
      </w:pPr>
    </w:p>
    <w:p>
      <w:pPr>
        <w:ind w:firstLine="215"/>
        <w:spacing w:after="0" w:line="269" w:lineRule="auto"/>
        <w:rPr>
          <w:sz w:val="20"/>
          <w:szCs w:val="20"/>
          <w:color w:val="auto"/>
        </w:rPr>
      </w:pPr>
      <w:r>
        <w:rPr>
          <w:rFonts w:ascii="Arial" w:cs="Arial" w:eastAsia="Arial" w:hAnsi="Arial"/>
          <w:sz w:val="17"/>
          <w:szCs w:val="17"/>
          <w:color w:val="auto"/>
        </w:rPr>
        <w:t>A director of the Corporation shall not be personally liable to the Corporation or its stockholders for breach of fiduciary duty as a director; provided, however, that the foregoing shall not eliminate or limit the liability of a director (i) for any breach of the director’s duty of loyalty to the Corporation or its stockholders, (ii) for acts or omissions not in good faith or which involve willful misconduct, gross negligence, bad faith, reckless disregard or a knowing violation of law, (iii) under Section 174 of the DGCL, or (iv) for any transaction from which the director derived an improper personal benefit. If the DGCL is hereafter amended to permit further elimination or limitation of the personal liability of directors, then the liability of a director of the Corporation shall be eliminated or limited to the fullest extent permitted by the DGCL as so amended. Any repeal or modification of this Article VII by the stockholders of the Corporation or otherwise shall not adversely affect any right or protection of a director of the Corporation existing at the time of such repeal or modification. Notwithstanding the foregoing and Article VIII, for so long as the Corporation is registered or regulated under the 1940 Act, neither this Certificate of Incorporation nor the Bylaws of the Corporation shall limit the liability of, or permit the indemnification of, any Indemnitee (as defined in Article VIII below) for actions or matters for which such limitation or indemnification would be prohibited by the 1940 Act or by any valid rule, regulation or order of the Securities and Exchange Commission thereunder.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103"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Each person who was or is made a party or is threatened to be made a party to or is involved (including, without limitation, as a witness) in any actual or threatened action, suit or proceeding, whether civil, criminal, administrative or investigative (hereinafter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he/she:</w:t>
      </w:r>
    </w:p>
    <w:p>
      <w:pPr>
        <w:spacing w:after="0" w:line="16" w:lineRule="exact"/>
        <w:rPr>
          <w:sz w:val="20"/>
          <w:szCs w:val="20"/>
          <w:color w:val="auto"/>
        </w:rPr>
      </w:pPr>
    </w:p>
    <w:p>
      <w:pPr>
        <w:ind w:left="460" w:right="40" w:firstLine="4"/>
        <w:spacing w:after="0" w:line="277" w:lineRule="auto"/>
        <w:tabs>
          <w:tab w:leader="none" w:pos="6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or was an officer, director, or other corporate agent of the Adviser or its affiliates, including without limitation the Administrator (as defined in the Administrator Agreement between TPG Specialty Lending, Inc. and TSL Advisers,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left="460" w:right="60"/>
        <w:spacing w:after="0" w:line="282" w:lineRule="auto"/>
        <w:rPr>
          <w:sz w:val="20"/>
          <w:szCs w:val="20"/>
          <w:color w:val="auto"/>
        </w:rPr>
      </w:pPr>
      <w:r>
        <w:rPr>
          <w:rFonts w:ascii="Arial" w:cs="Arial" w:eastAsia="Arial" w:hAnsi="Arial"/>
          <w:sz w:val="18"/>
          <w:szCs w:val="18"/>
          <w:color w:val="auto"/>
        </w:rPr>
        <w:t xml:space="preserve">LLC, dated </w:t>
      </w:r>
      <w:r>
        <w:rPr>
          <w:rFonts w:ascii="Arial" w:cs="Arial" w:eastAsia="Arial" w:hAnsi="Arial"/>
          <w:sz w:val="18"/>
          <w:szCs w:val="18"/>
          <w:b w:val="1"/>
          <w:bCs w:val="1"/>
          <w:color w:val="auto"/>
        </w:rPr>
        <w:t>[DATE]</w:t>
      </w:r>
      <w:r>
        <w:rPr>
          <w:rFonts w:ascii="Arial" w:cs="Arial" w:eastAsia="Arial" w:hAnsi="Arial"/>
          <w:sz w:val="18"/>
          <w:szCs w:val="18"/>
          <w:color w:val="auto"/>
        </w:rPr>
        <w:t xml:space="preserve">), or is or was a member of the Adviser’s Investment Review Committee (as defined in the Investment Advisory and Management Agreement between TPG Specialty Lending, Inc. and TSL Advisers, LLC, dated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58" w:lineRule="exact"/>
        <w:rPr>
          <w:sz w:val="20"/>
          <w:szCs w:val="20"/>
          <w:color w:val="auto"/>
        </w:rPr>
      </w:pPr>
    </w:p>
    <w:p>
      <w:pPr>
        <w:ind w:left="460" w:firstLine="4"/>
        <w:spacing w:after="0" w:line="264" w:lineRule="auto"/>
        <w:tabs>
          <w:tab w:leader="none" w:pos="72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or was a director or officer of the Corporation, or is or was serving on behalf of the Corporation as a director or officer of another corporation (including but not limited to any subsidiary of the Corporation), partnership, limited liability company, joint venture, trust or other enterprise, including service with respect to an employee benefit plan (such entity, a “</w:t>
      </w:r>
      <w:r>
        <w:rPr>
          <w:rFonts w:ascii="Arial" w:cs="Arial" w:eastAsia="Arial" w:hAnsi="Arial"/>
          <w:sz w:val="18"/>
          <w:szCs w:val="18"/>
          <w:u w:val="single" w:color="auto"/>
          <w:color w:val="auto"/>
        </w:rPr>
        <w:t>Portfolio Company</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ind w:left="780" w:hanging="31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or was serving as an employee or agent of the Corporation to whom the Corporation has granted indemnification rights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(each such person hereinafter an “</w:t>
      </w:r>
      <w:r>
        <w:rPr>
          <w:rFonts w:ascii="Arial" w:cs="Arial" w:eastAsia="Arial" w:hAnsi="Arial"/>
          <w:sz w:val="18"/>
          <w:szCs w:val="18"/>
          <w:u w:val="single" w:color="auto"/>
          <w:color w:val="auto"/>
        </w:rPr>
        <w:t>Indemnitee</w:t>
      </w:r>
      <w:r>
        <w:rPr>
          <w:rFonts w:ascii="Arial" w:cs="Arial" w:eastAsia="Arial" w:hAnsi="Arial"/>
          <w:sz w:val="18"/>
          <w:szCs w:val="18"/>
          <w:color w:val="auto"/>
        </w:rPr>
        <w:t>”), whether the basis of such Proceeding is alleged action in an official capacity as a director or officer or in any other applicable official capacity while so serving, shall be indemnified and held harmless by the Corporation to the full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or by other applicable law as then in effect, against all expense, liability and loss (including attorneys’ fees and related disbursements, judgments, fines, excise taxes or penalties under the Employee Retirement Income Security Act of 1974, as amended from time to time (“</w:t>
      </w:r>
      <w:r>
        <w:rPr>
          <w:rFonts w:ascii="Arial" w:cs="Arial" w:eastAsia="Arial" w:hAnsi="Arial"/>
          <w:sz w:val="18"/>
          <w:szCs w:val="18"/>
          <w:u w:val="single" w:color="auto"/>
          <w:color w:val="auto"/>
        </w:rPr>
        <w:t>ERISA</w:t>
      </w:r>
      <w:r>
        <w:rPr>
          <w:rFonts w:ascii="Arial" w:cs="Arial" w:eastAsia="Arial" w:hAnsi="Arial"/>
          <w:sz w:val="18"/>
          <w:szCs w:val="18"/>
          <w:color w:val="auto"/>
        </w:rPr>
        <w:t>”), penalties and amounts paid or to be paid in settlement) actually and reasonably incurred or suffered by such Indemnitee in connection therewith. Subject to applicable law, such indemnification shall continue as to a person who has ceased to be:</w:t>
      </w:r>
    </w:p>
    <w:p>
      <w:pPr>
        <w:spacing w:after="0" w:line="84" w:lineRule="exact"/>
        <w:rPr>
          <w:sz w:val="20"/>
          <w:szCs w:val="20"/>
          <w:color w:val="auto"/>
        </w:rPr>
      </w:pPr>
    </w:p>
    <w:p>
      <w:pPr>
        <w:ind w:left="680" w:hanging="216"/>
        <w:spacing w:after="0"/>
        <w:tabs>
          <w:tab w:leader="none" w:pos="6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 officer, director, or other corporate agent of the Adviser or its affiliates, or a member of the Adviser’s Investment Review Committee;</w:t>
      </w:r>
    </w:p>
    <w:p>
      <w:pPr>
        <w:spacing w:after="0" w:line="128" w:lineRule="exact"/>
        <w:rPr>
          <w:rFonts w:ascii="Arial" w:cs="Arial" w:eastAsia="Arial" w:hAnsi="Arial"/>
          <w:sz w:val="17"/>
          <w:szCs w:val="17"/>
          <w:color w:val="auto"/>
        </w:rPr>
      </w:pPr>
    </w:p>
    <w:p>
      <w:pPr>
        <w:ind w:left="720" w:hanging="256"/>
        <w:spacing w:after="0"/>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director or officer of the Corporation, or a person serving on behalf of the Corporation as a director or officer of a Portfolio Company; or</w:t>
      </w:r>
    </w:p>
    <w:p>
      <w:pPr>
        <w:spacing w:after="0" w:line="128" w:lineRule="exact"/>
        <w:rPr>
          <w:rFonts w:ascii="Arial" w:cs="Arial" w:eastAsia="Arial" w:hAnsi="Arial"/>
          <w:sz w:val="17"/>
          <w:szCs w:val="17"/>
          <w:color w:val="auto"/>
        </w:rPr>
      </w:pPr>
    </w:p>
    <w:p>
      <w:pPr>
        <w:ind w:left="780" w:hanging="31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employee or agent of the Corporation to whom the Corporation has granted indemnification rights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and shall inure to the benefit of his or her heirs, executors and administrators. Each person who is or was serving as a director or officer of a subsidiary of the Corporation, or an employee or agent of a subsidiary of the Corporation to whom the Corporation has granted indemnification rights, shall be deemed to be serving, or have served, on behalf of the Corporation. Notwithstanding the foregoing, indemnification under this Article VIII shall not be available (x) if the Indemnitee did not act in good faith with the reasonable belief that its conduct was in, or not opposed to, the best interest of the Corporation, or if the Indemnitee’s conduct constituted gross negligence, bad faith, reckless disregard, or willful misconduct or (y) in respect of liabilities of any Indemnitee (i) in such person’s capacity as an officer, director, partner, employee or agent of any Portfolio Company in which the Corporation no longer holds an investment, to the extent such liabilities solely relate to the period after which the Corporation has sold or otherwise disposed of such investment, unless such Indemnitee was acting during such period on behalf of the Corporation, or (ii) that relate solely to a dispute among the Adviser, the Administrator, their principals, members, employees and their respective Affiliates (other than the Corporation or any person in which the Corporation holds an investment).</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64" w:name="page65"/>
    <w:bookmarkEnd w:id="64"/>
    <w:p>
      <w:pPr>
        <w:ind w:right="120" w:firstLine="233"/>
        <w:spacing w:after="0" w:line="274"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Procedure</w:t>
      </w:r>
      <w:r>
        <w:rPr>
          <w:rFonts w:ascii="Arial" w:cs="Arial" w:eastAsia="Arial" w:hAnsi="Arial"/>
          <w:sz w:val="17"/>
          <w:szCs w:val="17"/>
          <w:color w:val="auto"/>
        </w:rPr>
        <w:t>. Any indemnification (but not advancement of expenses) under this Article VIII (unless ordered by a court) shall be made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only as authorized in the specific case upon a determination that indemnification of the Indemnitee is proper in the circumstances because he or she has met the applicable standard of conduct set forth herein. Such determination shall be made (i) by a majority vote of the directors who were not parties to such proceeding (the “</w:t>
      </w:r>
      <w:r>
        <w:rPr>
          <w:rFonts w:ascii="Arial" w:cs="Arial" w:eastAsia="Arial" w:hAnsi="Arial"/>
          <w:sz w:val="17"/>
          <w:szCs w:val="17"/>
          <w:u w:val="single" w:color="auto"/>
          <w:color w:val="auto"/>
        </w:rPr>
        <w:t>Disinterested Directors</w:t>
      </w:r>
      <w:r>
        <w:rPr>
          <w:rFonts w:ascii="Arial" w:cs="Arial" w:eastAsia="Arial" w:hAnsi="Arial"/>
          <w:sz w:val="17"/>
          <w:szCs w:val="17"/>
          <w:color w:val="auto"/>
        </w:rPr>
        <w:t>”), even though less than a quorum, (ii) by a committee of Disinterested Directors designated by a majority vote of Disinterested Directors, even though less than a quorum, (iii) if there are no such Disinterested Directors, or if such Disinterested Directors so direct, by independent legal counsel in a written opinion, or (iv) by a majority of the stockholders.</w:t>
      </w:r>
    </w:p>
    <w:p>
      <w:pPr>
        <w:spacing w:after="0" w:line="65" w:lineRule="exact"/>
        <w:rPr>
          <w:rFonts w:ascii="Arial" w:cs="Arial" w:eastAsia="Arial" w:hAnsi="Arial"/>
          <w:sz w:val="17"/>
          <w:szCs w:val="17"/>
          <w:color w:val="auto"/>
        </w:rPr>
      </w:pPr>
    </w:p>
    <w:p>
      <w:pPr>
        <w:ind w:firstLine="233"/>
        <w:spacing w:after="0" w:line="273" w:lineRule="auto"/>
        <w:tabs>
          <w:tab w:leader="none" w:pos="510"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Advances for Expenses</w:t>
      </w:r>
      <w:r>
        <w:rPr>
          <w:rFonts w:ascii="Arial" w:cs="Arial" w:eastAsia="Arial" w:hAnsi="Arial"/>
          <w:sz w:val="17"/>
          <w:szCs w:val="17"/>
          <w:color w:val="auto"/>
        </w:rPr>
        <w:t>. Expenses (including attorneys’ fees, costs and charges) incurred by an Indemnitee in defending a Proceeding shall be paid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in advance of the final disposition of such Proceeding upon receipt of an undertaking by or on behalf of the Indemnitee to repay all amounts so advanced in the event that it shall ultimately be determined that such Indemnitee is not entitled to be indemnified by the Corporation as authorized in this Article VIII; provided, however, that the Corporation shall not advance any such expenses incurred by an Indemnitee in an action, suit or proceeding brought against such Indemnitee by holders of a majority of the shares the Corporation’s Common Stock then outstanding. The majority of the Disinterested Directors may, in the manner set forth above, and upon approval of such Indemnitee, authorize the Corporation’s counsel to represent such person, in any Proceeding, whether or not the Corporation is a party to such Proceeding.</w:t>
      </w:r>
    </w:p>
    <w:p>
      <w:pPr>
        <w:spacing w:after="0" w:line="64" w:lineRule="exact"/>
        <w:rPr>
          <w:rFonts w:ascii="Arial" w:cs="Arial" w:eastAsia="Arial" w:hAnsi="Arial"/>
          <w:sz w:val="17"/>
          <w:szCs w:val="17"/>
          <w:color w:val="auto"/>
        </w:rPr>
      </w:pPr>
    </w:p>
    <w:p>
      <w:pPr>
        <w:ind w:right="160" w:firstLine="233"/>
        <w:spacing w:after="0" w:line="286" w:lineRule="auto"/>
        <w:tabs>
          <w:tab w:leader="none" w:pos="51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Procedure for Indemnification</w:t>
      </w:r>
      <w:r>
        <w:rPr>
          <w:rFonts w:ascii="Arial" w:cs="Arial" w:eastAsia="Arial" w:hAnsi="Arial"/>
          <w:sz w:val="16"/>
          <w:szCs w:val="16"/>
          <w:color w:val="auto"/>
        </w:rPr>
        <w:t>. Any indemnification or advance of expenses (including attorney’s fees, costs and charges) under this Article VIII</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made promptly, and in any event within 30 days upon the written request of the Indemnitee (and, in the case of advance of expenses, receipt of a written undertaking by or on behalf of Indemnitee to repay such amount if it shall ultimately be determined that Indemnitee is not entitled to be indemnified therefor pursuant to the terms of this Article VIII). The right to indemnification or advances as granted by this Article VIII shall be enforceable by the Indemnitee in any court of competent jurisdiction, if the Corporation denies such request, in whole or in part, or if no disposition thereof is made within</w:t>
      </w:r>
    </w:p>
    <w:p>
      <w:pPr>
        <w:spacing w:after="0" w:line="2" w:lineRule="exact"/>
        <w:rPr>
          <w:rFonts w:ascii="Arial" w:cs="Arial" w:eastAsia="Arial" w:hAnsi="Arial"/>
          <w:sz w:val="16"/>
          <w:szCs w:val="16"/>
          <w:color w:val="auto"/>
        </w:rPr>
      </w:pP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30 days. Such Indemnitee’s costs and expenses incurred in connection with successfully establishing his/her right to indemnification, in whole or in part, in any such action shall also be indemnified by the Corporation. It shall be a defense to any such action (other than an action brought to enforce a claim for the advance of expenses (including attorney’s fees, costs and charges) under this Article VIII where the required undertaking, if any, has been received by the Corporation) that the claimant has not met the standard of conduct set forth herein, but the burden of proving such defense shall be on the Corporation. Neither the failure of the Corporation (including its Board of Directors, its independent legal counsel and its stockholders) to have made a determination prior to the commencement of such action that indemnification of the claimant is proper in the circumstances because he/she has met the applicable standard of conduct set forth in the DGCL, as the same exists or hereafter may be amended (but, in the case of any such amendment, only to the extent that such amendment permits the Corporation to provide broader indemnification rights than said law permitted the Corporation to provide prior to such amendment), nor the fact that there has been an actual</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65" w:name="page66"/>
    <w:bookmarkEnd w:id="65"/>
    <w:p>
      <w:pPr>
        <w:ind w:right="360"/>
        <w:spacing w:after="0" w:line="342" w:lineRule="auto"/>
        <w:rPr>
          <w:sz w:val="20"/>
          <w:szCs w:val="20"/>
          <w:color w:val="auto"/>
        </w:rPr>
      </w:pPr>
      <w:r>
        <w:rPr>
          <w:rFonts w:ascii="Arial" w:cs="Arial" w:eastAsia="Arial" w:hAnsi="Arial"/>
          <w:sz w:val="16"/>
          <w:szCs w:val="16"/>
          <w:color w:val="auto"/>
        </w:rPr>
        <w:t>determination by the Corporation (including its Board of Directors, its independent legal counsel and its stockholders) that the claimant has not met such applicable standard of conduct, shall be a defense to the action or create a presumption that the claimant has not met the applicable standard of conduct.</w:t>
      </w:r>
    </w:p>
    <w:p>
      <w:pPr>
        <w:spacing w:after="0" w:line="12" w:lineRule="exact"/>
        <w:rPr>
          <w:sz w:val="20"/>
          <w:szCs w:val="20"/>
          <w:color w:val="auto"/>
        </w:rPr>
      </w:pPr>
    </w:p>
    <w:p>
      <w:pPr>
        <w:ind w:right="60" w:firstLine="233"/>
        <w:spacing w:after="0" w:line="281"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Other Rights; Continuation of Right to Indemnification</w:t>
      </w:r>
      <w:r>
        <w:rPr>
          <w:rFonts w:ascii="Arial" w:cs="Arial" w:eastAsia="Arial" w:hAnsi="Arial"/>
          <w:sz w:val="17"/>
          <w:szCs w:val="17"/>
          <w:color w:val="auto"/>
        </w:rPr>
        <w:t>. The indemnification and advancement of expenses provided by this Article VIII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exclusive of any other rights to which a person seeking indemnification or advancement of expenses may be entitled under any law (common or statutory), Bylaws, agreement, vote of stockholders or Disinterested Directors or otherwise, both as to action in his/her official capacity and as to action in another capacity while holding office or while employed by or acting as agent for the Corporation or the Adviser.</w:t>
      </w:r>
    </w:p>
    <w:p>
      <w:pPr>
        <w:spacing w:after="0" w:line="61" w:lineRule="exact"/>
        <w:rPr>
          <w:sz w:val="20"/>
          <w:szCs w:val="20"/>
          <w:color w:val="auto"/>
        </w:rPr>
      </w:pPr>
    </w:p>
    <w:p>
      <w:pPr>
        <w:ind w:right="240" w:firstLine="222"/>
        <w:spacing w:after="0" w:line="255" w:lineRule="auto"/>
        <w:rPr>
          <w:sz w:val="20"/>
          <w:szCs w:val="20"/>
          <w:color w:val="auto"/>
        </w:rPr>
      </w:pPr>
      <w:r>
        <w:rPr>
          <w:rFonts w:ascii="Arial" w:cs="Arial" w:eastAsia="Arial" w:hAnsi="Arial"/>
          <w:sz w:val="18"/>
          <w:szCs w:val="18"/>
          <w:color w:val="auto"/>
        </w:rPr>
        <w:t>The Corporation’s obligation, if any, to indemnify or to advance expenses to any Indemnitee who was or is serving at its request as a director, officer, employee or agent of another entity or enterprise shall be secondary to any indemnification or advancement of expenses to which such Indemnitee may be entitled from such other entity or enterprise and shall be reduced by any amount such Indemnitee actually collects as indemnification or advancement of expenses from such other entity or enterprise. Notwithstanding the foregoing, to the extent that the Corporation has the obligation to indemnify or advance expenses to any Indemnitee who is serving as an officer, director, or other corporate agent of the Adviser or its affiliates, or a member of the Adviser’s Investment Review Committee, such obligation shall be primary to any indemnification or advancement of expenses to which such Indemnitee may be entitled from the Adviser.</w:t>
      </w:r>
    </w:p>
    <w:p>
      <w:pPr>
        <w:spacing w:after="0" w:line="81" w:lineRule="exact"/>
        <w:rPr>
          <w:sz w:val="20"/>
          <w:szCs w:val="20"/>
          <w:color w:val="auto"/>
        </w:rPr>
      </w:pPr>
    </w:p>
    <w:p>
      <w:pPr>
        <w:ind w:right="740" w:firstLine="225"/>
        <w:spacing w:after="0" w:line="277" w:lineRule="auto"/>
        <w:rPr>
          <w:sz w:val="20"/>
          <w:szCs w:val="20"/>
          <w:color w:val="auto"/>
        </w:rPr>
      </w:pPr>
      <w:r>
        <w:rPr>
          <w:rFonts w:ascii="Arial" w:cs="Arial" w:eastAsia="Arial" w:hAnsi="Arial"/>
          <w:sz w:val="18"/>
          <w:szCs w:val="18"/>
          <w:color w:val="auto"/>
        </w:rPr>
        <w:t>Subject to applicable law, all rights to indemnification under this Article VIII shall be deemed to be a contract between the Corporation and each Indemnitee, at any time while this Article VIII is in effect.</w:t>
      </w:r>
    </w:p>
    <w:p>
      <w:pPr>
        <w:spacing w:after="0" w:line="58" w:lineRule="exact"/>
        <w:rPr>
          <w:sz w:val="20"/>
          <w:szCs w:val="20"/>
          <w:color w:val="auto"/>
        </w:rPr>
      </w:pPr>
    </w:p>
    <w:p>
      <w:pPr>
        <w:ind w:right="120" w:firstLine="233"/>
        <w:spacing w:after="0" w:line="258"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Subject to applicable law, the Corporation shall have power to purchase and maintain insurance on behalf of any Indemnitee 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asserted against him or her and incurred by him or her or on his/her behalf while serving, or after having agreed to serve, in any of the positions articulated in connection with the definition of “Indemnitee” above, against any liability asserted against him or her and incurred by him or her or on his/her behalf in any such position, or arising out of any such position, whether or not the Corporation would have the power to indemnify him or her against such liability under the provisions of this Article VIII.</w:t>
      </w:r>
    </w:p>
    <w:p>
      <w:pPr>
        <w:spacing w:after="0" w:line="75" w:lineRule="exact"/>
        <w:rPr>
          <w:rFonts w:ascii="Arial" w:cs="Arial" w:eastAsia="Arial" w:hAnsi="Arial"/>
          <w:sz w:val="18"/>
          <w:szCs w:val="18"/>
          <w:color w:val="auto"/>
        </w:rPr>
      </w:pPr>
    </w:p>
    <w:p>
      <w:pPr>
        <w:ind w:firstLine="233"/>
        <w:spacing w:after="0" w:line="258" w:lineRule="auto"/>
        <w:tabs>
          <w:tab w:leader="none" w:pos="49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Savings Clause</w:t>
      </w:r>
      <w:r>
        <w:rPr>
          <w:rFonts w:ascii="Arial" w:cs="Arial" w:eastAsia="Arial" w:hAnsi="Arial"/>
          <w:sz w:val="18"/>
          <w:szCs w:val="18"/>
          <w:color w:val="auto"/>
        </w:rPr>
        <w:t>. If this Article VIII or any portion hereof shall be invalidated on any ground by any court of competent jurisdiction,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nevertheless indemnify each person entitled to indemnification under the first paragraph of this Article VIII as to all expense, liability and loss (including attorneys’ fees and related disbursements, judgments, fines, ERISA excise taxes and penalties, penalties and amounts paid or to be paid in settlement) actually and reasonably incurred or suffered by such person and for which indemnification is available to such person pursuant to this Article VIII to the full extent permitted by any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applicable portion of this Article VIII that shall not have been invalidated and to the full extent permitted by applicable law.</w:t>
      </w:r>
    </w:p>
    <w:p>
      <w:pPr>
        <w:spacing w:after="0" w:line="113" w:lineRule="exact"/>
        <w:rPr>
          <w:sz w:val="20"/>
          <w:szCs w:val="20"/>
          <w:color w:val="auto"/>
        </w:rPr>
      </w:pPr>
    </w:p>
    <w:p>
      <w:pPr>
        <w:ind w:right="20" w:firstLine="233"/>
        <w:spacing w:after="0" w:line="314" w:lineRule="auto"/>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Additional Indemnification Rights</w:t>
      </w:r>
      <w:r>
        <w:rPr>
          <w:rFonts w:ascii="Arial" w:cs="Arial" w:eastAsia="Arial" w:hAnsi="Arial"/>
          <w:sz w:val="16"/>
          <w:szCs w:val="16"/>
          <w:color w:val="auto"/>
        </w:rPr>
        <w:t>. The Corporation may, to the fullest extent permitted by law, grant rights to indemnification, exculpation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advancement of expenses to any employee or agent of the Corporation, and to any other person, in each case to the extent permitted by applicable law, consistent with the provisions of this Article VIII and as set forth in the Bylaws or in a written contract between the Corporation and the relevant person.</w:t>
      </w:r>
    </w:p>
    <w:p>
      <w:pPr>
        <w:spacing w:after="0" w:line="34" w:lineRule="exact"/>
        <w:rPr>
          <w:rFonts w:ascii="Arial" w:cs="Arial" w:eastAsia="Arial" w:hAnsi="Arial"/>
          <w:sz w:val="16"/>
          <w:szCs w:val="16"/>
          <w:color w:val="auto"/>
        </w:rPr>
      </w:pPr>
    </w:p>
    <w:p>
      <w:pPr>
        <w:ind w:right="20" w:firstLine="233"/>
        <w:spacing w:after="0" w:line="261"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Repeal and Modification</w:t>
      </w:r>
      <w:r>
        <w:rPr>
          <w:rFonts w:ascii="Arial" w:cs="Arial" w:eastAsia="Arial" w:hAnsi="Arial"/>
          <w:sz w:val="18"/>
          <w:szCs w:val="18"/>
          <w:color w:val="auto"/>
        </w:rPr>
        <w:t>. Any repeal or modification of the foregoing provisions of this Article VIII, or any repeal or modification of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DGCL or any other applicable laws, shall not adversely affect, or diminish in any way, any right or protection of any Indemnitee existing at the time of such repeal or modification (and which rights and protections shall be deemed vested hereunder), and all such persons shall be Indemnitees hereunder.</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TRANSACTIONS</w:t>
      </w:r>
    </w:p>
    <w:p>
      <w:pPr>
        <w:spacing w:after="0" w:line="99" w:lineRule="exact"/>
        <w:rPr>
          <w:sz w:val="20"/>
          <w:szCs w:val="20"/>
          <w:color w:val="auto"/>
        </w:rPr>
      </w:pPr>
    </w:p>
    <w:p>
      <w:pPr>
        <w:ind w:right="80" w:firstLine="233"/>
        <w:spacing w:after="0" w:line="274" w:lineRule="auto"/>
        <w:tabs>
          <w:tab w:leader="none" w:pos="52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Notwithstanding any other provision of this Certificate of Incorporation and subject to the exceptions provided in paragraph (D)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IX, following any IPO of the Corporation the types of transactions described in paragraph (C) of this Article IX shall require the affirmative vote or consent of a majority of the directors of the Corporation then in office followed by the affirmative vote of the holders of not less than 75% of the shares of Common Stock outstanding when a Principal Shareholder (as defined in paragraph (B) of this Article IX) is a party to the transaction. Such affirmative vote or consent shall be in addition to the vote or consent of the stockholders otherwise required by law or by the terms of any class of Preferred Stock, whether now or hereafter authorized, or any agreement between the Corporation and any national securities exchange.</w:t>
      </w:r>
    </w:p>
    <w:p>
      <w:pPr>
        <w:spacing w:after="0" w:line="65" w:lineRule="exact"/>
        <w:rPr>
          <w:rFonts w:ascii="Arial" w:cs="Arial" w:eastAsia="Arial" w:hAnsi="Arial"/>
          <w:sz w:val="17"/>
          <w:szCs w:val="17"/>
          <w:color w:val="auto"/>
        </w:rPr>
      </w:pPr>
    </w:p>
    <w:p>
      <w:pPr>
        <w:ind w:firstLine="233"/>
        <w:spacing w:after="0" w:line="270" w:lineRule="auto"/>
        <w:tabs>
          <w:tab w:leader="none" w:pos="51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The term “</w:t>
      </w:r>
      <w:r>
        <w:rPr>
          <w:rFonts w:ascii="Arial" w:cs="Arial" w:eastAsia="Arial" w:hAnsi="Arial"/>
          <w:sz w:val="17"/>
          <w:szCs w:val="17"/>
          <w:u w:val="single" w:color="auto"/>
          <w:color w:val="auto"/>
        </w:rPr>
        <w:t>Principal Shareholder</w:t>
      </w:r>
      <w:r>
        <w:rPr>
          <w:rFonts w:ascii="Arial" w:cs="Arial" w:eastAsia="Arial" w:hAnsi="Arial"/>
          <w:sz w:val="17"/>
          <w:szCs w:val="17"/>
          <w:color w:val="auto"/>
        </w:rPr>
        <w:t>” shall mean any corporation, person (which for all purposes of this Article IX shall mean and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individuals, partnerships, trusts, limited liability companies, associations, joint ventures and other entities, whether or not legal entities, and governments and agencies and political subdivisions thereof) or other entity which is the beneficial owner, directly or indirectly, of 10% or more of the outstanding shares of Common Stock of the Corporation and shall include any affiliate or associate, as such terms are defined in clause (ii) below, of a Principal Shareholder. For the purposes of this Article IX, in addition to the shares which a corporation, person or other entity beneficially owns directly, (a) any corporation, person or other entity shall be deemed to be the beneficial owner of any shares (i) which it has the right to acquire pursuant to any agreement or upon exercise of conversion rights or warrants, or otherwise (but excluding share options granted by the Corporation) or (ii) which are beneficially owned, directly or indirectly (including shares deemed owned through application of clause (i) above), by any other corporation, person or entity with which its “affiliate” or “associate” (as defined below) has any agreement, arrangement or understanding for the purpose of acquiring, holding, voting or disposing of shares, or which is its “affiliate” or “associate” as those terms are defined in Rule 12b-2 of the General Rules and Regulations under the Securities Exchange Act of 1934, as amended, and (b)</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67" w:name="page68"/>
    <w:bookmarkEnd w:id="67"/>
    <w:p>
      <w:pPr>
        <w:ind w:right="200"/>
        <w:spacing w:after="0" w:line="277" w:lineRule="auto"/>
        <w:rPr>
          <w:sz w:val="20"/>
          <w:szCs w:val="20"/>
          <w:color w:val="auto"/>
        </w:rPr>
      </w:pPr>
      <w:r>
        <w:rPr>
          <w:rFonts w:ascii="Arial" w:cs="Arial" w:eastAsia="Arial" w:hAnsi="Arial"/>
          <w:sz w:val="18"/>
          <w:szCs w:val="18"/>
          <w:color w:val="auto"/>
        </w:rPr>
        <w:t>the outstanding shares shall include shares deemed owned through application of clauses (i) and (ii) above but shall not include any other shares which may be issuable pursuant to any agreement, or upon exercise of conversion rights or warrants, or otherwise.</w:t>
      </w:r>
    </w:p>
    <w:p>
      <w:pPr>
        <w:spacing w:after="0" w:line="58" w:lineRule="exact"/>
        <w:rPr>
          <w:sz w:val="20"/>
          <w:szCs w:val="20"/>
          <w:color w:val="auto"/>
        </w:rPr>
      </w:pPr>
    </w:p>
    <w:p>
      <w:pPr>
        <w:ind w:left="520" w:hanging="287"/>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Relevant Transactions</w:t>
      </w:r>
      <w:r>
        <w:rPr>
          <w:rFonts w:ascii="Arial" w:cs="Arial" w:eastAsia="Arial" w:hAnsi="Arial"/>
          <w:sz w:val="18"/>
          <w:szCs w:val="18"/>
          <w:color w:val="auto"/>
        </w:rPr>
        <w:t>. This Article IX shall apply to the following transactions:</w:t>
      </w:r>
    </w:p>
    <w:p>
      <w:pPr>
        <w:spacing w:after="0" w:line="121" w:lineRule="exact"/>
        <w:rPr>
          <w:rFonts w:ascii="Arial" w:cs="Arial" w:eastAsia="Arial" w:hAnsi="Arial"/>
          <w:sz w:val="18"/>
          <w:szCs w:val="18"/>
          <w:color w:val="auto"/>
        </w:rPr>
      </w:pPr>
    </w:p>
    <w:p>
      <w:pPr>
        <w:ind w:left="680" w:hanging="216"/>
        <w:spacing w:after="0"/>
        <w:tabs>
          <w:tab w:leader="none" w:pos="6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merger or consolidation of the Corporation or any subsidiary of the Corporation with or into any Principal Shareholder;</w:t>
      </w:r>
    </w:p>
    <w:p>
      <w:pPr>
        <w:spacing w:after="0" w:line="117" w:lineRule="exact"/>
        <w:rPr>
          <w:rFonts w:ascii="Arial" w:cs="Arial" w:eastAsia="Arial" w:hAnsi="Arial"/>
          <w:sz w:val="18"/>
          <w:szCs w:val="18"/>
          <w:color w:val="auto"/>
        </w:rPr>
      </w:pPr>
    </w:p>
    <w:p>
      <w:pPr>
        <w:ind w:left="460" w:right="560" w:firstLine="4"/>
        <w:spacing w:after="0" w:line="264" w:lineRule="auto"/>
        <w:tabs>
          <w:tab w:leader="none" w:pos="72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issuance of any securities of the Corporation to any Principal Shareholder for cash (other than pursuant to (x) any automatic dividend reinvestment plan, (y) the exercise of any preemptive rights granted herein or (z) any subscription agreement by and among the Corporation, the Adviser and such Principal Shareholder entered into prior to any IPO of the Corporation);</w:t>
      </w:r>
    </w:p>
    <w:p>
      <w:pPr>
        <w:spacing w:after="0" w:line="73" w:lineRule="exact"/>
        <w:rPr>
          <w:rFonts w:ascii="Arial" w:cs="Arial" w:eastAsia="Arial" w:hAnsi="Arial"/>
          <w:sz w:val="18"/>
          <w:szCs w:val="18"/>
          <w:color w:val="auto"/>
        </w:rPr>
      </w:pPr>
    </w:p>
    <w:p>
      <w:pPr>
        <w:ind w:left="460" w:firstLine="4"/>
        <w:spacing w:after="0" w:line="264" w:lineRule="auto"/>
        <w:tabs>
          <w:tab w:leader="none" w:pos="77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the assets of the Corporation to any Principal Shareholder (except assets having an aggregate fair market value of less than 5% of the total assets of the Corporation, aggregating for the purpose of such computation all assets sold, leased or exchanged in any series of similar transactions within a twelve-month period); and</w:t>
      </w:r>
    </w:p>
    <w:p>
      <w:pPr>
        <w:spacing w:after="0" w:line="73" w:lineRule="exact"/>
        <w:rPr>
          <w:rFonts w:ascii="Arial" w:cs="Arial" w:eastAsia="Arial" w:hAnsi="Arial"/>
          <w:sz w:val="18"/>
          <w:szCs w:val="18"/>
          <w:color w:val="auto"/>
        </w:rPr>
      </w:pPr>
    </w:p>
    <w:p>
      <w:pPr>
        <w:ind w:left="460" w:right="300" w:firstLine="4"/>
        <w:spacing w:after="0" w:line="312" w:lineRule="auto"/>
        <w:tabs>
          <w:tab w:leader="none" w:pos="762"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sale, lease or exchange to the Corporation or any subsidiary thereof, in exchange for securities of the Corporation, of any assets of any Principal Shareholder (except assets having an aggregate fair market value of less than 5% of the total assets of the Corporation, aggregating for the purposes of such computation all assets sold, leased or exchanged in any series of similar transactions within a twelve-month period).</w:t>
      </w:r>
    </w:p>
    <w:p>
      <w:pPr>
        <w:spacing w:after="0" w:line="34" w:lineRule="exact"/>
        <w:rPr>
          <w:rFonts w:ascii="Arial" w:cs="Arial" w:eastAsia="Arial" w:hAnsi="Arial"/>
          <w:sz w:val="16"/>
          <w:szCs w:val="16"/>
          <w:color w:val="auto"/>
        </w:rPr>
      </w:pPr>
    </w:p>
    <w:p>
      <w:pPr>
        <w:ind w:left="520" w:hanging="287"/>
        <w:spacing w:after="0"/>
        <w:tabs>
          <w:tab w:leader="none" w:pos="52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Certain Exceptions</w:t>
      </w:r>
      <w:r>
        <w:rPr>
          <w:rFonts w:ascii="Arial" w:cs="Arial" w:eastAsia="Arial" w:hAnsi="Arial"/>
          <w:sz w:val="17"/>
          <w:szCs w:val="17"/>
          <w:color w:val="auto"/>
        </w:rPr>
        <w:t>. The provisions of this Article IX shall not be applicable to (i) any of the transactions described in paragraph (C) of this</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Article IX if 80% of the directors of the Corporation shall by resolution have approved a memorandum of understanding with such Principal Shareholder with respect to and substantially consistent with such transaction, in which case approval by a “majority of the outstanding voting securities,” as such term is defined in the 1940 Act, of the Corporation shall be the only vote of stockholders required by this Article IX, or (ii) any such transaction with any entity of which a majority of the outstanding shares of all classes and series of a stock normally entitled to vote in elections of directors is owned of record or beneficially by the Corporation and its subsidiaries.</w:t>
      </w:r>
    </w:p>
    <w:p>
      <w:pPr>
        <w:spacing w:after="0" w:line="83" w:lineRule="exact"/>
        <w:rPr>
          <w:sz w:val="20"/>
          <w:szCs w:val="20"/>
          <w:color w:val="auto"/>
        </w:rPr>
      </w:pPr>
    </w:p>
    <w:p>
      <w:pPr>
        <w:ind w:right="360" w:firstLine="233"/>
        <w:spacing w:after="0" w:line="291" w:lineRule="auto"/>
        <w:tabs>
          <w:tab w:leader="none" w:pos="497"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Board of Directors shall have the power and duty to determine for the purposes of this Article IX on the basis of information known to the Corporation whether (i) a corporation, person or entity beneficially owns any particular percentage of the outstanding Common Stock of the Corporation,</w:t>
      </w:r>
    </w:p>
    <w:p>
      <w:pPr>
        <w:ind w:left="280" w:hanging="272"/>
        <w:spacing w:after="0"/>
        <w:tabs>
          <w:tab w:leader="none" w:pos="2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corporation, person or entity is an “affiliate” or “associate” (as defined above) of another, (iii) the assets being acquired or leased to or by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jc w:val="both"/>
        <w:ind w:right="100"/>
        <w:spacing w:after="0" w:line="286" w:lineRule="auto"/>
        <w:rPr>
          <w:sz w:val="20"/>
          <w:szCs w:val="20"/>
          <w:color w:val="auto"/>
        </w:rPr>
      </w:pPr>
      <w:r>
        <w:rPr>
          <w:rFonts w:ascii="Arial" w:cs="Arial" w:eastAsia="Arial" w:hAnsi="Arial"/>
          <w:sz w:val="17"/>
          <w:szCs w:val="17"/>
          <w:color w:val="auto"/>
        </w:rPr>
        <w:t>Corporation or any subsidiary thereof constitute a substantial part of the assets of the Corporation and have an aggregate fair market value of less than 5% of the total assets of the Corporation, and (iv) the memorandum of understanding referred to in paragraph (D) of this Article IX is substantially consistent with the transaction covered thereby. Any such determination shall be conclusive and binding for all purposes of this Article IX.</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CORPORATE EVENTS</w:t>
      </w:r>
    </w:p>
    <w:p>
      <w:pPr>
        <w:spacing w:after="0" w:line="103"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Following any IPO of the Corporation, the conversion of the Corporation from a business development company to an open-end investment company, the liquidation and dissolution of the Corporation, the merger or consolidation of the Corporation with any entity in a transaction as a result of which the governing documents of the surviving entity do not contain substantially the same anti-takeover provisions as described in this Certificate of Incorporation or the amendment of this Article X shall require the approval of (i) the holders of at least 80% of the then outstanding Common Stock of the Corporation or</w:t>
      </w:r>
    </w:p>
    <w:p>
      <w:pPr>
        <w:spacing w:after="0" w:line="2" w:lineRule="exact"/>
        <w:rPr>
          <w:sz w:val="20"/>
          <w:szCs w:val="20"/>
          <w:color w:val="auto"/>
        </w:rPr>
      </w:pPr>
    </w:p>
    <w:p>
      <w:pPr>
        <w:ind w:right="40" w:firstLine="8"/>
        <w:spacing w:after="0" w:line="281" w:lineRule="auto"/>
        <w:tabs>
          <w:tab w:leader="none" w:pos="265" w:val="left"/>
        </w:tabs>
        <w:numPr>
          <w:ilvl w:val="0"/>
          <w:numId w:val="57"/>
        </w:numPr>
        <w:rPr>
          <w:rFonts w:ascii="Arial" w:cs="Arial" w:eastAsia="Arial" w:hAnsi="Arial"/>
          <w:sz w:val="16"/>
          <w:szCs w:val="16"/>
          <w:color w:val="auto"/>
        </w:rPr>
      </w:pPr>
      <w:r>
        <w:rPr>
          <w:rFonts w:ascii="Arial" w:cs="Arial" w:eastAsia="Arial" w:hAnsi="Arial"/>
          <w:sz w:val="16"/>
          <w:szCs w:val="16"/>
          <w:color w:val="auto"/>
        </w:rPr>
        <w:t>at least (A) a majority of the “continuing directors” and (B) the holders of at least 75% of the then outstanding shares of the Corporation’s capital stock entitled to vote generally in the election of directors, voting together as a single class. For purposes of this Article X, a “continuing director” is a director who</w:t>
      </w:r>
    </w:p>
    <w:p>
      <w:pPr>
        <w:spacing w:after="0" w:line="1" w:lineRule="exact"/>
        <w:rPr>
          <w:rFonts w:ascii="Arial" w:cs="Arial" w:eastAsia="Arial" w:hAnsi="Arial"/>
          <w:sz w:val="16"/>
          <w:szCs w:val="16"/>
          <w:color w:val="auto"/>
        </w:rPr>
      </w:pPr>
    </w:p>
    <w:p>
      <w:pPr>
        <w:ind w:right="40" w:firstLine="8"/>
        <w:spacing w:after="0" w:line="254" w:lineRule="auto"/>
        <w:tabs>
          <w:tab w:leader="none" w:pos="2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has been a director of the corporation for at least twelve months and (B) is not a person or an affiliate of a person who enters into, or proposes to enter into, a business combination with the Corporation or (ii) (A) is a successor to a continuing director, (B) who was appointed to the Board of Directors by at least a majority of the continuing directors and (C) is not a person or an affiliate of a person who enters into, or proposes to enter into, a business combination with the Corporation.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w:t>
      </w:r>
    </w:p>
    <w:p>
      <w:pPr>
        <w:spacing w:after="0" w:line="10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Certificate of Incorporation, in the manner now or hereafter prescribed by the laws of the State of Delaware, and all rights conferred upon stockholders or others hereunder are granted subject to this reservation. Notwithstanding the foregoing, the affirmative vote of the holders of at least 75% of the shares of the Corporation’s capital stock then outstanding and entitled to vote in the election of directors, voting together as a single class shall be required to amend or repeal any provision of Articles VI, VII, VIII, IX or XI of this Certificate of Incorporation.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LIQUIDATION</w:t>
      </w:r>
    </w:p>
    <w:p>
      <w:pPr>
        <w:spacing w:after="0" w:line="103" w:lineRule="exact"/>
        <w:rPr>
          <w:sz w:val="20"/>
          <w:szCs w:val="20"/>
          <w:color w:val="auto"/>
        </w:rPr>
      </w:pPr>
    </w:p>
    <w:p>
      <w:pPr>
        <w:ind w:right="440" w:firstLine="225"/>
        <w:spacing w:after="0" w:line="259" w:lineRule="auto"/>
        <w:rPr>
          <w:sz w:val="20"/>
          <w:szCs w:val="20"/>
          <w:color w:val="auto"/>
        </w:rPr>
      </w:pPr>
      <w:r>
        <w:rPr>
          <w:rFonts w:ascii="Arial" w:cs="Arial" w:eastAsia="Arial" w:hAnsi="Arial"/>
          <w:sz w:val="18"/>
          <w:szCs w:val="18"/>
          <w:color w:val="auto"/>
        </w:rPr>
        <w:t>Notwithstanding anything contained in this Certificate of Incorporation to the contrary, if, prior to any IPO of the Common Stock that may occur, the Corporation’s Board of Directors determines that there has been a significant adverse change in the regulatory or tax treatment of the Corporation or its stockholders that in its judgment makes it inadvisable for the Corporation to continue in its present form, then the Board of Directors shall endeavor to restructure 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9" w:name="page70"/>
    <w:bookmarkEnd w:id="69"/>
    <w:p>
      <w:pPr>
        <w:ind w:right="20"/>
        <w:spacing w:after="0" w:line="259" w:lineRule="auto"/>
        <w:rPr>
          <w:sz w:val="20"/>
          <w:szCs w:val="20"/>
          <w:color w:val="auto"/>
        </w:rPr>
      </w:pPr>
      <w:r>
        <w:rPr>
          <w:rFonts w:ascii="Arial" w:cs="Arial" w:eastAsia="Arial" w:hAnsi="Arial"/>
          <w:sz w:val="18"/>
          <w:szCs w:val="18"/>
          <w:color w:val="auto"/>
        </w:rPr>
        <w:t>change the form of the Corporation to preserve (insofar as possible) the overall benefits previously enjoyed by stockholders as a whole or, if the Board of Directors determines it appropriate (and subject to any necessary stockholder approvals and applicable requirements of the 1940 Act), (i) wind down and/or liquidate and dissolve the Corporation, or (ii) amend this Certificate of Incorporation as necessary to preserve (insofar as possible) the overall benefits previously enjoyed by stockholders as a whole.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Notwithstanding anything contained in this Certificate of Incorporation to the contrary, if the Corporation has not consummated the IPO within six</w:t>
      </w:r>
    </w:p>
    <w:p>
      <w:pPr>
        <w:spacing w:after="0" w:line="35" w:lineRule="exact"/>
        <w:rPr>
          <w:sz w:val="20"/>
          <w:szCs w:val="20"/>
          <w:color w:val="auto"/>
        </w:rPr>
      </w:pPr>
    </w:p>
    <w:p>
      <w:pPr>
        <w:ind w:firstLine="8"/>
        <w:spacing w:after="0" w:line="255"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years following the date of the closing of the initial stockholder investment in the Corporation, then the Corporation’s Board of Directors (subject to any necessary stockholder approvals and applicable requirements of the 1940 Act) shall use its best efforts to wind down and/or liquidate and dissolve the Corporation.</w:t>
      </w:r>
    </w:p>
    <w:p>
      <w:pPr>
        <w:spacing w:after="0" w:line="1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5" w:right="41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IN WITNESS WHEREOF, this Amended and Restated Certificate of Incorporation, which amends, restates and integrates the provisions of the Certificate of Incorporation of the Corporation and which has been duly adopted in accordance with the provisions of Sections 241 and 245 of the DGCL, has been executed by the undersigned on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TPG SPECIALTY LENDING, INC.</w:t>
      </w:r>
    </w:p>
    <w:p>
      <w:pPr>
        <w:spacing w:after="0" w:line="200" w:lineRule="exact"/>
        <w:rPr>
          <w:sz w:val="20"/>
          <w:szCs w:val="20"/>
          <w:color w:val="auto"/>
        </w:rPr>
      </w:pPr>
    </w:p>
    <w:p>
      <w:pPr>
        <w:spacing w:after="0" w:line="25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-130175</wp:posOffset>
            </wp:positionV>
            <wp:extent cx="27870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ectPr>
          <w:pgSz w:w="11900" w:h="16838" w:orient="portrait"/>
          <w:cols w:equalWidth="0" w:num="1">
            <w:col w:w="11360"/>
          </w:cols>
          <w:pgMar w:left="240" w:top="963" w:right="29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3.3</w:t>
      </w:r>
    </w:p>
    <w:p>
      <w:pPr>
        <w:spacing w:after="0" w:line="33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FORM OF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 Delaware corporation)</w:t>
      </w:r>
    </w:p>
    <w:p>
      <w:pPr>
        <w:spacing w:after="0" w:line="9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xml:space="preserve">Effective </w:t>
      </w: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8580" w:type="dxa"/>
            <w:vAlign w:val="bottom"/>
            <w:gridSpan w:val="3"/>
          </w:tcPr>
          <w:p>
            <w:pPr>
              <w:jc w:val="center"/>
              <w:ind w:left="193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17"/>
                <w:szCs w:val="17"/>
                <w:color w:val="auto"/>
              </w:rPr>
            </w:pPr>
          </w:p>
        </w:tc>
      </w:tr>
      <w:tr>
        <w:trPr>
          <w:trHeight w:val="434"/>
        </w:trPr>
        <w:tc>
          <w:tcPr>
            <w:tcW w:w="4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ARTICLE I</w:t>
            </w:r>
          </w:p>
        </w:tc>
        <w:tc>
          <w:tcPr>
            <w:tcW w:w="2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24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w w:val="99"/>
              </w:rPr>
              <w:t>OFFICES</w:t>
            </w:r>
          </w:p>
        </w:tc>
        <w:tc>
          <w:tcPr>
            <w:tcW w:w="198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Registered Office</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Additional Offices</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4"/>
        </w:trPr>
        <w:tc>
          <w:tcPr>
            <w:tcW w:w="4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4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rPr>
              <w:t>ARTICLE II</w:t>
            </w:r>
          </w:p>
        </w:tc>
        <w:tc>
          <w:tcPr>
            <w:tcW w:w="198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8580" w:type="dxa"/>
            <w:vAlign w:val="bottom"/>
            <w:gridSpan w:val="3"/>
          </w:tcPr>
          <w:p>
            <w:pPr>
              <w:jc w:val="center"/>
              <w:ind w:left="1910"/>
              <w:spacing w:after="0"/>
              <w:rPr>
                <w:sz w:val="20"/>
                <w:szCs w:val="20"/>
                <w:color w:val="auto"/>
              </w:rPr>
            </w:pPr>
            <w:r>
              <w:rPr>
                <w:rFonts w:ascii="Arial" w:cs="Arial" w:eastAsia="Arial" w:hAnsi="Arial"/>
                <w:sz w:val="18"/>
                <w:szCs w:val="18"/>
                <w:b w:val="1"/>
                <w:bCs w:val="1"/>
                <w:color w:val="auto"/>
              </w:rPr>
              <w:t>MEETINGS OF STOCKHOLDERS</w:t>
            </w:r>
          </w:p>
        </w:tc>
        <w:tc>
          <w:tcPr>
            <w:tcW w:w="198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Place of Meetings</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Annual Meeting</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Notice of Meetings</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Special Meetings</w:t>
            </w: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(E)</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List of Stockholders</w:t>
            </w: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(F)</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Quorum; Adjournments</w:t>
            </w: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(G)</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Organization</w:t>
            </w: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(H)</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Order of Business</w:t>
            </w: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Voting</w:t>
            </w: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(J)</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Inspectors</w:t>
            </w: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(K)</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Advance Notice Provisions for Election of Directors</w:t>
            </w:r>
          </w:p>
        </w:tc>
        <w:tc>
          <w:tcPr>
            <w:tcW w:w="1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(L)</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Advance Notice Provisions for Business to be Transacted at Annual Meeting</w:t>
            </w: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4"/>
        </w:trPr>
        <w:tc>
          <w:tcPr>
            <w:tcW w:w="4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4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rPr>
              <w:t>ARTICLE III</w:t>
            </w:r>
          </w:p>
        </w:tc>
        <w:tc>
          <w:tcPr>
            <w:tcW w:w="198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24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w w:val="99"/>
              </w:rPr>
              <w:t>DIRECTORS</w:t>
            </w:r>
          </w:p>
        </w:tc>
        <w:tc>
          <w:tcPr>
            <w:tcW w:w="198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General Powers</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Number and Election</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Resignations, Newly Created Directorships, Vacancies and Removals</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Place of Meetings</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(E)</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Annual Meeting</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(F)</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Regular Meetings</w:t>
            </w:r>
          </w:p>
        </w:tc>
        <w:tc>
          <w:tcPr>
            <w:tcW w:w="1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(G)</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Special Meetings</w:t>
            </w:r>
          </w:p>
        </w:tc>
        <w:tc>
          <w:tcPr>
            <w:tcW w:w="19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17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945" w:right="6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(H)</w:t>
            </w:r>
          </w:p>
        </w:tc>
        <w:tc>
          <w:tcPr>
            <w:tcW w:w="8620" w:type="dxa"/>
            <w:vAlign w:val="bottom"/>
          </w:tcPr>
          <w:p>
            <w:pPr>
              <w:ind w:left="120"/>
              <w:spacing w:after="0"/>
              <w:rPr>
                <w:sz w:val="20"/>
                <w:szCs w:val="20"/>
                <w:color w:val="auto"/>
              </w:rPr>
            </w:pPr>
            <w:r>
              <w:rPr>
                <w:rFonts w:ascii="Arial" w:cs="Arial" w:eastAsia="Arial" w:hAnsi="Arial"/>
                <w:sz w:val="18"/>
                <w:szCs w:val="18"/>
                <w:color w:val="auto"/>
              </w:rPr>
              <w:t>Notice of Meetings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8620" w:type="dxa"/>
            <w:vAlign w:val="bottom"/>
          </w:tcPr>
          <w:p>
            <w:pPr>
              <w:ind w:left="120"/>
              <w:spacing w:after="0"/>
              <w:rPr>
                <w:sz w:val="20"/>
                <w:szCs w:val="20"/>
                <w:color w:val="auto"/>
              </w:rPr>
            </w:pPr>
            <w:r>
              <w:rPr>
                <w:rFonts w:ascii="Arial" w:cs="Arial" w:eastAsia="Arial" w:hAnsi="Arial"/>
                <w:sz w:val="18"/>
                <w:szCs w:val="18"/>
                <w:color w:val="auto"/>
              </w:rPr>
              <w:t>Waiver of Notice and Presumption of Assent</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(J)</w:t>
            </w:r>
          </w:p>
        </w:tc>
        <w:tc>
          <w:tcPr>
            <w:tcW w:w="8620" w:type="dxa"/>
            <w:vAlign w:val="bottom"/>
          </w:tcPr>
          <w:p>
            <w:pPr>
              <w:ind w:left="120"/>
              <w:spacing w:after="0"/>
              <w:rPr>
                <w:sz w:val="20"/>
                <w:szCs w:val="20"/>
                <w:color w:val="auto"/>
              </w:rPr>
            </w:pPr>
            <w:r>
              <w:rPr>
                <w:rFonts w:ascii="Arial" w:cs="Arial" w:eastAsia="Arial" w:hAnsi="Arial"/>
                <w:sz w:val="18"/>
                <w:szCs w:val="18"/>
                <w:color w:val="auto"/>
              </w:rPr>
              <w:t>Quorum; Manner of Action</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(K)</w:t>
            </w:r>
          </w:p>
        </w:tc>
        <w:tc>
          <w:tcPr>
            <w:tcW w:w="8620" w:type="dxa"/>
            <w:vAlign w:val="bottom"/>
          </w:tcPr>
          <w:p>
            <w:pPr>
              <w:ind w:left="120"/>
              <w:spacing w:after="0"/>
              <w:rPr>
                <w:sz w:val="20"/>
                <w:szCs w:val="20"/>
                <w:color w:val="auto"/>
              </w:rPr>
            </w:pPr>
            <w:r>
              <w:rPr>
                <w:rFonts w:ascii="Arial" w:cs="Arial" w:eastAsia="Arial" w:hAnsi="Arial"/>
                <w:sz w:val="18"/>
                <w:szCs w:val="18"/>
                <w:color w:val="auto"/>
              </w:rPr>
              <w:t>Organization</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(L)</w:t>
            </w:r>
          </w:p>
        </w:tc>
        <w:tc>
          <w:tcPr>
            <w:tcW w:w="862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(M)</w:t>
            </w:r>
          </w:p>
        </w:tc>
        <w:tc>
          <w:tcPr>
            <w:tcW w:w="8620" w:type="dxa"/>
            <w:vAlign w:val="bottom"/>
          </w:tcPr>
          <w:p>
            <w:pPr>
              <w:ind w:left="120"/>
              <w:spacing w:after="0"/>
              <w:rPr>
                <w:sz w:val="20"/>
                <w:szCs w:val="20"/>
                <w:color w:val="auto"/>
              </w:rPr>
            </w:pPr>
            <w:r>
              <w:rPr>
                <w:rFonts w:ascii="Arial" w:cs="Arial" w:eastAsia="Arial" w:hAnsi="Arial"/>
                <w:sz w:val="18"/>
                <w:szCs w:val="18"/>
                <w:color w:val="auto"/>
              </w:rPr>
              <w:t>Action by Consent</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(N)</w:t>
            </w:r>
          </w:p>
        </w:tc>
        <w:tc>
          <w:tcPr>
            <w:tcW w:w="8620" w:type="dxa"/>
            <w:vAlign w:val="bottom"/>
          </w:tcPr>
          <w:p>
            <w:pPr>
              <w:ind w:left="120"/>
              <w:spacing w:after="0"/>
              <w:rPr>
                <w:sz w:val="20"/>
                <w:szCs w:val="20"/>
                <w:color w:val="auto"/>
              </w:rPr>
            </w:pPr>
            <w:r>
              <w:rPr>
                <w:rFonts w:ascii="Arial" w:cs="Arial" w:eastAsia="Arial" w:hAnsi="Arial"/>
                <w:sz w:val="18"/>
                <w:szCs w:val="18"/>
                <w:color w:val="auto"/>
              </w:rPr>
              <w:t>Meetings by Telephone or Similar Communications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414"/>
        </w:trPr>
        <w:tc>
          <w:tcPr>
            <w:tcW w:w="420" w:type="dxa"/>
            <w:vAlign w:val="bottom"/>
          </w:tcPr>
          <w:p>
            <w:pPr>
              <w:spacing w:after="0"/>
              <w:rPr>
                <w:sz w:val="24"/>
                <w:szCs w:val="24"/>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rPr>
              <w:t>ARTICLE IV</w:t>
            </w:r>
          </w:p>
        </w:tc>
        <w:tc>
          <w:tcPr>
            <w:tcW w:w="238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rPr>
              <w:t>COMMITTEES</w:t>
            </w:r>
          </w:p>
        </w:tc>
        <w:tc>
          <w:tcPr>
            <w:tcW w:w="238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8620" w:type="dxa"/>
            <w:vAlign w:val="bottom"/>
          </w:tcPr>
          <w:p>
            <w:pPr>
              <w:ind w:left="120"/>
              <w:spacing w:after="0"/>
              <w:rPr>
                <w:sz w:val="20"/>
                <w:szCs w:val="20"/>
                <w:color w:val="auto"/>
              </w:rPr>
            </w:pPr>
            <w:r>
              <w:rPr>
                <w:rFonts w:ascii="Arial" w:cs="Arial" w:eastAsia="Arial" w:hAnsi="Arial"/>
                <w:sz w:val="18"/>
                <w:szCs w:val="18"/>
                <w:color w:val="auto"/>
              </w:rPr>
              <w:t>Committees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8620" w:type="dxa"/>
            <w:vAlign w:val="bottom"/>
          </w:tcPr>
          <w:p>
            <w:pPr>
              <w:ind w:left="120"/>
              <w:spacing w:after="0"/>
              <w:rPr>
                <w:sz w:val="20"/>
                <w:szCs w:val="20"/>
                <w:color w:val="auto"/>
              </w:rPr>
            </w:pPr>
            <w:r>
              <w:rPr>
                <w:rFonts w:ascii="Arial" w:cs="Arial" w:eastAsia="Arial" w:hAnsi="Arial"/>
                <w:sz w:val="18"/>
                <w:szCs w:val="18"/>
                <w:color w:val="auto"/>
              </w:rPr>
              <w:t>Committee Rules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10</w:t>
            </w:r>
          </w:p>
        </w:tc>
      </w:tr>
      <w:tr>
        <w:trPr>
          <w:trHeight w:val="414"/>
        </w:trPr>
        <w:tc>
          <w:tcPr>
            <w:tcW w:w="420" w:type="dxa"/>
            <w:vAlign w:val="bottom"/>
          </w:tcPr>
          <w:p>
            <w:pPr>
              <w:spacing w:after="0"/>
              <w:rPr>
                <w:sz w:val="24"/>
                <w:szCs w:val="24"/>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rPr>
              <w:t>ARTICLE V</w:t>
            </w:r>
          </w:p>
        </w:tc>
        <w:tc>
          <w:tcPr>
            <w:tcW w:w="238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OFFICERS</w:t>
            </w:r>
          </w:p>
        </w:tc>
        <w:tc>
          <w:tcPr>
            <w:tcW w:w="238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8620" w:type="dxa"/>
            <w:vAlign w:val="bottom"/>
          </w:tcPr>
          <w:p>
            <w:pPr>
              <w:ind w:left="120"/>
              <w:spacing w:after="0"/>
              <w:rPr>
                <w:sz w:val="20"/>
                <w:szCs w:val="20"/>
                <w:color w:val="auto"/>
              </w:rPr>
            </w:pPr>
            <w:r>
              <w:rPr>
                <w:rFonts w:ascii="Arial" w:cs="Arial" w:eastAsia="Arial" w:hAnsi="Arial"/>
                <w:sz w:val="18"/>
                <w:szCs w:val="18"/>
                <w:color w:val="auto"/>
              </w:rPr>
              <w:t>Number and Qualifications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8620" w:type="dxa"/>
            <w:vAlign w:val="bottom"/>
          </w:tcPr>
          <w:p>
            <w:pPr>
              <w:ind w:left="120"/>
              <w:spacing w:after="0"/>
              <w:rPr>
                <w:sz w:val="20"/>
                <w:szCs w:val="20"/>
                <w:color w:val="auto"/>
              </w:rPr>
            </w:pPr>
            <w:r>
              <w:rPr>
                <w:rFonts w:ascii="Arial" w:cs="Arial" w:eastAsia="Arial" w:hAnsi="Arial"/>
                <w:sz w:val="18"/>
                <w:szCs w:val="18"/>
                <w:color w:val="auto"/>
              </w:rPr>
              <w:t>Election and Term of Office</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8620" w:type="dxa"/>
            <w:vAlign w:val="bottom"/>
          </w:tcPr>
          <w:p>
            <w:pPr>
              <w:ind w:left="120"/>
              <w:spacing w:after="0"/>
              <w:rPr>
                <w:sz w:val="20"/>
                <w:szCs w:val="20"/>
                <w:color w:val="auto"/>
              </w:rPr>
            </w:pPr>
            <w:r>
              <w:rPr>
                <w:rFonts w:ascii="Arial" w:cs="Arial" w:eastAsia="Arial" w:hAnsi="Arial"/>
                <w:sz w:val="18"/>
                <w:szCs w:val="18"/>
                <w:color w:val="auto"/>
              </w:rPr>
              <w:t>Resignations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8620" w:type="dxa"/>
            <w:vAlign w:val="bottom"/>
          </w:tcPr>
          <w:p>
            <w:pPr>
              <w:ind w:left="120"/>
              <w:spacing w:after="0"/>
              <w:rPr>
                <w:sz w:val="20"/>
                <w:szCs w:val="20"/>
                <w:color w:val="auto"/>
              </w:rPr>
            </w:pPr>
            <w:r>
              <w:rPr>
                <w:rFonts w:ascii="Arial" w:cs="Arial" w:eastAsia="Arial" w:hAnsi="Arial"/>
                <w:sz w:val="18"/>
                <w:szCs w:val="18"/>
                <w:color w:val="auto"/>
              </w:rPr>
              <w:t>Removal</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(E)</w:t>
            </w:r>
          </w:p>
        </w:tc>
        <w:tc>
          <w:tcPr>
            <w:tcW w:w="8620" w:type="dxa"/>
            <w:vAlign w:val="bottom"/>
          </w:tcPr>
          <w:p>
            <w:pPr>
              <w:ind w:left="120"/>
              <w:spacing w:after="0"/>
              <w:rPr>
                <w:sz w:val="20"/>
                <w:szCs w:val="20"/>
                <w:color w:val="auto"/>
              </w:rPr>
            </w:pPr>
            <w:r>
              <w:rPr>
                <w:rFonts w:ascii="Arial" w:cs="Arial" w:eastAsia="Arial" w:hAnsi="Arial"/>
                <w:sz w:val="18"/>
                <w:szCs w:val="18"/>
                <w:color w:val="auto"/>
              </w:rPr>
              <w:t>Vacancies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(F)</w:t>
            </w:r>
          </w:p>
        </w:tc>
        <w:tc>
          <w:tcPr>
            <w:tcW w:w="8620" w:type="dxa"/>
            <w:vAlign w:val="bottom"/>
          </w:tcPr>
          <w:p>
            <w:pPr>
              <w:ind w:left="120"/>
              <w:spacing w:after="0"/>
              <w:rPr>
                <w:sz w:val="20"/>
                <w:szCs w:val="20"/>
                <w:color w:val="auto"/>
              </w:rPr>
            </w:pPr>
            <w:r>
              <w:rPr>
                <w:rFonts w:ascii="Arial" w:cs="Arial" w:eastAsia="Arial" w:hAnsi="Arial"/>
                <w:sz w:val="18"/>
                <w:szCs w:val="18"/>
                <w:color w:val="auto"/>
              </w:rPr>
              <w:t>Chairman of the Board</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(G)</w:t>
            </w:r>
          </w:p>
        </w:tc>
        <w:tc>
          <w:tcPr>
            <w:tcW w:w="86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(H)</w:t>
            </w:r>
          </w:p>
        </w:tc>
        <w:tc>
          <w:tcPr>
            <w:tcW w:w="8620" w:type="dxa"/>
            <w:vAlign w:val="bottom"/>
          </w:tcPr>
          <w:p>
            <w:pPr>
              <w:ind w:left="120"/>
              <w:spacing w:after="0"/>
              <w:rPr>
                <w:sz w:val="20"/>
                <w:szCs w:val="20"/>
                <w:color w:val="auto"/>
              </w:rPr>
            </w:pPr>
            <w:r>
              <w:rPr>
                <w:rFonts w:ascii="Arial" w:cs="Arial" w:eastAsia="Arial" w:hAnsi="Arial"/>
                <w:sz w:val="18"/>
                <w:szCs w:val="18"/>
                <w:color w:val="auto"/>
              </w:rPr>
              <w:t>Chief Financial Officer; Treasurer</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8620" w:type="dxa"/>
            <w:vAlign w:val="bottom"/>
          </w:tcPr>
          <w:p>
            <w:pPr>
              <w:ind w:left="120"/>
              <w:spacing w:after="0"/>
              <w:rPr>
                <w:sz w:val="20"/>
                <w:szCs w:val="20"/>
                <w:color w:val="auto"/>
              </w:rPr>
            </w:pPr>
            <w:r>
              <w:rPr>
                <w:rFonts w:ascii="Arial" w:cs="Arial" w:eastAsia="Arial" w:hAnsi="Arial"/>
                <w:sz w:val="18"/>
                <w:szCs w:val="18"/>
                <w:color w:val="auto"/>
              </w:rPr>
              <w:t>Secretary</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(J)</w:t>
            </w:r>
          </w:p>
        </w:tc>
        <w:tc>
          <w:tcPr>
            <w:tcW w:w="8620" w:type="dxa"/>
            <w:vAlign w:val="bottom"/>
          </w:tcPr>
          <w:p>
            <w:pPr>
              <w:ind w:left="120"/>
              <w:spacing w:after="0"/>
              <w:rPr>
                <w:sz w:val="20"/>
                <w:szCs w:val="20"/>
                <w:color w:val="auto"/>
              </w:rPr>
            </w:pPr>
            <w:r>
              <w:rPr>
                <w:rFonts w:ascii="Arial" w:cs="Arial" w:eastAsia="Arial" w:hAnsi="Arial"/>
                <w:sz w:val="18"/>
                <w:szCs w:val="18"/>
                <w:color w:val="auto"/>
              </w:rPr>
              <w:t>Chief Compliance Officer</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(K)</w:t>
            </w:r>
          </w:p>
        </w:tc>
        <w:tc>
          <w:tcPr>
            <w:tcW w:w="8620" w:type="dxa"/>
            <w:vAlign w:val="bottom"/>
          </w:tcPr>
          <w:p>
            <w:pPr>
              <w:ind w:left="120"/>
              <w:spacing w:after="0"/>
              <w:rPr>
                <w:sz w:val="20"/>
                <w:szCs w:val="20"/>
                <w:color w:val="auto"/>
              </w:rPr>
            </w:pPr>
            <w:r>
              <w:rPr>
                <w:rFonts w:ascii="Arial" w:cs="Arial" w:eastAsia="Arial" w:hAnsi="Arial"/>
                <w:sz w:val="18"/>
                <w:szCs w:val="18"/>
                <w:color w:val="auto"/>
              </w:rPr>
              <w:t>Other Officers, Assistant Officers and Agents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(L)</w:t>
            </w:r>
          </w:p>
        </w:tc>
        <w:tc>
          <w:tcPr>
            <w:tcW w:w="8620" w:type="dxa"/>
            <w:vAlign w:val="bottom"/>
          </w:tcPr>
          <w:p>
            <w:pPr>
              <w:ind w:left="120"/>
              <w:spacing w:after="0"/>
              <w:rPr>
                <w:sz w:val="20"/>
                <w:szCs w:val="20"/>
                <w:color w:val="auto"/>
              </w:rPr>
            </w:pPr>
            <w:r>
              <w:rPr>
                <w:rFonts w:ascii="Arial" w:cs="Arial" w:eastAsia="Arial" w:hAnsi="Arial"/>
                <w:sz w:val="18"/>
                <w:szCs w:val="18"/>
                <w:color w:val="auto"/>
              </w:rPr>
              <w:t>Officers’ Bonds or Other Security</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13</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(M)</w:t>
            </w:r>
          </w:p>
        </w:tc>
        <w:tc>
          <w:tcPr>
            <w:tcW w:w="8620" w:type="dxa"/>
            <w:vAlign w:val="bottom"/>
          </w:tcPr>
          <w:p>
            <w:pPr>
              <w:ind w:left="120"/>
              <w:spacing w:after="0"/>
              <w:rPr>
                <w:sz w:val="20"/>
                <w:szCs w:val="20"/>
                <w:color w:val="auto"/>
              </w:rPr>
            </w:pPr>
            <w:r>
              <w:rPr>
                <w:rFonts w:ascii="Arial" w:cs="Arial" w:eastAsia="Arial" w:hAnsi="Arial"/>
                <w:sz w:val="18"/>
                <w:szCs w:val="18"/>
                <w:color w:val="auto"/>
              </w:rPr>
              <w:t>Absence or Disability of Officers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13</w:t>
            </w:r>
          </w:p>
        </w:tc>
      </w:tr>
      <w:tr>
        <w:trPr>
          <w:trHeight w:val="414"/>
        </w:trPr>
        <w:tc>
          <w:tcPr>
            <w:tcW w:w="420" w:type="dxa"/>
            <w:vAlign w:val="bottom"/>
          </w:tcPr>
          <w:p>
            <w:pPr>
              <w:spacing w:after="0"/>
              <w:rPr>
                <w:sz w:val="24"/>
                <w:szCs w:val="24"/>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rPr>
              <w:t>ARTICLE VI</w:t>
            </w:r>
          </w:p>
        </w:tc>
        <w:tc>
          <w:tcPr>
            <w:tcW w:w="238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8620" w:type="dxa"/>
            <w:vAlign w:val="bottom"/>
          </w:tcPr>
          <w:p>
            <w:pPr>
              <w:jc w:val="center"/>
              <w:ind w:left="1890"/>
              <w:spacing w:after="0"/>
              <w:rPr>
                <w:sz w:val="20"/>
                <w:szCs w:val="20"/>
                <w:color w:val="auto"/>
              </w:rPr>
            </w:pPr>
            <w:r>
              <w:rPr>
                <w:rFonts w:ascii="Arial" w:cs="Arial" w:eastAsia="Arial" w:hAnsi="Arial"/>
                <w:sz w:val="18"/>
                <w:szCs w:val="18"/>
                <w:b w:val="1"/>
                <w:bCs w:val="1"/>
                <w:color w:val="auto"/>
              </w:rPr>
              <w:t>INDEMNIFICATION; EXCULPATION</w:t>
            </w:r>
          </w:p>
        </w:tc>
        <w:tc>
          <w:tcPr>
            <w:tcW w:w="238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8620" w:type="dxa"/>
            <w:vAlign w:val="bottom"/>
          </w:tcPr>
          <w:p>
            <w:pPr>
              <w:ind w:left="120"/>
              <w:spacing w:after="0"/>
              <w:rPr>
                <w:sz w:val="20"/>
                <w:szCs w:val="20"/>
                <w:color w:val="auto"/>
              </w:rPr>
            </w:pPr>
            <w:r>
              <w:rPr>
                <w:rFonts w:ascii="Arial" w:cs="Arial" w:eastAsia="Arial" w:hAnsi="Arial"/>
                <w:sz w:val="18"/>
                <w:szCs w:val="18"/>
                <w:color w:val="auto"/>
              </w:rPr>
              <w:t>General</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13</w:t>
            </w:r>
          </w:p>
        </w:tc>
      </w:tr>
      <w:tr>
        <w:trPr>
          <w:trHeight w:val="405"/>
        </w:trPr>
        <w:tc>
          <w:tcPr>
            <w:tcW w:w="420" w:type="dxa"/>
            <w:vAlign w:val="bottom"/>
          </w:tcPr>
          <w:p>
            <w:pPr>
              <w:spacing w:after="0"/>
              <w:rPr>
                <w:sz w:val="24"/>
                <w:szCs w:val="24"/>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color w:val="auto"/>
              </w:rPr>
              <w:t>ii</w:t>
            </w:r>
          </w:p>
        </w:tc>
        <w:tc>
          <w:tcPr>
            <w:tcW w:w="2380" w:type="dxa"/>
            <w:vAlign w:val="bottom"/>
          </w:tcPr>
          <w:p>
            <w:pPr>
              <w:spacing w:after="0"/>
              <w:rPr>
                <w:sz w:val="24"/>
                <w:szCs w:val="24"/>
                <w:color w:val="auto"/>
              </w:rPr>
            </w:pPr>
          </w:p>
        </w:tc>
      </w:tr>
      <w:tr>
        <w:trPr>
          <w:trHeight w:val="226"/>
        </w:trPr>
        <w:tc>
          <w:tcPr>
            <w:tcW w:w="420" w:type="dxa"/>
            <w:vAlign w:val="bottom"/>
            <w:tcBorders>
              <w:bottom w:val="single" w:sz="8" w:color="808080"/>
            </w:tcBorders>
          </w:tcPr>
          <w:p>
            <w:pPr>
              <w:spacing w:after="0"/>
              <w:rPr>
                <w:sz w:val="19"/>
                <w:szCs w:val="19"/>
                <w:color w:val="auto"/>
              </w:rPr>
            </w:pPr>
          </w:p>
        </w:tc>
        <w:tc>
          <w:tcPr>
            <w:tcW w:w="862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300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7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4"/>
        </w:trPr>
        <w:tc>
          <w:tcPr>
            <w:tcW w:w="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580" w:type="dxa"/>
            <w:vAlign w:val="bottom"/>
          </w:tcPr>
          <w:p>
            <w:pPr>
              <w:jc w:val="center"/>
              <w:ind w:right="2870"/>
              <w:spacing w:after="0"/>
              <w:rPr>
                <w:sz w:val="20"/>
                <w:szCs w:val="20"/>
                <w:color w:val="auto"/>
              </w:rPr>
            </w:pPr>
            <w:r>
              <w:rPr>
                <w:rFonts w:ascii="Arial" w:cs="Arial" w:eastAsia="Arial" w:hAnsi="Arial"/>
                <w:sz w:val="18"/>
                <w:szCs w:val="18"/>
                <w:b w:val="1"/>
                <w:bCs w:val="1"/>
                <w:color w:val="auto"/>
              </w:rPr>
              <w:t>ARTICLE VII</w:t>
            </w:r>
          </w:p>
        </w:tc>
      </w:tr>
      <w:tr>
        <w:trPr>
          <w:trHeight w:val="234"/>
        </w:trPr>
        <w:tc>
          <w:tcPr>
            <w:tcW w:w="4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580" w:type="dxa"/>
            <w:vAlign w:val="bottom"/>
          </w:tcPr>
          <w:p>
            <w:pPr>
              <w:jc w:val="center"/>
              <w:ind w:right="2850"/>
              <w:spacing w:after="0"/>
              <w:rPr>
                <w:sz w:val="20"/>
                <w:szCs w:val="20"/>
                <w:color w:val="auto"/>
              </w:rPr>
            </w:pPr>
            <w:r>
              <w:rPr>
                <w:rFonts w:ascii="Arial" w:cs="Arial" w:eastAsia="Arial" w:hAnsi="Arial"/>
                <w:sz w:val="18"/>
                <w:szCs w:val="18"/>
                <w:b w:val="1"/>
                <w:bCs w:val="1"/>
                <w:color w:val="auto"/>
              </w:rPr>
              <w:t>STOCK CERTIFICATES AND THEIR TRANSFER</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3000" w:type="dxa"/>
            <w:vAlign w:val="bottom"/>
          </w:tcPr>
          <w:p>
            <w:pPr>
              <w:ind w:left="140"/>
              <w:spacing w:after="0"/>
              <w:rPr>
                <w:sz w:val="20"/>
                <w:szCs w:val="20"/>
                <w:color w:val="auto"/>
              </w:rPr>
            </w:pPr>
            <w:r>
              <w:rPr>
                <w:rFonts w:ascii="Arial" w:cs="Arial" w:eastAsia="Arial" w:hAnsi="Arial"/>
                <w:sz w:val="18"/>
                <w:szCs w:val="18"/>
                <w:color w:val="auto"/>
              </w:rPr>
              <w:t>Stock Certificates</w:t>
            </w:r>
          </w:p>
        </w:tc>
        <w:tc>
          <w:tcPr>
            <w:tcW w:w="7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3000" w:type="dxa"/>
            <w:vAlign w:val="bottom"/>
          </w:tcPr>
          <w:p>
            <w:pPr>
              <w:ind w:left="140"/>
              <w:spacing w:after="0"/>
              <w:rPr>
                <w:sz w:val="20"/>
                <w:szCs w:val="20"/>
                <w:color w:val="auto"/>
              </w:rPr>
            </w:pPr>
            <w:r>
              <w:rPr>
                <w:rFonts w:ascii="Arial" w:cs="Arial" w:eastAsia="Arial" w:hAnsi="Arial"/>
                <w:sz w:val="18"/>
                <w:szCs w:val="18"/>
                <w:color w:val="auto"/>
              </w:rPr>
              <w:t>Facsimile Signatures</w:t>
            </w:r>
          </w:p>
        </w:tc>
        <w:tc>
          <w:tcPr>
            <w:tcW w:w="7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(C)</w:t>
            </w:r>
          </w:p>
        </w:tc>
        <w:tc>
          <w:tcPr>
            <w:tcW w:w="3000" w:type="dxa"/>
            <w:vAlign w:val="bottom"/>
          </w:tcPr>
          <w:p>
            <w:pPr>
              <w:ind w:left="140"/>
              <w:spacing w:after="0"/>
              <w:rPr>
                <w:sz w:val="20"/>
                <w:szCs w:val="20"/>
                <w:color w:val="auto"/>
              </w:rPr>
            </w:pPr>
            <w:r>
              <w:rPr>
                <w:rFonts w:ascii="Arial" w:cs="Arial" w:eastAsia="Arial" w:hAnsi="Arial"/>
                <w:sz w:val="18"/>
                <w:szCs w:val="18"/>
                <w:color w:val="auto"/>
              </w:rPr>
              <w:t>Lost Certificates</w:t>
            </w:r>
          </w:p>
        </w:tc>
        <w:tc>
          <w:tcPr>
            <w:tcW w:w="7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(D)</w:t>
            </w:r>
          </w:p>
        </w:tc>
        <w:tc>
          <w:tcPr>
            <w:tcW w:w="3000" w:type="dxa"/>
            <w:vAlign w:val="bottom"/>
          </w:tcPr>
          <w:p>
            <w:pPr>
              <w:ind w:left="140"/>
              <w:spacing w:after="0"/>
              <w:rPr>
                <w:sz w:val="20"/>
                <w:szCs w:val="20"/>
                <w:color w:val="auto"/>
              </w:rPr>
            </w:pPr>
            <w:r>
              <w:rPr>
                <w:rFonts w:ascii="Arial" w:cs="Arial" w:eastAsia="Arial" w:hAnsi="Arial"/>
                <w:sz w:val="18"/>
                <w:szCs w:val="18"/>
                <w:color w:val="auto"/>
              </w:rPr>
              <w:t>Transfers of Stock</w:t>
            </w:r>
          </w:p>
        </w:tc>
        <w:tc>
          <w:tcPr>
            <w:tcW w:w="7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(E)</w:t>
            </w:r>
          </w:p>
        </w:tc>
        <w:tc>
          <w:tcPr>
            <w:tcW w:w="3000" w:type="dxa"/>
            <w:vAlign w:val="bottom"/>
          </w:tcPr>
          <w:p>
            <w:pPr>
              <w:ind w:left="140"/>
              <w:spacing w:after="0"/>
              <w:rPr>
                <w:sz w:val="20"/>
                <w:szCs w:val="20"/>
                <w:color w:val="auto"/>
              </w:rPr>
            </w:pPr>
            <w:r>
              <w:rPr>
                <w:rFonts w:ascii="Arial" w:cs="Arial" w:eastAsia="Arial" w:hAnsi="Arial"/>
                <w:sz w:val="18"/>
                <w:szCs w:val="18"/>
                <w:color w:val="auto"/>
              </w:rPr>
              <w:t>Transfer Agents and Registrars</w:t>
            </w:r>
          </w:p>
        </w:tc>
        <w:tc>
          <w:tcPr>
            <w:tcW w:w="7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(F)</w:t>
            </w:r>
          </w:p>
        </w:tc>
        <w:tc>
          <w:tcPr>
            <w:tcW w:w="3000" w:type="dxa"/>
            <w:vAlign w:val="bottom"/>
          </w:tcPr>
          <w:p>
            <w:pPr>
              <w:ind w:left="140"/>
              <w:spacing w:after="0"/>
              <w:rPr>
                <w:sz w:val="20"/>
                <w:szCs w:val="20"/>
                <w:color w:val="auto"/>
              </w:rPr>
            </w:pPr>
            <w:r>
              <w:rPr>
                <w:rFonts w:ascii="Arial" w:cs="Arial" w:eastAsia="Arial" w:hAnsi="Arial"/>
                <w:sz w:val="18"/>
                <w:szCs w:val="18"/>
                <w:color w:val="auto"/>
              </w:rPr>
              <w:t>Regulations</w:t>
            </w:r>
          </w:p>
        </w:tc>
        <w:tc>
          <w:tcPr>
            <w:tcW w:w="7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(G)</w:t>
            </w:r>
          </w:p>
        </w:tc>
        <w:tc>
          <w:tcPr>
            <w:tcW w:w="3000" w:type="dxa"/>
            <w:vAlign w:val="bottom"/>
          </w:tcPr>
          <w:p>
            <w:pPr>
              <w:ind w:left="140"/>
              <w:spacing w:after="0"/>
              <w:rPr>
                <w:sz w:val="20"/>
                <w:szCs w:val="20"/>
                <w:color w:val="auto"/>
              </w:rPr>
            </w:pPr>
            <w:r>
              <w:rPr>
                <w:rFonts w:ascii="Arial" w:cs="Arial" w:eastAsia="Arial" w:hAnsi="Arial"/>
                <w:sz w:val="18"/>
                <w:szCs w:val="18"/>
                <w:color w:val="auto"/>
              </w:rPr>
              <w:t>Fixing the Record Date</w:t>
            </w:r>
          </w:p>
        </w:tc>
        <w:tc>
          <w:tcPr>
            <w:tcW w:w="7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(H)</w:t>
            </w:r>
          </w:p>
        </w:tc>
        <w:tc>
          <w:tcPr>
            <w:tcW w:w="3000" w:type="dxa"/>
            <w:vAlign w:val="bottom"/>
          </w:tcPr>
          <w:p>
            <w:pPr>
              <w:ind w:left="140"/>
              <w:spacing w:after="0"/>
              <w:rPr>
                <w:sz w:val="20"/>
                <w:szCs w:val="20"/>
                <w:color w:val="auto"/>
              </w:rPr>
            </w:pPr>
            <w:r>
              <w:rPr>
                <w:rFonts w:ascii="Arial" w:cs="Arial" w:eastAsia="Arial" w:hAnsi="Arial"/>
                <w:sz w:val="18"/>
                <w:szCs w:val="18"/>
                <w:color w:val="auto"/>
              </w:rPr>
              <w:t>Registered Stockholders</w:t>
            </w:r>
          </w:p>
        </w:tc>
        <w:tc>
          <w:tcPr>
            <w:tcW w:w="7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4"/>
        </w:trPr>
        <w:tc>
          <w:tcPr>
            <w:tcW w:w="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580" w:type="dxa"/>
            <w:vAlign w:val="bottom"/>
          </w:tcPr>
          <w:p>
            <w:pPr>
              <w:jc w:val="center"/>
              <w:ind w:right="2850"/>
              <w:spacing w:after="0"/>
              <w:rPr>
                <w:sz w:val="20"/>
                <w:szCs w:val="20"/>
                <w:color w:val="auto"/>
              </w:rPr>
            </w:pPr>
            <w:r>
              <w:rPr>
                <w:rFonts w:ascii="Arial" w:cs="Arial" w:eastAsia="Arial" w:hAnsi="Arial"/>
                <w:sz w:val="18"/>
                <w:szCs w:val="18"/>
                <w:b w:val="1"/>
                <w:bCs w:val="1"/>
                <w:color w:val="auto"/>
              </w:rPr>
              <w:t>ARTICLE VIII</w:t>
            </w:r>
          </w:p>
        </w:tc>
      </w:tr>
      <w:tr>
        <w:trPr>
          <w:trHeight w:val="234"/>
        </w:trPr>
        <w:tc>
          <w:tcPr>
            <w:tcW w:w="4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580" w:type="dxa"/>
            <w:vAlign w:val="bottom"/>
          </w:tcPr>
          <w:p>
            <w:pPr>
              <w:jc w:val="center"/>
              <w:ind w:right="2870"/>
              <w:spacing w:after="0"/>
              <w:rPr>
                <w:sz w:val="20"/>
                <w:szCs w:val="20"/>
                <w:color w:val="auto"/>
              </w:rPr>
            </w:pPr>
            <w:r>
              <w:rPr>
                <w:rFonts w:ascii="Arial" w:cs="Arial" w:eastAsia="Arial" w:hAnsi="Arial"/>
                <w:sz w:val="18"/>
                <w:szCs w:val="18"/>
                <w:b w:val="1"/>
                <w:bCs w:val="1"/>
                <w:color w:val="auto"/>
              </w:rPr>
              <w:t>GENERAL PROVISIONS</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30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7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3000" w:type="dxa"/>
            <w:vAlign w:val="bottom"/>
          </w:tcPr>
          <w:p>
            <w:pPr>
              <w:ind w:left="140"/>
              <w:spacing w:after="0"/>
              <w:rPr>
                <w:sz w:val="20"/>
                <w:szCs w:val="20"/>
                <w:color w:val="auto"/>
              </w:rPr>
            </w:pPr>
            <w:r>
              <w:rPr>
                <w:rFonts w:ascii="Arial" w:cs="Arial" w:eastAsia="Arial" w:hAnsi="Arial"/>
                <w:sz w:val="18"/>
                <w:szCs w:val="18"/>
                <w:color w:val="auto"/>
              </w:rPr>
              <w:t>Reserves</w:t>
            </w:r>
          </w:p>
        </w:tc>
        <w:tc>
          <w:tcPr>
            <w:tcW w:w="7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(C)</w:t>
            </w:r>
          </w:p>
        </w:tc>
        <w:tc>
          <w:tcPr>
            <w:tcW w:w="3000" w:type="dxa"/>
            <w:vAlign w:val="bottom"/>
          </w:tcPr>
          <w:p>
            <w:pPr>
              <w:ind w:left="140"/>
              <w:spacing w:after="0"/>
              <w:rPr>
                <w:sz w:val="20"/>
                <w:szCs w:val="20"/>
                <w:color w:val="auto"/>
              </w:rPr>
            </w:pPr>
            <w:r>
              <w:rPr>
                <w:rFonts w:ascii="Arial" w:cs="Arial" w:eastAsia="Arial" w:hAnsi="Arial"/>
                <w:sz w:val="18"/>
                <w:szCs w:val="18"/>
                <w:color w:val="auto"/>
              </w:rPr>
              <w:t>Seal</w:t>
            </w:r>
          </w:p>
        </w:tc>
        <w:tc>
          <w:tcPr>
            <w:tcW w:w="7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(D)</w:t>
            </w:r>
          </w:p>
        </w:tc>
        <w:tc>
          <w:tcPr>
            <w:tcW w:w="3000" w:type="dxa"/>
            <w:vAlign w:val="bottom"/>
          </w:tcPr>
          <w:p>
            <w:pPr>
              <w:ind w:left="140"/>
              <w:spacing w:after="0"/>
              <w:rPr>
                <w:sz w:val="20"/>
                <w:szCs w:val="20"/>
                <w:color w:val="auto"/>
              </w:rPr>
            </w:pPr>
            <w:r>
              <w:rPr>
                <w:rFonts w:ascii="Arial" w:cs="Arial" w:eastAsia="Arial" w:hAnsi="Arial"/>
                <w:sz w:val="18"/>
                <w:szCs w:val="18"/>
                <w:color w:val="auto"/>
              </w:rPr>
              <w:t>Fiscal Year</w:t>
            </w:r>
          </w:p>
        </w:tc>
        <w:tc>
          <w:tcPr>
            <w:tcW w:w="7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(E)</w:t>
            </w:r>
          </w:p>
        </w:tc>
        <w:tc>
          <w:tcPr>
            <w:tcW w:w="3000" w:type="dxa"/>
            <w:vAlign w:val="bottom"/>
          </w:tcPr>
          <w:p>
            <w:pPr>
              <w:ind w:left="140"/>
              <w:spacing w:after="0"/>
              <w:rPr>
                <w:sz w:val="20"/>
                <w:szCs w:val="20"/>
                <w:color w:val="auto"/>
              </w:rPr>
            </w:pPr>
            <w:r>
              <w:rPr>
                <w:rFonts w:ascii="Arial" w:cs="Arial" w:eastAsia="Arial" w:hAnsi="Arial"/>
                <w:sz w:val="18"/>
                <w:szCs w:val="18"/>
                <w:color w:val="auto"/>
              </w:rPr>
              <w:t>Checks, Notes, Drafts; Etc.</w:t>
            </w:r>
          </w:p>
        </w:tc>
        <w:tc>
          <w:tcPr>
            <w:tcW w:w="7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(F)</w:t>
            </w:r>
          </w:p>
        </w:tc>
        <w:tc>
          <w:tcPr>
            <w:tcW w:w="3000" w:type="dxa"/>
            <w:vAlign w:val="bottom"/>
          </w:tcPr>
          <w:p>
            <w:pPr>
              <w:ind w:left="140"/>
              <w:spacing w:after="0"/>
              <w:rPr>
                <w:sz w:val="20"/>
                <w:szCs w:val="20"/>
                <w:color w:val="auto"/>
              </w:rPr>
            </w:pPr>
            <w:r>
              <w:rPr>
                <w:rFonts w:ascii="Arial" w:cs="Arial" w:eastAsia="Arial" w:hAnsi="Arial"/>
                <w:sz w:val="18"/>
                <w:szCs w:val="18"/>
                <w:color w:val="auto"/>
                <w:w w:val="99"/>
              </w:rPr>
              <w:t>Execution of Contracts, Deeds, Etc.</w:t>
            </w:r>
          </w:p>
        </w:tc>
        <w:tc>
          <w:tcPr>
            <w:tcW w:w="7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(G)</w:t>
            </w:r>
          </w:p>
        </w:tc>
        <w:tc>
          <w:tcPr>
            <w:tcW w:w="3000" w:type="dxa"/>
            <w:vAlign w:val="bottom"/>
          </w:tcPr>
          <w:p>
            <w:pPr>
              <w:ind w:left="140"/>
              <w:spacing w:after="0"/>
              <w:rPr>
                <w:sz w:val="20"/>
                <w:szCs w:val="20"/>
                <w:color w:val="auto"/>
              </w:rPr>
            </w:pPr>
            <w:r>
              <w:rPr>
                <w:rFonts w:ascii="Arial" w:cs="Arial" w:eastAsia="Arial" w:hAnsi="Arial"/>
                <w:sz w:val="18"/>
                <w:szCs w:val="18"/>
                <w:color w:val="auto"/>
              </w:rPr>
              <w:t>Inspection of Books and Records</w:t>
            </w:r>
          </w:p>
        </w:tc>
        <w:tc>
          <w:tcPr>
            <w:tcW w:w="7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(H)</w:t>
            </w:r>
          </w:p>
        </w:tc>
        <w:tc>
          <w:tcPr>
            <w:tcW w:w="3000" w:type="dxa"/>
            <w:vAlign w:val="bottom"/>
          </w:tcPr>
          <w:p>
            <w:pPr>
              <w:ind w:left="140"/>
              <w:spacing w:after="0"/>
              <w:rPr>
                <w:sz w:val="20"/>
                <w:szCs w:val="20"/>
                <w:color w:val="auto"/>
              </w:rPr>
            </w:pPr>
            <w:r>
              <w:rPr>
                <w:rFonts w:ascii="Arial" w:cs="Arial" w:eastAsia="Arial" w:hAnsi="Arial"/>
                <w:sz w:val="18"/>
                <w:szCs w:val="18"/>
                <w:color w:val="auto"/>
              </w:rPr>
              <w:t>References to Days</w:t>
            </w:r>
          </w:p>
        </w:tc>
        <w:tc>
          <w:tcPr>
            <w:tcW w:w="7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(I)</w:t>
            </w:r>
          </w:p>
        </w:tc>
        <w:tc>
          <w:tcPr>
            <w:tcW w:w="3000" w:type="dxa"/>
            <w:vAlign w:val="bottom"/>
          </w:tcPr>
          <w:p>
            <w:pPr>
              <w:ind w:left="140"/>
              <w:spacing w:after="0"/>
              <w:rPr>
                <w:sz w:val="20"/>
                <w:szCs w:val="20"/>
                <w:color w:val="auto"/>
              </w:rPr>
            </w:pPr>
            <w:r>
              <w:rPr>
                <w:rFonts w:ascii="Arial" w:cs="Arial" w:eastAsia="Arial" w:hAnsi="Arial"/>
                <w:sz w:val="18"/>
                <w:szCs w:val="18"/>
                <w:color w:val="auto"/>
              </w:rPr>
              <w:t>Inconsistent Provisions</w:t>
            </w:r>
          </w:p>
        </w:tc>
        <w:tc>
          <w:tcPr>
            <w:tcW w:w="75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9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ARTICLE IX AMENDMENTS</w:t>
      </w:r>
    </w:p>
    <w:p>
      <w:pPr>
        <w:spacing w:after="0" w:line="2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152" w:right="679" w:bottom="1440" w:gutter="0" w:footer="0" w:header="0"/>
        </w:sectPr>
      </w:pPr>
    </w:p>
    <w:bookmarkStart w:id="75" w:name="page76"/>
    <w:bookmarkEnd w:id="75"/>
    <w:p>
      <w:pPr>
        <w:ind w:left="5280"/>
        <w:spacing w:after="0"/>
        <w:rPr>
          <w:sz w:val="20"/>
          <w:szCs w:val="20"/>
          <w:color w:val="auto"/>
        </w:rPr>
      </w:pPr>
      <w:r>
        <w:rPr>
          <w:rFonts w:ascii="Arial" w:cs="Arial" w:eastAsia="Arial" w:hAnsi="Arial"/>
          <w:sz w:val="18"/>
          <w:szCs w:val="18"/>
          <w:color w:val="auto"/>
        </w:rPr>
        <w:t>BYLAWS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TPG SPECIALTY LENDING, INC.</w:t>
      </w:r>
    </w:p>
    <w:p>
      <w:pPr>
        <w:spacing w:after="0" w:line="11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99" w:lineRule="exact"/>
        <w:rPr>
          <w:sz w:val="20"/>
          <w:szCs w:val="20"/>
          <w:color w:val="auto"/>
        </w:rPr>
      </w:pPr>
    </w:p>
    <w:p>
      <w:pPr>
        <w:ind w:left="-60" w:right="100" w:firstLine="233"/>
        <w:spacing w:after="0" w:line="266"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Registered Office</w:t>
      </w:r>
      <w:r>
        <w:rPr>
          <w:rFonts w:ascii="Arial" w:cs="Arial" w:eastAsia="Arial" w:hAnsi="Arial"/>
          <w:sz w:val="18"/>
          <w:szCs w:val="18"/>
          <w:color w:val="auto"/>
        </w:rPr>
        <w:t>. The address of the registered office of TPG Specialty Lending,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in the State of Delaware is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Trust Company, 1209 Orange Street, Wilmington, Delaware 19801, County of New Castle. The name of the registered agent of the Corporation at such address is The Corporation Trust Company.</w:t>
      </w:r>
    </w:p>
    <w:p>
      <w:pPr>
        <w:spacing w:after="0" w:line="68" w:lineRule="exact"/>
        <w:rPr>
          <w:rFonts w:ascii="Arial" w:cs="Arial" w:eastAsia="Arial" w:hAnsi="Arial"/>
          <w:sz w:val="18"/>
          <w:szCs w:val="18"/>
          <w:color w:val="auto"/>
        </w:rPr>
      </w:pPr>
    </w:p>
    <w:p>
      <w:pPr>
        <w:ind w:left="-60" w:right="500" w:firstLine="233"/>
        <w:spacing w:after="0" w:line="282" w:lineRule="auto"/>
        <w:tabs>
          <w:tab w:leader="none" w:pos="45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Additional Offices</w:t>
      </w:r>
      <w:r>
        <w:rPr>
          <w:rFonts w:ascii="Arial" w:cs="Arial" w:eastAsia="Arial" w:hAnsi="Arial"/>
          <w:sz w:val="18"/>
          <w:szCs w:val="18"/>
          <w:color w:val="auto"/>
        </w:rPr>
        <w:t>. The Corporation may also have offices at such other places, both within and without the State of Delaware, as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from time to time determine or as the business of the Corporation may require.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99" w:lineRule="exact"/>
        <w:rPr>
          <w:sz w:val="20"/>
          <w:szCs w:val="20"/>
          <w:color w:val="auto"/>
        </w:rPr>
      </w:pPr>
    </w:p>
    <w:p>
      <w:pPr>
        <w:ind w:left="-60" w:right="40" w:firstLine="233"/>
        <w:spacing w:after="0" w:line="266"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Place of Meetings</w:t>
      </w:r>
      <w:r>
        <w:rPr>
          <w:rFonts w:ascii="Arial" w:cs="Arial" w:eastAsia="Arial" w:hAnsi="Arial"/>
          <w:sz w:val="18"/>
          <w:szCs w:val="18"/>
          <w:color w:val="auto"/>
        </w:rPr>
        <w:t>. All meetings of the stockholders for the election of directors or for any other purpose shall be held at any such place, either within</w:t>
      </w:r>
      <w:r>
        <w:rPr>
          <w:rFonts w:ascii="Arial" w:cs="Arial" w:eastAsia="Arial" w:hAnsi="Arial"/>
          <w:sz w:val="18"/>
          <w:szCs w:val="18"/>
          <w:b w:val="1"/>
          <w:bCs w:val="1"/>
          <w:color w:val="auto"/>
        </w:rPr>
        <w:t xml:space="preserve"> </w:t>
      </w:r>
      <w:r>
        <w:rPr>
          <w:rFonts w:ascii="Arial" w:cs="Arial" w:eastAsia="Arial" w:hAnsi="Arial"/>
          <w:sz w:val="18"/>
          <w:szCs w:val="18"/>
          <w:color w:val="auto"/>
        </w:rPr>
        <w:t>or outside the State of Delaware, as shall be designated from time to time by the Board of Directors and stated in the notice of meeting or in a duly executed waiver of notice thereof.</w:t>
      </w:r>
    </w:p>
    <w:p>
      <w:pPr>
        <w:spacing w:after="0" w:line="68" w:lineRule="exact"/>
        <w:rPr>
          <w:rFonts w:ascii="Arial" w:cs="Arial" w:eastAsia="Arial" w:hAnsi="Arial"/>
          <w:sz w:val="18"/>
          <w:szCs w:val="18"/>
          <w:color w:val="auto"/>
        </w:rPr>
      </w:pPr>
    </w:p>
    <w:p>
      <w:pPr>
        <w:ind w:left="-60" w:right="80" w:firstLine="233"/>
        <w:spacing w:after="0" w:line="281" w:lineRule="auto"/>
        <w:tabs>
          <w:tab w:leader="none" w:pos="45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Annual Meeting</w:t>
      </w:r>
      <w:r>
        <w:rPr>
          <w:rFonts w:ascii="Arial" w:cs="Arial" w:eastAsia="Arial" w:hAnsi="Arial"/>
          <w:sz w:val="17"/>
          <w:szCs w:val="17"/>
          <w:color w:val="auto"/>
        </w:rPr>
        <w:t>. An annual meeting of stockholders shall be held each year and stated in a notice of meeting or in a duly executed waiver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time and place of such meeting shall be determined by the Chief Executive Officer of the Corporation; provided that if the Chief Executive Officer does not act, the Board of Directors shall determine the date, time, and place of such meeting. At such annual meeting, the stockholders shall elect, by a plurality vote, a Board of Directors and transact such other business as may properly be brought before the meeting.</w:t>
      </w:r>
    </w:p>
    <w:p>
      <w:pPr>
        <w:spacing w:after="0" w:line="56" w:lineRule="exact"/>
        <w:rPr>
          <w:rFonts w:ascii="Arial" w:cs="Arial" w:eastAsia="Arial" w:hAnsi="Arial"/>
          <w:sz w:val="17"/>
          <w:szCs w:val="17"/>
          <w:color w:val="auto"/>
        </w:rPr>
      </w:pPr>
    </w:p>
    <w:p>
      <w:pPr>
        <w:ind w:left="-60" w:firstLine="233"/>
        <w:spacing w:after="0" w:line="272" w:lineRule="auto"/>
        <w:tabs>
          <w:tab w:leader="none" w:pos="45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 xml:space="preserve">Notice of Meetings. </w:t>
      </w:r>
      <w:r>
        <w:rPr>
          <w:rFonts w:ascii="Arial" w:cs="Arial" w:eastAsia="Arial" w:hAnsi="Arial"/>
          <w:sz w:val="17"/>
          <w:szCs w:val="17"/>
          <w:color w:val="auto"/>
        </w:rPr>
        <w:t>Except as otherwise expressly required by statute, written notice of each annual and special meeting of stockholders stating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time and place of the meeting (and, in the case of a special meeting, the purpose or purposes for which the meeting is called) shall be given to each stockholder of record entitled to vote thereat not less than ten (10) nor more than sixty (60) days before the date of the meeting. Business transacted at any special meeting of stockholders shall be limited to the purposes stated in the notice. Notice shall be given personally or by mail and, if by mail, shall be sent in a postage prepaid envelope, addressed to the stockholder at his or her address as it appears on the records of the Corporation. Notice by mail shall be deemed given at the time when the same shall be deposited in the United States mail, postage prepaid. Notice of any meeting shall not be required to be given to any person (a) who attends such meeting, except when such person attends the meeting in person or by proxy for the express purpose of objecting (at the beginning of the meeting) to the transaction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63" w:right="279" w:bottom="1440" w:gutter="0" w:footer="0" w:header="0"/>
        </w:sectPr>
      </w:pPr>
    </w:p>
    <w:bookmarkStart w:id="76" w:name="page77"/>
    <w:bookmarkEnd w:id="76"/>
    <w:p>
      <w:pPr>
        <w:ind w:right="60"/>
        <w:spacing w:after="0" w:line="264" w:lineRule="auto"/>
        <w:rPr>
          <w:sz w:val="20"/>
          <w:szCs w:val="20"/>
          <w:color w:val="auto"/>
        </w:rPr>
      </w:pPr>
      <w:r>
        <w:rPr>
          <w:rFonts w:ascii="Arial" w:cs="Arial" w:eastAsia="Arial" w:hAnsi="Arial"/>
          <w:sz w:val="18"/>
          <w:szCs w:val="18"/>
          <w:color w:val="auto"/>
        </w:rPr>
        <w:t>of any business because the meeting is not lawfully called or convened, or (b) who (either before or after the meeting) shall submit a signed written waiver of notice thereof either in person or by proxy. Neither the business to be transacted at, nor the purpose of, an annual or special meeting of stockholders need be specified in any written waiver of notice.</w:t>
      </w:r>
    </w:p>
    <w:p>
      <w:pPr>
        <w:spacing w:after="0" w:line="69" w:lineRule="exact"/>
        <w:rPr>
          <w:sz w:val="20"/>
          <w:szCs w:val="20"/>
          <w:color w:val="auto"/>
        </w:rPr>
      </w:pPr>
    </w:p>
    <w:p>
      <w:pPr>
        <w:jc w:val="both"/>
        <w:ind w:right="100" w:firstLine="233"/>
        <w:spacing w:after="0" w:line="266"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Special Meetings</w:t>
      </w:r>
      <w:r>
        <w:rPr>
          <w:rFonts w:ascii="Arial" w:cs="Arial" w:eastAsia="Arial" w:hAnsi="Arial"/>
          <w:sz w:val="18"/>
          <w:szCs w:val="18"/>
          <w:color w:val="auto"/>
        </w:rPr>
        <w:t>. Special meetings of stockholders may be called for any purpose by the Board of Directors, the Chairman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or the Chief Executive Officer and may be held on such date and at such time and place, either within or outside the State of Delaware, as shall be stated in a notice of meeting or in a duly executed waiver of notice thereof.</w:t>
      </w:r>
    </w:p>
    <w:p>
      <w:pPr>
        <w:spacing w:after="0" w:line="68" w:lineRule="exact"/>
        <w:rPr>
          <w:rFonts w:ascii="Arial" w:cs="Arial" w:eastAsia="Arial" w:hAnsi="Arial"/>
          <w:sz w:val="18"/>
          <w:szCs w:val="18"/>
          <w:color w:val="auto"/>
        </w:rPr>
      </w:pPr>
    </w:p>
    <w:p>
      <w:pPr>
        <w:ind w:firstLine="233"/>
        <w:spacing w:after="0" w:line="273" w:lineRule="auto"/>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List of Stockholders</w:t>
      </w:r>
      <w:r>
        <w:rPr>
          <w:rFonts w:ascii="Arial" w:cs="Arial" w:eastAsia="Arial" w:hAnsi="Arial"/>
          <w:sz w:val="17"/>
          <w:szCs w:val="17"/>
          <w:color w:val="auto"/>
        </w:rPr>
        <w:t>. The officer who has charge of the stock ledger of the Corporation shall prepare and make, at least ten (10) days before each</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stockholders, a complete list of the stockholders entitled to vote at the meeting, arranged in alphabetical order, showing the address of and the number of shares registered in the name of each stockholder. Such list shall be open to the examination of any stockholder, for any purpose germane to the meeting, during ordinary business hours, for a period of at least ten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be produced and kept at the time and place of the meeting during the whole time thereof, and may be inspected by any such stockholder who is present.</w:t>
      </w:r>
    </w:p>
    <w:p>
      <w:pPr>
        <w:spacing w:after="0" w:line="64" w:lineRule="exact"/>
        <w:rPr>
          <w:rFonts w:ascii="Arial" w:cs="Arial" w:eastAsia="Arial" w:hAnsi="Arial"/>
          <w:sz w:val="17"/>
          <w:szCs w:val="17"/>
          <w:color w:val="auto"/>
        </w:rPr>
      </w:pPr>
    </w:p>
    <w:p>
      <w:pPr>
        <w:ind w:right="20" w:firstLine="233"/>
        <w:spacing w:after="0" w:line="291" w:lineRule="auto"/>
        <w:tabs>
          <w:tab w:leader="none" w:pos="49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Quorum; Adjournments</w:t>
      </w:r>
      <w:r>
        <w:rPr>
          <w:rFonts w:ascii="Arial" w:cs="Arial" w:eastAsia="Arial" w:hAnsi="Arial"/>
          <w:sz w:val="16"/>
          <w:szCs w:val="16"/>
          <w:color w:val="auto"/>
        </w:rPr>
        <w:t>. The holders of a majority of the voting power of the issued and outstanding stock of the Corporation entitled to vote thereat</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in person or represented by proxy) shall constitute a quorum for the transaction of business at all meetings of stockholders, except as otherwise provided by statute or by the Corporation’s Certificate of Incorporation (as such may be amended from time to time,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If such quorum shall not be present or represented by proxy at any meeting of stockholders, then the stockholders entitled to vote thereat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thirty (30) days, or, if after adjournment a new record date is set, then a notice of the adjourned meeting shall be given to each stockholder of record entitled to vote at the meeting.</w:t>
      </w:r>
    </w:p>
    <w:p>
      <w:pPr>
        <w:spacing w:after="0" w:line="52" w:lineRule="exact"/>
        <w:rPr>
          <w:rFonts w:ascii="Arial" w:cs="Arial" w:eastAsia="Arial" w:hAnsi="Arial"/>
          <w:sz w:val="16"/>
          <w:szCs w:val="16"/>
          <w:color w:val="auto"/>
        </w:rPr>
      </w:pPr>
    </w:p>
    <w:p>
      <w:pPr>
        <w:ind w:right="300" w:firstLine="233"/>
        <w:spacing w:after="0" w:line="281" w:lineRule="auto"/>
        <w:tabs>
          <w:tab w:leader="none" w:pos="52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Organization</w:t>
      </w:r>
      <w:r>
        <w:rPr>
          <w:rFonts w:ascii="Arial" w:cs="Arial" w:eastAsia="Arial" w:hAnsi="Arial"/>
          <w:sz w:val="17"/>
          <w:szCs w:val="17"/>
          <w:color w:val="auto"/>
        </w:rPr>
        <w:t>. At each meeting of stockholders, the Chairman of the Board of Directors (if one shall have been elected, or, in his absence or if one</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have been elected, the Chief Executive Officer, or in the absence of the Chief Executive Officer, such officer as the Board of Directors may designate) shall act as chairman of the meeting. The Secretary (or, in his absence or inability to act, the person whom the chairman of the meeting shall appoint secretary of the meeting) shall act as secretary of the meeting and keep the minutes thereof.</w:t>
      </w:r>
    </w:p>
    <w:p>
      <w:pPr>
        <w:spacing w:after="0" w:line="56" w:lineRule="exact"/>
        <w:rPr>
          <w:rFonts w:ascii="Arial" w:cs="Arial" w:eastAsia="Arial" w:hAnsi="Arial"/>
          <w:sz w:val="17"/>
          <w:szCs w:val="17"/>
          <w:color w:val="auto"/>
        </w:rPr>
      </w:pPr>
    </w:p>
    <w:p>
      <w:pPr>
        <w:ind w:left="520" w:hanging="287"/>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Order of Business</w:t>
      </w:r>
      <w:r>
        <w:rPr>
          <w:rFonts w:ascii="Arial" w:cs="Arial" w:eastAsia="Arial" w:hAnsi="Arial"/>
          <w:sz w:val="18"/>
          <w:szCs w:val="18"/>
          <w:color w:val="auto"/>
        </w:rPr>
        <w:t>. The order of business at all meetings of the stockholders shall be as determined by the chairman of the meeting.</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7" w:name="page78"/>
    <w:bookmarkEnd w:id="77"/>
    <w:p>
      <w:pPr>
        <w:ind w:firstLine="233"/>
        <w:spacing w:after="0" w:line="256" w:lineRule="auto"/>
        <w:tabs>
          <w:tab w:leader="none" w:pos="45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Voting</w:t>
      </w:r>
      <w:r>
        <w:rPr>
          <w:rFonts w:ascii="Arial" w:cs="Arial" w:eastAsia="Arial" w:hAnsi="Arial"/>
          <w:sz w:val="18"/>
          <w:szCs w:val="18"/>
          <w:color w:val="auto"/>
        </w:rPr>
        <w:t>. Except as otherwise provided by the Certificate of Incorporation or the General Corporation Law of the State of Delaware, each stockholder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be entitled at each meeting of stockholders to one (1) vote for each share of capital stock of the Corporation standing in his name on the record of stockholders of the Corporation: (a) on the date fixed pursuant to the provisions of Section (G) of Article VII of these Bylaws as the record date for the determination of the stockholders who shall be entitled to notice of and to vote at such meeting; or (b) if no such record date shall have been so fixed, then at the close of business on the day next preceding the day on which notice thereof shall be given, or, if notice is waived, at the close of business on the date next preceding the day on which the meeting is held.</w:t>
      </w:r>
    </w:p>
    <w:p>
      <w:pPr>
        <w:spacing w:after="0" w:line="84"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Each stockholder entitled to vote at any meeting of stockholders may authorize another person or persons to act for him or her by a proxy that is in writing or transmitted as permitted by law, including, without limitation, electronically, via telegram, internet, interactive voice response system, or other means of electronic transmission executed or authorized by such stockholder or his attorney-in-fact, but no proxy shall be voted after (3) three years from its date, unless the proxy provides for a longer period. Any such proxy shall be delivered to the secretary of the meeting at or prior to the time designated in the order of business for so delivering such proxies. Any proxy transmitted electronically shall set forth information from which it can be determined by the secretary of the meeting that such electronic transmission was authorized by the stockholder. When a quorum is present at any meeting, the vote of the holders of a majority of the voting power of the issued and outstanding stock of the Corporation entitled to vote thereon, present and voting, in person or represented by proxy, shall decide any question brought before such meeting, unless the question is one upon which by express provision of statute or of the Certificate of Incorporation or of these Bylaws, a different vote is required, in which case such express provision shall govern and control the decision of such question. Unless required by statute, or determined by the chairman of the meeting to be advisable, the vote on any question need not be by ballot. On a vote by ballot, each ballot shall be signed by the stockholder voting, or by his proxy, if there be such proxy, and shall state the number of shares voted and the number of votes to which each share is entitled.</w:t>
      </w:r>
    </w:p>
    <w:p>
      <w:pPr>
        <w:spacing w:after="0" w:line="68" w:lineRule="exact"/>
        <w:rPr>
          <w:sz w:val="20"/>
          <w:szCs w:val="20"/>
          <w:color w:val="auto"/>
        </w:rPr>
      </w:pPr>
    </w:p>
    <w:p>
      <w:pPr>
        <w:ind w:right="60" w:firstLine="233"/>
        <w:spacing w:after="0" w:line="271"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Inspectors</w:t>
      </w:r>
      <w:r>
        <w:rPr>
          <w:rFonts w:ascii="Arial" w:cs="Arial" w:eastAsia="Arial" w:hAnsi="Arial"/>
          <w:sz w:val="17"/>
          <w:szCs w:val="17"/>
          <w:color w:val="auto"/>
        </w:rPr>
        <w:t>. The Board of Directors may, in advance of any meeting of stockholders, appoint one or more inspectors to act at such meeting or any</w:t>
      </w:r>
      <w:r>
        <w:rPr>
          <w:rFonts w:ascii="Arial" w:cs="Arial" w:eastAsia="Arial" w:hAnsi="Arial"/>
          <w:sz w:val="17"/>
          <w:szCs w:val="17"/>
          <w:b w:val="1"/>
          <w:bCs w:val="1"/>
          <w:color w:val="auto"/>
        </w:rPr>
        <w:t xml:space="preserve"> </w:t>
      </w:r>
      <w:r>
        <w:rPr>
          <w:rFonts w:ascii="Arial" w:cs="Arial" w:eastAsia="Arial" w:hAnsi="Arial"/>
          <w:sz w:val="17"/>
          <w:szCs w:val="17"/>
          <w:color w:val="auto"/>
        </w:rPr>
        <w:t>adjournment thereof. If any of the inspectors so appointed shall fail to appear or act, then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 The inspectors shall determine the number of shares of capital stock of the Corporation outstanding and the voting power of each, the number of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execute a certificate of any fact found by them. No director or candidate for the office of director shall act as an inspector of an election of directors.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Inspectors need not be stockholders.</w:t>
      </w:r>
    </w:p>
    <w:p>
      <w:pPr>
        <w:spacing w:after="0" w:line="99" w:lineRule="exact"/>
        <w:rPr>
          <w:sz w:val="20"/>
          <w:szCs w:val="20"/>
          <w:color w:val="auto"/>
        </w:rPr>
      </w:pPr>
    </w:p>
    <w:p>
      <w:pPr>
        <w:ind w:right="20" w:firstLine="233"/>
        <w:spacing w:after="0" w:line="295" w:lineRule="auto"/>
        <w:tabs>
          <w:tab w:leader="none" w:pos="52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Advance Notice Provisions for Election of Directors</w:t>
      </w:r>
      <w:r>
        <w:rPr>
          <w:rFonts w:ascii="Arial" w:cs="Arial" w:eastAsia="Arial" w:hAnsi="Arial"/>
          <w:sz w:val="16"/>
          <w:szCs w:val="16"/>
          <w:color w:val="auto"/>
        </w:rPr>
        <w:t>. Only persons who are nominated in accordance with the following procedures shall be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for election as directors of the Corporation. Nominations of persons for election to the Board of Directors may be made at any annual meeting of stockholders, or at any special meeting of stockholders called for the purpose of electing directors as provided under Section (D) of this Article II, (a) by or at the direction of the Board of Directors (or any duly authorized committee thereof) (subject to Section A(1) of Article IV of these Bylaws) or (b) by any stockholder of the Corporation (i) who is a stockholder of record on the date of the giving of the notice provided for in this Section (K) and on the record date for the determination of stockholders entitled to vote at such meeting and (ii) who complies with the notice procedures set forth in this Section (K).</w:t>
      </w:r>
    </w:p>
    <w:p>
      <w:pPr>
        <w:spacing w:after="0" w:line="5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addition to any other applicable requirements, for a nomination to be made by a stockholder, such stockholder must have given timely notice thereof in proper written form to the Secretary of the Corporation.</w:t>
      </w:r>
    </w:p>
    <w:p>
      <w:pPr>
        <w:spacing w:after="0" w:line="62"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To be timely, a stockholder’s notice to the Secretary must be delivered to or mailed and received at the principal executive offices of the Corporation (a) in the case of an annual meeting,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 and (b)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71" w:lineRule="exact"/>
        <w:rPr>
          <w:sz w:val="20"/>
          <w:szCs w:val="20"/>
          <w:color w:val="auto"/>
        </w:rPr>
      </w:pPr>
    </w:p>
    <w:p>
      <w:pPr>
        <w:ind w:right="240" w:firstLine="222"/>
        <w:spacing w:after="0" w:line="291" w:lineRule="auto"/>
        <w:rPr>
          <w:sz w:val="20"/>
          <w:szCs w:val="20"/>
          <w:color w:val="auto"/>
        </w:rPr>
      </w:pPr>
      <w:r>
        <w:rPr>
          <w:rFonts w:ascii="Arial" w:cs="Arial" w:eastAsia="Arial" w:hAnsi="Arial"/>
          <w:sz w:val="16"/>
          <w:szCs w:val="16"/>
          <w:color w:val="auto"/>
        </w:rPr>
        <w:t>To be in proper written form, a stockholder’s notice to the Secretary must set forth (a) as to each person whom the stockholder proposes to nominate for election as a director (i) the name, age, business address and residence address of the person, (ii) the principal occupation or employment of the person,</w:t>
      </w:r>
    </w:p>
    <w:p>
      <w:pPr>
        <w:ind w:firstLine="8"/>
        <w:spacing w:after="0" w:line="269" w:lineRule="auto"/>
        <w:tabs>
          <w:tab w:leader="none" w:pos="31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class or series and number of shares of capital stock of the Corporation which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the rules and regulations promulgated thereunder; and (b) as to the stockholder giving the notice (i) the name and record address of such stockholder, (ii) the class or series and number of shares of capital stock of the Corporation which are owned beneficially or of record by such stockholder, (iii) a description of all arrangements or understandings between such stockholder and each proposed nominee and any other person or persons (including their names) pursuant to which the nomination(s) are to be made by such stockholder,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9" w:name="page80"/>
    <w:bookmarkEnd w:id="79"/>
    <w:p>
      <w:pPr>
        <w:ind w:right="160" w:firstLine="8"/>
        <w:spacing w:after="0" w:line="302" w:lineRule="auto"/>
        <w:tabs>
          <w:tab w:leader="none" w:pos="30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representation that such stockholder intends to appear in person or by proxy at the meeting to nominate the persons named in its notice; and (v)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46"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No person shall be eligible for election as a director of the Corporation unless nominated in accordance with the procedures set forth in this Section (K).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69" w:lineRule="exact"/>
        <w:rPr>
          <w:sz w:val="20"/>
          <w:szCs w:val="20"/>
          <w:color w:val="auto"/>
        </w:rPr>
      </w:pPr>
    </w:p>
    <w:p>
      <w:pPr>
        <w:ind w:right="20" w:firstLine="233"/>
        <w:spacing w:after="0" w:line="274" w:lineRule="auto"/>
        <w:tabs>
          <w:tab w:leader="none" w:pos="50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Advance Notice Provisions for Business to be Transacted at Annual Meeting</w:t>
      </w:r>
      <w:r>
        <w:rPr>
          <w:rFonts w:ascii="Arial" w:cs="Arial" w:eastAsia="Arial" w:hAnsi="Arial"/>
          <w:sz w:val="17"/>
          <w:szCs w:val="17"/>
          <w:color w:val="auto"/>
        </w:rPr>
        <w:t>. No business may be transacted at an annual meeting of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stockholder of the Corporation (i) who is a stockholder of record on the date of the giving of the notice provided for in this Section (L) and on the record date for the determination of stockholders entitled to vote at such annual meeting and (ii) who complies with the notice procedures set forth in this Section (L).</w:t>
      </w:r>
    </w:p>
    <w:p>
      <w:pPr>
        <w:spacing w:after="0" w:line="70"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6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To be timely, a stockholder’s notice to the Secretary must be delivered to or mailed and received at the principal executive offices of the Corporation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w:t>
      </w:r>
    </w:p>
    <w:p>
      <w:pPr>
        <w:spacing w:after="0" w:line="85"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To be in proper written form, a stockholder’s notice to the Secretary must set forth as to each matter such stockholder proposes to bring before the annual meeting (a) a brief description of the business desired to be brought before the annual meeting and the reasons for conducting such business at the annual meeting, (b) the name and record address of such stockholder, (c) the class or series and number of shares of capital stock of the Corporation which are owned beneficially or of record by such stockholder, (d) a description of all arrangements or understandings between such stockholder and any other person or persons (including their names) in connection with the proposal of such business by such stockholder and any material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0" w:name="page81"/>
    <w:bookmarkEnd w:id="80"/>
    <w:p>
      <w:pPr>
        <w:ind w:right="140"/>
        <w:spacing w:after="0" w:line="277" w:lineRule="auto"/>
        <w:rPr>
          <w:sz w:val="20"/>
          <w:szCs w:val="20"/>
          <w:color w:val="auto"/>
        </w:rPr>
      </w:pPr>
      <w:r>
        <w:rPr>
          <w:rFonts w:ascii="Arial" w:cs="Arial" w:eastAsia="Arial" w:hAnsi="Arial"/>
          <w:sz w:val="18"/>
          <w:szCs w:val="18"/>
          <w:color w:val="auto"/>
        </w:rPr>
        <w:t>interest of such stockholder in such business; and (e) a representation that such stockholder intends to appear in person or by proxy at the annual meeting to bring such business before the meeting.</w:t>
      </w:r>
    </w:p>
    <w:p>
      <w:pPr>
        <w:spacing w:after="0" w:line="62"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No business shall be conducted at the annual meeting of stockholders except business brought before the annual meeting in accordance with the procedures set forth in this Section (L); provided, however, that, once business has been properly brought before the annual meeting in accordance with such procedures, nothing in this Section (L)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27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DIRECTORS</w:t>
      </w:r>
    </w:p>
    <w:p>
      <w:pPr>
        <w:spacing w:after="0" w:line="99" w:lineRule="exact"/>
        <w:rPr>
          <w:sz w:val="20"/>
          <w:szCs w:val="20"/>
          <w:color w:val="auto"/>
        </w:rPr>
      </w:pPr>
    </w:p>
    <w:p>
      <w:pPr>
        <w:ind w:right="380" w:firstLine="233"/>
        <w:spacing w:after="0" w:line="266"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General Powers</w:t>
      </w:r>
      <w:r>
        <w:rPr>
          <w:rFonts w:ascii="Arial" w:cs="Arial" w:eastAsia="Arial" w:hAnsi="Arial"/>
          <w:sz w:val="18"/>
          <w:szCs w:val="18"/>
          <w:color w:val="auto"/>
        </w:rPr>
        <w:t>. The business and affairs of the Corporation shall be managed by or under the direction of the Board of Directors.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exercise all such authority and powers of the Corporation and do all such lawful acts and things as are not by statute or the Certificate of Incorporation directed or required to be exercised or done by the stockholders.</w:t>
      </w:r>
    </w:p>
    <w:p>
      <w:pPr>
        <w:spacing w:after="0" w:line="68" w:lineRule="exact"/>
        <w:rPr>
          <w:rFonts w:ascii="Arial" w:cs="Arial" w:eastAsia="Arial" w:hAnsi="Arial"/>
          <w:sz w:val="18"/>
          <w:szCs w:val="18"/>
          <w:color w:val="auto"/>
        </w:rPr>
      </w:pPr>
    </w:p>
    <w:p>
      <w:pPr>
        <w:ind w:firstLine="233"/>
        <w:spacing w:after="0" w:line="261" w:lineRule="auto"/>
        <w:tabs>
          <w:tab w:leader="none" w:pos="51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Number and Election</w:t>
      </w:r>
      <w:r>
        <w:rPr>
          <w:rFonts w:ascii="Arial" w:cs="Arial" w:eastAsia="Arial" w:hAnsi="Arial"/>
          <w:sz w:val="18"/>
          <w:szCs w:val="18"/>
          <w:color w:val="auto"/>
        </w:rPr>
        <w:t>. The number of directors constituting the whole board as of the date of the approval of these Bylaws shall be [five (5)] but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increased or decreased from time to time by the Board of Directors; provided, however, that (a) the number of directors shall not be fewer than five (5) or greater than nine (9) and (b) no decrease in the number of directors shall shorten the term of any incumbent director. Except as otherwise provided by the Bylaws, the directors shall be elected at the annual meeting of stockholders</w:t>
      </w:r>
    </w:p>
    <w:p>
      <w:pPr>
        <w:spacing w:after="0" w:line="71" w:lineRule="exact"/>
        <w:rPr>
          <w:rFonts w:ascii="Arial" w:cs="Arial" w:eastAsia="Arial" w:hAnsi="Arial"/>
          <w:sz w:val="18"/>
          <w:szCs w:val="18"/>
          <w:color w:val="auto"/>
        </w:rPr>
      </w:pPr>
    </w:p>
    <w:p>
      <w:pPr>
        <w:ind w:right="40" w:firstLine="233"/>
        <w:spacing w:after="0" w:line="274" w:lineRule="auto"/>
        <w:tabs>
          <w:tab w:leader="none" w:pos="51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Resignations, Newly Created Directorships, Vacancies and Removals</w:t>
      </w:r>
      <w:r>
        <w:rPr>
          <w:rFonts w:ascii="Arial" w:cs="Arial" w:eastAsia="Arial" w:hAnsi="Arial"/>
          <w:sz w:val="17"/>
          <w:szCs w:val="17"/>
          <w:color w:val="auto"/>
        </w:rPr>
        <w:t>. Any director of the Corporation may resign at any time by giving notice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or by electronic transmission of his resignation to the Corporation. Any such resignation shall take effect at the time specified therein or, if the time when it shall become effective shall not be specified therein, immediately upon its receipt. Unless otherwise specified therein, the acceptance of such resignation shall not be necessary to make it effective. Newly created directorships resulting from any increase in the number of directors or any vacancies in the Board of Directors resulting from death, resignation, retirement, disqualification, removal or any other cause shall be filled as provided in the Certificate of Incorporation. Any director may be removed as provided in the Certificate of Incorporation.</w:t>
      </w:r>
    </w:p>
    <w:p>
      <w:pPr>
        <w:spacing w:after="0" w:line="65" w:lineRule="exact"/>
        <w:rPr>
          <w:rFonts w:ascii="Arial" w:cs="Arial" w:eastAsia="Arial" w:hAnsi="Arial"/>
          <w:sz w:val="17"/>
          <w:szCs w:val="17"/>
          <w:color w:val="auto"/>
        </w:rPr>
      </w:pPr>
    </w:p>
    <w:p>
      <w:pPr>
        <w:ind w:left="520" w:hanging="287"/>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Place of Meetings</w:t>
      </w:r>
      <w:r>
        <w:rPr>
          <w:rFonts w:ascii="Arial" w:cs="Arial" w:eastAsia="Arial" w:hAnsi="Arial"/>
          <w:sz w:val="18"/>
          <w:szCs w:val="18"/>
          <w:color w:val="auto"/>
        </w:rPr>
        <w:t>. The Board of Directors may hold meetings, both regular and special, either within or without the State of Delaware.</w:t>
      </w:r>
    </w:p>
    <w:p>
      <w:pPr>
        <w:spacing w:after="0" w:line="117" w:lineRule="exact"/>
        <w:rPr>
          <w:rFonts w:ascii="Arial" w:cs="Arial" w:eastAsia="Arial" w:hAnsi="Arial"/>
          <w:sz w:val="18"/>
          <w:szCs w:val="18"/>
          <w:color w:val="auto"/>
        </w:rPr>
      </w:pPr>
    </w:p>
    <w:p>
      <w:pPr>
        <w:jc w:val="both"/>
        <w:ind w:right="180" w:firstLine="233"/>
        <w:spacing w:after="0" w:line="266"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Annual Meeting</w:t>
      </w:r>
      <w:r>
        <w:rPr>
          <w:rFonts w:ascii="Arial" w:cs="Arial" w:eastAsia="Arial" w:hAnsi="Arial"/>
          <w:sz w:val="18"/>
          <w:szCs w:val="18"/>
          <w:color w:val="auto"/>
        </w:rPr>
        <w:t>. The Board of Directors shall meet for the purpose of organization, the election of officers and the transaction of other business, as</w:t>
      </w:r>
      <w:r>
        <w:rPr>
          <w:rFonts w:ascii="Arial" w:cs="Arial" w:eastAsia="Arial" w:hAnsi="Arial"/>
          <w:sz w:val="18"/>
          <w:szCs w:val="18"/>
          <w:b w:val="1"/>
          <w:bCs w:val="1"/>
          <w:color w:val="auto"/>
        </w:rPr>
        <w:t xml:space="preserve"> </w:t>
      </w:r>
      <w:r>
        <w:rPr>
          <w:rFonts w:ascii="Arial" w:cs="Arial" w:eastAsia="Arial" w:hAnsi="Arial"/>
          <w:sz w:val="18"/>
          <w:szCs w:val="18"/>
          <w:color w:val="auto"/>
        </w:rPr>
        <w:t>soon as practicable after each annual meeting of stockholders (which, if required by law, shall be on the same day and at the same place where such annual meeting of stockholders shall be held). In the event</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1" w:name="page82"/>
    <w:bookmarkEnd w:id="81"/>
    <w:p>
      <w:pPr>
        <w:ind w:right="560"/>
        <w:spacing w:after="0" w:line="277" w:lineRule="auto"/>
        <w:rPr>
          <w:sz w:val="20"/>
          <w:szCs w:val="20"/>
          <w:color w:val="auto"/>
        </w:rPr>
      </w:pPr>
      <w:r>
        <w:rPr>
          <w:rFonts w:ascii="Arial" w:cs="Arial" w:eastAsia="Arial" w:hAnsi="Arial"/>
          <w:sz w:val="18"/>
          <w:szCs w:val="18"/>
          <w:color w:val="auto"/>
        </w:rPr>
        <w:t>such annual meeting is not so held, the annual meeting of the Board of Directors may be held at such other time or place (within or outside the State of Delaware) as shall be specified in a notice thereof given as hereinafter provided in Section (H) of this Article III.</w:t>
      </w:r>
    </w:p>
    <w:p>
      <w:pPr>
        <w:spacing w:after="0" w:line="58" w:lineRule="exact"/>
        <w:rPr>
          <w:sz w:val="20"/>
          <w:szCs w:val="20"/>
          <w:color w:val="auto"/>
        </w:rPr>
      </w:pPr>
    </w:p>
    <w:p>
      <w:pPr>
        <w:jc w:val="both"/>
        <w:ind w:firstLine="233"/>
        <w:spacing w:after="0" w:line="266" w:lineRule="auto"/>
        <w:tabs>
          <w:tab w:leader="none" w:pos="49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Regular Meetings</w:t>
      </w:r>
      <w:r>
        <w:rPr>
          <w:rFonts w:ascii="Arial" w:cs="Arial" w:eastAsia="Arial" w:hAnsi="Arial"/>
          <w:sz w:val="18"/>
          <w:szCs w:val="18"/>
          <w:color w:val="auto"/>
        </w:rPr>
        <w:t>. Regular meetings of the Board of Directors shall be held at such time and place as the Board of Directors may fix. If any day fixed</w:t>
      </w:r>
      <w:r>
        <w:rPr>
          <w:rFonts w:ascii="Arial" w:cs="Arial" w:eastAsia="Arial" w:hAnsi="Arial"/>
          <w:sz w:val="18"/>
          <w:szCs w:val="18"/>
          <w:b w:val="1"/>
          <w:bCs w:val="1"/>
          <w:color w:val="auto"/>
        </w:rPr>
        <w:t xml:space="preserve"> </w:t>
      </w:r>
      <w:r>
        <w:rPr>
          <w:rFonts w:ascii="Arial" w:cs="Arial" w:eastAsia="Arial" w:hAnsi="Arial"/>
          <w:sz w:val="18"/>
          <w:szCs w:val="18"/>
          <w:color w:val="auto"/>
        </w:rPr>
        <w:t>for a regular meeting shall be a legal holiday at the place where the meeting is to be held, then the meeting which would otherwise be held on that day shall be held at the same hour on the next succeeding business day.</w:t>
      </w:r>
    </w:p>
    <w:p>
      <w:pPr>
        <w:spacing w:after="0" w:line="68" w:lineRule="exact"/>
        <w:rPr>
          <w:rFonts w:ascii="Arial" w:cs="Arial" w:eastAsia="Arial" w:hAnsi="Arial"/>
          <w:sz w:val="18"/>
          <w:szCs w:val="18"/>
          <w:color w:val="auto"/>
        </w:rPr>
      </w:pPr>
    </w:p>
    <w:p>
      <w:pPr>
        <w:ind w:right="240" w:firstLine="233"/>
        <w:spacing w:after="0" w:line="282"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Special Meetings</w:t>
      </w:r>
      <w:r>
        <w:rPr>
          <w:rFonts w:ascii="Arial" w:cs="Arial" w:eastAsia="Arial" w:hAnsi="Arial"/>
          <w:sz w:val="18"/>
          <w:szCs w:val="18"/>
          <w:color w:val="auto"/>
        </w:rPr>
        <w:t>. Special meetings of the Board of Directors may be called by the Chairman of the Board or by two (2) or more directors or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w:t>
      </w:r>
    </w:p>
    <w:p>
      <w:pPr>
        <w:spacing w:after="0" w:line="53" w:lineRule="exact"/>
        <w:rPr>
          <w:rFonts w:ascii="Arial" w:cs="Arial" w:eastAsia="Arial" w:hAnsi="Arial"/>
          <w:sz w:val="18"/>
          <w:szCs w:val="18"/>
          <w:color w:val="auto"/>
        </w:rPr>
      </w:pPr>
    </w:p>
    <w:p>
      <w:pPr>
        <w:ind w:right="40" w:firstLine="233"/>
        <w:spacing w:after="0" w:line="270" w:lineRule="auto"/>
        <w:tabs>
          <w:tab w:leader="none" w:pos="52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Notice of Meetings</w:t>
      </w:r>
      <w:r>
        <w:rPr>
          <w:rFonts w:ascii="Arial" w:cs="Arial" w:eastAsia="Arial" w:hAnsi="Arial"/>
          <w:sz w:val="17"/>
          <w:szCs w:val="17"/>
          <w:color w:val="auto"/>
        </w:rPr>
        <w:t>. Notice of regular meetings of the Board of Directors need not be given except as otherwise required by law or these Bylaws.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each special meeting of the Board of Directors, and of each regular and annual meeting of the Board of Directors for which notice shall be required, shall be given by the Secretary as hereinafter provided in this Section (H), in which notice shall be stated the time and place of the meeting. Except as otherwise required by these Bylaws, such notice need not state the purposes of such meeting. Notice of any special meeting, and of any regular or annual meeting for which notice is required, shall be given to each director at least (a) twelve (12) hours before the meeting if by telephone or by being personally delivered or sent by telex, telecopy, email or similar means, or (b) three (3) days before the meeting if delivered by mail to the director’s residence or usual place of business. Such notice shall be deemed to be delivered when deposited in the United States mail so addressed, with postage prepaid, or when transmitted if sent by telex, telecopy, or similar means. Neither the business to be transacted at, nor the purpose of, any special meeting of the Board of Directors need be specified in the notice or waiver of notice of such meeting. Any director may waive notice of any meeting by a writing signed by the director entitled to the notice and filed with the minutes or corporate records.</w:t>
      </w:r>
    </w:p>
    <w:p>
      <w:pPr>
        <w:spacing w:after="0" w:line="69" w:lineRule="exact"/>
        <w:rPr>
          <w:rFonts w:ascii="Arial" w:cs="Arial" w:eastAsia="Arial" w:hAnsi="Arial"/>
          <w:sz w:val="17"/>
          <w:szCs w:val="17"/>
          <w:color w:val="auto"/>
        </w:rPr>
      </w:pPr>
    </w:p>
    <w:p>
      <w:pPr>
        <w:ind w:right="140" w:firstLine="233"/>
        <w:spacing w:after="0" w:line="295" w:lineRule="auto"/>
        <w:tabs>
          <w:tab w:leader="none" w:pos="45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Waiver of Notice and Presumption of Assent</w:t>
      </w:r>
      <w:r>
        <w:rPr>
          <w:rFonts w:ascii="Arial" w:cs="Arial" w:eastAsia="Arial" w:hAnsi="Arial"/>
          <w:sz w:val="16"/>
          <w:szCs w:val="16"/>
          <w:color w:val="auto"/>
        </w:rPr>
        <w:t>. Any member of the Board of Directors or any committee thereof who is present at a meeting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conclusively presumed to have waived notice of such meeting except when such member attends for the express purpose of objecting at the beginning of the meeting to the transaction of any business because the meeting is not lawfully called or convened. Such member shall be conclusively 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47" w:lineRule="exact"/>
        <w:rPr>
          <w:rFonts w:ascii="Arial" w:cs="Arial" w:eastAsia="Arial" w:hAnsi="Arial"/>
          <w:sz w:val="16"/>
          <w:szCs w:val="16"/>
          <w:color w:val="auto"/>
        </w:rPr>
      </w:pPr>
    </w:p>
    <w:p>
      <w:pPr>
        <w:ind w:firstLine="233"/>
        <w:spacing w:after="0" w:line="261"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Quorum; Manner of Action</w:t>
      </w:r>
      <w:r>
        <w:rPr>
          <w:rFonts w:ascii="Arial" w:cs="Arial" w:eastAsia="Arial" w:hAnsi="Arial"/>
          <w:sz w:val="18"/>
          <w:szCs w:val="18"/>
          <w:color w:val="auto"/>
        </w:rPr>
        <w:t>. A majority of the entire Board of Directors shall constitute a quorum for the transaction of business at any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and, except as otherwise expressly required by statute or the Certificate of Incorporation or these Bylaws, the act of a majority of the directors present at any meeting at which a quorum is present shall be the act of the Board of Directors. In the absence of a quorum at any meeting of the Board of Directors, a majority of the directors present thereat may adjourn such meeting to</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2" w:name="page83"/>
    <w:bookmarkEnd w:id="82"/>
    <w:p>
      <w:pPr>
        <w:ind w:right="80"/>
        <w:spacing w:after="0" w:line="279" w:lineRule="auto"/>
        <w:rPr>
          <w:sz w:val="20"/>
          <w:szCs w:val="20"/>
          <w:color w:val="auto"/>
        </w:rPr>
      </w:pPr>
      <w:r>
        <w:rPr>
          <w:rFonts w:ascii="Arial" w:cs="Arial" w:eastAsia="Arial" w:hAnsi="Arial"/>
          <w:sz w:val="17"/>
          <w:szCs w:val="17"/>
          <w:color w:val="auto"/>
        </w:rPr>
        <w:t>another time and place. Notice of the time and place of any such adjourned meeting shall be given to all of the directors unless such time and place were announced at the meeting at which the adjournment was taken, in which case such notice shall only be given to the directors who were not present thereat. At any adjourned meeting at which a quorum is present, any business may be transacted which might have been transacted at the meeting as originally called. The directors shall act only as a Board of Directors and the individual directors shall have no power as such.</w:t>
      </w:r>
    </w:p>
    <w:p>
      <w:pPr>
        <w:spacing w:after="0" w:line="59" w:lineRule="exact"/>
        <w:rPr>
          <w:sz w:val="20"/>
          <w:szCs w:val="20"/>
          <w:color w:val="auto"/>
        </w:rPr>
      </w:pPr>
    </w:p>
    <w:p>
      <w:pPr>
        <w:ind w:right="80" w:firstLine="233"/>
        <w:spacing w:after="0" w:line="261"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 At each meeting of the Board of Directors, the Chairman of the Board of Directors, if one shall have been elected, or, in the absence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Chairman of the Board of Directors or if one shall not have been elected, the Chief Executive Officer (or, in his absence, another director chosen by a majority of the directors present) shall act as chairman of the meeting and preside thereat. The Secretary or, in his absence, any person appointed by the chairman of the meeting, shall act as secretary of the meeting and keep the minutes thereof.</w:t>
      </w:r>
    </w:p>
    <w:p>
      <w:pPr>
        <w:spacing w:after="0" w:line="71" w:lineRule="exact"/>
        <w:rPr>
          <w:rFonts w:ascii="Arial" w:cs="Arial" w:eastAsia="Arial" w:hAnsi="Arial"/>
          <w:sz w:val="18"/>
          <w:szCs w:val="18"/>
          <w:color w:val="auto"/>
        </w:rPr>
      </w:pPr>
    </w:p>
    <w:p>
      <w:pPr>
        <w:ind w:right="240" w:firstLine="233"/>
        <w:spacing w:after="0" w:line="282"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 The Board of Directors shall have authority to fix the compensation, including fees and reimbursement of expenses, of directors for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the Corporation in any capacity.</w:t>
      </w:r>
    </w:p>
    <w:p>
      <w:pPr>
        <w:spacing w:after="0" w:line="53" w:lineRule="exact"/>
        <w:rPr>
          <w:rFonts w:ascii="Arial" w:cs="Arial" w:eastAsia="Arial" w:hAnsi="Arial"/>
          <w:sz w:val="18"/>
          <w:szCs w:val="18"/>
          <w:color w:val="auto"/>
        </w:rPr>
      </w:pPr>
    </w:p>
    <w:p>
      <w:pPr>
        <w:ind w:firstLine="233"/>
        <w:spacing w:after="0" w:line="258" w:lineRule="auto"/>
        <w:tabs>
          <w:tab w:leader="none" w:pos="55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Action by Consent</w:t>
      </w:r>
      <w:r>
        <w:rPr>
          <w:rFonts w:ascii="Arial" w:cs="Arial" w:eastAsia="Arial" w:hAnsi="Arial"/>
          <w:sz w:val="18"/>
          <w:szCs w:val="18"/>
          <w:color w:val="auto"/>
        </w:rPr>
        <w:t>. Unless restricted by the Certificate of Incorporation, any action required or permitted to be taken by the Board of Directors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thereof may be taken without a meeting if all members of the Board of Directors or such committee, as the case may be, consent thereto in writing or by electronic transmission, and the writing or writings are filed with the minutes of the proceedings of the Board of Directors or such committee, as the case may be. Such filing shall be in paper form if the minutes are maintained in paper form and shall be in electronic form if the minutes are maintained in electronic form.</w:t>
      </w:r>
    </w:p>
    <w:p>
      <w:pPr>
        <w:spacing w:after="0" w:line="75" w:lineRule="exact"/>
        <w:rPr>
          <w:rFonts w:ascii="Arial" w:cs="Arial" w:eastAsia="Arial" w:hAnsi="Arial"/>
          <w:sz w:val="18"/>
          <w:szCs w:val="18"/>
          <w:color w:val="auto"/>
        </w:rPr>
      </w:pPr>
    </w:p>
    <w:p>
      <w:pPr>
        <w:ind w:right="20" w:firstLine="233"/>
        <w:spacing w:after="0" w:line="261"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Meetings by Telephone or Similar Communications</w:t>
      </w:r>
      <w:r>
        <w:rPr>
          <w:rFonts w:ascii="Arial" w:cs="Arial" w:eastAsia="Arial" w:hAnsi="Arial"/>
          <w:sz w:val="18"/>
          <w:szCs w:val="18"/>
          <w:color w:val="auto"/>
        </w:rPr>
        <w:t>. Unless restricted by the Certificate of Incorporation, any one or more members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any committee thereof may participate in a meeting of the Board of Directors or such committee by means of a conference telephone or other communications equipment by means of which all persons participating in the meeting can hear each other. Participation by such means shall constitute presence in person at a meeting.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99" w:lineRule="exact"/>
        <w:rPr>
          <w:sz w:val="20"/>
          <w:szCs w:val="20"/>
          <w:color w:val="auto"/>
        </w:rPr>
      </w:pPr>
    </w:p>
    <w:p>
      <w:pPr>
        <w:ind w:right="100" w:firstLine="233"/>
        <w:spacing w:after="0" w:line="289" w:lineRule="auto"/>
        <w:tabs>
          <w:tab w:leader="none" w:pos="52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Committees</w:t>
      </w:r>
      <w:r>
        <w:rPr>
          <w:rFonts w:ascii="Arial" w:cs="Arial" w:eastAsia="Arial" w:hAnsi="Arial"/>
          <w:sz w:val="17"/>
          <w:szCs w:val="17"/>
          <w:color w:val="auto"/>
        </w:rPr>
        <w:t>. The Board of Directors, by resolutions adopted by a majority of the whole Board, may appoint such committee or committees as it shall</w:t>
      </w:r>
      <w:r>
        <w:rPr>
          <w:rFonts w:ascii="Arial" w:cs="Arial" w:eastAsia="Arial" w:hAnsi="Arial"/>
          <w:sz w:val="17"/>
          <w:szCs w:val="17"/>
          <w:b w:val="1"/>
          <w:bCs w:val="1"/>
          <w:color w:val="auto"/>
        </w:rPr>
        <w:t xml:space="preserve"> </w:t>
      </w:r>
      <w:r>
        <w:rPr>
          <w:rFonts w:ascii="Arial" w:cs="Arial" w:eastAsia="Arial" w:hAnsi="Arial"/>
          <w:sz w:val="17"/>
          <w:szCs w:val="17"/>
          <w:color w:val="auto"/>
        </w:rPr>
        <w:t>deem advisable and with such functions and duties as the Board of Directors shall prescribe. The following Committees of the Board of Directors shall be established in addition to any additional Committee the Board of Directors may in its discretion establish as described herein:</w:t>
      </w:r>
    </w:p>
    <w:p>
      <w:pPr>
        <w:spacing w:after="0" w:line="50" w:lineRule="exact"/>
        <w:rPr>
          <w:rFonts w:ascii="Arial" w:cs="Arial" w:eastAsia="Arial" w:hAnsi="Arial"/>
          <w:sz w:val="17"/>
          <w:szCs w:val="17"/>
          <w:color w:val="auto"/>
        </w:rPr>
      </w:pPr>
    </w:p>
    <w:p>
      <w:pPr>
        <w:ind w:left="240" w:right="240" w:firstLine="221"/>
        <w:spacing w:after="0" w:line="266" w:lineRule="auto"/>
        <w:tabs>
          <w:tab w:leader="none" w:pos="720"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Audit Committee</w:t>
      </w:r>
      <w:r>
        <w:rPr>
          <w:rFonts w:ascii="Arial" w:cs="Arial" w:eastAsia="Arial" w:hAnsi="Arial"/>
          <w:sz w:val="18"/>
          <w:szCs w:val="18"/>
          <w:color w:val="auto"/>
        </w:rPr>
        <w:t>. There shall be an Audit Committee composed of at least of three directors. The members of the Audit Committee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persons” of the Corporation, as such term is defined in the 1940 Act, and shall be “independent directors” as defined in applicable listing standards and regulations. The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3" w:name="page84"/>
    <w:bookmarkEnd w:id="83"/>
    <w:p>
      <w:pPr>
        <w:ind w:right="20"/>
        <w:spacing w:after="0" w:line="257" w:lineRule="auto"/>
        <w:rPr>
          <w:sz w:val="20"/>
          <w:szCs w:val="20"/>
          <w:color w:val="auto"/>
        </w:rPr>
      </w:pPr>
      <w:r>
        <w:rPr>
          <w:rFonts w:ascii="Arial" w:cs="Arial" w:eastAsia="Arial" w:hAnsi="Arial"/>
          <w:sz w:val="18"/>
          <w:szCs w:val="18"/>
          <w:color w:val="auto"/>
        </w:rPr>
        <w:t>Audit Committee shall have and may exercise those rights, powers and authority of the Board of Directors as may from time to time be granted to it by the Board of Directors; provided, however, that in addition to any such rights, powers or authority, the Audit Committee shall issue instructions to and receive reports from outside accounting firms and serve as the liaison between the Corporation and the said firms; and review all potential conflict-of-interest situations arising in respect of the Corporation’s affairs and involving the Corporation’s affiliates or employees, and to make a report, oral or written, to the full Board of Directors with recommendations for their resolutions.</w:t>
      </w:r>
    </w:p>
    <w:p>
      <w:pPr>
        <w:spacing w:after="0" w:line="76" w:lineRule="exact"/>
        <w:rPr>
          <w:sz w:val="20"/>
          <w:szCs w:val="20"/>
          <w:color w:val="auto"/>
        </w:rPr>
      </w:pPr>
    </w:p>
    <w:p>
      <w:pPr>
        <w:ind w:firstLine="221"/>
        <w:spacing w:after="0" w:line="285" w:lineRule="auto"/>
        <w:tabs>
          <w:tab w:leader="none" w:pos="48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IPO Committee</w:t>
      </w:r>
      <w:r>
        <w:rPr>
          <w:rFonts w:ascii="Arial" w:cs="Arial" w:eastAsia="Arial" w:hAnsi="Arial"/>
          <w:sz w:val="16"/>
          <w:szCs w:val="16"/>
          <w:color w:val="auto"/>
        </w:rPr>
        <w:t>. There shall be an IPO Committee composed of at least three directors. The IPO Committee shall serve in an advisory capacity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entire Board of Directors with respect to matters relating to an initial public offering of the Corporation, including: (i) the preparation and filing with the Securities and Exchange Commission under the Securities Act of 1933, as amended, of one or more Registration Statements on Form S-1, with exhibits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including post-effective amendments, and any supplements to the prospectus or prospectuses contained therein as counsel for the Corporation may deem necessary or advisable or appropriate; (ii) the issuance and sale of shares of the Corporation’s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par value $0.01 per share, plus the grant of an option to purchase (and the issuance and sale upon exercise of such option) additional shares of Common Stock to cover over-allotments, if any, to a group of underwriters (the “</w:t>
      </w:r>
      <w:r>
        <w:rPr>
          <w:rFonts w:ascii="Arial" w:cs="Arial" w:eastAsia="Arial" w:hAnsi="Arial"/>
          <w:sz w:val="16"/>
          <w:szCs w:val="16"/>
          <w:u w:val="single" w:color="auto"/>
          <w:color w:val="auto"/>
        </w:rPr>
        <w:t>Underwriters</w:t>
      </w:r>
      <w:r>
        <w:rPr>
          <w:rFonts w:ascii="Arial" w:cs="Arial" w:eastAsia="Arial" w:hAnsi="Arial"/>
          <w:sz w:val="16"/>
          <w:szCs w:val="16"/>
          <w:color w:val="auto"/>
        </w:rPr>
        <w:t>”); (iii) the negotiation and finalization of the terms and conditions of an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between the Corporation and the Underwriters relating to the public offering of shares of the Common Stock, including the determination of the consideration to be obtained by the Corporation upon the sale of shares of the Common Stock to the Underwriters pursuant to the Underwriting Agreement; (iv) the determination that, when issued and paid for pursuant to the Underwriting Agreement, all shares of the Common Stock, sold by the Corporation to the Underwriters, shall be validly issued, fully paid and nonassessable; and (v) the authorization of the Chairman of the Board, the President and Chief Executive Officer, the Chief Financial Officer and the General Counsel, and each of them, to take all such further action, and to execute and deliver all such further instruments and documents, and to make such filings, in the name and on behalf of the Corporation, and whether under its corporate seal attested by its Secretary or otherwise, and to cause the Corporation to pay such expenses, as in their judgment shall be necessary or desirable in order fully to carry out the intent and accomplish the purpose of the foregoing, the taking of any such further action, the execution of any such further instruments or documents, the making of any such filings or the payment of any such expenses to be conclusive evidence of such judgment. Notwithstanding anything to the contrary contained in this Article IV, any determination to (x) pursue an initial public offering of the Company or (y) take any action with respect to the matters described in Section (A)(2) of this Article IV shall, in either case, be prescribed by a resolution passed by a majority of the entire Board of Directors; provided, however, that in making such determination, the Board of Directors shall take into consideration any recommendations of the IPO Committee.</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84" w:name="page85"/>
    <w:bookmarkEnd w:id="84"/>
    <w:p>
      <w:pPr>
        <w:ind w:left="240" w:right="40" w:firstLine="221"/>
        <w:spacing w:after="0" w:line="255" w:lineRule="auto"/>
        <w:tabs>
          <w:tab w:leader="none" w:pos="72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Other Committees</w:t>
      </w:r>
      <w:r>
        <w:rPr>
          <w:rFonts w:ascii="Arial" w:cs="Arial" w:eastAsia="Arial" w:hAnsi="Arial"/>
          <w:sz w:val="18"/>
          <w:szCs w:val="18"/>
          <w:color w:val="auto"/>
        </w:rPr>
        <w:t>. The Board of Directors, by resolution passed by a majority of the entire Board of Directors, may designate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committees, each committee to consist of one or more of the directors of the Corporation. Subject to subsection (1) of this Section (A), the Board of Directors may designate one or more directors as alternate members of any committee, who may replace any absent or disqualified member at any meeting of the committee. Except to the extent restricted by statute or the Certificate of Incorporation, each such committee, to the extent provided in the resolution creating it, shall have and may exercise all the powers and authority of the Board of Directors and may authorize the seal of the Corporation to be affixed to all papers which require it. Each such committee shall serve at the pleasure of the Board of Directors and shall have such name as may be determined from time to time by resolution adopted by the Board of Directors. Each committee shall keep regular minutes of its meetings and report the same to the Board of Directors.</w:t>
      </w:r>
    </w:p>
    <w:p>
      <w:pPr>
        <w:spacing w:after="0" w:line="77" w:lineRule="exact"/>
        <w:rPr>
          <w:rFonts w:ascii="Arial" w:cs="Arial" w:eastAsia="Arial" w:hAnsi="Arial"/>
          <w:sz w:val="18"/>
          <w:szCs w:val="18"/>
          <w:color w:val="auto"/>
        </w:rPr>
      </w:pPr>
    </w:p>
    <w:p>
      <w:pPr>
        <w:ind w:right="20" w:firstLine="233"/>
        <w:spacing w:after="0" w:line="273" w:lineRule="auto"/>
        <w:tabs>
          <w:tab w:leader="none" w:pos="51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Committee Rules</w:t>
      </w:r>
      <w:r>
        <w:rPr>
          <w:rFonts w:ascii="Arial" w:cs="Arial" w:eastAsia="Arial" w:hAnsi="Arial"/>
          <w:sz w:val="17"/>
          <w:szCs w:val="17"/>
          <w:color w:val="auto"/>
        </w:rPr>
        <w:t>. Each committee of the Board of Directors may fix its own rules of procedure and shall hold its meetings as provided by such rules,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may otherwise be provided by a resolution of the Board of Directors designating such committee or in these Bylaws. Unless otherwise provided in such a resolution or in these Bylaws, the presence of at least a majority of the members of the committee shall be necessary to constitute a quorum. Unless otherwise provided by resolution or in these Bylaws, in the event that a member and that member’s alternate, if alternates are designated by the Board of Directors as provided in Section (A)(2) of this Article IV,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28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OFFICERS</w:t>
      </w:r>
    </w:p>
    <w:p>
      <w:pPr>
        <w:spacing w:after="0" w:line="99" w:lineRule="exact"/>
        <w:rPr>
          <w:sz w:val="20"/>
          <w:szCs w:val="20"/>
          <w:color w:val="auto"/>
        </w:rPr>
      </w:pPr>
    </w:p>
    <w:p>
      <w:pPr>
        <w:ind w:left="520" w:hanging="287"/>
        <w:spacing w:after="0"/>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Number and Qualifications</w:t>
      </w:r>
      <w:r>
        <w:rPr>
          <w:rFonts w:ascii="Arial" w:cs="Arial" w:eastAsia="Arial" w:hAnsi="Arial"/>
          <w:sz w:val="17"/>
          <w:szCs w:val="17"/>
          <w:color w:val="auto"/>
        </w:rPr>
        <w:t>. The officers of the Corporation, who need not be employees of the Corporation, shall be elected by the Board of</w:t>
      </w:r>
    </w:p>
    <w:p>
      <w:pPr>
        <w:spacing w:after="0" w:line="38" w:lineRule="exact"/>
        <w:rPr>
          <w:rFonts w:ascii="Arial" w:cs="Arial" w:eastAsia="Arial" w:hAnsi="Arial"/>
          <w:sz w:val="17"/>
          <w:szCs w:val="17"/>
          <w:color w:val="auto"/>
        </w:rPr>
      </w:pPr>
    </w:p>
    <w:p>
      <w:pPr>
        <w:spacing w:after="0" w:line="287" w:lineRule="auto"/>
        <w:rPr>
          <w:rFonts w:ascii="Arial" w:cs="Arial" w:eastAsia="Arial" w:hAnsi="Arial"/>
          <w:sz w:val="17"/>
          <w:szCs w:val="17"/>
          <w:color w:val="auto"/>
        </w:rPr>
      </w:pPr>
      <w:r>
        <w:rPr>
          <w:rFonts w:ascii="Arial" w:cs="Arial" w:eastAsia="Arial" w:hAnsi="Arial"/>
          <w:sz w:val="16"/>
          <w:szCs w:val="16"/>
          <w:color w:val="auto"/>
        </w:rPr>
        <w:t>Directors and shall include the Chief Executive Officer, the Chief Financial Officer, the Chief Compliance Officer, and the Secretary. The Corporation, at the discretion of the Board of Directors, may also have such other officers as are desired, including a Chairman of the Board of Directors, a President, one or more Vice Presidents, a Chief Operating Officer, a Chief Investment Officer, a Treasurer, one or more Assistant Treasurers, one or more Assistant Secretaries, and such other officers as may be necessary or desirable for the business of the Corporation. If there are two or more Vice Presidents, then one or more may be designated as Executive Vice President, Senior Vice President, Assistant Vice President or other similar or dissimilar title. At the time of the election of officers, the directors may by resolution determine the order of their rank. Any number of offices may be held by the same person, and no officer (except the Chairman of the Board of Directors, if any) need be a director. In its discretion, the Board of Directors may choose not to fill any office for any period as it may deem advisable, except that the offices of Chief Executive Officer and the Secretary shall be filled as expeditiously as possible.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5" w:name="page86"/>
    <w:bookmarkEnd w:id="85"/>
    <w:p>
      <w:pPr>
        <w:ind w:left="-40" w:right="60" w:firstLine="233"/>
        <w:spacing w:after="0" w:line="256" w:lineRule="auto"/>
        <w:tabs>
          <w:tab w:leader="none" w:pos="47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Election and Term of Office</w:t>
      </w:r>
      <w:r>
        <w:rPr>
          <w:rFonts w:ascii="Arial" w:cs="Arial" w:eastAsia="Arial" w:hAnsi="Arial"/>
          <w:sz w:val="18"/>
          <w:szCs w:val="18"/>
          <w:color w:val="auto"/>
        </w:rPr>
        <w:t>. The officers of the Corporation shall be elected annually by the Board of Directors at its first meeting held after each</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 or as soon thereafter as is convenient. The Chairman of the Board of Directors (if one is elected) and Chief Executive Officer shall be elected annually by the Board of Directors at the first meeting of the Board of Directors held after each annual meeting of stockholders or as soon thereafter as is convenient. Vacancies may be filled or new offices created and filled at any meeting of the Board of Directors. Each officer shall hold office until his successor shall have been duly elected and shall have qualified, or until his death, or until he or she shall have resigned or have been removed, as hereinafter provided in these Bylaws.</w:t>
      </w:r>
    </w:p>
    <w:p>
      <w:pPr>
        <w:spacing w:after="0" w:line="79" w:lineRule="exact"/>
        <w:rPr>
          <w:rFonts w:ascii="Arial" w:cs="Arial" w:eastAsia="Arial" w:hAnsi="Arial"/>
          <w:sz w:val="18"/>
          <w:szCs w:val="18"/>
          <w:color w:val="auto"/>
        </w:rPr>
      </w:pPr>
    </w:p>
    <w:p>
      <w:pPr>
        <w:ind w:left="-40" w:firstLine="233"/>
        <w:spacing w:after="0" w:line="289" w:lineRule="auto"/>
        <w:tabs>
          <w:tab w:leader="none" w:pos="47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Resignations</w:t>
      </w:r>
      <w:r>
        <w:rPr>
          <w:rFonts w:ascii="Arial" w:cs="Arial" w:eastAsia="Arial" w:hAnsi="Arial"/>
          <w:sz w:val="17"/>
          <w:szCs w:val="17"/>
          <w:color w:val="auto"/>
        </w:rPr>
        <w:t>. Any officer of the Corporation may resign at any time by giving written notice of his resignation to the Corporation.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resignation shall take effect at the time specified therein or, if the time when it shall become effective shall not be specified therein, immediately upon receipt. Unless otherwise specified therein, the acceptance of any such resignation shall not be necessary to make it effective.</w:t>
      </w:r>
    </w:p>
    <w:p>
      <w:pPr>
        <w:spacing w:after="0" w:line="50" w:lineRule="exact"/>
        <w:rPr>
          <w:rFonts w:ascii="Arial" w:cs="Arial" w:eastAsia="Arial" w:hAnsi="Arial"/>
          <w:sz w:val="17"/>
          <w:szCs w:val="17"/>
          <w:color w:val="auto"/>
        </w:rPr>
      </w:pPr>
    </w:p>
    <w:p>
      <w:pPr>
        <w:ind w:left="480" w:hanging="287"/>
        <w:spacing w:after="0"/>
        <w:tabs>
          <w:tab w:leader="none" w:pos="48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Removal</w:t>
      </w:r>
      <w:r>
        <w:rPr>
          <w:rFonts w:ascii="Arial" w:cs="Arial" w:eastAsia="Arial" w:hAnsi="Arial"/>
          <w:sz w:val="16"/>
          <w:szCs w:val="16"/>
          <w:color w:val="auto"/>
        </w:rPr>
        <w:t>. Any officer of the Corporation may be removed, either with or without cause, at any time, by the Board of Directors at any meeting thereof.</w:t>
      </w:r>
    </w:p>
    <w:p>
      <w:pPr>
        <w:spacing w:after="0" w:line="140" w:lineRule="exact"/>
        <w:rPr>
          <w:rFonts w:ascii="Arial" w:cs="Arial" w:eastAsia="Arial" w:hAnsi="Arial"/>
          <w:sz w:val="16"/>
          <w:szCs w:val="16"/>
          <w:color w:val="auto"/>
        </w:rPr>
      </w:pPr>
    </w:p>
    <w:p>
      <w:pPr>
        <w:ind w:left="-40" w:right="220" w:firstLine="233"/>
        <w:spacing w:after="0" w:line="282"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Vacancies</w:t>
      </w:r>
      <w:r>
        <w:rPr>
          <w:rFonts w:ascii="Arial" w:cs="Arial" w:eastAsia="Arial" w:hAnsi="Arial"/>
          <w:sz w:val="18"/>
          <w:szCs w:val="18"/>
          <w:color w:val="auto"/>
        </w:rPr>
        <w:t>. Any vacancy occurring in any office because of death, resignation, removal, disqualification or otherwise, may be filled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for the unexpired portion of the term by the Board of Directors then in office.</w:t>
      </w:r>
    </w:p>
    <w:p>
      <w:pPr>
        <w:spacing w:after="0" w:line="53" w:lineRule="exact"/>
        <w:rPr>
          <w:rFonts w:ascii="Arial" w:cs="Arial" w:eastAsia="Arial" w:hAnsi="Arial"/>
          <w:sz w:val="18"/>
          <w:szCs w:val="18"/>
          <w:color w:val="auto"/>
        </w:rPr>
      </w:pPr>
    </w:p>
    <w:p>
      <w:pPr>
        <w:ind w:left="-40" w:right="160" w:firstLine="233"/>
        <w:spacing w:after="0" w:line="266" w:lineRule="auto"/>
        <w:tabs>
          <w:tab w:leader="none" w:pos="45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Chairman of the Board</w:t>
      </w:r>
      <w:r>
        <w:rPr>
          <w:rFonts w:ascii="Arial" w:cs="Arial" w:eastAsia="Arial" w:hAnsi="Arial"/>
          <w:sz w:val="18"/>
          <w:szCs w:val="18"/>
          <w:color w:val="auto"/>
        </w:rPr>
        <w:t>. The Chairman of the Board of Directors (if such an officer be elected) shall, if present, preside at all meetings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and exercise and perform such other powers and duties as from time to time may be assigned to him or her by the Board of Directors or prescribed by these Bylaws.</w:t>
      </w:r>
    </w:p>
    <w:p>
      <w:pPr>
        <w:spacing w:after="0" w:line="68" w:lineRule="exact"/>
        <w:rPr>
          <w:rFonts w:ascii="Arial" w:cs="Arial" w:eastAsia="Arial" w:hAnsi="Arial"/>
          <w:sz w:val="18"/>
          <w:szCs w:val="18"/>
          <w:color w:val="auto"/>
        </w:rPr>
      </w:pPr>
    </w:p>
    <w:p>
      <w:pPr>
        <w:ind w:left="-40" w:firstLine="233"/>
        <w:spacing w:after="0" w:line="290" w:lineRule="auto"/>
        <w:tabs>
          <w:tab w:leader="none" w:pos="48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Chief Executive Officer</w:t>
      </w:r>
      <w:r>
        <w:rPr>
          <w:rFonts w:ascii="Arial" w:cs="Arial" w:eastAsia="Arial" w:hAnsi="Arial"/>
          <w:sz w:val="16"/>
          <w:szCs w:val="16"/>
          <w:color w:val="auto"/>
        </w:rPr>
        <w:t>. The Chief Executive Officer shall be the chief executive officer of the Corporation and shall have the powers and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the duties incident to that position. He or she shall, in the absence of the Chairman of the Board of Directors, or if a Chairman of the Board of Directors shall not have been elected, preside at each meeting of the Board of Directors or the stockholders. He or she shall have the right to attend the meetings of the Board of Directors and all committees of the Board of Directors. Subject to the powers of the Board of Directors, he or she shall be in the general and active charge of the entire business and affairs of the Corporation, including authority over its officers, agents and employees, and shall have such other duties as may from time to time be assigned to him or her by the Board of Directors. The Chief Executive Officer shall be responsible for implementing all orders and resolutions of the Board of Directors, and shall execute bonds, mortgages and other contracts required to be executed under the seal of the Corporation, except when required or permitted by law to be otherwise signed and executed and except when the signing and execution thereof shall be expressly delegated by the Board of Directors or the Chief Executive Officer to some other officer or agent of the Corporation.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86" w:name="page87"/>
    <w:bookmarkEnd w:id="86"/>
    <w:p>
      <w:pPr>
        <w:ind w:left="520" w:hanging="287"/>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Chief Financial Officer; Treasurer</w:t>
      </w:r>
      <w:r>
        <w:rPr>
          <w:rFonts w:ascii="Arial" w:cs="Arial" w:eastAsia="Arial" w:hAnsi="Arial"/>
          <w:sz w:val="18"/>
          <w:szCs w:val="18"/>
          <w:color w:val="auto"/>
        </w:rPr>
        <w:t>. The Chief Financial Officer:</w:t>
      </w:r>
    </w:p>
    <w:p>
      <w:pPr>
        <w:spacing w:after="0" w:line="121" w:lineRule="exact"/>
        <w:rPr>
          <w:rFonts w:ascii="Arial" w:cs="Arial" w:eastAsia="Arial" w:hAnsi="Arial"/>
          <w:sz w:val="18"/>
          <w:szCs w:val="18"/>
          <w:color w:val="auto"/>
        </w:rPr>
      </w:pPr>
    </w:p>
    <w:p>
      <w:pPr>
        <w:ind w:left="720" w:hanging="259"/>
        <w:spacing w:after="0"/>
        <w:tabs>
          <w:tab w:leader="none" w:pos="7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Shall have charge and custody of, and be responsible for, all the funds and securities of the Corporation;</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Shall keep full and accurate accounts of receipts and disbursements in books belonging to the Corporation;</w:t>
      </w:r>
    </w:p>
    <w:p>
      <w:pPr>
        <w:spacing w:after="0" w:line="117" w:lineRule="exact"/>
        <w:rPr>
          <w:rFonts w:ascii="Arial" w:cs="Arial" w:eastAsia="Arial" w:hAnsi="Arial"/>
          <w:sz w:val="18"/>
          <w:szCs w:val="18"/>
          <w:color w:val="auto"/>
        </w:rPr>
      </w:pPr>
    </w:p>
    <w:p>
      <w:pPr>
        <w:ind w:left="240" w:firstLine="221"/>
        <w:spacing w:after="0" w:line="277" w:lineRule="auto"/>
        <w:tabs>
          <w:tab w:leader="none" w:pos="7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Shall deposit all moneys and other valuables to the credit of the Corporation in such depositories as may be designated by the Board of Directors or pursuant to its direction;</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Shall receive, and give receipts for, moneys due and payable to the Corporation from any source whatsoever;</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Shall disburse the funds of the Corporation and supervise the investments of its funds, taking proper vouchers therefore;</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Shall render to the Board of Directors, whenever the Board of Directors may require, an account of the financial condition of the Corporation; and</w:t>
      </w:r>
    </w:p>
    <w:p>
      <w:pPr>
        <w:spacing w:after="0" w:line="140" w:lineRule="exact"/>
        <w:rPr>
          <w:rFonts w:ascii="Arial" w:cs="Arial" w:eastAsia="Arial" w:hAnsi="Arial"/>
          <w:sz w:val="16"/>
          <w:szCs w:val="16"/>
          <w:color w:val="auto"/>
        </w:rPr>
      </w:pPr>
    </w:p>
    <w:p>
      <w:pPr>
        <w:ind w:left="240" w:right="180" w:firstLine="221"/>
        <w:spacing w:after="0" w:line="277" w:lineRule="auto"/>
        <w:tabs>
          <w:tab w:leader="none" w:pos="7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Shall in general, perform all duties incident to the office of Chief Financial Officer and such other duties as from time to time may be assigned to him or her by the Board of Directors or the Chief Executive Officer.</w:t>
      </w:r>
    </w:p>
    <w:p>
      <w:pPr>
        <w:spacing w:after="0" w:line="62"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The Chief Financial Officer may also be the Treasurer of the Corporation if so determined by the Board of Directors. The Treasurer shall assist the Chief Financial Officer in the performance of his duties and shall perform such other duties as may be required by law or as from time to time may be assigned to such officer by the Board of Directors or the Chief Executive Officer.</w:t>
      </w:r>
    </w:p>
    <w:p>
      <w:pPr>
        <w:spacing w:after="0" w:line="69" w:lineRule="exact"/>
        <w:rPr>
          <w:sz w:val="20"/>
          <w:szCs w:val="20"/>
          <w:color w:val="auto"/>
        </w:rPr>
      </w:pPr>
    </w:p>
    <w:p>
      <w:pPr>
        <w:ind w:left="460" w:hanging="227"/>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Secretary</w:t>
      </w:r>
      <w:r>
        <w:rPr>
          <w:rFonts w:ascii="Arial" w:cs="Arial" w:eastAsia="Arial" w:hAnsi="Arial"/>
          <w:sz w:val="18"/>
          <w:szCs w:val="18"/>
          <w:color w:val="auto"/>
        </w:rPr>
        <w:t>. The Secretary:</w:t>
      </w:r>
    </w:p>
    <w:p>
      <w:pPr>
        <w:spacing w:after="0" w:line="121" w:lineRule="exact"/>
        <w:rPr>
          <w:rFonts w:ascii="Arial" w:cs="Arial" w:eastAsia="Arial" w:hAnsi="Arial"/>
          <w:sz w:val="18"/>
          <w:szCs w:val="18"/>
          <w:color w:val="auto"/>
        </w:rPr>
      </w:pPr>
    </w:p>
    <w:p>
      <w:pPr>
        <w:ind w:left="240" w:firstLine="221"/>
        <w:spacing w:after="0" w:line="277" w:lineRule="auto"/>
        <w:tabs>
          <w:tab w:leader="none" w:pos="7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Shall keep or cause to be kept in one or more books provided for the purpose, the minutes of all meetings of the Board of Directors, the committees of the Board of Directors and the stockholders;</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Shall verify all notices are duly given in accordance with the provisions of these Bylaws and as required by law;</w:t>
      </w:r>
    </w:p>
    <w:p>
      <w:pPr>
        <w:spacing w:after="0" w:line="117" w:lineRule="exact"/>
        <w:rPr>
          <w:rFonts w:ascii="Arial" w:cs="Arial" w:eastAsia="Arial" w:hAnsi="Arial"/>
          <w:sz w:val="18"/>
          <w:szCs w:val="18"/>
          <w:color w:val="auto"/>
        </w:rPr>
      </w:pPr>
    </w:p>
    <w:p>
      <w:pPr>
        <w:ind w:left="240" w:right="80" w:firstLine="221"/>
        <w:spacing w:after="0" w:line="264" w:lineRule="auto"/>
        <w:tabs>
          <w:tab w:leader="none" w:pos="7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Shall be custodian of the records and the seal of the Corporation and affix and attest the seal to all certificates for shares of the Corporation (unless the seal of the Corporation on such certificates shall be a facsimile, as hereinafter provided) and affix and attest the seal to all other documents to be executed on behalf of the Corporation under its seal;</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2" w:right="319" w:bottom="1440" w:gutter="0" w:footer="0" w:header="0"/>
        </w:sectPr>
      </w:pPr>
    </w:p>
    <w:bookmarkStart w:id="87" w:name="page88"/>
    <w:bookmarkEnd w:id="87"/>
    <w:p>
      <w:pPr>
        <w:ind w:left="220" w:right="160" w:firstLine="221"/>
        <w:spacing w:after="0" w:line="277" w:lineRule="auto"/>
        <w:tabs>
          <w:tab w:leader="none" w:pos="7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Shall verify that the books, reports, statements, certificates and other documents and records required by law to be kept and filed are properly kept and filed; and</w:t>
      </w:r>
    </w:p>
    <w:p>
      <w:pPr>
        <w:spacing w:after="0" w:line="62" w:lineRule="exact"/>
        <w:rPr>
          <w:rFonts w:ascii="Arial" w:cs="Arial" w:eastAsia="Arial" w:hAnsi="Arial"/>
          <w:sz w:val="18"/>
          <w:szCs w:val="18"/>
          <w:color w:val="auto"/>
        </w:rPr>
      </w:pPr>
    </w:p>
    <w:p>
      <w:pPr>
        <w:ind w:left="220" w:right="180" w:firstLine="221"/>
        <w:spacing w:after="0" w:line="277" w:lineRule="auto"/>
        <w:tabs>
          <w:tab w:leader="none" w:pos="7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Shall, in general, perform all duties incident to the office of Secretary and such other duties as from time to time may be assigned to him or her by the Board of Directors or the Chief Executive Officer.</w:t>
      </w:r>
    </w:p>
    <w:p>
      <w:pPr>
        <w:spacing w:after="0" w:line="58" w:lineRule="exact"/>
        <w:rPr>
          <w:rFonts w:ascii="Arial" w:cs="Arial" w:eastAsia="Arial" w:hAnsi="Arial"/>
          <w:sz w:val="18"/>
          <w:szCs w:val="18"/>
          <w:color w:val="auto"/>
        </w:rPr>
      </w:pPr>
    </w:p>
    <w:p>
      <w:pPr>
        <w:ind w:left="-20" w:firstLine="233"/>
        <w:spacing w:after="0" w:line="258" w:lineRule="auto"/>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Chief Compliance Officer</w:t>
      </w:r>
      <w:r>
        <w:rPr>
          <w:rFonts w:ascii="Arial" w:cs="Arial" w:eastAsia="Arial" w:hAnsi="Arial"/>
          <w:sz w:val="18"/>
          <w:szCs w:val="18"/>
          <w:color w:val="auto"/>
        </w:rPr>
        <w:t>. The Chief Compliance Officer, subject to the direction of and reporting to the Board of Directors, shall be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oversight of the Corporation’s compliance with the Federal securities laws. The designation, compensation and removal of the Chief Compliance Officer must be approved by the Board of Directors, including a majority of the directors who are not “interested persons” (as such term is defined in Section 2(a)(19) of the 1940 Act) of the Corporation. The Chief Compliance Officer shall perform such executive, supervisory and management functions and duties as may be assigned to him or her from time to time.</w:t>
      </w:r>
    </w:p>
    <w:p>
      <w:pPr>
        <w:spacing w:after="0" w:line="75" w:lineRule="exact"/>
        <w:rPr>
          <w:rFonts w:ascii="Arial" w:cs="Arial" w:eastAsia="Arial" w:hAnsi="Arial"/>
          <w:sz w:val="18"/>
          <w:szCs w:val="18"/>
          <w:color w:val="auto"/>
        </w:rPr>
      </w:pPr>
    </w:p>
    <w:p>
      <w:pPr>
        <w:ind w:left="-20" w:right="80" w:firstLine="233"/>
        <w:spacing w:after="0" w:line="313" w:lineRule="auto"/>
        <w:tabs>
          <w:tab w:leader="none" w:pos="50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Other Officers, Assistant Officers and Agents</w:t>
      </w:r>
      <w:r>
        <w:rPr>
          <w:rFonts w:ascii="Arial" w:cs="Arial" w:eastAsia="Arial" w:hAnsi="Arial"/>
          <w:sz w:val="17"/>
          <w:szCs w:val="17"/>
          <w:color w:val="auto"/>
        </w:rPr>
        <w:t>. Officers, assistant officers and agents, if any, other than those whose duties are provided for in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Bylaws, shall have such authority and perform such duties as may from time to time be prescribed by resolution of the Board of Directors.</w:t>
      </w:r>
    </w:p>
    <w:p>
      <w:pPr>
        <w:spacing w:after="0" w:line="30" w:lineRule="exact"/>
        <w:rPr>
          <w:rFonts w:ascii="Arial" w:cs="Arial" w:eastAsia="Arial" w:hAnsi="Arial"/>
          <w:sz w:val="17"/>
          <w:szCs w:val="17"/>
          <w:color w:val="auto"/>
        </w:rPr>
      </w:pPr>
    </w:p>
    <w:p>
      <w:pPr>
        <w:ind w:left="-20" w:right="280" w:firstLine="233"/>
        <w:spacing w:after="0" w:line="282" w:lineRule="auto"/>
        <w:tabs>
          <w:tab w:leader="none" w:pos="4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Officers’ Bonds or Other Security</w:t>
      </w:r>
      <w:r>
        <w:rPr>
          <w:rFonts w:ascii="Arial" w:cs="Arial" w:eastAsia="Arial" w:hAnsi="Arial"/>
          <w:sz w:val="18"/>
          <w:szCs w:val="18"/>
          <w:color w:val="auto"/>
        </w:rPr>
        <w:t>. If required by the Board of Directors, any officer of the Corporation shall give a bond or other security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faithful performance of his duties, in such amount and with such surety as the Board of Directors may require.</w:t>
      </w:r>
    </w:p>
    <w:p>
      <w:pPr>
        <w:spacing w:after="0" w:line="53" w:lineRule="exact"/>
        <w:rPr>
          <w:rFonts w:ascii="Arial" w:cs="Arial" w:eastAsia="Arial" w:hAnsi="Arial"/>
          <w:sz w:val="18"/>
          <w:szCs w:val="18"/>
          <w:color w:val="auto"/>
        </w:rPr>
      </w:pPr>
    </w:p>
    <w:p>
      <w:pPr>
        <w:ind w:left="-20" w:firstLine="233"/>
        <w:spacing w:after="0" w:line="266" w:lineRule="auto"/>
        <w:tabs>
          <w:tab w:leader="none" w:pos="53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Absence or Disability of Officers</w:t>
      </w:r>
      <w:r>
        <w:rPr>
          <w:rFonts w:ascii="Arial" w:cs="Arial" w:eastAsia="Arial" w:hAnsi="Arial"/>
          <w:sz w:val="18"/>
          <w:szCs w:val="18"/>
          <w:color w:val="auto"/>
        </w:rPr>
        <w:t>. In the case of the absence or disability of any officer of the Corporation and of any person hereby authorized to act</w:t>
      </w:r>
      <w:r>
        <w:rPr>
          <w:rFonts w:ascii="Arial" w:cs="Arial" w:eastAsia="Arial" w:hAnsi="Arial"/>
          <w:sz w:val="18"/>
          <w:szCs w:val="18"/>
          <w:b w:val="1"/>
          <w:bCs w:val="1"/>
          <w:color w:val="auto"/>
        </w:rPr>
        <w:t xml:space="preserve"> </w:t>
      </w:r>
      <w:r>
        <w:rPr>
          <w:rFonts w:ascii="Arial" w:cs="Arial" w:eastAsia="Arial" w:hAnsi="Arial"/>
          <w:sz w:val="18"/>
          <w:szCs w:val="18"/>
          <w:color w:val="auto"/>
        </w:rPr>
        <w:t>in such officer’s place during such officer’s absence or disability, the Board of Directors may by resolution delegate the powers and duties of such officer to any other officer or to any director, or to any other person whom it may select.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EXCULPATION</w:t>
      </w:r>
    </w:p>
    <w:p>
      <w:pPr>
        <w:spacing w:after="0" w:line="99" w:lineRule="exact"/>
        <w:rPr>
          <w:sz w:val="20"/>
          <w:szCs w:val="20"/>
          <w:color w:val="auto"/>
        </w:rPr>
      </w:pPr>
    </w:p>
    <w:p>
      <w:pPr>
        <w:ind w:left="-20" w:right="120" w:firstLine="233"/>
        <w:spacing w:after="0" w:line="298" w:lineRule="auto"/>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Indemnification and the right to advancement of expenses of the officers and directors of the Corporation and the Corporation’s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adviser (TSL Advisers, LLC, and hereinafter, the “</w:t>
      </w:r>
      <w:r>
        <w:rPr>
          <w:rFonts w:ascii="Arial" w:cs="Arial" w:eastAsia="Arial" w:hAnsi="Arial"/>
          <w:sz w:val="16"/>
          <w:szCs w:val="16"/>
          <w:u w:val="single" w:color="auto"/>
          <w:color w:val="auto"/>
        </w:rPr>
        <w:t>Adviser</w:t>
      </w:r>
      <w:r>
        <w:rPr>
          <w:rFonts w:ascii="Arial" w:cs="Arial" w:eastAsia="Arial" w:hAnsi="Arial"/>
          <w:sz w:val="16"/>
          <w:szCs w:val="16"/>
          <w:color w:val="auto"/>
        </w:rPr>
        <w:t>”) shall be governed by Articles VII and VIII of the Certificate of Incorporation. As permitted by Article VIII of the Certificate of Incorporation, the Corporation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w:t>
      </w:r>
    </w:p>
    <w:p>
      <w:pPr>
        <w:spacing w:after="0" w:line="50" w:lineRule="exact"/>
        <w:rPr>
          <w:sz w:val="20"/>
          <w:szCs w:val="20"/>
          <w:color w:val="auto"/>
        </w:rPr>
      </w:pPr>
    </w:p>
    <w:p>
      <w:pPr>
        <w:ind w:left="440" w:hanging="224"/>
        <w:spacing w:after="0"/>
        <w:tabs>
          <w:tab w:leader="none" w:pos="4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is or was an officer, director, or other corporate agent of the Adviser or its affiliates, including without limitation the Administrator (as defined in the</w:t>
      </w:r>
    </w:p>
    <w:p>
      <w:pPr>
        <w:spacing w:after="0" w:line="209" w:lineRule="exact"/>
        <w:rPr>
          <w:rFonts w:ascii="Arial" w:cs="Arial" w:eastAsia="Arial" w:hAnsi="Arial"/>
          <w:sz w:val="17"/>
          <w:szCs w:val="17"/>
          <w:color w:val="auto"/>
        </w:rPr>
      </w:pPr>
    </w:p>
    <w:p>
      <w:pPr>
        <w:ind w:left="5600"/>
        <w:spacing w:after="0"/>
        <w:rPr>
          <w:rFonts w:ascii="Arial" w:cs="Arial" w:eastAsia="Arial" w:hAnsi="Arial"/>
          <w:sz w:val="17"/>
          <w:szCs w:val="17"/>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88" w:name="page89"/>
    <w:bookmarkEnd w:id="88"/>
    <w:p>
      <w:pPr>
        <w:ind w:left="240" w:right="480"/>
        <w:spacing w:after="0" w:line="266" w:lineRule="auto"/>
        <w:rPr>
          <w:sz w:val="20"/>
          <w:szCs w:val="20"/>
          <w:color w:val="auto"/>
        </w:rPr>
      </w:pPr>
      <w:r>
        <w:rPr>
          <w:rFonts w:ascii="Arial" w:cs="Arial" w:eastAsia="Arial" w:hAnsi="Arial"/>
          <w:sz w:val="18"/>
          <w:szCs w:val="18"/>
          <w:color w:val="auto"/>
        </w:rPr>
        <w:t xml:space="preserve">Administrator Agreement between TPG Specialty Lending, Inc. and TSL Advisers, LLC, dated </w:t>
      </w:r>
      <w:r>
        <w:rPr>
          <w:rFonts w:ascii="Arial" w:cs="Arial" w:eastAsia="Arial" w:hAnsi="Arial"/>
          <w:sz w:val="18"/>
          <w:szCs w:val="18"/>
          <w:b w:val="1"/>
          <w:bCs w:val="1"/>
          <w:color w:val="auto"/>
        </w:rPr>
        <w:t>[DATE]</w:t>
      </w:r>
      <w:r>
        <w:rPr>
          <w:rFonts w:ascii="Arial" w:cs="Arial" w:eastAsia="Arial" w:hAnsi="Arial"/>
          <w:sz w:val="18"/>
          <w:szCs w:val="18"/>
          <w:color w:val="auto"/>
        </w:rPr>
        <w:t xml:space="preserve">), or is or was a member of the Adviser’s Investment Review Committee (as defined in the Investment Advisory and Management Agreement Between TPG Specialty Lending, Inc. and TSL Advisers, LLC, dated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72" w:lineRule="exact"/>
        <w:rPr>
          <w:sz w:val="20"/>
          <w:szCs w:val="20"/>
          <w:color w:val="auto"/>
        </w:rPr>
      </w:pPr>
    </w:p>
    <w:p>
      <w:pPr>
        <w:ind w:left="240" w:right="260" w:hanging="4"/>
        <w:spacing w:after="0" w:line="264" w:lineRule="auto"/>
        <w:tabs>
          <w:tab w:leader="none" w:pos="5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 or was a director or officer of the Corporation, or is or was serving on behalf of the Corporation as a director or officer of another corporation (including but not limited to any subsidiary of the Corporation), partnership, limited liability company, joint venture, trust or other enterprise, including service with respect to an employee benefit plan; or</w:t>
      </w:r>
    </w:p>
    <w:p>
      <w:pPr>
        <w:spacing w:after="0" w:line="73" w:lineRule="exact"/>
        <w:rPr>
          <w:rFonts w:ascii="Arial" w:cs="Arial" w:eastAsia="Arial" w:hAnsi="Arial"/>
          <w:sz w:val="18"/>
          <w:szCs w:val="18"/>
          <w:color w:val="auto"/>
        </w:rPr>
      </w:pPr>
    </w:p>
    <w:p>
      <w:pPr>
        <w:ind w:left="560" w:hanging="324"/>
        <w:spacing w:after="0"/>
        <w:tabs>
          <w:tab w:leader="none" w:pos="5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 or was serving as an employee or agent of the Corporation to whom the Corporation has granted indemnification rights</w:t>
      </w:r>
    </w:p>
    <w:p>
      <w:pPr>
        <w:spacing w:after="0" w:line="11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(each such person,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on the same general terms set forth in Article VIII of the Certificate of Incorporation, the terms of which are incorporated herein </w:t>
      </w:r>
      <w:r>
        <w:rPr>
          <w:rFonts w:ascii="Arial" w:cs="Arial" w:eastAsia="Arial" w:hAnsi="Arial"/>
          <w:sz w:val="18"/>
          <w:szCs w:val="18"/>
          <w:i w:val="1"/>
          <w:iCs w:val="1"/>
          <w:color w:val="auto"/>
        </w:rPr>
        <w:t>mutatis mutandi</w:t>
      </w:r>
      <w:r>
        <w:rPr>
          <w:rFonts w:ascii="Arial" w:cs="Arial" w:eastAsia="Arial" w:hAnsi="Arial"/>
          <w:sz w:val="18"/>
          <w:szCs w:val="18"/>
          <w:color w:val="auto"/>
        </w:rPr>
        <w:t>.</w:t>
      </w:r>
    </w:p>
    <w:p>
      <w:pPr>
        <w:spacing w:after="0" w:line="62"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Notwithstanding the foregoing, indemnification under Article VIII of the Certificate of Incorporation shall not be permitted if the Indemnitee did not act in good faith with the reasonable belief that its conduct was in, or not opposed to, the best interest of the Corporation, or if the Indemnitee’s conduct constituted gross negligence, bad faith, reckless disregard, or willful misconduct.</w:t>
      </w:r>
    </w:p>
    <w:p>
      <w:pPr>
        <w:spacing w:after="0" w:line="69" w:lineRule="exact"/>
        <w:rPr>
          <w:sz w:val="20"/>
          <w:szCs w:val="20"/>
          <w:color w:val="auto"/>
        </w:rPr>
      </w:pPr>
    </w:p>
    <w:p>
      <w:pPr>
        <w:ind w:right="120" w:firstLine="233"/>
        <w:spacing w:after="0" w:line="282" w:lineRule="auto"/>
        <w:tabs>
          <w:tab w:leader="none" w:pos="51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Any determination by any court of competent jurisdiction of the invalidity of any provision of this Article VI will not affect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provision of this Article VI, which will remain in full force and effect.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CERTIFICATES AND THEIR TRANSFER</w:t>
      </w:r>
    </w:p>
    <w:p>
      <w:pPr>
        <w:spacing w:after="0" w:line="99" w:lineRule="exact"/>
        <w:rPr>
          <w:sz w:val="20"/>
          <w:szCs w:val="20"/>
          <w:color w:val="auto"/>
        </w:rPr>
      </w:pPr>
    </w:p>
    <w:p>
      <w:pPr>
        <w:ind w:firstLine="233"/>
        <w:spacing w:after="0" w:line="289" w:lineRule="auto"/>
        <w:tabs>
          <w:tab w:leader="none" w:pos="520"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Stock Certificates</w:t>
      </w:r>
      <w:r>
        <w:rPr>
          <w:rFonts w:ascii="Arial" w:cs="Arial" w:eastAsia="Arial" w:hAnsi="Arial"/>
          <w:sz w:val="16"/>
          <w:szCs w:val="16"/>
          <w:color w:val="auto"/>
        </w:rPr>
        <w:t>. The Board of Directors may issue stock certificates, or may provide by resolution or resolutions that some or all of any or all</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or series of stock of the Corporation shall be uncertificated shares of stock. Notwithstanding the adoption of such a resolution by the Board of Directors, every holder of stock represented by a certificate and, upon request, every holder of uncertificated shares shall be entitled to have a certificate, signed by, or in the name of the Corporation by, the Chief Executive Officer or other officer of the Corporation and by the Treasurer or an Assistant Treasurer or the Secretary or an Assistant Secretary of the Corporation, certifying the number of shares owned by him or her in the Corporation. A certificate representing shares issued by the Corporation shall, if the Corporation is authorized to issue more than one class or series of stock, set forth upon the face or back of the certificate, or shall state that the Corporation will furnish to any stockholder upon request and without charge, a full statement of the designations, preferences and relative, participating, optional or other special rights of each class of stock or series thereof and the qualifications, limitations or restrictions of such preferences and/or rights. The Corporation shall furnish to any holder of uncertificated shares, upon request and without charge, a full statement of the designations, preferences and relative, participating, optional or other special rights of each class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9" w:name="page90"/>
    <w:bookmarkEnd w:id="89"/>
    <w:p>
      <w:pPr>
        <w:ind w:right="120"/>
        <w:spacing w:after="0" w:line="277" w:lineRule="auto"/>
        <w:rPr>
          <w:sz w:val="20"/>
          <w:szCs w:val="20"/>
          <w:color w:val="auto"/>
        </w:rPr>
      </w:pPr>
      <w:r>
        <w:rPr>
          <w:rFonts w:ascii="Arial" w:cs="Arial" w:eastAsia="Arial" w:hAnsi="Arial"/>
          <w:sz w:val="18"/>
          <w:szCs w:val="18"/>
          <w:color w:val="auto"/>
        </w:rPr>
        <w:t>of stock or series thereof and the qualifications, limitations or restrictions of such preferences and/or rights. Any request by a holder for a certificate shall be in writing and directed to the Secretary of the Corporation.</w:t>
      </w:r>
    </w:p>
    <w:p>
      <w:pPr>
        <w:spacing w:after="0" w:line="58" w:lineRule="exact"/>
        <w:rPr>
          <w:sz w:val="20"/>
          <w:szCs w:val="20"/>
          <w:color w:val="auto"/>
        </w:rPr>
      </w:pPr>
    </w:p>
    <w:p>
      <w:pPr>
        <w:ind w:left="520" w:hanging="287"/>
        <w:spacing w:after="0"/>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Facsimile Signatures</w:t>
      </w:r>
      <w:r>
        <w:rPr>
          <w:rFonts w:ascii="Arial" w:cs="Arial" w:eastAsia="Arial" w:hAnsi="Arial"/>
          <w:sz w:val="17"/>
          <w:szCs w:val="17"/>
          <w:color w:val="auto"/>
        </w:rPr>
        <w:t>. Any or all of the signatures on a certificate may be a facsimile, engraved or printed. In case any officer, transfer agent or</w:t>
      </w:r>
    </w:p>
    <w:p>
      <w:pPr>
        <w:spacing w:after="0" w:line="38"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78" w:lineRule="exact"/>
        <w:rPr>
          <w:rFonts w:ascii="Arial" w:cs="Arial" w:eastAsia="Arial" w:hAnsi="Arial"/>
          <w:sz w:val="17"/>
          <w:szCs w:val="17"/>
          <w:color w:val="auto"/>
        </w:rPr>
      </w:pPr>
    </w:p>
    <w:p>
      <w:pPr>
        <w:ind w:right="100" w:firstLine="233"/>
        <w:spacing w:after="0" w:line="298" w:lineRule="auto"/>
        <w:tabs>
          <w:tab w:leader="none" w:pos="510"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Lost Certificates</w:t>
      </w:r>
      <w:r>
        <w:rPr>
          <w:rFonts w:ascii="Arial" w:cs="Arial" w:eastAsia="Arial" w:hAnsi="Arial"/>
          <w:sz w:val="16"/>
          <w:szCs w:val="16"/>
          <w:color w:val="auto"/>
        </w:rPr>
        <w:t>. The Board of Directors may direct a new certificate or certificates to be issued in place of any certificate or certificates theretofore</w:t>
      </w:r>
      <w:r>
        <w:rPr>
          <w:rFonts w:ascii="Arial" w:cs="Arial" w:eastAsia="Arial" w:hAnsi="Arial"/>
          <w:sz w:val="16"/>
          <w:szCs w:val="16"/>
          <w:b w:val="1"/>
          <w:bCs w:val="1"/>
          <w:color w:val="auto"/>
        </w:rPr>
        <w:t xml:space="preserve"> </w:t>
      </w:r>
      <w:r>
        <w:rPr>
          <w:rFonts w:ascii="Arial" w:cs="Arial" w:eastAsia="Arial" w:hAnsi="Arial"/>
          <w:sz w:val="16"/>
          <w:szCs w:val="16"/>
          <w:color w:val="auto"/>
        </w:rPr>
        <w:t>issued by the Corporation alleged to have been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the Corporation a bond in such sum as it may direct sufficient to indemnify it against any claim that may be made against the Corporation on account of the alleged loss, theft or destruction of any such certificate or the issuance of such new certificate.</w:t>
      </w:r>
    </w:p>
    <w:p>
      <w:pPr>
        <w:spacing w:after="0" w:line="46" w:lineRule="exact"/>
        <w:rPr>
          <w:rFonts w:ascii="Arial" w:cs="Arial" w:eastAsia="Arial" w:hAnsi="Arial"/>
          <w:sz w:val="16"/>
          <w:szCs w:val="16"/>
          <w:color w:val="auto"/>
        </w:rPr>
      </w:pPr>
    </w:p>
    <w:p>
      <w:pPr>
        <w:ind w:right="20" w:firstLine="233"/>
        <w:spacing w:after="0" w:line="256"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Transfers of Stock</w:t>
      </w:r>
      <w:r>
        <w:rPr>
          <w:rFonts w:ascii="Arial" w:cs="Arial" w:eastAsia="Arial" w:hAnsi="Arial"/>
          <w:sz w:val="18"/>
          <w:szCs w:val="18"/>
          <w:color w:val="auto"/>
        </w:rPr>
        <w:t>. Upon surrender to the Corporation or the transfer agent of the Corporation of a certificate for shares duly endorsed or</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accompanied by proper evidence of succession, assignment or authority to transfer, it shall be the duty of the Corporation to issue a new certificate to the person entitled thereto, cancel the old certificate and record the transaction upon its records; provided, however, that the Corporation shall be entitled to recognize and enforce any lawful restriction on transfer. Whenever any transfer of stock shall be made for collateral security, and not absolutely, it shall be so expressed in the entry of transfer if, when the certificates are presented to the Corporation for transfer, both the transferor and the transferee request the Corporation to do so.</w:t>
      </w:r>
    </w:p>
    <w:p>
      <w:pPr>
        <w:spacing w:after="0" w:line="79" w:lineRule="exact"/>
        <w:rPr>
          <w:rFonts w:ascii="Arial" w:cs="Arial" w:eastAsia="Arial" w:hAnsi="Arial"/>
          <w:sz w:val="18"/>
          <w:szCs w:val="18"/>
          <w:color w:val="auto"/>
        </w:rPr>
      </w:pPr>
    </w:p>
    <w:p>
      <w:pPr>
        <w:ind w:right="20" w:firstLine="233"/>
        <w:spacing w:after="0" w:line="282"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Transfer Agents and Registrars</w:t>
      </w:r>
      <w:r>
        <w:rPr>
          <w:rFonts w:ascii="Arial" w:cs="Arial" w:eastAsia="Arial" w:hAnsi="Arial"/>
          <w:sz w:val="18"/>
          <w:szCs w:val="18"/>
          <w:color w:val="auto"/>
        </w:rPr>
        <w:t>. The Board of Directors may appoint, or authorize any officer or officers to appoint, one or more transfer agents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registrars.</w:t>
      </w:r>
    </w:p>
    <w:p>
      <w:pPr>
        <w:spacing w:after="0" w:line="53" w:lineRule="exact"/>
        <w:rPr>
          <w:rFonts w:ascii="Arial" w:cs="Arial" w:eastAsia="Arial" w:hAnsi="Arial"/>
          <w:sz w:val="18"/>
          <w:szCs w:val="18"/>
          <w:color w:val="auto"/>
        </w:rPr>
      </w:pPr>
    </w:p>
    <w:p>
      <w:pPr>
        <w:ind w:right="200" w:firstLine="233"/>
        <w:spacing w:after="0" w:line="282" w:lineRule="auto"/>
        <w:tabs>
          <w:tab w:leader="none" w:pos="49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Regulations</w:t>
      </w:r>
      <w:r>
        <w:rPr>
          <w:rFonts w:ascii="Arial" w:cs="Arial" w:eastAsia="Arial" w:hAnsi="Arial"/>
          <w:sz w:val="18"/>
          <w:szCs w:val="18"/>
          <w:color w:val="auto"/>
        </w:rPr>
        <w:t>. The Board of Directors may make such additional rules and regulations, not inconsistent with these Bylaws, as it may deem expedient</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concerning the issue, transfer and registration of certificates for shares of stock of the Corporation.</w:t>
      </w:r>
    </w:p>
    <w:p>
      <w:pPr>
        <w:spacing w:after="0" w:line="53" w:lineRule="exact"/>
        <w:rPr>
          <w:rFonts w:ascii="Arial" w:cs="Arial" w:eastAsia="Arial" w:hAnsi="Arial"/>
          <w:sz w:val="18"/>
          <w:szCs w:val="18"/>
          <w:color w:val="auto"/>
        </w:rPr>
      </w:pPr>
    </w:p>
    <w:p>
      <w:pPr>
        <w:ind w:right="20" w:firstLine="233"/>
        <w:spacing w:after="0" w:line="298" w:lineRule="auto"/>
        <w:tabs>
          <w:tab w:leader="none" w:pos="520"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Fixing the Record Date</w:t>
      </w:r>
      <w:r>
        <w:rPr>
          <w:rFonts w:ascii="Arial" w:cs="Arial" w:eastAsia="Arial" w:hAnsi="Arial"/>
          <w:sz w:val="16"/>
          <w:szCs w:val="16"/>
          <w:color w:val="auto"/>
        </w:rPr>
        <w:t>. In order that the Corporation may determine the stockholders entitled to notice of or to vote at any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 If no record date is fixed by the Board of Directors, the record date for determining stockholders entitled to notice of or to</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0" w:name="page91"/>
    <w:bookmarkEnd w:id="90"/>
    <w:p>
      <w:pPr>
        <w:ind w:right="120"/>
        <w:spacing w:after="0" w:line="259" w:lineRule="auto"/>
        <w:rPr>
          <w:sz w:val="20"/>
          <w:szCs w:val="20"/>
          <w:color w:val="auto"/>
        </w:rPr>
      </w:pPr>
      <w:r>
        <w:rPr>
          <w:rFonts w:ascii="Arial" w:cs="Arial" w:eastAsia="Arial" w:hAnsi="Arial"/>
          <w:sz w:val="18"/>
          <w:szCs w:val="18"/>
          <w:color w:val="auto"/>
        </w:rPr>
        <w:t>vote at a meeting of stockholders shall be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75" w:lineRule="exact"/>
        <w:rPr>
          <w:sz w:val="20"/>
          <w:szCs w:val="20"/>
          <w:color w:val="auto"/>
        </w:rPr>
      </w:pPr>
    </w:p>
    <w:p>
      <w:pPr>
        <w:ind w:right="120" w:firstLine="233"/>
        <w:spacing w:after="0" w:line="303" w:lineRule="auto"/>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Registered Stockholders</w:t>
      </w:r>
      <w:r>
        <w:rPr>
          <w:rFonts w:ascii="Arial" w:cs="Arial" w:eastAsia="Arial" w:hAnsi="Arial"/>
          <w:sz w:val="16"/>
          <w:szCs w:val="16"/>
          <w:color w:val="auto"/>
        </w:rPr>
        <w:t>. The Corporation shall be entitled to recognize the exclusive right of a person registered on its records as the owner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stock to receive dividends and to vote as such owner, shall be entitled to hold liable for calls and assessments a person registered on its records as the owner of shares of stock, and shall not be bound to recognize any equitable or other claim to or interest in such share or shares of stock on the part of any other person, whether or not it shall have express or other notice thereof, except as otherwise provided by the laws of Delaware.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99" w:lineRule="exact"/>
        <w:rPr>
          <w:sz w:val="20"/>
          <w:szCs w:val="20"/>
          <w:color w:val="auto"/>
        </w:rPr>
      </w:pPr>
    </w:p>
    <w:p>
      <w:pPr>
        <w:ind w:right="40" w:firstLine="233"/>
        <w:spacing w:after="0" w:line="266" w:lineRule="auto"/>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 Subject to the provisions of statutes and the Certificate of Incorporation, dividends upon the shares of capital stock of the Corporation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be declared by the Board of Directors at any regular or special meeting. Dividends may be paid in cash, in property or in shares of stock of the Corporation, unless otherwise provided by statute or the Certificate of Incorporation.</w:t>
      </w:r>
    </w:p>
    <w:p>
      <w:pPr>
        <w:spacing w:after="0" w:line="68" w:lineRule="exact"/>
        <w:rPr>
          <w:rFonts w:ascii="Arial" w:cs="Arial" w:eastAsia="Arial" w:hAnsi="Arial"/>
          <w:sz w:val="18"/>
          <w:szCs w:val="18"/>
          <w:color w:val="auto"/>
        </w:rPr>
      </w:pPr>
    </w:p>
    <w:p>
      <w:pPr>
        <w:ind w:right="40" w:firstLine="233"/>
        <w:spacing w:after="0" w:line="281" w:lineRule="auto"/>
        <w:tabs>
          <w:tab w:leader="none" w:pos="510"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Reserves</w:t>
      </w:r>
      <w:r>
        <w:rPr>
          <w:rFonts w:ascii="Arial" w:cs="Arial" w:eastAsia="Arial" w:hAnsi="Arial"/>
          <w:sz w:val="17"/>
          <w:szCs w:val="17"/>
          <w:color w:val="auto"/>
        </w:rPr>
        <w:t>. Before payment of any dividend, there may be set aside out of any funds of the Corporation available for dividends such sum or sums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may, from time to time, in its absolute discretion, think proper as a reserve or reserves to meet contingencies, or for equalizing dividends, or for repairing or maintaining any property of the Corporation or for such other purpose as the Board of Directors may think conducive to the interests of the Corporation. The Board of Directors may modify or abolish any such reserves in the manner in which it was created.</w:t>
      </w:r>
    </w:p>
    <w:p>
      <w:pPr>
        <w:spacing w:after="0" w:line="56" w:lineRule="exact"/>
        <w:rPr>
          <w:rFonts w:ascii="Arial" w:cs="Arial" w:eastAsia="Arial" w:hAnsi="Arial"/>
          <w:sz w:val="17"/>
          <w:szCs w:val="17"/>
          <w:color w:val="auto"/>
        </w:rPr>
      </w:pPr>
    </w:p>
    <w:p>
      <w:pPr>
        <w:ind w:right="240" w:firstLine="233"/>
        <w:spacing w:after="0" w:line="282" w:lineRule="auto"/>
        <w:tabs>
          <w:tab w:leader="none" w:pos="51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Seal</w:t>
      </w:r>
      <w:r>
        <w:rPr>
          <w:rFonts w:ascii="Arial" w:cs="Arial" w:eastAsia="Arial" w:hAnsi="Arial"/>
          <w:sz w:val="18"/>
          <w:szCs w:val="18"/>
          <w:color w:val="auto"/>
        </w:rPr>
        <w:t>. The seal of the Corporation shall be in such form as shall be approved by the Board of Directors, which form may be changed by resolution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w:t>
      </w:r>
    </w:p>
    <w:p>
      <w:pPr>
        <w:spacing w:after="0" w:line="53" w:lineRule="exact"/>
        <w:rPr>
          <w:rFonts w:ascii="Arial" w:cs="Arial" w:eastAsia="Arial" w:hAnsi="Arial"/>
          <w:sz w:val="18"/>
          <w:szCs w:val="18"/>
          <w:color w:val="auto"/>
        </w:rPr>
      </w:pPr>
    </w:p>
    <w:p>
      <w:pPr>
        <w:ind w:right="80" w:firstLine="233"/>
        <w:spacing w:after="0" w:line="282" w:lineRule="auto"/>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Fiscal Year</w:t>
      </w:r>
      <w:r>
        <w:rPr>
          <w:rFonts w:ascii="Arial" w:cs="Arial" w:eastAsia="Arial" w:hAnsi="Arial"/>
          <w:sz w:val="18"/>
          <w:szCs w:val="18"/>
          <w:color w:val="auto"/>
        </w:rPr>
        <w:t>. The fiscal year of the Corporation shall end on</w:t>
      </w:r>
      <w:r>
        <w:rPr>
          <w:rFonts w:ascii="Arial" w:cs="Arial" w:eastAsia="Arial" w:hAnsi="Arial"/>
          <w:sz w:val="18"/>
          <w:szCs w:val="18"/>
          <w:b w:val="1"/>
          <w:bCs w:val="1"/>
          <w:color w:val="auto"/>
        </w:rPr>
        <w:t xml:space="preserve"> [September 30] </w:t>
      </w:r>
      <w:r>
        <w:rPr>
          <w:rFonts w:ascii="Arial" w:cs="Arial" w:eastAsia="Arial" w:hAnsi="Arial"/>
          <w:sz w:val="18"/>
          <w:szCs w:val="18"/>
          <w:color w:val="auto"/>
        </w:rPr>
        <w:t>of each calendar year and may thereafter be changed by resolution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w:t>
      </w:r>
    </w:p>
    <w:p>
      <w:pPr>
        <w:spacing w:after="0" w:line="53" w:lineRule="exact"/>
        <w:rPr>
          <w:rFonts w:ascii="Arial" w:cs="Arial" w:eastAsia="Arial" w:hAnsi="Arial"/>
          <w:sz w:val="18"/>
          <w:szCs w:val="18"/>
          <w:color w:val="auto"/>
        </w:rPr>
      </w:pPr>
    </w:p>
    <w:p>
      <w:pPr>
        <w:ind w:firstLine="233"/>
        <w:spacing w:after="0" w:line="266"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Checks, Notes, Drafts; Etc</w:t>
      </w:r>
      <w:r>
        <w:rPr>
          <w:rFonts w:ascii="Arial" w:cs="Arial" w:eastAsia="Arial" w:hAnsi="Arial"/>
          <w:sz w:val="18"/>
          <w:szCs w:val="18"/>
          <w:color w:val="auto"/>
        </w:rPr>
        <w:t>. All checks, notes, drafts or other orders for the payment of money of the Corporation shall be signed, endorsed or</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in the name of the Corporation by such officer, officers, person or persons as from time to time may be designated by the Board of Directors or by an officer or officers authorized by the Board of Directors to make such designation.</w:t>
      </w:r>
    </w:p>
    <w:p>
      <w:pPr>
        <w:spacing w:after="0" w:line="68" w:lineRule="exact"/>
        <w:rPr>
          <w:rFonts w:ascii="Arial" w:cs="Arial" w:eastAsia="Arial" w:hAnsi="Arial"/>
          <w:sz w:val="18"/>
          <w:szCs w:val="18"/>
          <w:color w:val="auto"/>
        </w:rPr>
      </w:pPr>
    </w:p>
    <w:p>
      <w:pPr>
        <w:ind w:right="220" w:firstLine="233"/>
        <w:spacing w:after="0" w:line="282" w:lineRule="auto"/>
        <w:tabs>
          <w:tab w:leader="none" w:pos="49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Execution of Contracts, Deeds, Etc</w:t>
      </w:r>
      <w:r>
        <w:rPr>
          <w:rFonts w:ascii="Arial" w:cs="Arial" w:eastAsia="Arial" w:hAnsi="Arial"/>
          <w:sz w:val="18"/>
          <w:szCs w:val="18"/>
          <w:color w:val="auto"/>
        </w:rPr>
        <w:t>. The Board of Directors may authorize any officer or officers, agent or agents,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to enter into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1" w:name="page92"/>
    <w:bookmarkEnd w:id="91"/>
    <w:p>
      <w:pPr>
        <w:ind w:right="360"/>
        <w:spacing w:after="0" w:line="277" w:lineRule="auto"/>
        <w:rPr>
          <w:sz w:val="20"/>
          <w:szCs w:val="20"/>
          <w:color w:val="auto"/>
        </w:rPr>
      </w:pPr>
      <w:r>
        <w:rPr>
          <w:rFonts w:ascii="Arial" w:cs="Arial" w:eastAsia="Arial" w:hAnsi="Arial"/>
          <w:sz w:val="18"/>
          <w:szCs w:val="18"/>
          <w:color w:val="auto"/>
        </w:rPr>
        <w:t>execute and deliver any and all deeds, bonds, mortgages, contracts and other obligations or instruments, and such authority may be general or confined to specific instances.</w:t>
      </w:r>
    </w:p>
    <w:p>
      <w:pPr>
        <w:spacing w:after="0" w:line="58" w:lineRule="exact"/>
        <w:rPr>
          <w:sz w:val="20"/>
          <w:szCs w:val="20"/>
          <w:color w:val="auto"/>
        </w:rPr>
      </w:pPr>
    </w:p>
    <w:p>
      <w:pPr>
        <w:ind w:firstLine="233"/>
        <w:spacing w:after="0" w:line="295" w:lineRule="auto"/>
        <w:tabs>
          <w:tab w:leader="none" w:pos="52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Inspection of Books and Records</w:t>
      </w:r>
      <w:r>
        <w:rPr>
          <w:rFonts w:ascii="Arial" w:cs="Arial" w:eastAsia="Arial" w:hAnsi="Arial"/>
          <w:sz w:val="16"/>
          <w:szCs w:val="16"/>
          <w:color w:val="auto"/>
        </w:rPr>
        <w:t>. Any stockholder of record, in person or by attorney or other agent, shall, upon written demand under oath stating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of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47" w:lineRule="exact"/>
        <w:rPr>
          <w:rFonts w:ascii="Arial" w:cs="Arial" w:eastAsia="Arial" w:hAnsi="Arial"/>
          <w:sz w:val="16"/>
          <w:szCs w:val="16"/>
          <w:color w:val="auto"/>
        </w:rPr>
      </w:pPr>
    </w:p>
    <w:p>
      <w:pPr>
        <w:ind w:right="80" w:firstLine="233"/>
        <w:spacing w:after="0" w:line="314" w:lineRule="auto"/>
        <w:tabs>
          <w:tab w:leader="none" w:pos="52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References to Days</w:t>
      </w:r>
      <w:r>
        <w:rPr>
          <w:rFonts w:ascii="Arial" w:cs="Arial" w:eastAsia="Arial" w:hAnsi="Arial"/>
          <w:sz w:val="16"/>
          <w:szCs w:val="16"/>
          <w:color w:val="auto"/>
        </w:rPr>
        <w:t>. For purposes of these Bylaws, all references herein to “days” shall mean calendar days unless otherwise expressly indicated to</w:t>
      </w:r>
      <w:r>
        <w:rPr>
          <w:rFonts w:ascii="Arial" w:cs="Arial" w:eastAsia="Arial" w:hAnsi="Arial"/>
          <w:sz w:val="16"/>
          <w:szCs w:val="16"/>
          <w:b w:val="1"/>
          <w:bCs w:val="1"/>
          <w:color w:val="auto"/>
        </w:rPr>
        <w:t xml:space="preserve"> </w:t>
      </w:r>
      <w:r>
        <w:rPr>
          <w:rFonts w:ascii="Arial" w:cs="Arial" w:eastAsia="Arial" w:hAnsi="Arial"/>
          <w:sz w:val="16"/>
          <w:szCs w:val="16"/>
          <w:color w:val="auto"/>
        </w:rPr>
        <w:t>mean business days. Any period of time referenced herein that is scheduled to end on a day that is not a calendar day and any event that is scheduled to occur on a day that is not a calendar day, unless otherwise expressly indicated, shall instead end or occur on the next succeeding business day.</w:t>
      </w:r>
    </w:p>
    <w:p>
      <w:pPr>
        <w:spacing w:after="0" w:line="34" w:lineRule="exact"/>
        <w:rPr>
          <w:rFonts w:ascii="Arial" w:cs="Arial" w:eastAsia="Arial" w:hAnsi="Arial"/>
          <w:sz w:val="16"/>
          <w:szCs w:val="16"/>
          <w:color w:val="auto"/>
        </w:rPr>
      </w:pPr>
    </w:p>
    <w:p>
      <w:pPr>
        <w:ind w:right="140" w:firstLine="233"/>
        <w:spacing w:after="0" w:line="266" w:lineRule="auto"/>
        <w:tabs>
          <w:tab w:leader="none" w:pos="45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Inconsistent Provisions</w:t>
      </w:r>
      <w:r>
        <w:rPr>
          <w:rFonts w:ascii="Arial" w:cs="Arial" w:eastAsia="Arial" w:hAnsi="Arial"/>
          <w:sz w:val="18"/>
          <w:szCs w:val="18"/>
          <w:color w:val="auto"/>
        </w:rPr>
        <w:t>. In the event that any provision of these Bylaws is or becomes inconsistent with any provision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General Corporation Law of the State of Delaware or any other applicable law, the provision of these Bylaws shall not be given any effect to the extent of such inconsistency but shall otherwise be given full force and effect.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103"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Except as otherwise provided in these Bylaws, these Bylaws may be amended or repealed or new Bylaws adopted only in accordance with Article VI of the Certificate of Incorporation.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36"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4.1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SUBSCRIPTION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w:t>
      </w:r>
      <w:r>
        <w:rPr>
          <w:rFonts w:ascii="Arial" w:cs="Arial" w:eastAsia="Arial" w:hAnsi="Arial"/>
          <w:sz w:val="12"/>
          <w:szCs w:val="12"/>
          <w:b w:val="1"/>
          <w:bCs w:val="1"/>
          <w:color w:val="auto"/>
        </w:rPr>
        <w:t>PECIALTY</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ENDING</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Subscription Agreement</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Shares of common stock, par value $0.01 (the “</w:t>
      </w:r>
      <w:r>
        <w:rPr>
          <w:rFonts w:ascii="Arial" w:cs="Arial" w:eastAsia="Arial" w:hAnsi="Arial"/>
          <w:sz w:val="18"/>
          <w:szCs w:val="18"/>
          <w:u w:val="single" w:color="auto"/>
          <w:color w:val="auto"/>
        </w:rPr>
        <w:t>Shares</w:t>
      </w:r>
      <w:r>
        <w:rPr>
          <w:rFonts w:ascii="Arial" w:cs="Arial" w:eastAsia="Arial" w:hAnsi="Arial"/>
          <w:sz w:val="18"/>
          <w:szCs w:val="18"/>
          <w:color w:val="auto"/>
        </w:rPr>
        <w:t>”),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are being offered to qualified investors pursuant to the confidential Private Placement Memorandum of the Company.</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Shares have not been registered under the Securities Act of 1933, as amended (the “</w:t>
      </w:r>
      <w:r>
        <w:rPr>
          <w:rFonts w:ascii="Arial" w:cs="Arial" w:eastAsia="Arial" w:hAnsi="Arial"/>
          <w:sz w:val="17"/>
          <w:szCs w:val="17"/>
          <w:u w:val="single" w:color="auto"/>
          <w:color w:val="auto"/>
        </w:rPr>
        <w:t>1933 Act</w:t>
      </w:r>
      <w:r>
        <w:rPr>
          <w:rFonts w:ascii="Arial" w:cs="Arial" w:eastAsia="Arial" w:hAnsi="Arial"/>
          <w:sz w:val="17"/>
          <w:szCs w:val="17"/>
          <w:color w:val="auto"/>
        </w:rPr>
        <w:t>”), the securities laws of any state or the securities laws of any other jurisdiction, nor is such registration contemplated. The Shares will be offered and sold under the exemption provided by Section 4(2) of the 1933 Act, and other exemptions of similar import in the laws of the states and other jurisdictions where the offering will be made. The Company intends to register as a business development company under the Investment Company Act of 1940, as amended.</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distribution of this Subscription Agreement and the offer and sale of the Shares in certain jurisdictions may be restricted by law. This Subscription Agreement does not constitute an offer to sell or the solicitation of an offer to buy any Shares in any state or other jurisdiction where, or to or from any person to or from whom, such offer or solicitation is unlawful or not authorized. The Shares are offered subject to the right of the Company to reject any subscription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SUBSCRIPTION AGREEMENT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1.01. Subscription.</w:t>
      </w:r>
    </w:p>
    <w:p>
      <w:pPr>
        <w:spacing w:after="0" w:line="117" w:lineRule="exact"/>
        <w:rPr>
          <w:sz w:val="20"/>
          <w:szCs w:val="20"/>
          <w:color w:val="auto"/>
        </w:rPr>
      </w:pPr>
    </w:p>
    <w:p>
      <w:pPr>
        <w:ind w:firstLine="458"/>
        <w:spacing w:after="0" w:line="269" w:lineRule="auto"/>
        <w:tabs>
          <w:tab w:leader="none" w:pos="695" w:val="left"/>
        </w:tabs>
        <w:numPr>
          <w:ilvl w:val="0"/>
          <w:numId w:val="91"/>
        </w:numPr>
        <w:rPr>
          <w:rFonts w:ascii="Arial" w:cs="Arial" w:eastAsia="Arial" w:hAnsi="Arial"/>
          <w:sz w:val="17"/>
          <w:szCs w:val="17"/>
          <w:color w:val="auto"/>
        </w:rPr>
      </w:pPr>
      <w:r>
        <w:rPr>
          <w:rFonts w:ascii="Arial" w:cs="Arial" w:eastAsia="Arial" w:hAnsi="Arial"/>
          <w:sz w:val="17"/>
          <w:szCs w:val="17"/>
          <w:color w:val="auto"/>
        </w:rPr>
        <w:t>Subject to the terms and conditions hereof, and in reliance upon the representations and warranties contained in this subscription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the undersigned (the “</w:t>
      </w:r>
      <w:r>
        <w:rPr>
          <w:rFonts w:ascii="Arial" w:cs="Arial" w:eastAsia="Arial" w:hAnsi="Arial"/>
          <w:sz w:val="17"/>
          <w:szCs w:val="17"/>
          <w:u w:val="single" w:color="auto"/>
          <w:color w:val="auto"/>
        </w:rPr>
        <w:t>Subscriber</w:t>
      </w:r>
      <w:r>
        <w:rPr>
          <w:rFonts w:ascii="Arial" w:cs="Arial" w:eastAsia="Arial" w:hAnsi="Arial"/>
          <w:sz w:val="17"/>
          <w:szCs w:val="17"/>
          <w:color w:val="auto"/>
        </w:rPr>
        <w:t>”) irrevocably subscribes for and agrees to purchase shares of common stock (“</w:t>
      </w:r>
      <w:r>
        <w:rPr>
          <w:rFonts w:ascii="Arial" w:cs="Arial" w:eastAsia="Arial" w:hAnsi="Arial"/>
          <w:sz w:val="17"/>
          <w:szCs w:val="17"/>
          <w:u w:val="single" w:color="auto"/>
          <w:color w:val="auto"/>
        </w:rPr>
        <w:t>Shares</w:t>
      </w:r>
      <w:r>
        <w:rPr>
          <w:rFonts w:ascii="Arial" w:cs="Arial" w:eastAsia="Arial" w:hAnsi="Arial"/>
          <w:sz w:val="17"/>
          <w:szCs w:val="17"/>
          <w:color w:val="auto"/>
        </w:rPr>
        <w:t>”), of TPG Specialty Lending, Inc. (the “</w:t>
      </w:r>
      <w:r>
        <w:rPr>
          <w:rFonts w:ascii="Arial" w:cs="Arial" w:eastAsia="Arial" w:hAnsi="Arial"/>
          <w:sz w:val="17"/>
          <w:szCs w:val="17"/>
          <w:u w:val="single" w:color="auto"/>
          <w:color w:val="auto"/>
        </w:rPr>
        <w:t>Company</w:t>
      </w:r>
      <w:r>
        <w:rPr>
          <w:rFonts w:ascii="Arial" w:cs="Arial" w:eastAsia="Arial" w:hAnsi="Arial"/>
          <w:sz w:val="17"/>
          <w:szCs w:val="17"/>
          <w:color w:val="auto"/>
        </w:rPr>
        <w:t>”) on the terms and conditions described herein, in the Company’s Private Placement Memorandum (together with any appendices and supplements thereto, the “</w:t>
      </w:r>
      <w:r>
        <w:rPr>
          <w:rFonts w:ascii="Arial" w:cs="Arial" w:eastAsia="Arial" w:hAnsi="Arial"/>
          <w:sz w:val="17"/>
          <w:szCs w:val="17"/>
          <w:u w:val="single" w:color="auto"/>
          <w:color w:val="auto"/>
        </w:rPr>
        <w:t>Memorandum</w:t>
      </w:r>
      <w:r>
        <w:rPr>
          <w:rFonts w:ascii="Arial" w:cs="Arial" w:eastAsia="Arial" w:hAnsi="Arial"/>
          <w:sz w:val="17"/>
          <w:szCs w:val="17"/>
          <w:color w:val="auto"/>
        </w:rPr>
        <w:t>”), in the Company’s Amended and Restated Certificate of Incorporation, dated as of [</w:t>
      </w:r>
      <w:r>
        <w:rPr>
          <w:rFonts w:ascii="Arial" w:cs="Arial" w:eastAsia="Arial" w:hAnsi="Arial"/>
          <w:sz w:val="17"/>
          <w:szCs w:val="17"/>
          <w:b w:val="1"/>
          <w:bCs w:val="1"/>
          <w:color w:val="auto"/>
        </w:rPr>
        <w:t>•</w:t>
      </w:r>
      <w:r>
        <w:rPr>
          <w:rFonts w:ascii="Arial" w:cs="Arial" w:eastAsia="Arial" w:hAnsi="Arial"/>
          <w:sz w:val="17"/>
          <w:szCs w:val="17"/>
          <w:color w:val="auto"/>
        </w:rPr>
        <w:t>], 2011 (the “</w:t>
      </w:r>
      <w:r>
        <w:rPr>
          <w:rFonts w:ascii="Arial" w:cs="Arial" w:eastAsia="Arial" w:hAnsi="Arial"/>
          <w:sz w:val="17"/>
          <w:szCs w:val="17"/>
          <w:u w:val="single" w:color="auto"/>
          <w:color w:val="auto"/>
        </w:rPr>
        <w:t>Certificate</w:t>
      </w:r>
      <w:r>
        <w:rPr>
          <w:rFonts w:ascii="Arial" w:cs="Arial" w:eastAsia="Arial" w:hAnsi="Arial"/>
          <w:sz w:val="17"/>
          <w:szCs w:val="17"/>
          <w:color w:val="auto"/>
        </w:rPr>
        <w:t>”), in the Company’s Bylaws, dated as of [</w:t>
      </w:r>
      <w:r>
        <w:rPr>
          <w:rFonts w:ascii="Arial" w:cs="Arial" w:eastAsia="Arial" w:hAnsi="Arial"/>
          <w:sz w:val="17"/>
          <w:szCs w:val="17"/>
          <w:b w:val="1"/>
          <w:bCs w:val="1"/>
          <w:color w:val="auto"/>
        </w:rPr>
        <w:t>•</w:t>
      </w:r>
      <w:r>
        <w:rPr>
          <w:rFonts w:ascii="Arial" w:cs="Arial" w:eastAsia="Arial" w:hAnsi="Arial"/>
          <w:sz w:val="17"/>
          <w:szCs w:val="17"/>
          <w:color w:val="auto"/>
        </w:rPr>
        <w:t>], 2011 (the “</w:t>
      </w:r>
      <w:r>
        <w:rPr>
          <w:rFonts w:ascii="Arial" w:cs="Arial" w:eastAsia="Arial" w:hAnsi="Arial"/>
          <w:sz w:val="17"/>
          <w:szCs w:val="17"/>
          <w:u w:val="single" w:color="auto"/>
          <w:color w:val="auto"/>
        </w:rPr>
        <w:t>Bylaws</w:t>
      </w:r>
      <w:r>
        <w:rPr>
          <w:rFonts w:ascii="Arial" w:cs="Arial" w:eastAsia="Arial" w:hAnsi="Arial"/>
          <w:sz w:val="17"/>
          <w:szCs w:val="17"/>
          <w:color w:val="auto"/>
        </w:rPr>
        <w:t>”), in the Investment Advisory and Management Agreement between the Company and TSL Advisers, LLC (the “</w:t>
      </w:r>
      <w:r>
        <w:rPr>
          <w:rFonts w:ascii="Arial" w:cs="Arial" w:eastAsia="Arial" w:hAnsi="Arial"/>
          <w:sz w:val="17"/>
          <w:szCs w:val="17"/>
          <w:u w:val="single" w:color="auto"/>
          <w:color w:val="auto"/>
        </w:rPr>
        <w:t>Adviser</w:t>
      </w:r>
      <w:r>
        <w:rPr>
          <w:rFonts w:ascii="Arial" w:cs="Arial" w:eastAsia="Arial" w:hAnsi="Arial"/>
          <w:sz w:val="17"/>
          <w:szCs w:val="17"/>
          <w:color w:val="auto"/>
        </w:rPr>
        <w:t>”), dated as of [</w:t>
      </w:r>
      <w:r>
        <w:rPr>
          <w:rFonts w:ascii="Arial" w:cs="Arial" w:eastAsia="Arial" w:hAnsi="Arial"/>
          <w:sz w:val="17"/>
          <w:szCs w:val="17"/>
          <w:b w:val="1"/>
          <w:bCs w:val="1"/>
          <w:color w:val="auto"/>
        </w:rPr>
        <w:t>•</w:t>
      </w:r>
      <w:r>
        <w:rPr>
          <w:rFonts w:ascii="Arial" w:cs="Arial" w:eastAsia="Arial" w:hAnsi="Arial"/>
          <w:sz w:val="17"/>
          <w:szCs w:val="17"/>
          <w:color w:val="auto"/>
        </w:rPr>
        <w:t>], 2011 (the “</w:t>
      </w:r>
      <w:r>
        <w:rPr>
          <w:rFonts w:ascii="Arial" w:cs="Arial" w:eastAsia="Arial" w:hAnsi="Arial"/>
          <w:sz w:val="17"/>
          <w:szCs w:val="17"/>
          <w:u w:val="single" w:color="auto"/>
          <w:color w:val="auto"/>
        </w:rPr>
        <w:t>Advisory Agreement</w:t>
      </w:r>
      <w:r>
        <w:rPr>
          <w:rFonts w:ascii="Arial" w:cs="Arial" w:eastAsia="Arial" w:hAnsi="Arial"/>
          <w:sz w:val="17"/>
          <w:szCs w:val="17"/>
          <w:color w:val="auto"/>
        </w:rPr>
        <w:t>”) and in the Administration Agreement between the Company and the Adviser, dated as of [</w:t>
      </w:r>
      <w:r>
        <w:rPr>
          <w:rFonts w:ascii="Arial" w:cs="Arial" w:eastAsia="Arial" w:hAnsi="Arial"/>
          <w:sz w:val="17"/>
          <w:szCs w:val="17"/>
          <w:b w:val="1"/>
          <w:bCs w:val="1"/>
          <w:color w:val="auto"/>
        </w:rPr>
        <w:t>•</w:t>
      </w:r>
      <w:r>
        <w:rPr>
          <w:rFonts w:ascii="Arial" w:cs="Arial" w:eastAsia="Arial" w:hAnsi="Arial"/>
          <w:sz w:val="17"/>
          <w:szCs w:val="17"/>
          <w:color w:val="auto"/>
        </w:rPr>
        <w:t>], 2011 (the “</w:t>
      </w:r>
      <w:r>
        <w:rPr>
          <w:rFonts w:ascii="Arial" w:cs="Arial" w:eastAsia="Arial" w:hAnsi="Arial"/>
          <w:sz w:val="17"/>
          <w:szCs w:val="17"/>
          <w:u w:val="single" w:color="auto"/>
          <w:color w:val="auto"/>
        </w:rPr>
        <w:t>Administration Agreement</w:t>
      </w:r>
      <w:r>
        <w:rPr>
          <w:rFonts w:ascii="Arial" w:cs="Arial" w:eastAsia="Arial" w:hAnsi="Arial"/>
          <w:sz w:val="17"/>
          <w:szCs w:val="17"/>
          <w:color w:val="auto"/>
        </w:rPr>
        <w:t>”). The Subscriber has received the Memorandum, the Certificate, the Bylaws, the Advisory Agreement and the Administration Agreement. The Company expects to enter into separate subscription agreements (the “</w:t>
      </w:r>
      <w:r>
        <w:rPr>
          <w:rFonts w:ascii="Arial" w:cs="Arial" w:eastAsia="Arial" w:hAnsi="Arial"/>
          <w:sz w:val="17"/>
          <w:szCs w:val="17"/>
          <w:u w:val="single" w:color="auto"/>
          <w:color w:val="auto"/>
        </w:rPr>
        <w:t>Other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and, together with this Agreement,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other subscribers (the “</w:t>
      </w:r>
      <w:r>
        <w:rPr>
          <w:rFonts w:ascii="Arial" w:cs="Arial" w:eastAsia="Arial" w:hAnsi="Arial"/>
          <w:sz w:val="17"/>
          <w:szCs w:val="17"/>
          <w:u w:val="single" w:color="auto"/>
          <w:color w:val="auto"/>
        </w:rPr>
        <w:t>Other Subscribers</w:t>
      </w:r>
      <w:r>
        <w:rPr>
          <w:rFonts w:ascii="Arial" w:cs="Arial" w:eastAsia="Arial" w:hAnsi="Arial"/>
          <w:sz w:val="17"/>
          <w:szCs w:val="17"/>
          <w:color w:val="auto"/>
        </w:rPr>
        <w:t>,” and together with the Subscriber, the “</w:t>
      </w:r>
      <w:r>
        <w:rPr>
          <w:rFonts w:ascii="Arial" w:cs="Arial" w:eastAsia="Arial" w:hAnsi="Arial"/>
          <w:sz w:val="17"/>
          <w:szCs w:val="17"/>
          <w:u w:val="single" w:color="auto"/>
          <w:color w:val="auto"/>
        </w:rPr>
        <w:t>Subscribers</w:t>
      </w:r>
      <w:r>
        <w:rPr>
          <w:rFonts w:ascii="Arial" w:cs="Arial" w:eastAsia="Arial" w:hAnsi="Arial"/>
          <w:sz w:val="17"/>
          <w:szCs w:val="17"/>
          <w:color w:val="auto"/>
        </w:rPr>
        <w:t>”), providing for the sale of Shares to the Other Subscribers. This Agreement and the Other Subscription Agreements are separate agreements, and the sales of Shares to the undersigned and the Other Subscribers are to be separate sales. Capitalized terms used but not defined herein have the meanings ascribed to them in the Memorandum.</w:t>
      </w:r>
    </w:p>
    <w:p>
      <w:pPr>
        <w:spacing w:after="0" w:line="71" w:lineRule="exact"/>
        <w:rPr>
          <w:rFonts w:ascii="Arial" w:cs="Arial" w:eastAsia="Arial" w:hAnsi="Arial"/>
          <w:sz w:val="17"/>
          <w:szCs w:val="17"/>
          <w:color w:val="auto"/>
        </w:rPr>
      </w:pPr>
    </w:p>
    <w:p>
      <w:pPr>
        <w:ind w:right="60" w:firstLine="458"/>
        <w:spacing w:after="0" w:line="297" w:lineRule="auto"/>
        <w:tabs>
          <w:tab w:leader="none" w:pos="702"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Subscriber agrees to purchase Shares for an aggregate purchase price equal to the amount set forth on the signature page hereof (the “</w:t>
      </w:r>
      <w:r>
        <w:rPr>
          <w:rFonts w:ascii="Arial" w:cs="Arial" w:eastAsia="Arial" w:hAnsi="Arial"/>
          <w:sz w:val="16"/>
          <w:szCs w:val="16"/>
          <w:u w:val="single" w:color="auto"/>
          <w:color w:val="auto"/>
        </w:rPr>
        <w:t>Capital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payable at such times and in such amounts as required by the Company, under the terms and subject to the conditions set forth herein. On each Capital Drawdown Date (as defined below), the Subscriber agrees to purchase from the Company, and the Company agrees to issue to the Subscriber, a number of Shares equal to the Drawdown Share Amount at an aggregate price equal to the Drawdown Purchase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in no circumstance will a Subscriber be required to purchase Shares for an amount in excess of its Unused Capital Commitment.</w:t>
      </w:r>
    </w:p>
    <w:p>
      <w:pPr>
        <w:spacing w:after="0" w:line="5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Drawdown Purchase Price</w:t>
      </w:r>
      <w:r>
        <w:rPr>
          <w:rFonts w:ascii="Arial" w:cs="Arial" w:eastAsia="Arial" w:hAnsi="Arial"/>
          <w:sz w:val="18"/>
          <w:szCs w:val="18"/>
          <w:color w:val="auto"/>
        </w:rPr>
        <w:t>” shall mean, for each Capital Drawdown Date, an amount in U.S. dollars determined by multiplying (i) the aggregate amount of Capital Commitments being drawn down by the Company from all Subscribers on that Capital Drawdown Date, by (ii) a fraction, the numerator of which is the Unused Capital Commitment of the Subscriber and the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4" w:name="page95"/>
    <w:bookmarkEnd w:id="94"/>
    <w:p>
      <w:pPr>
        <w:ind w:right="460"/>
        <w:spacing w:after="0" w:line="277" w:lineRule="auto"/>
        <w:rPr>
          <w:sz w:val="20"/>
          <w:szCs w:val="20"/>
          <w:color w:val="auto"/>
        </w:rPr>
      </w:pPr>
      <w:r>
        <w:rPr>
          <w:rFonts w:ascii="Arial" w:cs="Arial" w:eastAsia="Arial" w:hAnsi="Arial"/>
          <w:sz w:val="18"/>
          <w:szCs w:val="18"/>
          <w:color w:val="auto"/>
        </w:rPr>
        <w:t>denominator of which is the aggregate Unused Capital Commitments of all Subscribers that are not Defaulting Subscribers or Excluded Subscribers (as defined below).</w:t>
      </w:r>
    </w:p>
    <w:p>
      <w:pPr>
        <w:spacing w:after="0" w:line="6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Drawdown Share Amount</w:t>
      </w:r>
      <w:r>
        <w:rPr>
          <w:rFonts w:ascii="Arial" w:cs="Arial" w:eastAsia="Arial" w:hAnsi="Arial"/>
          <w:sz w:val="18"/>
          <w:szCs w:val="18"/>
          <w:color w:val="auto"/>
        </w:rPr>
        <w:t>” shall mean, for each Capital Drawdown Date, a number of Shares determined by dividing (i) the Drawdown Purchase Price for that Capital Drawdown Date by (ii) the applicable Per Share NAV, with the resulting quotient adjusted to the nearest whole number to avoid the issuance of fractional shares.</w:t>
      </w:r>
    </w:p>
    <w:p>
      <w:pPr>
        <w:spacing w:after="0" w:line="7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NAV</w:t>
      </w:r>
      <w:r>
        <w:rPr>
          <w:rFonts w:ascii="Arial" w:cs="Arial" w:eastAsia="Arial" w:hAnsi="Arial"/>
          <w:sz w:val="16"/>
          <w:szCs w:val="16"/>
          <w:color w:val="auto"/>
        </w:rPr>
        <w:t>” shall mean, for any Capital Drawdown Date or Catch-Up Date (as defined below), the Per Share NAV determined in accordance with the procedures set out in “</w:t>
      </w:r>
      <w:r>
        <w:rPr>
          <w:rFonts w:ascii="Arial" w:cs="Arial" w:eastAsia="Arial" w:hAnsi="Arial"/>
          <w:sz w:val="16"/>
          <w:szCs w:val="16"/>
          <w:i w:val="1"/>
          <w:iCs w:val="1"/>
          <w:color w:val="auto"/>
        </w:rPr>
        <w:t>II. Summary of Principal Terms—Valuation of Assets; Independent Valuation Firm</w:t>
      </w:r>
      <w:r>
        <w:rPr>
          <w:rFonts w:ascii="Arial" w:cs="Arial" w:eastAsia="Arial" w:hAnsi="Arial"/>
          <w:sz w:val="16"/>
          <w:szCs w:val="16"/>
          <w:color w:val="auto"/>
        </w:rPr>
        <w:t>” and “</w:t>
      </w:r>
      <w:r>
        <w:rPr>
          <w:rFonts w:ascii="Arial" w:cs="Arial" w:eastAsia="Arial" w:hAnsi="Arial"/>
          <w:sz w:val="16"/>
          <w:szCs w:val="16"/>
          <w:i w:val="1"/>
          <w:iCs w:val="1"/>
          <w:color w:val="auto"/>
        </w:rPr>
        <w:t>Appendix A—Certain 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Considerations—Valuation of Portfolio Securities</w:t>
      </w:r>
      <w:r>
        <w:rPr>
          <w:rFonts w:ascii="Arial" w:cs="Arial" w:eastAsia="Arial" w:hAnsi="Arial"/>
          <w:sz w:val="16"/>
          <w:szCs w:val="16"/>
          <w:color w:val="auto"/>
        </w:rPr>
        <w:t>” in the Memorandum (as those procedures may be changed from time to time in a manner consistent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limitations of the 1940 Act) as of the last day of the Company’s fiscal quarter immediately preceding the Capital Drawdown Date.</w:t>
      </w:r>
    </w:p>
    <w:p>
      <w:pPr>
        <w:spacing w:after="0" w:line="4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Capital Commitment</w:t>
      </w:r>
      <w:r>
        <w:rPr>
          <w:rFonts w:ascii="Arial" w:cs="Arial" w:eastAsia="Arial" w:hAnsi="Arial"/>
          <w:sz w:val="18"/>
          <w:szCs w:val="18"/>
          <w:color w:val="auto"/>
        </w:rPr>
        <w:t>” shall mean, with respect to a Subscriber, the amount of such Subscriber’s Capital Commitment as of any date reduced by the aggregate amount of contributions made by that Subscriber at all previous Capital Drawdown Dates and any Catch-Up Date pursuant to Section 1.01(b) and Section 1.02(b), respectively.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1.02. Closings.</w:t>
      </w:r>
    </w:p>
    <w:p>
      <w:pPr>
        <w:spacing w:after="0" w:line="117" w:lineRule="exact"/>
        <w:rPr>
          <w:sz w:val="20"/>
          <w:szCs w:val="20"/>
          <w:color w:val="auto"/>
        </w:rPr>
      </w:pPr>
    </w:p>
    <w:p>
      <w:pPr>
        <w:ind w:right="20" w:firstLine="458"/>
        <w:spacing w:after="0" w:line="272" w:lineRule="auto"/>
        <w:tabs>
          <w:tab w:leader="none" w:pos="692"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closing of this subscription agreement will take place at the offices of Cleary Gottlieb Steen &amp; Hamilton LLP, One Liberty Plaza, New York, New York on [</w:t>
      </w:r>
      <w:r>
        <w:rPr>
          <w:rFonts w:ascii="Arial" w:cs="Arial" w:eastAsia="Arial" w:hAnsi="Arial"/>
          <w:sz w:val="17"/>
          <w:szCs w:val="17"/>
          <w:b w:val="1"/>
          <w:bCs w:val="1"/>
          <w:color w:val="auto"/>
        </w:rPr>
        <w:t>•</w:t>
      </w:r>
      <w:r>
        <w:rPr>
          <w:rFonts w:ascii="Arial" w:cs="Arial" w:eastAsia="Arial" w:hAnsi="Arial"/>
          <w:sz w:val="17"/>
          <w:szCs w:val="17"/>
          <w:color w:val="auto"/>
        </w:rPr>
        <w:t>], 2011 (such date being the “</w:t>
      </w:r>
      <w:r>
        <w:rPr>
          <w:rFonts w:ascii="Arial" w:cs="Arial" w:eastAsia="Arial" w:hAnsi="Arial"/>
          <w:sz w:val="17"/>
          <w:szCs w:val="17"/>
          <w:u w:val="single" w:color="auto"/>
          <w:color w:val="auto"/>
        </w:rPr>
        <w:t>Closing Date</w:t>
      </w:r>
      <w:r>
        <w:rPr>
          <w:rFonts w:ascii="Arial" w:cs="Arial" w:eastAsia="Arial" w:hAnsi="Arial"/>
          <w:sz w:val="17"/>
          <w:szCs w:val="17"/>
          <w:color w:val="auto"/>
        </w:rPr>
        <w:t>,” and the date upon which the first closing of any Subscription Agreement occurs being referred to herein as the “</w:t>
      </w:r>
      <w:r>
        <w:rPr>
          <w:rFonts w:ascii="Arial" w:cs="Arial" w:eastAsia="Arial" w:hAnsi="Arial"/>
          <w:sz w:val="17"/>
          <w:szCs w:val="17"/>
          <w:u w:val="single" w:color="auto"/>
          <w:color w:val="auto"/>
        </w:rPr>
        <w:t>Initial Closing Date</w:t>
      </w:r>
      <w:r>
        <w:rPr>
          <w:rFonts w:ascii="Arial" w:cs="Arial" w:eastAsia="Arial" w:hAnsi="Arial"/>
          <w:sz w:val="17"/>
          <w:szCs w:val="17"/>
          <w:color w:val="auto"/>
        </w:rPr>
        <w:t>”). The Subscriber agrees to provide any information reasonably requested by the Company to verify the accuracy of the representations contained herein, including without limitation the investor suitability questionnaire attached as Appendix A (the “</w:t>
      </w:r>
      <w:r>
        <w:rPr>
          <w:rFonts w:ascii="Arial" w:cs="Arial" w:eastAsia="Arial" w:hAnsi="Arial"/>
          <w:sz w:val="17"/>
          <w:szCs w:val="17"/>
          <w:u w:val="single" w:color="auto"/>
          <w:color w:val="auto"/>
        </w:rPr>
        <w:t>Investor Suitability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Questionnaire</w:t>
      </w:r>
      <w:r>
        <w:rPr>
          <w:rFonts w:ascii="Arial" w:cs="Arial" w:eastAsia="Arial" w:hAnsi="Arial"/>
          <w:sz w:val="17"/>
          <w:szCs w:val="17"/>
          <w:color w:val="auto"/>
        </w:rPr>
        <w:t>”). Promptly after the Closing Date, the Company will deliver to the Subscriber or its representative, if the Subscriber’s subscription has been accepted, a countersigned copy of this Agreement and other documents and instruments necessary to reflect the Subscriber’s status as an investor in the Company, including any documents and instruments to be delivered pursuant to this Agreement.</w:t>
      </w:r>
    </w:p>
    <w:p>
      <w:pPr>
        <w:spacing w:after="0" w:line="69" w:lineRule="exact"/>
        <w:rPr>
          <w:rFonts w:ascii="Arial" w:cs="Arial" w:eastAsia="Arial" w:hAnsi="Arial"/>
          <w:sz w:val="17"/>
          <w:szCs w:val="17"/>
          <w:color w:val="auto"/>
        </w:rPr>
      </w:pPr>
    </w:p>
    <w:p>
      <w:pPr>
        <w:ind w:firstLine="458"/>
        <w:spacing w:after="0" w:line="273" w:lineRule="auto"/>
        <w:tabs>
          <w:tab w:leader="none" w:pos="702"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Company may enter into Other Subscription Agreements with Other Subscribers after the Closing Date, with any closing thereunder referred to as a “</w:t>
      </w:r>
      <w:r>
        <w:rPr>
          <w:rFonts w:ascii="Arial" w:cs="Arial" w:eastAsia="Arial" w:hAnsi="Arial"/>
          <w:sz w:val="17"/>
          <w:szCs w:val="17"/>
          <w:u w:val="single" w:color="auto"/>
          <w:color w:val="auto"/>
        </w:rPr>
        <w:t>Subsequent Closing</w:t>
      </w:r>
      <w:r>
        <w:rPr>
          <w:rFonts w:ascii="Arial" w:cs="Arial" w:eastAsia="Arial" w:hAnsi="Arial"/>
          <w:sz w:val="17"/>
          <w:szCs w:val="17"/>
          <w:color w:val="auto"/>
        </w:rPr>
        <w:t>” and any Other Subscriber whose subscription has been accepted at such Subsequent Closing referred to as a “</w:t>
      </w:r>
      <w:r>
        <w:rPr>
          <w:rFonts w:ascii="Arial" w:cs="Arial" w:eastAsia="Arial" w:hAnsi="Arial"/>
          <w:sz w:val="17"/>
          <w:szCs w:val="17"/>
          <w:u w:val="single" w:color="auto"/>
          <w:color w:val="auto"/>
        </w:rPr>
        <w:t>Subsequent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Subscriber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aggregate Capital Commitments of the Subscribers shall not exceed one billion five hundred million dollars ($1,500,000,000). Notwithstanding the provisions of Sections 1.01(b) and 2.01, on a date to be determined by the Company that occurs on or following the Subsequent Closing but no later than the next succeeding Drawdown Date (the “</w:t>
      </w:r>
      <w:r>
        <w:rPr>
          <w:rFonts w:ascii="Arial" w:cs="Arial" w:eastAsia="Arial" w:hAnsi="Arial"/>
          <w:sz w:val="17"/>
          <w:szCs w:val="17"/>
          <w:u w:val="single" w:color="auto"/>
          <w:color w:val="auto"/>
        </w:rPr>
        <w:t>Catch-Up Date</w:t>
      </w:r>
      <w:r>
        <w:rPr>
          <w:rFonts w:ascii="Arial" w:cs="Arial" w:eastAsia="Arial" w:hAnsi="Arial"/>
          <w:sz w:val="17"/>
          <w:szCs w:val="17"/>
          <w:color w:val="auto"/>
        </w:rPr>
        <w:t>”), each Subsequent Subscriber shall be required to purchase from the Company a number of Shares with an aggregate purchase price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95" w:name="page96"/>
    <w:bookmarkEnd w:id="95"/>
    <w:p>
      <w:pPr>
        <w:ind w:right="20"/>
        <w:spacing w:after="0" w:line="286" w:lineRule="auto"/>
        <w:rPr>
          <w:sz w:val="20"/>
          <w:szCs w:val="20"/>
          <w:color w:val="auto"/>
        </w:rPr>
      </w:pPr>
      <w:r>
        <w:rPr>
          <w:rFonts w:ascii="Arial" w:cs="Arial" w:eastAsia="Arial" w:hAnsi="Arial"/>
          <w:sz w:val="16"/>
          <w:szCs w:val="16"/>
          <w:color w:val="auto"/>
        </w:rPr>
        <w:t>necessary to ensure that, upon payment of the aggregate purchase price for such Shares by the Subsequent Subscriber on the Catch-Up Date, such Subsequent Subscriber’s Invested Percentage shall be equal to the Invested Percentage of all prior Subscribers (other than any Defaulting Subscribers or Excluded Subscribers) (the “</w:t>
      </w:r>
      <w:r>
        <w:rPr>
          <w:rFonts w:ascii="Arial" w:cs="Arial" w:eastAsia="Arial" w:hAnsi="Arial"/>
          <w:sz w:val="16"/>
          <w:szCs w:val="16"/>
          <w:u w:val="single" w:color="auto"/>
          <w:color w:val="auto"/>
        </w:rPr>
        <w:t>Catch-Up Purchase Price</w:t>
      </w:r>
      <w:r>
        <w:rPr>
          <w:rFonts w:ascii="Arial" w:cs="Arial" w:eastAsia="Arial" w:hAnsi="Arial"/>
          <w:sz w:val="16"/>
          <w:szCs w:val="16"/>
          <w:color w:val="auto"/>
        </w:rPr>
        <w:t>”). For the purposes of this Section 1.02(b), “</w:t>
      </w:r>
      <w:r>
        <w:rPr>
          <w:rFonts w:ascii="Arial" w:cs="Arial" w:eastAsia="Arial" w:hAnsi="Arial"/>
          <w:sz w:val="16"/>
          <w:szCs w:val="16"/>
          <w:u w:val="single" w:color="auto"/>
          <w:color w:val="auto"/>
        </w:rPr>
        <w:t>Invested Percentage</w:t>
      </w:r>
      <w:r>
        <w:rPr>
          <w:rFonts w:ascii="Arial" w:cs="Arial" w:eastAsia="Arial" w:hAnsi="Arial"/>
          <w:sz w:val="16"/>
          <w:szCs w:val="16"/>
          <w:color w:val="auto"/>
        </w:rPr>
        <w:t>” means, with respect to a Subscriber, the quotient determined by dividing (i) the aggregate amount of contributions made by such Subscriber pursuant to Section 1.01(b) and this Section 1.02(b) by</w:t>
      </w:r>
    </w:p>
    <w:p>
      <w:pPr>
        <w:spacing w:after="0" w:line="2" w:lineRule="exact"/>
        <w:rPr>
          <w:sz w:val="20"/>
          <w:szCs w:val="20"/>
          <w:color w:val="auto"/>
        </w:rPr>
      </w:pPr>
    </w:p>
    <w:p>
      <w:pPr>
        <w:ind w:right="60" w:firstLine="8"/>
        <w:spacing w:after="0" w:line="295" w:lineRule="auto"/>
        <w:tabs>
          <w:tab w:leader="none" w:pos="265" w:val="left"/>
        </w:tabs>
        <w:numPr>
          <w:ilvl w:val="0"/>
          <w:numId w:val="93"/>
        </w:numPr>
        <w:rPr>
          <w:rFonts w:ascii="Arial" w:cs="Arial" w:eastAsia="Arial" w:hAnsi="Arial"/>
          <w:sz w:val="16"/>
          <w:szCs w:val="16"/>
          <w:color w:val="auto"/>
        </w:rPr>
      </w:pPr>
      <w:r>
        <w:rPr>
          <w:rFonts w:ascii="Arial" w:cs="Arial" w:eastAsia="Arial" w:hAnsi="Arial"/>
          <w:sz w:val="16"/>
          <w:szCs w:val="16"/>
          <w:color w:val="auto"/>
        </w:rPr>
        <w:t>such Subscriber’s Capital Commitment. Upon payment of the Catch-Up Purchase Price by the Subscriber on the Catch-Up Date, the Company shall issue to each such Subsequent Subscriber a number of Shares determined by dividing (x) the Catch-Up Purchase Price by (y) the Per Share NAV as of the Catch-Up Date. For the avoidance of doubt, in the event that the Catch-Up Date and a Capital Drawdown Date occur on the same calendar day, the Catch-Up Date (and the application of the provisions of this Section 1.02(b)) shall be deemed to have occurred immediately prior to the relevant Capital Drawdown Date.</w:t>
      </w:r>
    </w:p>
    <w:p>
      <w:pPr>
        <w:spacing w:after="0" w:line="53" w:lineRule="exact"/>
        <w:rPr>
          <w:rFonts w:ascii="Arial" w:cs="Arial" w:eastAsia="Arial" w:hAnsi="Arial"/>
          <w:sz w:val="16"/>
          <w:szCs w:val="16"/>
          <w:color w:val="auto"/>
        </w:rPr>
      </w:pPr>
    </w:p>
    <w:p>
      <w:pPr>
        <w:ind w:right="60" w:firstLine="458"/>
        <w:spacing w:after="0" w:line="259" w:lineRule="auto"/>
        <w:tabs>
          <w:tab w:leader="none" w:pos="685"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At each Capital Drawdown Date following any Subsequent Closing, all Subscribers, including Subsequent Subscribers, shall purchase Shares in accordance with the provisions of Section 1.01(b);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notwithstanding the foregoing, the definition of Drawdown Share Amount and the provisions of Section 2.01(b), nothing in this Agreement shall prohibit the Company from issuing Shares to Subsequent Subscribers at a per share price greater than the Per Share NAV.</w:t>
      </w:r>
    </w:p>
    <w:p>
      <w:pPr>
        <w:spacing w:after="0" w:line="78" w:lineRule="exact"/>
        <w:rPr>
          <w:rFonts w:ascii="Arial" w:cs="Arial" w:eastAsia="Arial" w:hAnsi="Arial"/>
          <w:sz w:val="18"/>
          <w:szCs w:val="18"/>
          <w:color w:val="auto"/>
        </w:rPr>
      </w:pPr>
    </w:p>
    <w:p>
      <w:pPr>
        <w:ind w:right="40" w:firstLine="458"/>
        <w:spacing w:after="0" w:line="312" w:lineRule="auto"/>
        <w:tabs>
          <w:tab w:leader="none" w:pos="705" w:val="left"/>
        </w:tabs>
        <w:numPr>
          <w:ilvl w:val="1"/>
          <w:numId w:val="93"/>
        </w:numPr>
        <w:rPr>
          <w:rFonts w:ascii="Arial" w:cs="Arial" w:eastAsia="Arial" w:hAnsi="Arial"/>
          <w:sz w:val="16"/>
          <w:szCs w:val="16"/>
          <w:color w:val="auto"/>
        </w:rPr>
      </w:pPr>
      <w:r>
        <w:rPr>
          <w:rFonts w:ascii="Arial" w:cs="Arial" w:eastAsia="Arial" w:hAnsi="Arial"/>
          <w:sz w:val="16"/>
          <w:szCs w:val="16"/>
          <w:color w:val="auto"/>
        </w:rPr>
        <w:t>In the event that any Subscriber is permitted by the Company to make an additional capital commitment to purchase Shares on a date after its initial subscription has been accepted, such Subscriber will be required to enter into a separate subscription agreement with the Company, it being understood and agreed that such separate subscription agreement will be considered to be an Other Subscription Agreement for the purposes of this Agreement.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2.01. Capital Drawdowns.</w:t>
      </w:r>
    </w:p>
    <w:p>
      <w:pPr>
        <w:spacing w:after="0" w:line="117" w:lineRule="exact"/>
        <w:rPr>
          <w:sz w:val="20"/>
          <w:szCs w:val="20"/>
          <w:color w:val="auto"/>
        </w:rPr>
      </w:pPr>
    </w:p>
    <w:p>
      <w:pPr>
        <w:ind w:right="160" w:firstLine="458"/>
        <w:spacing w:after="0" w:line="277"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Subject to Section 2.01(f), purchases of Shares will take place on dates selected by the Company in its sole discretion (each, a “</w:t>
      </w:r>
      <w:r>
        <w:rPr>
          <w:rFonts w:ascii="Arial" w:cs="Arial" w:eastAsia="Arial" w:hAnsi="Arial"/>
          <w:sz w:val="18"/>
          <w:szCs w:val="18"/>
          <w:u w:val="single" w:color="auto"/>
          <w:color w:val="auto"/>
        </w:rPr>
        <w:t>Capital Drawdown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and shall be made in accordance with the provisions of Section 1.01(b).</w:t>
      </w:r>
    </w:p>
    <w:p>
      <w:pPr>
        <w:spacing w:after="0" w:line="62" w:lineRule="exact"/>
        <w:rPr>
          <w:rFonts w:ascii="Arial" w:cs="Arial" w:eastAsia="Arial" w:hAnsi="Arial"/>
          <w:sz w:val="18"/>
          <w:szCs w:val="18"/>
          <w:color w:val="auto"/>
        </w:rPr>
      </w:pPr>
    </w:p>
    <w:p>
      <w:pPr>
        <w:ind w:firstLine="458"/>
        <w:spacing w:after="0" w:line="255" w:lineRule="auto"/>
        <w:tabs>
          <w:tab w:leader="none" w:pos="70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shall deliver to the Subscriber, at least ten (10) Business Days prior to each Capital Drawdown Date, a notice (each, a “</w:t>
      </w:r>
      <w:r>
        <w:rPr>
          <w:rFonts w:ascii="Arial" w:cs="Arial" w:eastAsia="Arial" w:hAnsi="Arial"/>
          <w:sz w:val="18"/>
          <w:szCs w:val="18"/>
          <w:u w:val="single" w:color="auto"/>
          <w:color w:val="auto"/>
        </w:rPr>
        <w:t>Funding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setting forth (i) the Capital Drawdown Date, (ii) the nature of the proposed investment(s) for which capital is being drawn down, (iii) the aggregate number of Shares to be sold to all Subscribers on the Capital Drawdown Date and the aggregate purchase price for such Shares, (iv) the applicable Drawdown Share Amount, Drawdown Purchase Price and Per Share NAV and (v) the account to which the Drawdown Purchase Price should be wired. Notwithstanding the 10 Business Day notice requirement set forth in the previous sentence, the Subscriber agrees to satisfy the Funding Notice set forth in Appendix B for the Capital Drawdown Date that will take place on [</w:t>
      </w:r>
      <w:r>
        <w:rPr>
          <w:rFonts w:ascii="Arial" w:cs="Arial" w:eastAsia="Arial" w:hAnsi="Arial"/>
          <w:sz w:val="18"/>
          <w:szCs w:val="18"/>
          <w:b w:val="1"/>
          <w:bCs w:val="1"/>
          <w:color w:val="auto"/>
        </w:rPr>
        <w:t>•</w:t>
      </w:r>
      <w:r>
        <w:rPr>
          <w:rFonts w:ascii="Arial" w:cs="Arial" w:eastAsia="Arial" w:hAnsi="Arial"/>
          <w:sz w:val="18"/>
          <w:szCs w:val="18"/>
          <w:color w:val="auto"/>
        </w:rPr>
        <w:t>], 2011.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6" w:name="page97"/>
    <w:bookmarkEnd w:id="96"/>
    <w:p>
      <w:pPr>
        <w:ind w:right="200"/>
        <w:spacing w:after="0" w:line="277" w:lineRule="auto"/>
        <w:rPr>
          <w:sz w:val="20"/>
          <w:szCs w:val="20"/>
          <w:color w:val="auto"/>
        </w:rPr>
      </w:pPr>
      <w:r>
        <w:rPr>
          <w:rFonts w:ascii="Arial" w:cs="Arial" w:eastAsia="Arial" w:hAnsi="Arial"/>
          <w:sz w:val="18"/>
          <w:szCs w:val="18"/>
          <w:color w:val="auto"/>
        </w:rPr>
        <w:t>For the purposes of this Agreement,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have the meaning ascribed to it in Rule 14d-1(g)(3) under the Securities Act of 1934, as amended (the “</w:t>
      </w:r>
      <w:r>
        <w:rPr>
          <w:rFonts w:ascii="Arial" w:cs="Arial" w:eastAsia="Arial" w:hAnsi="Arial"/>
          <w:sz w:val="18"/>
          <w:szCs w:val="18"/>
          <w:u w:val="single" w:color="auto"/>
          <w:color w:val="auto"/>
        </w:rPr>
        <w:t>1934 Act</w:t>
      </w:r>
      <w:r>
        <w:rPr>
          <w:rFonts w:ascii="Arial" w:cs="Arial" w:eastAsia="Arial" w:hAnsi="Arial"/>
          <w:sz w:val="18"/>
          <w:szCs w:val="18"/>
          <w:color w:val="auto"/>
        </w:rPr>
        <w:t>”).</w:t>
      </w:r>
    </w:p>
    <w:p>
      <w:pPr>
        <w:spacing w:after="0" w:line="62" w:lineRule="exact"/>
        <w:rPr>
          <w:sz w:val="20"/>
          <w:szCs w:val="20"/>
          <w:color w:val="auto"/>
        </w:rPr>
      </w:pPr>
    </w:p>
    <w:p>
      <w:pPr>
        <w:ind w:right="300" w:firstLine="458"/>
        <w:spacing w:after="0" w:line="277" w:lineRule="auto"/>
        <w:tabs>
          <w:tab w:leader="none" w:pos="69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delivery of a Funding Notice to the Subscriber shall be the sole and exclusive condition to the Subscriber’s obligation to pay the Drawdown Share Purchase Price identified in each Funding Notice.</w:t>
      </w:r>
    </w:p>
    <w:p>
      <w:pPr>
        <w:spacing w:after="0" w:line="62" w:lineRule="exact"/>
        <w:rPr>
          <w:rFonts w:ascii="Arial" w:cs="Arial" w:eastAsia="Arial" w:hAnsi="Arial"/>
          <w:sz w:val="18"/>
          <w:szCs w:val="18"/>
          <w:color w:val="auto"/>
        </w:rPr>
      </w:pPr>
    </w:p>
    <w:p>
      <w:pPr>
        <w:ind w:right="340" w:firstLine="458"/>
        <w:spacing w:after="0" w:line="277"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each Capital Drawdown Date, the Subscriber shall pay the Drawdown Purchase Price to the Company by bank wire transfer in immediately available funds in U.S. dollars to the account specified in the Funding Notice.</w:t>
      </w:r>
    </w:p>
    <w:p>
      <w:pPr>
        <w:spacing w:after="0" w:line="62" w:lineRule="exact"/>
        <w:rPr>
          <w:rFonts w:ascii="Arial" w:cs="Arial" w:eastAsia="Arial" w:hAnsi="Arial"/>
          <w:sz w:val="18"/>
          <w:szCs w:val="18"/>
          <w:color w:val="auto"/>
        </w:rPr>
      </w:pPr>
    </w:p>
    <w:p>
      <w:pPr>
        <w:ind w:right="200" w:firstLine="458"/>
        <w:spacing w:after="0" w:line="277" w:lineRule="auto"/>
        <w:tabs>
          <w:tab w:leader="none" w:pos="69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will act as transfer agent and registrar for the Shares, unless and until the Company, in its sole discretion, decides to appoint a third party to act in one or both of those capacities.</w:t>
      </w:r>
    </w:p>
    <w:p>
      <w:pPr>
        <w:spacing w:after="0" w:line="62" w:lineRule="exact"/>
        <w:rPr>
          <w:rFonts w:ascii="Arial" w:cs="Arial" w:eastAsia="Arial" w:hAnsi="Arial"/>
          <w:sz w:val="18"/>
          <w:szCs w:val="18"/>
          <w:color w:val="auto"/>
        </w:rPr>
      </w:pPr>
    </w:p>
    <w:p>
      <w:pPr>
        <w:ind w:firstLine="458"/>
        <w:spacing w:after="0" w:line="271" w:lineRule="auto"/>
        <w:tabs>
          <w:tab w:leader="none" w:pos="665" w:val="left"/>
        </w:tabs>
        <w:numPr>
          <w:ilvl w:val="0"/>
          <w:numId w:val="95"/>
        </w:numPr>
        <w:rPr>
          <w:rFonts w:ascii="Arial" w:cs="Arial" w:eastAsia="Arial" w:hAnsi="Arial"/>
          <w:sz w:val="17"/>
          <w:szCs w:val="17"/>
          <w:color w:val="auto"/>
        </w:rPr>
      </w:pPr>
      <w:r>
        <w:rPr>
          <w:rFonts w:ascii="Arial" w:cs="Arial" w:eastAsia="Arial" w:hAnsi="Arial"/>
          <w:sz w:val="17"/>
          <w:szCs w:val="17"/>
          <w:color w:val="auto"/>
        </w:rPr>
        <w:t>At the earlier of (i) the date of a Qualified IPO, if any, and (ii) the fourth anniversary of the Initial Closing Date, any Unused Capital Commitment (other than any Defaulted Commitment) shall automatically be reduced to zero, except to the extent necessary to pay amounts due under Funding Notices that the Company may thereafter issue to: (a) pay Company expenses, including management fees, amounts that may become due under any borrowings or other financings or similar obligations, or indemity obligations, (b) complete investments in any transactions for which there are binding written agreements as of the end of the Commitment Period (including investments that are funded in phases), (c) fund follow-on investments made in existing portfolio companies within three years from the end of the Commitment Period that, in the aggregate, do not exceed five percent (5%) of total Capital Commitments, (d) fund obligations under any Company guarantee and (e) fulfill obligations with respect to any Defaulted Commitment. A “</w:t>
      </w:r>
      <w:r>
        <w:rPr>
          <w:rFonts w:ascii="Arial" w:cs="Arial" w:eastAsia="Arial" w:hAnsi="Arial"/>
          <w:sz w:val="17"/>
          <w:szCs w:val="17"/>
          <w:u w:val="single" w:color="auto"/>
          <w:color w:val="auto"/>
        </w:rPr>
        <w:t>Qualified IPO</w:t>
      </w:r>
      <w:r>
        <w:rPr>
          <w:rFonts w:ascii="Arial" w:cs="Arial" w:eastAsia="Arial" w:hAnsi="Arial"/>
          <w:sz w:val="17"/>
          <w:szCs w:val="17"/>
          <w:color w:val="auto"/>
        </w:rPr>
        <w:t>” shall mean an initial public offering of the Company’s common stock that results in an unaffiliated public float of at least $75 million.</w:t>
      </w:r>
    </w:p>
    <w:p>
      <w:pPr>
        <w:spacing w:after="0" w:line="70" w:lineRule="exact"/>
        <w:rPr>
          <w:rFonts w:ascii="Arial" w:cs="Arial" w:eastAsia="Arial" w:hAnsi="Arial"/>
          <w:sz w:val="17"/>
          <w:szCs w:val="17"/>
          <w:color w:val="auto"/>
        </w:rPr>
      </w:pPr>
    </w:p>
    <w:p>
      <w:pPr>
        <w:ind w:right="80" w:firstLine="458"/>
        <w:spacing w:after="0" w:line="272" w:lineRule="auto"/>
        <w:tabs>
          <w:tab w:leader="none" w:pos="705"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the Company shall have the right (a “</w:t>
      </w:r>
      <w:r>
        <w:rPr>
          <w:rFonts w:ascii="Arial" w:cs="Arial" w:eastAsia="Arial" w:hAnsi="Arial"/>
          <w:sz w:val="17"/>
          <w:szCs w:val="17"/>
          <w:u w:val="single" w:color="auto"/>
          <w:color w:val="auto"/>
        </w:rPr>
        <w:t>Limited Exclusion Right</w:t>
      </w:r>
      <w:r>
        <w:rPr>
          <w:rFonts w:ascii="Arial" w:cs="Arial" w:eastAsia="Arial" w:hAnsi="Arial"/>
          <w:sz w:val="17"/>
          <w:szCs w:val="17"/>
          <w:color w:val="auto"/>
        </w:rPr>
        <w:t>”) to exclude any Subscriber (such Subscriber, an “</w:t>
      </w:r>
      <w:r>
        <w:rPr>
          <w:rFonts w:ascii="Arial" w:cs="Arial" w:eastAsia="Arial" w:hAnsi="Arial"/>
          <w:sz w:val="17"/>
          <w:szCs w:val="17"/>
          <w:u w:val="single" w:color="auto"/>
          <w:color w:val="auto"/>
        </w:rPr>
        <w:t>Excluded Subscriber</w:t>
      </w:r>
      <w:r>
        <w:rPr>
          <w:rFonts w:ascii="Arial" w:cs="Arial" w:eastAsia="Arial" w:hAnsi="Arial"/>
          <w:sz w:val="17"/>
          <w:szCs w:val="17"/>
          <w:color w:val="auto"/>
        </w:rPr>
        <w:t>”) from purchasing Shares from the Company on any Capital Drawdown date if, in the reasonable discretion of the Company, there is a substantial likelihood that such Subscriber’s purchase of Shares at such time would (i) result in a violation of, or noncompliance with, any law or regulation to which such Subscriber, the Company, the Adviser, any Other Subscriber or a portfolio company would be subject or (ii) cause the investments of “Benefit Plan Investors” (within the meaning of Section 3(42) of the U.S.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and certain Department of Labor regulations) to be significant and the assets of the Company to be considered “plan assets” under ERISA or Section 4975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70"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Pledging</w:t>
      </w:r>
      <w:r>
        <w:rPr>
          <w:rFonts w:ascii="Arial" w:cs="Arial" w:eastAsia="Arial" w:hAnsi="Arial"/>
          <w:sz w:val="18"/>
          <w:szCs w:val="18"/>
          <w:color w:val="auto"/>
        </w:rPr>
        <w:t>. Without limiting the generality of the foregoing, the Subscriber specifically agrees and consents that the Company may, at any time, and without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7" w:name="page98"/>
    <w:bookmarkEnd w:id="97"/>
    <w:p>
      <w:pPr>
        <w:jc w:val="both"/>
        <w:spacing w:after="0" w:line="257" w:lineRule="auto"/>
        <w:rPr>
          <w:sz w:val="20"/>
          <w:szCs w:val="20"/>
          <w:color w:val="auto"/>
        </w:rPr>
      </w:pPr>
      <w:r>
        <w:rPr>
          <w:rFonts w:ascii="Arial" w:cs="Arial" w:eastAsia="Arial" w:hAnsi="Arial"/>
          <w:sz w:val="18"/>
          <w:szCs w:val="18"/>
          <w:color w:val="auto"/>
        </w:rPr>
        <w:t xml:space="preserve">further notice to or consent from the Subscriber (except to the extent otherwise provided in this Agreement), grant security over (and, in connection therewith, Transfer (as defined in Section 4.01(e)(i))) its right to draw down capital from the Subscriber pursuant to Section 2.01, and the Company’s right to receive the Drawdown Share Purchase Price (and any related rights of the Company), to lenders or other creditors of the Company, in connection with any indebtedness, guarantee or surety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any such grantee’s right to draw down capital shall be subject to the limitations on the Company’s right to draw down capital pursuant to Section 2.01.</w:t>
      </w:r>
    </w:p>
    <w:p>
      <w:pPr>
        <w:spacing w:after="0" w:line="80" w:lineRule="exact"/>
        <w:rPr>
          <w:sz w:val="20"/>
          <w:szCs w:val="20"/>
          <w:color w:val="auto"/>
        </w:rPr>
      </w:pPr>
    </w:p>
    <w:p>
      <w:pPr>
        <w:ind w:right="60" w:firstLine="450"/>
        <w:spacing w:after="0" w:line="270"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Dividends; Dividend Reinvestment Program</w:t>
      </w:r>
      <w:r>
        <w:rPr>
          <w:rFonts w:ascii="Arial" w:cs="Arial" w:eastAsia="Arial" w:hAnsi="Arial"/>
          <w:sz w:val="17"/>
          <w:szCs w:val="17"/>
          <w:color w:val="auto"/>
        </w:rPr>
        <w:t>. (a) As described more fully in the Memorandum, the Company generally intends to distribute, out of assets legally available for distribution, substantially all of its available earnings, on a quarterly basis, as determined by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in its discretion. Prior to the occurrence of a Qualified IPO, the Company will reinvest all cash dividends declared by the Board on behalf of Subscribers who do not elect to receive their dividends in cash, crediting to each such Subscriber a number of Shares equal to the quotient determined by dividing the cash value of the dividend payable to such Subscriber by the Per Share NAV as of the last day of the Company’s fiscal quarter immediately preceding the date such dividend was declared. The Subscriber may elect to receive any or all such dividends in cash by notifying the Adviser in writing no later than 10 days prior to the record date for the first dividend that the Subscriber wishes to receive in that form, using the form of notice contained in Appendix C. The Subscriber and the Company agree and acknowledge that any dividends received by the Subscriber or reinvested by the Company on the Subscriber’s behalf shall have no effect on the amount of the Subscriber’s Unfunded Commitment.</w:t>
      </w:r>
    </w:p>
    <w:p>
      <w:pPr>
        <w:spacing w:after="0" w:line="74" w:lineRule="exact"/>
        <w:rPr>
          <w:sz w:val="20"/>
          <w:szCs w:val="20"/>
          <w:color w:val="auto"/>
        </w:rPr>
      </w:pPr>
    </w:p>
    <w:p>
      <w:pPr>
        <w:ind w:right="120" w:firstLine="458"/>
        <w:spacing w:after="0" w:line="259" w:lineRule="auto"/>
        <w:tabs>
          <w:tab w:leader="none" w:pos="70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represents and warrants that it shall not make any distributions consisting of securities that are not Marketable Securities except in connection with liquidation distributions pursuant to subsection IV(A)(3) of the Certificate. “</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securities which are traded or quoted on the New York Stock Exchange, American Stock Exchange or the Nasdaq Global Market or on a comparable securities market or exchange now or in the future.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III</w:t>
      </w:r>
    </w:p>
    <w:p>
      <w:pPr>
        <w:spacing w:after="0" w:line="117" w:lineRule="exact"/>
        <w:rPr>
          <w:sz w:val="20"/>
          <w:szCs w:val="20"/>
          <w:color w:val="auto"/>
        </w:rPr>
      </w:pPr>
    </w:p>
    <w:p>
      <w:pPr>
        <w:ind w:right="160" w:firstLine="450"/>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Remedies Upon Subscriber Default</w:t>
      </w:r>
      <w:r>
        <w:rPr>
          <w:rFonts w:ascii="Arial" w:cs="Arial" w:eastAsia="Arial" w:hAnsi="Arial"/>
          <w:sz w:val="18"/>
          <w:szCs w:val="18"/>
          <w:color w:val="auto"/>
        </w:rPr>
        <w:t>. In the event that a Subscriber fails to pay all or any portion of the purchase price due from such Subscriber on any Capital Drawdown Date (such amount, together with the full amount of such Subscriber’s remaining Capital Commitment, a “</w:t>
      </w:r>
      <w:r>
        <w:rPr>
          <w:rFonts w:ascii="Arial" w:cs="Arial" w:eastAsia="Arial" w:hAnsi="Arial"/>
          <w:sz w:val="18"/>
          <w:szCs w:val="18"/>
          <w:u w:val="single" w:color="auto"/>
          <w:color w:val="auto"/>
        </w:rPr>
        <w:t>Defaulted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w:t>
      </w:r>
      <w:r>
        <w:rPr>
          <w:rFonts w:ascii="Arial" w:cs="Arial" w:eastAsia="Arial" w:hAnsi="Arial"/>
          <w:sz w:val="18"/>
          <w:szCs w:val="18"/>
          <w:color w:val="auto"/>
        </w:rPr>
        <w:t>”) and such default remains uncured for a period of ten (10) Business Days, the Company shall be permitted to declare such Subscriber to be in default of its obligations under this Agreement (any such Subscriber, a “</w:t>
      </w:r>
      <w:r>
        <w:rPr>
          <w:rFonts w:ascii="Arial" w:cs="Arial" w:eastAsia="Arial" w:hAnsi="Arial"/>
          <w:sz w:val="18"/>
          <w:szCs w:val="18"/>
          <w:u w:val="single" w:color="auto"/>
          <w:color w:val="auto"/>
        </w:rPr>
        <w:t>Defaulting Subscriber</w:t>
      </w:r>
      <w:r>
        <w:rPr>
          <w:rFonts w:ascii="Arial" w:cs="Arial" w:eastAsia="Arial" w:hAnsi="Arial"/>
          <w:sz w:val="18"/>
          <w:szCs w:val="18"/>
          <w:color w:val="auto"/>
        </w:rPr>
        <w:t>”) and shall be permitted to pursue one or any combination of the following remedies: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8" w:name="page99"/>
    <w:bookmarkEnd w:id="98"/>
    <w:p>
      <w:pPr>
        <w:ind w:left="700" w:hanging="242"/>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may prohibit the Defaulting Subscriber from purchasing additional Shares on any future Capital Drawdown Date;</w:t>
      </w:r>
    </w:p>
    <w:p>
      <w:pPr>
        <w:spacing w:after="0" w:line="117" w:lineRule="exact"/>
        <w:rPr>
          <w:rFonts w:ascii="Arial" w:cs="Arial" w:eastAsia="Arial" w:hAnsi="Arial"/>
          <w:sz w:val="18"/>
          <w:szCs w:val="18"/>
          <w:color w:val="auto"/>
        </w:rPr>
      </w:pPr>
    </w:p>
    <w:p>
      <w:pPr>
        <w:ind w:firstLine="458"/>
        <w:spacing w:after="0" w:line="286" w:lineRule="auto"/>
        <w:tabs>
          <w:tab w:leader="none" w:pos="702"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Twenty-five percent (25%) of the Shares then held by the Defaulting Subscriber shall be automatically transferred on the books of the Company, without any further action being required on the part of the Company or the Defaulting Subscriber, to the Other Subscribers (other than any defaulting Other Subscriber),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 respective Capital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notwithstanding anything to the contrary contained in this Agreement, no Shares shall be transferred to any Other Subscriber pursuant to this Section 3.01(b) in the event that such transfer would (x) violate the Securities Act or any state (or other jurisdiction) securities or “Blue Sky” laws applicable to the Company or such Transfer, (y) constitute a non-exempt “prohibited transaction” under Section 406 of ERISA or Section 4975 of the Code or (z) cause all or any portion of the assets of the Company to constitute “plan assets” under ERISA or Section 4975 of the Code (it being understood that this proviso shall operate only to the extent necessary to avoid the occurrence of the consequences contemplated herein and shall not prevent the Subscriber from receiving a partial allocation of its pro rata portion of Shares);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Shares that have not been transferred to one or more Other Subscribers pursuant to the previous proviso shall be allocated among the participating Other Subscribers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 respective Capital Commitments. The mechanism described in this Section 3.01(b) is intended to operate as a liquidated damage provision, since the damage to Other Subscribers resulting from a default by the Defaulting Subscriber is both significant and not easily susceptible to precise quantification. By entry into this Agreement, the Subscriber agrees to this transfer and acknowledges that it constitutes a reasonable liquidated damage remedy for any default in the Subscriber’s obligation of the type described; and</w:t>
      </w:r>
    </w:p>
    <w:p>
      <w:pPr>
        <w:spacing w:after="0" w:line="66" w:lineRule="exact"/>
        <w:rPr>
          <w:rFonts w:ascii="Arial" w:cs="Arial" w:eastAsia="Arial" w:hAnsi="Arial"/>
          <w:sz w:val="16"/>
          <w:szCs w:val="16"/>
          <w:color w:val="auto"/>
        </w:rPr>
      </w:pPr>
    </w:p>
    <w:p>
      <w:pPr>
        <w:ind w:left="700" w:hanging="242"/>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may pursue any other remedies against the defaulting Subscriber available to the Company, subject to applicable law.</w:t>
      </w:r>
    </w:p>
    <w:p>
      <w:pPr>
        <w:spacing w:after="0" w:line="117" w:lineRule="exact"/>
        <w:rPr>
          <w:sz w:val="20"/>
          <w:szCs w:val="20"/>
          <w:color w:val="auto"/>
        </w:rPr>
      </w:pPr>
    </w:p>
    <w:p>
      <w:pPr>
        <w:ind w:right="20" w:firstLine="450"/>
        <w:spacing w:after="0" w:line="270"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Key Person Event</w:t>
      </w:r>
      <w:r>
        <w:rPr>
          <w:rFonts w:ascii="Arial" w:cs="Arial" w:eastAsia="Arial" w:hAnsi="Arial"/>
          <w:sz w:val="17"/>
          <w:szCs w:val="17"/>
          <w:color w:val="auto"/>
        </w:rPr>
        <w:t>. (a) A key person event shall occur if, at any time prior to the earlier to occur of (i) a Qualified IPO and (ii) the fourth anniversary of the Initial Closing Date, both of the Principals (as defined below) fail to remain actively involved in the investment activities of the Company and other investment vehicles managed by TPG Capital, L.P. and its affiliates (a “</w:t>
      </w:r>
      <w:r>
        <w:rPr>
          <w:rFonts w:ascii="Arial" w:cs="Arial" w:eastAsia="Arial" w:hAnsi="Arial"/>
          <w:sz w:val="17"/>
          <w:szCs w:val="17"/>
          <w:u w:val="single" w:color="auto"/>
          <w:color w:val="auto"/>
        </w:rPr>
        <w:t>Key Person Event</w:t>
      </w:r>
      <w:r>
        <w:rPr>
          <w:rFonts w:ascii="Arial" w:cs="Arial" w:eastAsia="Arial" w:hAnsi="Arial"/>
          <w:sz w:val="17"/>
          <w:szCs w:val="17"/>
          <w:color w:val="auto"/>
        </w:rPr>
        <w:t>”). In the event of the occurrence of a Key Person Event, the Company shall send written notice to the Subscribers within ten (10) Business Days of such occurrence. If during the sixty (60) day period following the sending of such written notice (the “</w:t>
      </w:r>
      <w:r>
        <w:rPr>
          <w:rFonts w:ascii="Arial" w:cs="Arial" w:eastAsia="Arial" w:hAnsi="Arial"/>
          <w:sz w:val="17"/>
          <w:szCs w:val="17"/>
          <w:u w:val="single" w:color="auto"/>
          <w:color w:val="auto"/>
        </w:rPr>
        <w:t>Notice Period</w:t>
      </w:r>
      <w:r>
        <w:rPr>
          <w:rFonts w:ascii="Arial" w:cs="Arial" w:eastAsia="Arial" w:hAnsi="Arial"/>
          <w:sz w:val="17"/>
          <w:szCs w:val="17"/>
          <w:color w:val="auto"/>
        </w:rPr>
        <w:t>”), the Principals have not been replaced by the Adviser in accordance with Section 3.02(b), the Company shall convene a special meeting of the stockholders to be held no later than thirty (30) days following the expiration of the Notice Period for the purpose of determining whether the investment period of the Company should be suspended. In the event that holders of a majority of the outstanding Shares of the Company vote to suspend the investment period of the Company at such special meeting, any Unused Capital Commitment (other than any Defaulted Commitment) shall automatically be reduced to</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t>zero, except to the extent necessary to pay amounts due under Funding Notices the Company may thereafter issue as provided in Section 2.01(f).</w:t>
      </w:r>
    </w:p>
    <w:p>
      <w:pPr>
        <w:spacing w:after="0" w:line="129" w:lineRule="exact"/>
        <w:rPr>
          <w:sz w:val="20"/>
          <w:szCs w:val="20"/>
          <w:color w:val="auto"/>
        </w:rPr>
      </w:pPr>
    </w:p>
    <w:p>
      <w:pPr>
        <w:ind w:right="120" w:firstLine="458"/>
        <w:spacing w:after="0" w:line="291" w:lineRule="auto"/>
        <w:tabs>
          <w:tab w:leader="none" w:pos="705" w:val="left"/>
        </w:tabs>
        <w:numPr>
          <w:ilvl w:val="1"/>
          <w:numId w:val="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Principals</w:t>
      </w:r>
      <w:r>
        <w:rPr>
          <w:rFonts w:ascii="Arial" w:cs="Arial" w:eastAsia="Arial" w:hAnsi="Arial"/>
          <w:sz w:val="16"/>
          <w:szCs w:val="16"/>
          <w:color w:val="auto"/>
        </w:rPr>
        <w:t>” shall initially mean Alan Waxman and Joshua Easterly, it being understood and agreed that the Adviser shall be permitted at any time to replace any person designated as a “</w:t>
      </w:r>
      <w:r>
        <w:rPr>
          <w:rFonts w:ascii="Arial" w:cs="Arial" w:eastAsia="Arial" w:hAnsi="Arial"/>
          <w:sz w:val="16"/>
          <w:szCs w:val="16"/>
          <w:u w:val="single" w:color="auto"/>
          <w:color w:val="auto"/>
        </w:rPr>
        <w:t>Principal</w:t>
      </w:r>
      <w:r>
        <w:rPr>
          <w:rFonts w:ascii="Arial" w:cs="Arial" w:eastAsia="Arial" w:hAnsi="Arial"/>
          <w:sz w:val="16"/>
          <w:szCs w:val="16"/>
          <w:color w:val="auto"/>
        </w:rPr>
        <w:t xml:space="preserve">” with a senior professional selected by the Adviser;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replacement has been approved by</w:t>
      </w:r>
    </w:p>
    <w:p>
      <w:pPr>
        <w:ind w:right="80" w:firstLine="8"/>
        <w:spacing w:after="0" w:line="255" w:lineRule="auto"/>
        <w:tabs>
          <w:tab w:leader="none" w:pos="2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vote of a majority of the Company’s directors who are not “interested persons” (as such term is defined in Section 2(a)(19) of the 1940 Act) or (ii) the vote of holders of a majority of the outstanding Shares of the Company at a special meeting called for such purpose within forty-five (45) days of the designation of such replacement.</w:t>
      </w:r>
    </w:p>
    <w:p>
      <w:pPr>
        <w:spacing w:after="0" w:line="82" w:lineRule="exact"/>
        <w:rPr>
          <w:rFonts w:ascii="Arial" w:cs="Arial" w:eastAsia="Arial" w:hAnsi="Arial"/>
          <w:sz w:val="18"/>
          <w:szCs w:val="18"/>
          <w:color w:val="auto"/>
        </w:rPr>
      </w:pPr>
    </w:p>
    <w:p>
      <w:pPr>
        <w:ind w:firstLine="458"/>
        <w:spacing w:after="0" w:line="342" w:lineRule="auto"/>
        <w:tabs>
          <w:tab w:leader="none" w:pos="695" w:val="left"/>
        </w:tabs>
        <w:numPr>
          <w:ilvl w:val="1"/>
          <w:numId w:val="99"/>
        </w:numPr>
        <w:rPr>
          <w:rFonts w:ascii="Arial" w:cs="Arial" w:eastAsia="Arial" w:hAnsi="Arial"/>
          <w:sz w:val="16"/>
          <w:szCs w:val="16"/>
          <w:color w:val="auto"/>
        </w:rPr>
      </w:pPr>
      <w:r>
        <w:rPr>
          <w:rFonts w:ascii="Arial" w:cs="Arial" w:eastAsia="Arial" w:hAnsi="Arial"/>
          <w:sz w:val="16"/>
          <w:szCs w:val="16"/>
          <w:color w:val="auto"/>
        </w:rPr>
        <w:t>In addition to the notice requirements set forth in Section 3.02(a), the Company agrees that it shall provide the Subscribers with written notice within 10 Business Days of the failure of one (but not both) of the Principals to comply with the time and attention requirements described in Section 3.02(a).</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IV</w:t>
      </w:r>
    </w:p>
    <w:p>
      <w:pPr>
        <w:spacing w:after="0" w:line="117"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Subscriber Representations, Warranties and Covenants</w:t>
      </w:r>
      <w:r>
        <w:rPr>
          <w:rFonts w:ascii="Arial" w:cs="Arial" w:eastAsia="Arial" w:hAnsi="Arial"/>
          <w:sz w:val="18"/>
          <w:szCs w:val="18"/>
          <w:color w:val="auto"/>
        </w:rPr>
        <w:t>. The Subscriber hereby acknowledges, represents and warrants to, and agrees with, the Company as follows:</w:t>
      </w:r>
    </w:p>
    <w:p>
      <w:pPr>
        <w:spacing w:after="0" w:line="62" w:lineRule="exact"/>
        <w:rPr>
          <w:sz w:val="20"/>
          <w:szCs w:val="20"/>
          <w:color w:val="auto"/>
        </w:rPr>
      </w:pPr>
    </w:p>
    <w:p>
      <w:pPr>
        <w:ind w:right="40" w:firstLine="458"/>
        <w:spacing w:after="0" w:line="255" w:lineRule="auto"/>
        <w:tabs>
          <w:tab w:leader="none" w:pos="69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Subscriber and, upon due authorization, execution and delivery by the Company, will constitute the valid and legally binding agreement of the Subscriber enforceable in accordance with its terms against the Subscriber, except as such enforceability may be limited by (i) bankruptcy, insolvency, reorganization, fraudulent conveyance, moratorium or other laws of general application relating to or affecting the enforcement of creditors’ rights and remedies, as from time to time in effect; (ii) application of equitable principles (regardless of whether such enforceability is considered in a proceeding in equity or at law); and (iii) considerations of public policy or the effect of applicable law relating to fiduciary duties.</w:t>
      </w:r>
    </w:p>
    <w:p>
      <w:pPr>
        <w:spacing w:after="0" w:line="85" w:lineRule="exact"/>
        <w:rPr>
          <w:rFonts w:ascii="Arial" w:cs="Arial" w:eastAsia="Arial" w:hAnsi="Arial"/>
          <w:sz w:val="18"/>
          <w:szCs w:val="18"/>
          <w:color w:val="auto"/>
        </w:rPr>
      </w:pPr>
    </w:p>
    <w:p>
      <w:pPr>
        <w:ind w:left="700" w:hanging="242"/>
        <w:spacing w:after="0"/>
        <w:tabs>
          <w:tab w:leader="none" w:pos="7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Subscriber is acquiring the Shares for the Subscriber’s own account as principal for investment and not with a view to the distribution or sale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02" w:lineRule="exact"/>
        <w:rPr>
          <w:rFonts w:ascii="Arial" w:cs="Arial" w:eastAsia="Arial" w:hAnsi="Arial"/>
          <w:sz w:val="16"/>
          <w:szCs w:val="16"/>
          <w:color w:val="auto"/>
        </w:rPr>
      </w:pPr>
    </w:p>
    <w:p>
      <w:pPr>
        <w:ind w:right="300" w:firstLine="458"/>
        <w:spacing w:after="0" w:line="277" w:lineRule="auto"/>
        <w:tabs>
          <w:tab w:leader="none" w:pos="69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Subscriber has such knowledge and experience in financial and business matters that the Subscriber is and will be capable of evaluating the merits and risks of the prospective investment in the Shares.</w:t>
      </w:r>
    </w:p>
    <w:p>
      <w:pPr>
        <w:spacing w:after="0" w:line="62" w:lineRule="exact"/>
        <w:rPr>
          <w:rFonts w:ascii="Arial" w:cs="Arial" w:eastAsia="Arial" w:hAnsi="Arial"/>
          <w:sz w:val="18"/>
          <w:szCs w:val="18"/>
          <w:color w:val="auto"/>
        </w:rPr>
      </w:pPr>
    </w:p>
    <w:p>
      <w:pPr>
        <w:ind w:right="180" w:firstLine="458"/>
        <w:spacing w:after="0" w:line="308" w:lineRule="auto"/>
        <w:tabs>
          <w:tab w:leader="none" w:pos="70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Subscriber has no need for liquidity in this investment, has the ability to bear the economic risk of this investment, has the ability to retain its Shares for an indefinite period and at the present time and in the foreseeable future can afford a complete loss of this investment.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0" w:name="page101"/>
    <w:bookmarkEnd w:id="100"/>
    <w:p>
      <w:pPr>
        <w:ind w:left="-8" w:firstLine="458"/>
        <w:spacing w:after="0" w:line="271" w:lineRule="auto"/>
        <w:tabs>
          <w:tab w:leader="none" w:pos="687"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 The Subscriber understands that the offering and sale of the Shares are intended to be exempt from registration under the U.S. Securities Act of 1933, as amended (the “</w:t>
      </w:r>
      <w:r>
        <w:rPr>
          <w:rFonts w:ascii="Arial" w:cs="Arial" w:eastAsia="Arial" w:hAnsi="Arial"/>
          <w:sz w:val="17"/>
          <w:szCs w:val="17"/>
          <w:u w:val="single" w:color="auto"/>
          <w:color w:val="auto"/>
        </w:rPr>
        <w:t>1933 Act</w:t>
      </w:r>
      <w:r>
        <w:rPr>
          <w:rFonts w:ascii="Arial" w:cs="Arial" w:eastAsia="Arial" w:hAnsi="Arial"/>
          <w:sz w:val="17"/>
          <w:szCs w:val="17"/>
          <w:color w:val="auto"/>
        </w:rPr>
        <w:t>”), applicable U.S. state securities laws and the laws of any non-U.S. jurisdictions by virtue of the private placement exemption from registration provided in Section 4(2) of the 1933 Act, exemptions under applicable U.S. state securities laws and exemptions under the laws of any non-U.S. jurisdictions, and it agrees that any Shares acquired by the Subscriber may not be sold, offered for sale, exchanged, transferred, assigned, pledged, hypothecated or otherwise disposed of (each, a “</w:t>
      </w:r>
      <w:r>
        <w:rPr>
          <w:rFonts w:ascii="Arial" w:cs="Arial" w:eastAsia="Arial" w:hAnsi="Arial"/>
          <w:sz w:val="17"/>
          <w:szCs w:val="17"/>
          <w:u w:val="single" w:color="auto"/>
          <w:color w:val="auto"/>
        </w:rPr>
        <w:t>Transfer</w:t>
      </w:r>
      <w:r>
        <w:rPr>
          <w:rFonts w:ascii="Arial" w:cs="Arial" w:eastAsia="Arial" w:hAnsi="Arial"/>
          <w:sz w:val="17"/>
          <w:szCs w:val="17"/>
          <w:color w:val="auto"/>
        </w:rPr>
        <w:t>”) in any manner that would require the Company to register the Shares under the 1933 Act, under any U.S. state securities laws or under the laws of any non-U.S. jurisdictions. The Subscriber understands that the Company requires each investor in the Company to be an “accredited investor” as defined in Rule 501(a) of Regulation D of the 1933 Act (“</w:t>
      </w:r>
      <w:r>
        <w:rPr>
          <w:rFonts w:ascii="Arial" w:cs="Arial" w:eastAsia="Arial" w:hAnsi="Arial"/>
          <w:sz w:val="17"/>
          <w:szCs w:val="17"/>
          <w:u w:val="single" w:color="auto"/>
          <w:color w:val="auto"/>
        </w:rPr>
        <w:t>Accredited Investor</w:t>
      </w:r>
      <w:r>
        <w:rPr>
          <w:rFonts w:ascii="Arial" w:cs="Arial" w:eastAsia="Arial" w:hAnsi="Arial"/>
          <w:sz w:val="17"/>
          <w:szCs w:val="17"/>
          <w:color w:val="auto"/>
        </w:rPr>
        <w:t>”) and the Subscriber represents and warrants that it is an Accredited Investor.</w:t>
      </w:r>
    </w:p>
    <w:p>
      <w:pPr>
        <w:spacing w:after="0" w:line="70" w:lineRule="exact"/>
        <w:rPr>
          <w:rFonts w:ascii="Arial" w:cs="Arial" w:eastAsia="Arial" w:hAnsi="Arial"/>
          <w:sz w:val="17"/>
          <w:szCs w:val="17"/>
          <w:color w:val="auto"/>
        </w:rPr>
      </w:pPr>
    </w:p>
    <w:p>
      <w:pPr>
        <w:ind w:left="232" w:right="220" w:firstLine="221"/>
        <w:spacing w:after="0" w:line="259" w:lineRule="auto"/>
        <w:tabs>
          <w:tab w:leader="none" w:pos="72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Subscriber understands that the offering and sale of the Shares in non-U.S. jurisdictions may be subject to additional restrictions and limitations, and represents and warrants that it is acquiring its Shares in compliance with all applicable laws, rules, regulations and other legal requirements applicable to the Subscriber including, without limitation, the legal requirements of jurisdictions in which the Subscriber is resident and in which such acquisition is being consummated.</w:t>
      </w:r>
    </w:p>
    <w:p>
      <w:pPr>
        <w:spacing w:after="0" w:line="78" w:lineRule="exact"/>
        <w:rPr>
          <w:rFonts w:ascii="Arial" w:cs="Arial" w:eastAsia="Arial" w:hAnsi="Arial"/>
          <w:sz w:val="18"/>
          <w:szCs w:val="18"/>
          <w:color w:val="auto"/>
        </w:rPr>
      </w:pPr>
    </w:p>
    <w:p>
      <w:pPr>
        <w:ind w:left="672" w:hanging="222"/>
        <w:spacing w:after="0"/>
        <w:tabs>
          <w:tab w:leader="none" w:pos="67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Subscriber: (i) is not registered as an investment company under the U.S. Investment Company Act of 1940, as amended (the “</w:t>
      </w:r>
      <w:r>
        <w:rPr>
          <w:rFonts w:ascii="Arial" w:cs="Arial" w:eastAsia="Arial" w:hAnsi="Arial"/>
          <w:sz w:val="16"/>
          <w:szCs w:val="16"/>
          <w:u w:val="single" w:color="auto"/>
          <w:color w:val="auto"/>
        </w:rPr>
        <w:t>1940 Act</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8" w:right="300" w:firstLine="8"/>
        <w:spacing w:after="0" w:line="255" w:lineRule="auto"/>
        <w:tabs>
          <w:tab w:leader="none" w:pos="25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has not elected to be regulated as a business development company under the 1940 Act; and (iii) either (A) is not relying on the exception from the definition of “investment company” under the 1940 Act set forth in Section 3(c)(1) or 3(c)(7) thereunder or (B) is otherwise permitted to acquire and hold more than 3% of the outstanding voting securities of a business development company.</w:t>
      </w:r>
    </w:p>
    <w:p>
      <w:pPr>
        <w:spacing w:after="0" w:line="82" w:lineRule="exact"/>
        <w:rPr>
          <w:rFonts w:ascii="Arial" w:cs="Arial" w:eastAsia="Arial" w:hAnsi="Arial"/>
          <w:sz w:val="18"/>
          <w:szCs w:val="18"/>
          <w:color w:val="auto"/>
        </w:rPr>
      </w:pPr>
    </w:p>
    <w:p>
      <w:pPr>
        <w:ind w:left="-8" w:right="20" w:firstLine="458"/>
        <w:spacing w:after="0" w:line="255" w:lineRule="auto"/>
        <w:tabs>
          <w:tab w:leader="none" w:pos="69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Subscriber understands that the Company will not initially be registered as an investment company under the 1940 Act in reliance upon an exemption from registration provided by Section 3(c)(7) thereunder, and it agrees that, until such time that the Company registers as an investment company under the 1940 Act, any Shares acquired by the Subscriber may not be Transferred in any manner that would require the Company to register as an investment company under the 1940 Act. The Subscriber understands that the Company will initially rely upon an exemption from registration which requires each Subscriber to be a “qualified purchaser” as defined in Section 2(a)(51)(A) of the 1940 Act (a “</w:t>
      </w:r>
      <w:r>
        <w:rPr>
          <w:rFonts w:ascii="Arial" w:cs="Arial" w:eastAsia="Arial" w:hAnsi="Arial"/>
          <w:sz w:val="18"/>
          <w:szCs w:val="18"/>
          <w:u w:val="single" w:color="auto"/>
          <w:color w:val="auto"/>
        </w:rPr>
        <w:t>Qualified Purchaser</w:t>
      </w:r>
      <w:r>
        <w:rPr>
          <w:rFonts w:ascii="Arial" w:cs="Arial" w:eastAsia="Arial" w:hAnsi="Arial"/>
          <w:sz w:val="18"/>
          <w:szCs w:val="18"/>
          <w:color w:val="auto"/>
        </w:rPr>
        <w:t>”) and the Subscriber represents and warrants that it is a Qualified Purchaser.</w:t>
      </w:r>
    </w:p>
    <w:p>
      <w:pPr>
        <w:spacing w:after="0" w:line="85" w:lineRule="exact"/>
        <w:rPr>
          <w:rFonts w:ascii="Arial" w:cs="Arial" w:eastAsia="Arial" w:hAnsi="Arial"/>
          <w:sz w:val="18"/>
          <w:szCs w:val="18"/>
          <w:color w:val="auto"/>
        </w:rPr>
      </w:pPr>
    </w:p>
    <w:p>
      <w:pPr>
        <w:ind w:left="-8" w:right="40" w:firstLine="458"/>
        <w:spacing w:after="0" w:line="259" w:lineRule="auto"/>
        <w:tabs>
          <w:tab w:leader="none" w:pos="69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Prior to any Qualified IPO, the Subscriber may not Transfer any of its Shares or its Capital Commitment unless (i) the Adviser provides its prior written consent, (ii) the Transfer is made in accordance with applicable securities laws and (iii) the Transfer is otherwise in compliance with the transfer restrictions set forth in Appendix D. No Transfer will be effectuated except by registration of the Transfer on the Company books. Each transferee must agree to be bound by these restrictions and all other obligations as an investor in the</w:t>
      </w:r>
    </w:p>
    <w:p>
      <w:pPr>
        <w:spacing w:after="0" w:line="16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01" w:name="page102"/>
    <w:bookmarkEnd w:id="101"/>
    <w:p>
      <w:pPr>
        <w:spacing w:after="0" w:line="277" w:lineRule="auto"/>
        <w:rPr>
          <w:sz w:val="20"/>
          <w:szCs w:val="20"/>
          <w:color w:val="auto"/>
        </w:rPr>
      </w:pPr>
      <w:r>
        <w:rPr>
          <w:rFonts w:ascii="Arial" w:cs="Arial" w:eastAsia="Arial" w:hAnsi="Arial"/>
          <w:sz w:val="18"/>
          <w:szCs w:val="18"/>
          <w:color w:val="auto"/>
        </w:rPr>
        <w:t>Company. Following a Qualified IPO, the Subscriber may be restricted from selling or disposing of its Shares by applicable securities laws or contractually by a lock-up agreement with the underwriters of the Qualified IPO.</w:t>
      </w:r>
    </w:p>
    <w:p>
      <w:pPr>
        <w:spacing w:after="0" w:line="62" w:lineRule="exact"/>
        <w:rPr>
          <w:sz w:val="20"/>
          <w:szCs w:val="20"/>
          <w:color w:val="auto"/>
        </w:rPr>
      </w:pPr>
    </w:p>
    <w:p>
      <w:pPr>
        <w:ind w:right="20" w:firstLine="458"/>
        <w:spacing w:after="0" w:line="277" w:lineRule="auto"/>
        <w:tabs>
          <w:tab w:leader="none" w:pos="6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Subscriber is a corporation, partnership, trust or other entity, it was not formed or recapitalized for the specific purpose of acquiring any Shares in the Company.</w:t>
      </w:r>
    </w:p>
    <w:p>
      <w:pPr>
        <w:spacing w:after="0" w:line="62" w:lineRule="exact"/>
        <w:rPr>
          <w:rFonts w:ascii="Arial" w:cs="Arial" w:eastAsia="Arial" w:hAnsi="Arial"/>
          <w:sz w:val="18"/>
          <w:szCs w:val="18"/>
          <w:color w:val="auto"/>
        </w:rPr>
      </w:pPr>
    </w:p>
    <w:p>
      <w:pPr>
        <w:ind w:left="660" w:hanging="20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Subscriber understands, and gives full authorization, approval and consent to, the remedies described in Section 3.01.</w:t>
      </w:r>
    </w:p>
    <w:p>
      <w:pPr>
        <w:spacing w:after="0" w:line="117" w:lineRule="exact"/>
        <w:rPr>
          <w:rFonts w:ascii="Arial" w:cs="Arial" w:eastAsia="Arial" w:hAnsi="Arial"/>
          <w:sz w:val="18"/>
          <w:szCs w:val="18"/>
          <w:color w:val="auto"/>
        </w:rPr>
      </w:pPr>
    </w:p>
    <w:p>
      <w:pPr>
        <w:ind w:right="540" w:firstLine="458"/>
        <w:spacing w:after="0" w:line="286" w:lineRule="auto"/>
        <w:tabs>
          <w:tab w:leader="none" w:pos="70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Subscriber agrees to deliver to the Company such other information as to certain matters under the 1933 Act, the 1940 Act and the U.S. Investment Advisers Act of 1940, as amended (the “</w:t>
      </w:r>
      <w:r>
        <w:rPr>
          <w:rFonts w:ascii="Arial" w:cs="Arial" w:eastAsia="Arial" w:hAnsi="Arial"/>
          <w:sz w:val="17"/>
          <w:szCs w:val="17"/>
          <w:u w:val="single" w:color="auto"/>
          <w:color w:val="auto"/>
        </w:rPr>
        <w:t>Advisers Act</w:t>
      </w:r>
      <w:r>
        <w:rPr>
          <w:rFonts w:ascii="Arial" w:cs="Arial" w:eastAsia="Arial" w:hAnsi="Arial"/>
          <w:sz w:val="17"/>
          <w:szCs w:val="17"/>
          <w:color w:val="auto"/>
        </w:rPr>
        <w:t>”) as the Company may reasonably request (including, but not limited to, the Investor Suitability Questionnaire) in order to ensure compliance with such Acts and the availability of any exemption thereunder.</w:t>
      </w:r>
    </w:p>
    <w:p>
      <w:pPr>
        <w:spacing w:after="0" w:line="57" w:lineRule="exact"/>
        <w:rPr>
          <w:rFonts w:ascii="Arial" w:cs="Arial" w:eastAsia="Arial" w:hAnsi="Arial"/>
          <w:sz w:val="17"/>
          <w:szCs w:val="17"/>
          <w:color w:val="auto"/>
        </w:rPr>
      </w:pPr>
    </w:p>
    <w:p>
      <w:pPr>
        <w:ind w:right="60" w:firstLine="458"/>
        <w:spacing w:after="0" w:line="257" w:lineRule="auto"/>
        <w:tabs>
          <w:tab w:leader="none" w:pos="6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Subscriber acknowledges and agrees that, pursuant to the Certificate and the Advisory Agreement, the Company and/or the Adviser have the power and discretion to make all investment decisions in accordance with the terms of the Certificate and the Advisory Agreement. Accordingly, the Subscriber acknowledges that neither the Company, the Adviser nor any affiliate thereof has rendered or will render any investment advice or securities valuation advice to the Subscriber, and that the Subscriber is neither subscribing for nor acquiring any Shares in reliance upon, or with the expectation of, any such advice.</w:t>
      </w:r>
    </w:p>
    <w:p>
      <w:pPr>
        <w:spacing w:after="0" w:line="80" w:lineRule="exact"/>
        <w:rPr>
          <w:rFonts w:ascii="Arial" w:cs="Arial" w:eastAsia="Arial" w:hAnsi="Arial"/>
          <w:sz w:val="18"/>
          <w:szCs w:val="18"/>
          <w:color w:val="auto"/>
        </w:rPr>
      </w:pPr>
    </w:p>
    <w:p>
      <w:pPr>
        <w:ind w:right="80" w:firstLine="458"/>
        <w:spacing w:after="0" w:line="271" w:lineRule="auto"/>
        <w:tabs>
          <w:tab w:leader="none" w:pos="75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Subscriber has reviewed the Memorandum, the Certificate, the Bylaws, the Advisory Agreement and the Administration Agreement, and has read and understands the risks of, and other considerations relating to, a purchase of Shares and the Company’s investment objectives, policies and strategies, including, but not limited to, the information contained in the Memorandum. The Subscriber was offered the Shares through private negotiations, not through any general solicitation or general advertising. Other than as set forth herein and in the Memorandum, the Certificate, the Bylaws, the Advisory Agreement and the Administration Agreement, the Subscriber is not relying upon any information (including, without limitation, any advertisement, article, notice or other communication published in any newspaper, magazine, website or similar media or broadcast over television or radio, and any seminars or meetings whose attendees have been invited by any general solicitation or advertising) provided by the Company, the Adviser, any Affiliate of the foregoing or any agent of them, written or otherwise, in determining to invest in the Company.</w:t>
      </w:r>
    </w:p>
    <w:p>
      <w:pPr>
        <w:spacing w:after="0" w:line="70" w:lineRule="exact"/>
        <w:rPr>
          <w:rFonts w:ascii="Arial" w:cs="Arial" w:eastAsia="Arial" w:hAnsi="Arial"/>
          <w:sz w:val="17"/>
          <w:szCs w:val="17"/>
          <w:color w:val="auto"/>
        </w:rPr>
      </w:pPr>
    </w:p>
    <w:p>
      <w:pPr>
        <w:ind w:right="40" w:firstLine="458"/>
        <w:spacing w:after="0" w:line="279" w:lineRule="auto"/>
        <w:tabs>
          <w:tab w:leader="none" w:pos="70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Subscriber has been given the opportunity to ask questions of, and receive answers from, the Adviser, the Company and their respective personnel relating to the Company, concerning the terms and conditions of the purchase of Shares and other matters pertaining to this investment, and has had access to such financial and other information concerning the Company as it has considered necessary to verify the accuracy of any information provided and to make a decision to invest in the Company, and has availed itself of this opportunity to the full extent desired.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ind w:left="-40" w:right="460" w:firstLine="458"/>
        <w:spacing w:after="0" w:line="264" w:lineRule="auto"/>
        <w:tabs>
          <w:tab w:leader="none" w:pos="66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representations or warranties have been made to the Subscriber with respect to this investment, the Adviser or the Company other than the representations of the Company set forth herein and the Subscriber has not relied upon any representation or warranty not provided herein or therein in making this subscription.</w:t>
      </w:r>
    </w:p>
    <w:p>
      <w:pPr>
        <w:spacing w:after="0" w:line="73" w:lineRule="exact"/>
        <w:rPr>
          <w:rFonts w:ascii="Arial" w:cs="Arial" w:eastAsia="Arial" w:hAnsi="Arial"/>
          <w:sz w:val="18"/>
          <w:szCs w:val="18"/>
          <w:color w:val="auto"/>
        </w:rPr>
      </w:pPr>
    </w:p>
    <w:p>
      <w:pPr>
        <w:ind w:left="-40" w:firstLine="458"/>
        <w:spacing w:after="0" w:line="264" w:lineRule="auto"/>
        <w:tabs>
          <w:tab w:leader="none" w:pos="66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all or part of the funds that the Subscriber is using or will use to fund its Capital Commitment are assets of an employee benefit plan (as defined in Section 3(3) of ERISA) subject to Title I of ERISA or a plan described in Section 4975(e)(1) of the Code, or an entity whose underlying assets include plan assets for purposes of ERISA or the Code by reason of a plan’s investment in the entity:</w:t>
      </w:r>
    </w:p>
    <w:p>
      <w:pPr>
        <w:spacing w:after="0" w:line="73" w:lineRule="exact"/>
        <w:rPr>
          <w:sz w:val="20"/>
          <w:szCs w:val="20"/>
          <w:color w:val="auto"/>
        </w:rPr>
      </w:pPr>
    </w:p>
    <w:p>
      <w:pPr>
        <w:ind w:left="640" w:hanging="219"/>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funds so constituting plan assets have been identified in writing to the Company;</w:t>
      </w:r>
    </w:p>
    <w:p>
      <w:pPr>
        <w:spacing w:after="0" w:line="117" w:lineRule="exact"/>
        <w:rPr>
          <w:rFonts w:ascii="Arial" w:cs="Arial" w:eastAsia="Arial" w:hAnsi="Arial"/>
          <w:sz w:val="18"/>
          <w:szCs w:val="18"/>
          <w:color w:val="auto"/>
        </w:rPr>
      </w:pPr>
    </w:p>
    <w:p>
      <w:pPr>
        <w:ind w:left="680" w:hanging="259"/>
        <w:spacing w:after="0"/>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Subscriber’s proposed purchase of the Shares is permissible under the documents governing the investment of such plan assets;</w:t>
      </w:r>
    </w:p>
    <w:p>
      <w:pPr>
        <w:spacing w:after="0" w:line="117" w:lineRule="exact"/>
        <w:rPr>
          <w:rFonts w:ascii="Arial" w:cs="Arial" w:eastAsia="Arial" w:hAnsi="Arial"/>
          <w:sz w:val="18"/>
          <w:szCs w:val="18"/>
          <w:color w:val="auto"/>
        </w:rPr>
      </w:pPr>
    </w:p>
    <w:p>
      <w:pPr>
        <w:ind w:left="200" w:right="200" w:firstLine="221"/>
        <w:spacing w:after="0" w:line="342" w:lineRule="auto"/>
        <w:tabs>
          <w:tab w:leader="none" w:pos="7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making the proposed purchase of the Shares, the Subscriber is aware of and has taken into consideration the diversification requirements of Section 404(a)(1) of ERISA or other applicable law, if any, and the decision to invest plan assets in the Company is consistent with such provisions; and</w:t>
      </w:r>
    </w:p>
    <w:p>
      <w:pPr>
        <w:spacing w:after="0" w:line="15" w:lineRule="exact"/>
        <w:rPr>
          <w:rFonts w:ascii="Arial" w:cs="Arial" w:eastAsia="Arial" w:hAnsi="Arial"/>
          <w:sz w:val="16"/>
          <w:szCs w:val="16"/>
          <w:color w:val="auto"/>
        </w:rPr>
      </w:pPr>
    </w:p>
    <w:p>
      <w:pPr>
        <w:ind w:left="200" w:right="340" w:firstLine="221"/>
        <w:spacing w:after="0" w:line="277" w:lineRule="auto"/>
        <w:tabs>
          <w:tab w:leader="none" w:pos="73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Subscriber has concluded that the proposed purchase of the Shares is consistent with applicable fiduciary responsibilities under ERISA and other applicable law, if any.</w:t>
      </w:r>
    </w:p>
    <w:p>
      <w:pPr>
        <w:spacing w:after="0" w:line="62" w:lineRule="exact"/>
        <w:rPr>
          <w:rFonts w:ascii="Arial" w:cs="Arial" w:eastAsia="Arial" w:hAnsi="Arial"/>
          <w:sz w:val="18"/>
          <w:szCs w:val="18"/>
          <w:color w:val="auto"/>
        </w:rPr>
      </w:pPr>
    </w:p>
    <w:p>
      <w:pPr>
        <w:ind w:left="-40" w:right="140" w:firstLine="458"/>
        <w:spacing w:after="0" w:line="254" w:lineRule="auto"/>
        <w:tabs>
          <w:tab w:leader="none" w:pos="6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the investment in the Shares is being made on behalf of a plan established and maintained by a state, its political subdivisions, or any agency or instrumentality of a state or its political subdivisions, for the benefit of its employees, (i) there is no provision in the instruments governing such plan or any federal, state or local or foreign law, rule, regulation or constitutional provision applicable to the plan that could in any respect affect the operation of the Company, including operations of the Adviser as contemplated by the Advisory Agreement, or prohibit any action contemplated by the operational documents and related disclosure of the Company, including, without limitation, the investments which may be made pursuant to the Company’s investment strategies, the concentration of investments for the Company and the payment by the plan of incentive or other fees, and (ii) the plan’s investment in the Company will not conflict with or violate the instruments governing such plan or any federal, state or local or foreign law, rule, regulation or constitutional provision applicable to the plan.</w:t>
      </w:r>
    </w:p>
    <w:p>
      <w:pPr>
        <w:spacing w:after="0" w:line="84" w:lineRule="exact"/>
        <w:rPr>
          <w:rFonts w:ascii="Arial" w:cs="Arial" w:eastAsia="Arial" w:hAnsi="Arial"/>
          <w:sz w:val="18"/>
          <w:szCs w:val="18"/>
          <w:color w:val="auto"/>
        </w:rPr>
      </w:pPr>
    </w:p>
    <w:p>
      <w:pPr>
        <w:ind w:left="-40" w:right="40" w:firstLine="458"/>
        <w:spacing w:after="0" w:line="259" w:lineRule="auto"/>
        <w:tabs>
          <w:tab w:leader="none" w:pos="63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the investment in the Shares is being made on behalf of an employee benefit plan maintained outside of the United States primarily for the benefit of persons substantially all of whom are nonresident aliens (as described in Section 4(b)(4) of ERISA), (i) there is no provision in the instruments governing such plan or any federal, state or local or foreign law, rule, regulation or constitutional provision applicable to the plan that could in any respect affect the operation of the Company, including operations of the Adviser as contemplated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03" w:name="page104"/>
    <w:bookmarkEnd w:id="103"/>
    <w:p>
      <w:pPr>
        <w:ind w:right="80"/>
        <w:spacing w:after="0" w:line="279" w:lineRule="auto"/>
        <w:rPr>
          <w:sz w:val="20"/>
          <w:szCs w:val="20"/>
          <w:color w:val="auto"/>
        </w:rPr>
      </w:pPr>
      <w:r>
        <w:rPr>
          <w:rFonts w:ascii="Arial" w:cs="Arial" w:eastAsia="Arial" w:hAnsi="Arial"/>
          <w:sz w:val="17"/>
          <w:szCs w:val="17"/>
          <w:color w:val="auto"/>
        </w:rPr>
        <w:t>by the Advisory Agreement, or prohibit any action contemplated by the operational documents and related disclosure of the Company, including, without limitation, the investments which may be made pursuant to the Company’s investment strategies, the concentration of investments for the Company and the payment by the plan of incentive or other fees, and (ii) the plan’s investment in the Company will not conflict with or violate the instruments governing such plan or any federal, state or local or foreign law, rule, regulation or constitutional provision applicable to the plan.</w:t>
      </w:r>
    </w:p>
    <w:p>
      <w:pPr>
        <w:spacing w:after="0" w:line="63" w:lineRule="exact"/>
        <w:rPr>
          <w:sz w:val="20"/>
          <w:szCs w:val="20"/>
          <w:color w:val="auto"/>
        </w:rPr>
      </w:pPr>
    </w:p>
    <w:p>
      <w:pPr>
        <w:ind w:firstLine="458"/>
        <w:spacing w:after="0" w:line="257" w:lineRule="auto"/>
        <w:tabs>
          <w:tab w:leader="none" w:pos="68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the Subscriber is not a “United States Person,” as defined below, the Subscriber has heretofore notified the Company in writing of such status. For this purpose, “</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means a citizen or resident of the United States, a corporation, partnership or other entity created or organized in or under the laws of the United States or any political subdivision thereof, an estate the income of which is subject to United States federal income taxation regardless of its source, or any trust (i) the administration of which may be subject to the primary supervision of a U.S. court and (ii) the authority to control all of the substantial decisions of which is held by one or more U.S. persons.</w:t>
      </w:r>
    </w:p>
    <w:p>
      <w:pPr>
        <w:spacing w:after="0" w:line="80" w:lineRule="exact"/>
        <w:rPr>
          <w:rFonts w:ascii="Arial" w:cs="Arial" w:eastAsia="Arial" w:hAnsi="Arial"/>
          <w:sz w:val="18"/>
          <w:szCs w:val="18"/>
          <w:color w:val="auto"/>
        </w:rPr>
      </w:pPr>
    </w:p>
    <w:p>
      <w:pPr>
        <w:ind w:left="660" w:hanging="202"/>
        <w:spacing w:after="0"/>
        <w:tabs>
          <w:tab w:leader="none" w:pos="6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Subscriber understands that the Company intends to file elections to be treated as (i) a business development company under the 1940 Act and</w:t>
      </w:r>
    </w:p>
    <w:p>
      <w:pPr>
        <w:spacing w:after="0" w:line="46" w:lineRule="exact"/>
        <w:rPr>
          <w:rFonts w:ascii="Arial" w:cs="Arial" w:eastAsia="Arial" w:hAnsi="Arial"/>
          <w:sz w:val="16"/>
          <w:szCs w:val="16"/>
          <w:color w:val="auto"/>
        </w:rPr>
      </w:pPr>
    </w:p>
    <w:p>
      <w:pPr>
        <w:ind w:right="140" w:firstLine="8"/>
        <w:spacing w:after="0" w:line="254" w:lineRule="auto"/>
        <w:tabs>
          <w:tab w:leader="none" w:pos="26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regulated investment company within the meaning of Code Section 851, for U.S. federal income tax purposes; pursuant to those elections, the Subscriber will be required to furnish certain information to the Company as required under Treasury Regulations § 1.852-6(a) and other regulations. If the Subscriber is unable or refuses to provide such information directly to the Company, the Subscriber understands that it will be required to include additional information on its income tax return as provided in Treasury Regulation § 1.852-7.</w:t>
      </w:r>
    </w:p>
    <w:p>
      <w:pPr>
        <w:spacing w:after="0" w:line="81" w:lineRule="exact"/>
        <w:rPr>
          <w:rFonts w:ascii="Arial" w:cs="Arial" w:eastAsia="Arial" w:hAnsi="Arial"/>
          <w:sz w:val="18"/>
          <w:szCs w:val="18"/>
          <w:color w:val="auto"/>
        </w:rPr>
      </w:pPr>
    </w:p>
    <w:p>
      <w:pPr>
        <w:ind w:firstLine="458"/>
        <w:spacing w:after="0" w:line="276" w:lineRule="auto"/>
        <w:tabs>
          <w:tab w:leader="none" w:pos="705" w:val="left"/>
        </w:tabs>
        <w:numPr>
          <w:ilvl w:val="1"/>
          <w:numId w:val="112"/>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Subscriber covenants that it will not Transfer all or any part of the Shares or its Capital Commitment (or purport to do so) if such Transfer would cause (A) the Company or the Adviser to be in violation of the U.S. Bank Secrecy Act, as amended, the U.S. Money Laundering Control Act of 1986, as amended, the Uniting and Strengthening America by Providing Appropriate Tools Required to Intercept and Obstruct Terrorism Act of 2001 (the “</w:t>
      </w:r>
      <w:r>
        <w:rPr>
          <w:rFonts w:ascii="Arial" w:cs="Arial" w:eastAsia="Arial" w:hAnsi="Arial"/>
          <w:sz w:val="17"/>
          <w:szCs w:val="17"/>
          <w:u w:val="single" w:color="auto"/>
          <w:color w:val="auto"/>
        </w:rPr>
        <w:t>USA PATRIOT Act</w:t>
      </w:r>
      <w:r>
        <w:rPr>
          <w:rFonts w:ascii="Arial" w:cs="Arial" w:eastAsia="Arial" w:hAnsi="Arial"/>
          <w:sz w:val="17"/>
          <w:szCs w:val="17"/>
          <w:color w:val="auto"/>
        </w:rPr>
        <w:t>”), as amended, or any similar U.S. federal, state or foreign law or regulation (collectively, “</w:t>
      </w: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or (B) the Shares to be held by an OFAC Party (as defined below).</w:t>
      </w:r>
    </w:p>
    <w:p>
      <w:pPr>
        <w:spacing w:after="0" w:line="64" w:lineRule="exact"/>
        <w:rPr>
          <w:rFonts w:ascii="Arial" w:cs="Arial" w:eastAsia="Arial" w:hAnsi="Arial"/>
          <w:sz w:val="17"/>
          <w:szCs w:val="17"/>
          <w:color w:val="auto"/>
        </w:rPr>
      </w:pPr>
    </w:p>
    <w:p>
      <w:pPr>
        <w:ind w:right="360" w:firstLine="458"/>
        <w:spacing w:after="0" w:line="257" w:lineRule="auto"/>
        <w:tabs>
          <w:tab w:leader="none" w:pos="70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None of (i) the Subscriber, (ii) any person controlling or controlled by the Subscriber, (iii) if the Subscriber is a privately held entity, to the best knowledge of the Subscriber, any person having a beneficial interest in the Subscriber, (iv) if the Subscriber will not be the sole beneficial owner of the Shares, to the best knowledge of the Subscriber, any person having a beneficial interest in the Shares or (v) to the best knowledge of the Subscriber, any person for whom the Subscriber is acting as agent, trustee, representative, intermediary or nominee or in any similar capacity in connection with this investment, is: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4" w:name="page105"/>
    <w:bookmarkEnd w:id="104"/>
    <w:p>
      <w:pPr>
        <w:ind w:left="452" w:right="320" w:firstLine="4"/>
        <w:spacing w:after="0" w:line="286" w:lineRule="auto"/>
        <w:tabs>
          <w:tab w:leader="none" w:pos="747"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 country, territory, entity or individual currently subject to any U.S. sanctions administered by the Office of Foreign Assets Control of the U.S. Treasury Department (“</w:t>
      </w:r>
      <w:r>
        <w:rPr>
          <w:rFonts w:ascii="Arial" w:cs="Arial" w:eastAsia="Arial" w:hAnsi="Arial"/>
          <w:sz w:val="17"/>
          <w:szCs w:val="17"/>
          <w:u w:val="single" w:color="auto"/>
          <w:color w:val="auto"/>
        </w:rPr>
        <w:t>OFAC</w:t>
      </w:r>
      <w:r>
        <w:rPr>
          <w:rFonts w:ascii="Arial" w:cs="Arial" w:eastAsia="Arial" w:hAnsi="Arial"/>
          <w:sz w:val="17"/>
          <w:szCs w:val="17"/>
          <w:color w:val="auto"/>
        </w:rPr>
        <w:t>”) or an entity or individual that resides or has a place of business in, or is organized under the laws of, a country or territory that is subject to any sanctions administered by OFAC (any such country, territory, entity or individual, an “</w:t>
      </w:r>
      <w:r>
        <w:rPr>
          <w:rFonts w:ascii="Arial" w:cs="Arial" w:eastAsia="Arial" w:hAnsi="Arial"/>
          <w:sz w:val="17"/>
          <w:szCs w:val="17"/>
          <w:u w:val="single" w:color="auto"/>
          <w:color w:val="auto"/>
        </w:rPr>
        <w:t>OFAC Party</w:t>
      </w:r>
      <w:r>
        <w:rPr>
          <w:rFonts w:ascii="Arial" w:cs="Arial" w:eastAsia="Arial" w:hAnsi="Arial"/>
          <w:sz w:val="17"/>
          <w:szCs w:val="17"/>
          <w:color w:val="auto"/>
        </w:rPr>
        <w:t>”);</w:t>
      </w:r>
      <w:r>
        <w:rPr>
          <w:rFonts w:ascii="Arial" w:cs="Arial" w:eastAsia="Arial" w:hAnsi="Arial"/>
          <w:sz w:val="14"/>
          <w:szCs w:val="14"/>
          <w:color w:val="auto"/>
        </w:rPr>
        <w:t>1</w:t>
      </w:r>
    </w:p>
    <w:p>
      <w:pPr>
        <w:spacing w:after="0" w:line="57" w:lineRule="exact"/>
        <w:rPr>
          <w:rFonts w:ascii="Arial" w:cs="Arial" w:eastAsia="Arial" w:hAnsi="Arial"/>
          <w:sz w:val="17"/>
          <w:szCs w:val="17"/>
          <w:color w:val="auto"/>
        </w:rPr>
      </w:pPr>
    </w:p>
    <w:p>
      <w:pPr>
        <w:ind w:left="452" w:firstLine="4"/>
        <w:spacing w:after="0" w:line="255" w:lineRule="auto"/>
        <w:tabs>
          <w:tab w:leader="none" w:pos="73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country or territory that (1) has been designated as non-cooperative with international anti-money laundering principles or procedures by an intergovernmental group or organization, such as the Financial Action Task Force (“</w:t>
      </w:r>
      <w:r>
        <w:rPr>
          <w:rFonts w:ascii="Arial" w:cs="Arial" w:eastAsia="Arial" w:hAnsi="Arial"/>
          <w:sz w:val="18"/>
          <w:szCs w:val="18"/>
          <w:u w:val="single" w:color="auto"/>
          <w:color w:val="auto"/>
        </w:rPr>
        <w:t>FATF</w:t>
      </w:r>
      <w:r>
        <w:rPr>
          <w:rFonts w:ascii="Arial" w:cs="Arial" w:eastAsia="Arial" w:hAnsi="Arial"/>
          <w:sz w:val="18"/>
          <w:szCs w:val="18"/>
          <w:color w:val="auto"/>
        </w:rPr>
        <w:t>”),</w:t>
      </w:r>
      <w:r>
        <w:rPr>
          <w:rFonts w:ascii="Arial" w:cs="Arial" w:eastAsia="Arial" w:hAnsi="Arial"/>
          <w:sz w:val="15"/>
          <w:szCs w:val="15"/>
          <w:color w:val="auto"/>
        </w:rPr>
        <w:t>2</w:t>
      </w:r>
      <w:r>
        <w:rPr>
          <w:rFonts w:ascii="Arial" w:cs="Arial" w:eastAsia="Arial" w:hAnsi="Arial"/>
          <w:sz w:val="18"/>
          <w:szCs w:val="18"/>
          <w:color w:val="auto"/>
        </w:rPr>
        <w:t xml:space="preserve"> of which the United States is a member; (2) is the subject of an advisory issued by the Financial Crimes Enforcement Network of the U.S. Treasury Department;</w:t>
      </w:r>
      <w:r>
        <w:rPr>
          <w:rFonts w:ascii="Arial" w:cs="Arial" w:eastAsia="Arial" w:hAnsi="Arial"/>
          <w:sz w:val="15"/>
          <w:szCs w:val="15"/>
          <w:color w:val="auto"/>
        </w:rPr>
        <w:t>3</w:t>
      </w:r>
      <w:r>
        <w:rPr>
          <w:rFonts w:ascii="Arial" w:cs="Arial" w:eastAsia="Arial" w:hAnsi="Arial"/>
          <w:sz w:val="18"/>
          <w:szCs w:val="18"/>
          <w:color w:val="auto"/>
        </w:rPr>
        <w:t xml:space="preserve"> or (3) has been designated by the Secretary of the Treasury under Section 311 of the USA PATRIOT Act as warranting special measures due to money laundering concerns (any such country or territory, a “</w:t>
      </w:r>
      <w:r>
        <w:rPr>
          <w:rFonts w:ascii="Arial" w:cs="Arial" w:eastAsia="Arial" w:hAnsi="Arial"/>
          <w:sz w:val="18"/>
          <w:szCs w:val="18"/>
          <w:u w:val="single" w:color="auto"/>
          <w:color w:val="auto"/>
        </w:rPr>
        <w:t>Non-cooperative Jurisdiction</w:t>
      </w:r>
      <w:r>
        <w:rPr>
          <w:rFonts w:ascii="Arial" w:cs="Arial" w:eastAsia="Arial" w:hAnsi="Arial"/>
          <w:sz w:val="18"/>
          <w:szCs w:val="18"/>
          <w:color w:val="auto"/>
        </w:rPr>
        <w:t>”), or an entity or individual that resides or has a place of business in, or is organized under the laws of, a Non-cooperative Jurisdiction; or</w:t>
      </w:r>
    </w:p>
    <w:p>
      <w:pPr>
        <w:spacing w:after="0" w:line="85" w:lineRule="exact"/>
        <w:rPr>
          <w:rFonts w:ascii="Arial" w:cs="Arial" w:eastAsia="Arial" w:hAnsi="Arial"/>
          <w:sz w:val="18"/>
          <w:szCs w:val="18"/>
          <w:color w:val="auto"/>
        </w:rPr>
      </w:pPr>
    </w:p>
    <w:p>
      <w:pPr>
        <w:ind w:left="452" w:right="680" w:firstLine="4"/>
        <w:spacing w:after="0" w:line="277" w:lineRule="auto"/>
        <w:tabs>
          <w:tab w:leader="none" w:pos="73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politically exposed person (as defined in the FATF) or a senior foreign political figure</w:t>
      </w:r>
      <w:r>
        <w:rPr>
          <w:rFonts w:ascii="Arial" w:cs="Arial" w:eastAsia="Arial" w:hAnsi="Arial"/>
          <w:sz w:val="15"/>
          <w:szCs w:val="15"/>
          <w:color w:val="auto"/>
        </w:rPr>
        <w:t>4</w:t>
      </w:r>
      <w:r>
        <w:rPr>
          <w:rFonts w:ascii="Arial" w:cs="Arial" w:eastAsia="Arial" w:hAnsi="Arial"/>
          <w:sz w:val="18"/>
          <w:szCs w:val="18"/>
          <w:color w:val="auto"/>
        </w:rPr>
        <w:t xml:space="preserve"> or any immediate family</w:t>
      </w:r>
      <w:r>
        <w:rPr>
          <w:rFonts w:ascii="Arial" w:cs="Arial" w:eastAsia="Arial" w:hAnsi="Arial"/>
          <w:sz w:val="15"/>
          <w:szCs w:val="15"/>
          <w:color w:val="auto"/>
        </w:rPr>
        <w:t>5</w:t>
      </w:r>
      <w:r>
        <w:rPr>
          <w:rFonts w:ascii="Arial" w:cs="Arial" w:eastAsia="Arial" w:hAnsi="Arial"/>
          <w:sz w:val="18"/>
          <w:szCs w:val="18"/>
          <w:color w:val="auto"/>
        </w:rPr>
        <w:t xml:space="preserve"> or close associate</w:t>
      </w:r>
      <w:r>
        <w:rPr>
          <w:rFonts w:ascii="Arial" w:cs="Arial" w:eastAsia="Arial" w:hAnsi="Arial"/>
          <w:sz w:val="15"/>
          <w:szCs w:val="15"/>
          <w:color w:val="auto"/>
        </w:rPr>
        <w:t>6</w:t>
      </w:r>
      <w:r>
        <w:rPr>
          <w:rFonts w:ascii="Arial" w:cs="Arial" w:eastAsia="Arial" w:hAnsi="Arial"/>
          <w:sz w:val="18"/>
          <w:szCs w:val="18"/>
          <w:color w:val="auto"/>
        </w:rPr>
        <w:t xml:space="preserve"> of a politically exposed person or a senior foreign political figure.</w:t>
      </w:r>
    </w:p>
    <w:p>
      <w:pPr>
        <w:spacing w:after="0" w:line="62" w:lineRule="exact"/>
        <w:rPr>
          <w:rFonts w:ascii="Arial" w:cs="Arial" w:eastAsia="Arial" w:hAnsi="Arial"/>
          <w:sz w:val="18"/>
          <w:szCs w:val="18"/>
          <w:color w:val="auto"/>
        </w:rPr>
      </w:pPr>
    </w:p>
    <w:p>
      <w:pPr>
        <w:ind w:left="-8" w:right="260" w:firstLine="458"/>
        <w:spacing w:after="0" w:line="264" w:lineRule="auto"/>
        <w:tabs>
          <w:tab w:leader="none" w:pos="73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Subscriber is a non-U.S. banking institution (a “</w:t>
      </w:r>
      <w:r>
        <w:rPr>
          <w:rFonts w:ascii="Arial" w:cs="Arial" w:eastAsia="Arial" w:hAnsi="Arial"/>
          <w:sz w:val="18"/>
          <w:szCs w:val="18"/>
          <w:u w:val="single" w:color="auto"/>
          <w:color w:val="auto"/>
        </w:rPr>
        <w:t>Non-U.S. Bank</w:t>
      </w:r>
      <w:r>
        <w:rPr>
          <w:rFonts w:ascii="Arial" w:cs="Arial" w:eastAsia="Arial" w:hAnsi="Arial"/>
          <w:sz w:val="18"/>
          <w:szCs w:val="18"/>
          <w:color w:val="auto"/>
        </w:rPr>
        <w:t>”) or is making this investment directly or indirectly on behalf of or for the benefit of a Non-U.S. Bank, such Non-U.S. Bank (i) maintains a place of business at a fixed address, other than solely a post office box or an electronic address, in a country where the Non-U.S. Bank is authorized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13036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3" w:lineRule="exact"/>
        <w:rPr>
          <w:sz w:val="20"/>
          <w:szCs w:val="20"/>
          <w:color w:val="auto"/>
        </w:rPr>
      </w:pPr>
    </w:p>
    <w:p>
      <w:pPr>
        <w:ind w:left="452" w:hanging="452"/>
        <w:spacing w:after="0"/>
        <w:tabs>
          <w:tab w:leader="none" w:pos="452" w:val="left"/>
        </w:tabs>
        <w:numPr>
          <w:ilvl w:val="0"/>
          <w:numId w:val="115"/>
        </w:numPr>
        <w:rPr>
          <w:rFonts w:ascii="Arial" w:cs="Arial" w:eastAsia="Arial" w:hAnsi="Arial"/>
          <w:sz w:val="15"/>
          <w:szCs w:val="15"/>
          <w:color w:val="auto"/>
        </w:rPr>
      </w:pPr>
      <w:r>
        <w:rPr>
          <w:rFonts w:ascii="Arial" w:cs="Arial" w:eastAsia="Arial" w:hAnsi="Arial"/>
          <w:sz w:val="18"/>
          <w:szCs w:val="18"/>
          <w:u w:val="single" w:color="auto"/>
          <w:color w:val="auto"/>
        </w:rPr>
        <w:t>See http://www.treas.gov/ofac</w:t>
      </w:r>
      <w:r>
        <w:rPr>
          <w:rFonts w:ascii="Arial" w:cs="Arial" w:eastAsia="Arial" w:hAnsi="Arial"/>
          <w:sz w:val="18"/>
          <w:szCs w:val="18"/>
          <w:color w:val="auto"/>
        </w:rPr>
        <w:t>.</w:t>
      </w:r>
    </w:p>
    <w:p>
      <w:pPr>
        <w:spacing w:after="0" w:line="77" w:lineRule="exact"/>
        <w:rPr>
          <w:sz w:val="20"/>
          <w:szCs w:val="20"/>
          <w:color w:val="auto"/>
        </w:rPr>
      </w:pPr>
    </w:p>
    <w:p>
      <w:pPr>
        <w:ind w:left="452" w:hanging="452"/>
        <w:spacing w:after="0"/>
        <w:tabs>
          <w:tab w:leader="none" w:pos="452" w:val="left"/>
        </w:tabs>
        <w:numPr>
          <w:ilvl w:val="0"/>
          <w:numId w:val="116"/>
        </w:numPr>
        <w:rPr>
          <w:rFonts w:ascii="Arial" w:cs="Arial" w:eastAsia="Arial" w:hAnsi="Arial"/>
          <w:sz w:val="15"/>
          <w:szCs w:val="15"/>
          <w:color w:val="auto"/>
        </w:rPr>
      </w:pPr>
      <w:r>
        <w:rPr>
          <w:rFonts w:ascii="Arial" w:cs="Arial" w:eastAsia="Arial" w:hAnsi="Arial"/>
          <w:sz w:val="18"/>
          <w:szCs w:val="18"/>
          <w:u w:val="single" w:color="auto"/>
          <w:color w:val="auto"/>
        </w:rPr>
        <w:t>See http://www.fatf-gafi.org</w:t>
      </w:r>
      <w:r>
        <w:rPr>
          <w:rFonts w:ascii="Arial" w:cs="Arial" w:eastAsia="Arial" w:hAnsi="Arial"/>
          <w:sz w:val="18"/>
          <w:szCs w:val="18"/>
          <w:color w:val="auto"/>
        </w:rPr>
        <w:t>.</w:t>
      </w:r>
    </w:p>
    <w:p>
      <w:pPr>
        <w:spacing w:after="0" w:line="77" w:lineRule="exact"/>
        <w:rPr>
          <w:sz w:val="20"/>
          <w:szCs w:val="20"/>
          <w:color w:val="auto"/>
        </w:rPr>
      </w:pPr>
    </w:p>
    <w:p>
      <w:pPr>
        <w:ind w:left="452" w:hanging="452"/>
        <w:spacing w:after="0"/>
        <w:tabs>
          <w:tab w:leader="none" w:pos="452" w:val="left"/>
        </w:tabs>
        <w:numPr>
          <w:ilvl w:val="0"/>
          <w:numId w:val="117"/>
        </w:numPr>
        <w:rPr>
          <w:rFonts w:ascii="Arial" w:cs="Arial" w:eastAsia="Arial" w:hAnsi="Arial"/>
          <w:sz w:val="15"/>
          <w:szCs w:val="15"/>
          <w:color w:val="auto"/>
        </w:rPr>
      </w:pPr>
      <w:r>
        <w:rPr>
          <w:rFonts w:ascii="Arial" w:cs="Arial" w:eastAsia="Arial" w:hAnsi="Arial"/>
          <w:sz w:val="18"/>
          <w:szCs w:val="18"/>
          <w:u w:val="single" w:color="auto"/>
          <w:color w:val="auto"/>
        </w:rPr>
        <w:t>See http://www.fincen.gov</w:t>
      </w:r>
      <w:r>
        <w:rPr>
          <w:rFonts w:ascii="Arial" w:cs="Arial" w:eastAsia="Arial" w:hAnsi="Arial"/>
          <w:sz w:val="18"/>
          <w:szCs w:val="18"/>
          <w:color w:val="auto"/>
        </w:rPr>
        <w:t>.</w:t>
      </w:r>
    </w:p>
    <w:p>
      <w:pPr>
        <w:spacing w:after="0" w:line="77" w:lineRule="exact"/>
        <w:rPr>
          <w:sz w:val="20"/>
          <w:szCs w:val="20"/>
          <w:color w:val="auto"/>
        </w:rPr>
      </w:pPr>
    </w:p>
    <w:p>
      <w:pPr>
        <w:ind w:left="452" w:right="120" w:hanging="452"/>
        <w:spacing w:after="0" w:line="259" w:lineRule="auto"/>
        <w:tabs>
          <w:tab w:leader="none" w:pos="452" w:val="left"/>
        </w:tabs>
        <w:numPr>
          <w:ilvl w:val="0"/>
          <w:numId w:val="118"/>
        </w:numPr>
        <w:rPr>
          <w:rFonts w:ascii="Arial" w:cs="Arial" w:eastAsia="Arial" w:hAnsi="Arial"/>
          <w:sz w:val="15"/>
          <w:szCs w:val="15"/>
          <w:color w:val="auto"/>
        </w:rPr>
      </w:pPr>
      <w:r>
        <w:rPr>
          <w:rFonts w:ascii="Arial" w:cs="Arial" w:eastAsia="Arial" w:hAnsi="Arial"/>
          <w:sz w:val="18"/>
          <w:szCs w:val="18"/>
          <w:color w:val="auto"/>
        </w:rPr>
        <w:t>A “senior foreign political figure” is a current or former senior official in the executive, legislative, administrative, military or judicial branches of a foreign government (whether elected or not), a senior official of a major foreign political party, or a senior executive of a foreign government-owned commercial enterprise. In addition, a “senior foreign political figure” includes any corporation, business or other entity that has been formed by, or for the benefit of, a senior foreign political figure.</w:t>
      </w:r>
    </w:p>
    <w:p>
      <w:pPr>
        <w:spacing w:after="0" w:line="38" w:lineRule="exact"/>
        <w:rPr>
          <w:sz w:val="20"/>
          <w:szCs w:val="20"/>
          <w:color w:val="auto"/>
        </w:rPr>
      </w:pPr>
    </w:p>
    <w:p>
      <w:pPr>
        <w:ind w:left="452" w:hanging="452"/>
        <w:spacing w:after="0"/>
        <w:tabs>
          <w:tab w:leader="none" w:pos="452" w:val="left"/>
        </w:tabs>
        <w:numPr>
          <w:ilvl w:val="0"/>
          <w:numId w:val="119"/>
        </w:numPr>
        <w:rPr>
          <w:rFonts w:ascii="Arial" w:cs="Arial" w:eastAsia="Arial" w:hAnsi="Arial"/>
          <w:sz w:val="15"/>
          <w:szCs w:val="15"/>
          <w:color w:val="auto"/>
        </w:rPr>
      </w:pPr>
      <w:r>
        <w:rPr>
          <w:rFonts w:ascii="Arial" w:cs="Arial" w:eastAsia="Arial" w:hAnsi="Arial"/>
          <w:sz w:val="18"/>
          <w:szCs w:val="18"/>
          <w:color w:val="auto"/>
        </w:rPr>
        <w:t>“Immediate family” of a senior foreign political figure includes the figure’s parents, siblings, spouse, children and in-laws.</w:t>
      </w:r>
    </w:p>
    <w:p>
      <w:pPr>
        <w:spacing w:after="0" w:line="77" w:lineRule="exact"/>
        <w:rPr>
          <w:sz w:val="20"/>
          <w:szCs w:val="20"/>
          <w:color w:val="auto"/>
        </w:rPr>
      </w:pPr>
    </w:p>
    <w:p>
      <w:pPr>
        <w:ind w:left="452" w:right="80" w:hanging="452"/>
        <w:spacing w:after="0" w:line="277" w:lineRule="auto"/>
        <w:tabs>
          <w:tab w:leader="none" w:pos="452" w:val="left"/>
        </w:tabs>
        <w:numPr>
          <w:ilvl w:val="0"/>
          <w:numId w:val="120"/>
        </w:numPr>
        <w:rPr>
          <w:rFonts w:ascii="Arial" w:cs="Arial" w:eastAsia="Arial" w:hAnsi="Arial"/>
          <w:sz w:val="15"/>
          <w:szCs w:val="15"/>
          <w:color w:val="auto"/>
        </w:rPr>
      </w:pPr>
      <w:r>
        <w:rPr>
          <w:rFonts w:ascii="Arial" w:cs="Arial" w:eastAsia="Arial" w:hAnsi="Arial"/>
          <w:sz w:val="18"/>
          <w:szCs w:val="18"/>
          <w:color w:val="auto"/>
        </w:rPr>
        <w:t>A “close associate” of a senior foreign political figure is a person who is widely and publicly known (or actually known by the Subscriber) to maintain an unusually close personal or professional relationship with the senior foreign political figure.</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05" w:name="page106"/>
    <w:bookmarkEnd w:id="105"/>
    <w:p>
      <w:pPr>
        <w:ind w:right="200"/>
        <w:spacing w:after="0" w:line="277" w:lineRule="auto"/>
        <w:rPr>
          <w:sz w:val="20"/>
          <w:szCs w:val="20"/>
          <w:color w:val="auto"/>
        </w:rPr>
      </w:pPr>
      <w:r>
        <w:rPr>
          <w:rFonts w:ascii="Arial" w:cs="Arial" w:eastAsia="Arial" w:hAnsi="Arial"/>
          <w:sz w:val="18"/>
          <w:szCs w:val="18"/>
          <w:color w:val="auto"/>
        </w:rPr>
        <w:t>conduct banking activities; (ii) at such location, employs one or more individuals on a full-time basis and maintains operating records related to its banking activities; and (iii) is subject to inspection by the banking authority that licensed the Non-U.S. Bank.</w:t>
      </w:r>
    </w:p>
    <w:p>
      <w:pPr>
        <w:spacing w:after="0" w:line="62" w:lineRule="exact"/>
        <w:rPr>
          <w:sz w:val="20"/>
          <w:szCs w:val="20"/>
          <w:color w:val="auto"/>
        </w:rPr>
      </w:pPr>
    </w:p>
    <w:p>
      <w:pPr>
        <w:ind w:right="520" w:firstLine="458"/>
        <w:spacing w:after="0" w:line="277" w:lineRule="auto"/>
        <w:tabs>
          <w:tab w:leader="none" w:pos="70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the best of the Subscriber’s knowledge, no part of the Subscriber’s subscription funds represents property in which an OFAC Party has an interest or was derived from unlawful activities.</w:t>
      </w:r>
    </w:p>
    <w:p>
      <w:pPr>
        <w:spacing w:after="0" w:line="62" w:lineRule="exact"/>
        <w:rPr>
          <w:rFonts w:ascii="Arial" w:cs="Arial" w:eastAsia="Arial" w:hAnsi="Arial"/>
          <w:sz w:val="18"/>
          <w:szCs w:val="18"/>
          <w:color w:val="auto"/>
        </w:rPr>
      </w:pPr>
    </w:p>
    <w:p>
      <w:pPr>
        <w:ind w:right="220" w:firstLine="458"/>
        <w:spacing w:after="0" w:line="259" w:lineRule="auto"/>
        <w:tabs>
          <w:tab w:leader="none" w:pos="70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Subscriber acknowledges that the Company or the Adviser may require further identification of the Subscriber in order to comply with applicable Anti-Money Laundering Laws or OFAC requirements and agrees that the Company and the Adviser shall be held harmless and be indemnified against any loss arising as a result of a failure to process the subscription if such information that has been required by the Company or the Adviser has not been provided by the Subscriber in a timely manner.</w:t>
      </w:r>
    </w:p>
    <w:p>
      <w:pPr>
        <w:spacing w:after="0" w:line="78" w:lineRule="exact"/>
        <w:rPr>
          <w:rFonts w:ascii="Arial" w:cs="Arial" w:eastAsia="Arial" w:hAnsi="Arial"/>
          <w:sz w:val="18"/>
          <w:szCs w:val="18"/>
          <w:color w:val="auto"/>
        </w:rPr>
      </w:pPr>
    </w:p>
    <w:p>
      <w:pPr>
        <w:ind w:right="100" w:firstLine="458"/>
        <w:spacing w:after="0" w:line="286" w:lineRule="auto"/>
        <w:tabs>
          <w:tab w:leader="none" w:pos="69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Subscriber understands and agrees that the Company may be obligated to “freeze” the Subscriber’s Shares, either by prohibiting additional contributions and/or declining any Transfer or withdrawal requests with respect to such Shares, in compliance with governmental regulations. The Company will give reasonable prior written notice to the Subscriber where practicable in the event that such “freeze” is necessary.</w:t>
      </w:r>
    </w:p>
    <w:p>
      <w:pPr>
        <w:spacing w:after="0" w:line="57" w:lineRule="exact"/>
        <w:rPr>
          <w:sz w:val="20"/>
          <w:szCs w:val="20"/>
          <w:color w:val="auto"/>
        </w:rPr>
      </w:pPr>
    </w:p>
    <w:p>
      <w:pPr>
        <w:ind w:right="20" w:firstLine="458"/>
        <w:spacing w:after="0" w:line="279" w:lineRule="auto"/>
        <w:tabs>
          <w:tab w:leader="none" w:pos="77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Subscriber authorizes and consents to the Company or the Adviser, on behalf of the Company, releasing information about the Subscriber and, if applicable, any person with a beneficial interest in the Subscriber’s Shares, to appropriate governmental authorities or third parties if the Company or the Adviser, in their reasonable discretion, determine that it is in the best interests of the Company in light of applicable Anti-Money Laundering Laws or OFAC requirements.</w:t>
      </w:r>
    </w:p>
    <w:p>
      <w:pPr>
        <w:spacing w:after="0" w:line="63" w:lineRule="exact"/>
        <w:rPr>
          <w:rFonts w:ascii="Arial" w:cs="Arial" w:eastAsia="Arial" w:hAnsi="Arial"/>
          <w:sz w:val="17"/>
          <w:szCs w:val="17"/>
          <w:color w:val="auto"/>
        </w:rPr>
      </w:pPr>
    </w:p>
    <w:p>
      <w:pPr>
        <w:ind w:firstLine="458"/>
        <w:spacing w:after="0" w:line="291" w:lineRule="auto"/>
        <w:tabs>
          <w:tab w:leader="none" w:pos="79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the Subscriber do not and will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the Subscriber is a party or by which it is bound or to which any of its properties are subject, or require any authorization or approval under or pursuant to any of the foregoing, violate the organizational documents of the Subscriber, or violate in any material respect any statute, regulation, law, order, writ, injunction or decree to which the Subscriber is subject. The Subscriber has obtained all authorizations, consents, approvals and clearances of all courts, governmental agencies and authorities and such other persons, if any, required to permit the Subscriber to enter into this Agreement and to consummate the transactions contemplated hereby and thereby.</w:t>
      </w:r>
    </w:p>
    <w:p>
      <w:pPr>
        <w:spacing w:after="0" w:line="59" w:lineRule="exact"/>
        <w:rPr>
          <w:rFonts w:ascii="Arial" w:cs="Arial" w:eastAsia="Arial" w:hAnsi="Arial"/>
          <w:sz w:val="16"/>
          <w:szCs w:val="16"/>
          <w:color w:val="auto"/>
        </w:rPr>
      </w:pPr>
    </w:p>
    <w:p>
      <w:pPr>
        <w:ind w:right="220" w:firstLine="458"/>
        <w:spacing w:after="0" w:line="264" w:lineRule="auto"/>
        <w:tabs>
          <w:tab w:leader="none" w:pos="77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None of the information concerning the Subscriber nor any statement, certification, representation or warranty made by the Subscriber in this Agreement or in any document required to be provided under this Agreement (including, without limitation, the Investor Suitability Questionnaire and any forms W-9, W-8BEN, W-8EXP and W-8IMY)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6" w:name="page107"/>
    <w:bookmarkEnd w:id="106"/>
    <w:p>
      <w:pPr>
        <w:ind w:right="400"/>
        <w:spacing w:after="0" w:line="277" w:lineRule="auto"/>
        <w:rPr>
          <w:sz w:val="20"/>
          <w:szCs w:val="20"/>
          <w:color w:val="auto"/>
        </w:rPr>
      </w:pPr>
      <w:r>
        <w:rPr>
          <w:rFonts w:ascii="Arial" w:cs="Arial" w:eastAsia="Arial" w:hAnsi="Arial"/>
          <w:sz w:val="18"/>
          <w:szCs w:val="18"/>
          <w:color w:val="auto"/>
        </w:rPr>
        <w:t>contains any untrue statement of a material fact or omits to state a material fact necessary in order to make the statements contained therein or herein not misleading.</w:t>
      </w:r>
    </w:p>
    <w:p>
      <w:pPr>
        <w:spacing w:after="0" w:line="62" w:lineRule="exact"/>
        <w:rPr>
          <w:sz w:val="20"/>
          <w:szCs w:val="20"/>
          <w:color w:val="auto"/>
        </w:rPr>
      </w:pPr>
    </w:p>
    <w:p>
      <w:pPr>
        <w:ind w:right="140" w:firstLine="458"/>
        <w:spacing w:after="0" w:line="255" w:lineRule="auto"/>
        <w:tabs>
          <w:tab w:leader="none" w:pos="79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Subscriber agrees that the foregoing certifications, representations, warranties, covenants and agreements shall survive the acceptance of this subscription, the First Capital Drawdown Date and the dissolution of the Company, without limitation as to time. Without limiting the foregoing, the Subscriber agrees to give the Company prompt written notice in the event that any statement, certification, representation or warranty of the Subscriber contained in this Article IV or any information provided by the Subscriber herein or in any document required to be provided under this Agreement (including, without limitation, the Investor Suitability Questionnaire and any forms W-9, W-8BEN, W-8EXP and W-8IMY) ceases to be true at any time following the date hereof.</w:t>
      </w:r>
    </w:p>
    <w:p>
      <w:pPr>
        <w:spacing w:after="0" w:line="85" w:lineRule="exact"/>
        <w:rPr>
          <w:rFonts w:ascii="Arial" w:cs="Arial" w:eastAsia="Arial" w:hAnsi="Arial"/>
          <w:sz w:val="18"/>
          <w:szCs w:val="18"/>
          <w:color w:val="auto"/>
        </w:rPr>
      </w:pPr>
    </w:p>
    <w:p>
      <w:pPr>
        <w:jc w:val="both"/>
        <w:ind w:firstLine="458"/>
        <w:spacing w:after="0" w:line="286" w:lineRule="auto"/>
        <w:tabs>
          <w:tab w:leader="none" w:pos="77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Subscriber agrees to provide such information and execute and deliver such documents as the Company or the Adviser may reasonably request to verify the accuracy of the Subscriber’s representations and warranties herein or to comply with any law or regulation to which the Company, the Adviser or a portfolio company may be subject.</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Investor Awareness</w:t>
      </w:r>
      <w:r>
        <w:rPr>
          <w:rFonts w:ascii="Arial" w:cs="Arial" w:eastAsia="Arial" w:hAnsi="Arial"/>
          <w:sz w:val="18"/>
          <w:szCs w:val="18"/>
          <w:color w:val="auto"/>
        </w:rPr>
        <w:t>. The Subscriber acknowledges that the Subscriber is aware and understands that:</w:t>
      </w:r>
    </w:p>
    <w:p>
      <w:pPr>
        <w:spacing w:after="0" w:line="117" w:lineRule="exact"/>
        <w:rPr>
          <w:sz w:val="20"/>
          <w:szCs w:val="20"/>
          <w:color w:val="auto"/>
        </w:rPr>
      </w:pPr>
    </w:p>
    <w:p>
      <w:pPr>
        <w:ind w:right="200" w:firstLine="458"/>
        <w:spacing w:after="0" w:line="264"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federal or state agency, and no agency of any non-U.S. jurisdiction, has passed upon the Shares or made any finding or determination as to the fairness of this investment. The Memorandum has not been filed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or with any securities administrator under state securities laws or the laws of any non-U.S. jurisdiction.</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There are substantial risks incident to the purchase of Shares, including, but not limited to, those summarized in the Memorandum.</w:t>
      </w:r>
    </w:p>
    <w:p>
      <w:pPr>
        <w:spacing w:after="0" w:line="117" w:lineRule="exact"/>
        <w:rPr>
          <w:rFonts w:ascii="Arial" w:cs="Arial" w:eastAsia="Arial" w:hAnsi="Arial"/>
          <w:sz w:val="18"/>
          <w:szCs w:val="18"/>
          <w:color w:val="auto"/>
        </w:rPr>
      </w:pPr>
    </w:p>
    <w:p>
      <w:pPr>
        <w:ind w:right="20" w:firstLine="458"/>
        <w:spacing w:after="0" w:line="254" w:lineRule="auto"/>
        <w:tabs>
          <w:tab w:leader="none" w:pos="68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described more fully in Appendix D, prior to a Qualified IPO, the Subscriber may not Transfer all or any fraction of its Shares or Capital Commitment without the prior written consent of the Company. There are other substantial restrictions on the transferability of Shares or Capital Commitment under the Certificate, the Advisory Agreement and under applicable law including, but not limited to, the fact that (i) there is no established market for the Shares and it is possible that no public market for the Shares will develop; (ii) the Shares are not currently, and Subscribers have no rights to require that the Shares be, registered under the 1933 Act or the securities laws of the various states or any non-U.S. jurisdiction and therefore cannot be Transferred unless subsequently registered or unless an exemption from such registration is available; and (iii) the Subscriber may have to hold the Shares herein subscribed for and bear the economic risk of this investment indefinitely, and it may not be possible for the Subscriber to liquidate its investment in the Company.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7" w:name="page108"/>
    <w:bookmarkEnd w:id="107"/>
    <w:p>
      <w:pPr>
        <w:ind w:left="-40" w:right="140" w:firstLine="458"/>
        <w:spacing w:after="0" w:line="277" w:lineRule="auto"/>
        <w:tabs>
          <w:tab w:leader="none" w:pos="66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With respect to the tax and other legal consequences of an investment in the Shares, the Subscriber is relying solely upon the advice of its own tax and legal advisors and not upon the general discussion of such matters set forth in the Memorandum.</w:t>
      </w:r>
    </w:p>
    <w:p>
      <w:pPr>
        <w:spacing w:after="0" w:line="62" w:lineRule="exact"/>
        <w:rPr>
          <w:rFonts w:ascii="Arial" w:cs="Arial" w:eastAsia="Arial" w:hAnsi="Arial"/>
          <w:sz w:val="18"/>
          <w:szCs w:val="18"/>
          <w:color w:val="auto"/>
        </w:rPr>
      </w:pPr>
    </w:p>
    <w:p>
      <w:pPr>
        <w:ind w:left="-40" w:right="60" w:firstLine="458"/>
        <w:spacing w:after="0" w:line="291" w:lineRule="auto"/>
        <w:tabs>
          <w:tab w:leader="none" w:pos="65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Cleary Gottlieb Steen &amp; Hamilton LLP and Sutherland Asbill &amp; Brennan LLP act as U.S. counsel to the Company, the Adviser and their Affiliates and that Morris, Nichols, Arsht &amp; Tunnell LLP acts as special Delaware counsel to the Company, the Adviser and their Affiliates. In connection with this offering of Shares and subsequent advice to such persons, Cleary Gottlieb Steen &amp; Hamilton LLP, Sutherland Asbill &amp; Brennan LLP and Morris, Nichols, Arsht &amp; Tunnell LLP will not represent the Subscriber or any other investors in the Company in the absence of a clear and explicit written agreement to such effect between such counsel and the Subscriber or any other investors in the Company. In the absence of such an agreement, such counsel owes no duties to the Subscriber or any other investor in the Company (whether or not such counsel has in the past represented, or is currently representing, such Subscriber or any other investor with respect to other matters). No independent counsel has been retained to represent investors in the Company.</w:t>
      </w:r>
    </w:p>
    <w:p>
      <w:pPr>
        <w:spacing w:after="0" w:line="275"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ARTICLE V</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Company Representations</w:t>
      </w:r>
      <w:r>
        <w:rPr>
          <w:rFonts w:ascii="Arial" w:cs="Arial" w:eastAsia="Arial" w:hAnsi="Arial"/>
          <w:sz w:val="18"/>
          <w:szCs w:val="18"/>
          <w:color w:val="auto"/>
        </w:rPr>
        <w:t>. The Company represents to the Subscriber as follows:</w:t>
      </w:r>
    </w:p>
    <w:p>
      <w:pPr>
        <w:spacing w:after="0" w:line="117" w:lineRule="exact"/>
        <w:rPr>
          <w:sz w:val="20"/>
          <w:szCs w:val="20"/>
          <w:color w:val="auto"/>
        </w:rPr>
      </w:pPr>
    </w:p>
    <w:p>
      <w:pPr>
        <w:jc w:val="both"/>
        <w:ind w:left="-40" w:right="200" w:firstLine="458"/>
        <w:spacing w:after="0" w:line="264" w:lineRule="auto"/>
        <w:tabs>
          <w:tab w:leader="none" w:pos="6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is empowered, authorized and qualified to enter into this Agreement, the Advisory Agreement and the Administration Agreement, and the person signing this Agreement, the Advisory Agreement and the Administration Agreement on behalf of the Company has been duly authorized by the Company to do so.</w:t>
      </w:r>
    </w:p>
    <w:p>
      <w:pPr>
        <w:spacing w:after="0" w:line="73" w:lineRule="exact"/>
        <w:rPr>
          <w:rFonts w:ascii="Arial" w:cs="Arial" w:eastAsia="Arial" w:hAnsi="Arial"/>
          <w:sz w:val="18"/>
          <w:szCs w:val="18"/>
          <w:color w:val="auto"/>
        </w:rPr>
      </w:pPr>
    </w:p>
    <w:p>
      <w:pPr>
        <w:ind w:left="-40" w:firstLine="458"/>
        <w:spacing w:after="0" w:line="273" w:lineRule="auto"/>
        <w:tabs>
          <w:tab w:leader="none" w:pos="66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execution and delivery of this Agreement, the Advisory Agreement and the Administration Agreement by the Company and the performance of its duties and obligations hereunder and thereunder do not and will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the Company is a party or by which it is bound or to which any of its properties are subject, or require any authorization or approval under or pursuant to any of the foregoing, violate the organizational documents of the Company, or violate in any material respect any statute, regulation, law, order, writ, injunction or decree to which the Company is subject.</w:t>
      </w:r>
    </w:p>
    <w:p>
      <w:pPr>
        <w:spacing w:after="0" w:line="70" w:lineRule="exact"/>
        <w:rPr>
          <w:rFonts w:ascii="Arial" w:cs="Arial" w:eastAsia="Arial" w:hAnsi="Arial"/>
          <w:sz w:val="17"/>
          <w:szCs w:val="17"/>
          <w:color w:val="auto"/>
        </w:rPr>
      </w:pPr>
    </w:p>
    <w:p>
      <w:pPr>
        <w:ind w:left="-40" w:firstLine="458"/>
        <w:spacing w:after="0" w:line="257" w:lineRule="auto"/>
        <w:tabs>
          <w:tab w:leader="none" w:pos="6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is not in default (nor has any event occurred which with notice, lapse of time, or both, would constitute a default) in the performance of any obligation, agreement or condition contained in this Agreement, the Advisory Agreement and the Administration Agreement, any indenture, mortgage, deed of trust, credit agreement, note or other evidence of indebtedness or any lease or other agreement or understanding, or any license, permit, franchise or certificate, to which it is a party or by which it is bound or to which its properties are subject, nor is it in violation of any statute, regulation, law, order, writ, injunction,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6" w:right="279" w:bottom="1440" w:gutter="0" w:footer="0" w:header="0"/>
        </w:sectPr>
      </w:pPr>
    </w:p>
    <w:bookmarkStart w:id="108" w:name="page109"/>
    <w:bookmarkEnd w:id="108"/>
    <w:p>
      <w:pPr>
        <w:ind w:right="140"/>
        <w:spacing w:after="0" w:line="277" w:lineRule="auto"/>
        <w:rPr>
          <w:sz w:val="20"/>
          <w:szCs w:val="20"/>
          <w:color w:val="auto"/>
        </w:rPr>
      </w:pPr>
      <w:r>
        <w:rPr>
          <w:rFonts w:ascii="Arial" w:cs="Arial" w:eastAsia="Arial" w:hAnsi="Arial"/>
          <w:sz w:val="18"/>
          <w:szCs w:val="18"/>
          <w:color w:val="auto"/>
        </w:rPr>
        <w:t>judgment or decree to which it is subject, which default or violation would materially adversely affect the business or financial condition of the Company or impair the Company’s ability to carry out its obligations under this Agreement or the Advisory Agreement.</w:t>
      </w:r>
    </w:p>
    <w:p>
      <w:pPr>
        <w:spacing w:after="0" w:line="62" w:lineRule="exact"/>
        <w:rPr>
          <w:sz w:val="20"/>
          <w:szCs w:val="20"/>
          <w:color w:val="auto"/>
        </w:rPr>
      </w:pPr>
    </w:p>
    <w:p>
      <w:pPr>
        <w:jc w:val="both"/>
        <w:ind w:right="440" w:firstLine="458"/>
        <w:spacing w:after="0" w:line="264" w:lineRule="auto"/>
        <w:tabs>
          <w:tab w:leader="none" w:pos="70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There is no litigation, investigation or other proceeding pending or, to the knowledge of the Company, threatened against the Company that, if adversely determined, would materially adversely affect the business or financial condition of the Company or the ability of the Company to perform its obligations under this Agreement, the Advisory Agreement and the Administration Agreement.</w:t>
      </w:r>
    </w:p>
    <w:p>
      <w:pPr>
        <w:spacing w:after="0" w:line="73" w:lineRule="exact"/>
        <w:rPr>
          <w:rFonts w:ascii="Arial" w:cs="Arial" w:eastAsia="Arial" w:hAnsi="Arial"/>
          <w:sz w:val="18"/>
          <w:szCs w:val="18"/>
          <w:color w:val="auto"/>
        </w:rPr>
      </w:pPr>
    </w:p>
    <w:p>
      <w:pPr>
        <w:ind w:right="400" w:firstLine="458"/>
        <w:spacing w:after="0" w:line="277" w:lineRule="auto"/>
        <w:tabs>
          <w:tab w:leader="none" w:pos="6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Shares to be issued and sold by the Company to the Subscriber hereunder have been duly authorized and, when issued and delivered to the Subscriber against payment therefore as provided in this Agreement, will be validly issued, fully paid and non-assessable.</w:t>
      </w:r>
    </w:p>
    <w:p>
      <w:pPr>
        <w:spacing w:after="0" w:line="279"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ARTICLE VI</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 represents and covenants to the Subscriber as follows:</w:t>
      </w:r>
    </w:p>
    <w:p>
      <w:pPr>
        <w:spacing w:after="0" w:line="117"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Minimum Commitment</w:t>
      </w:r>
      <w:r>
        <w:rPr>
          <w:rFonts w:ascii="Arial" w:cs="Arial" w:eastAsia="Arial" w:hAnsi="Arial"/>
          <w:sz w:val="18"/>
          <w:szCs w:val="18"/>
          <w:color w:val="auto"/>
        </w:rPr>
        <w:t>. On the date hereof, the TPG Vehicles will enter into one or more Other Subscription Agreements with the Company, it being understood and agreed that the aggregate Capital Commitments of the TPG Vehicles under such Other Subscription Agreements shall be equal to at least [</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u w:val="single" w:color="auto"/>
          <w:color w:val="auto"/>
        </w:rPr>
        <w:t>TPG Vehicles</w:t>
      </w:r>
      <w:r>
        <w:rPr>
          <w:rFonts w:ascii="Arial" w:cs="Arial" w:eastAsia="Arial" w:hAnsi="Arial"/>
          <w:sz w:val="18"/>
          <w:szCs w:val="18"/>
          <w:color w:val="auto"/>
        </w:rPr>
        <w:t>” means one or more entities affiliated with the Adviser, excluding TPG Partners VI, L.P. and any related alternative investment vehicle or parallel investment entity.</w:t>
      </w:r>
    </w:p>
    <w:p>
      <w:pPr>
        <w:spacing w:after="0" w:line="7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Successor Funds</w:t>
      </w:r>
      <w:r>
        <w:rPr>
          <w:rFonts w:ascii="Arial" w:cs="Arial" w:eastAsia="Arial" w:hAnsi="Arial"/>
          <w:sz w:val="18"/>
          <w:szCs w:val="18"/>
          <w:color w:val="auto"/>
        </w:rPr>
        <w:t>. So long as TSL Advisers, LLC or its affiliate is the Adviser of the Company, TSL Advisers, LLC and its affiliates (excluding any TPG Portfolio Company) shall not act as managers of, or the primary source of transactions for, other pooled investment funds the principal objective of which is to source, originate and manage loans to middle-market companies whose principal business operations are in the United States, and from which the Company does not derive a direct or indirect benefit, until the first to occur of (i) the fourth anniversary of the Initial Closing Date, (ii) the date of a Qualified IPO and (iii) the time that at least seventy-five percent (75%) of the Subscribers’ aggregate Capital Commitments have been contributed to the Company. “TPG Portfolio Company” means the issuer of any securities in which an investment fund sponsored by TPG Capital, L.P or its affiliate holds an interest.</w:t>
      </w:r>
    </w:p>
    <w:p>
      <w:pPr>
        <w:spacing w:after="0" w:line="81" w:lineRule="exact"/>
        <w:rPr>
          <w:sz w:val="20"/>
          <w:szCs w:val="20"/>
          <w:color w:val="auto"/>
        </w:rPr>
      </w:pPr>
    </w:p>
    <w:p>
      <w:pPr>
        <w:jc w:val="both"/>
        <w:ind w:right="200" w:firstLine="450"/>
        <w:spacing w:after="0" w:line="342"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The Adviser hereby confirms that it shall, in the course of managing the business and affairs of the Company pursuant to the Advisory Agreement, endeavor to comply with all laws, the noncompliance of which would have a material adverse effect on the Company.</w:t>
      </w:r>
    </w:p>
    <w:p>
      <w:pPr>
        <w:spacing w:after="0" w:line="16"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No Proceedings</w:t>
      </w:r>
      <w:r>
        <w:rPr>
          <w:rFonts w:ascii="Arial" w:cs="Arial" w:eastAsia="Arial" w:hAnsi="Arial"/>
          <w:sz w:val="18"/>
          <w:szCs w:val="18"/>
          <w:color w:val="auto"/>
        </w:rPr>
        <w:t>. The Adviser hereby represents and warrants that, to the best of its knowledge, having inquired of the Principals and other senior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9" w:name="page110"/>
    <w:bookmarkEnd w:id="109"/>
    <w:p>
      <w:pPr>
        <w:spacing w:after="0" w:line="259" w:lineRule="auto"/>
        <w:rPr>
          <w:sz w:val="20"/>
          <w:szCs w:val="20"/>
          <w:color w:val="auto"/>
        </w:rPr>
      </w:pPr>
      <w:r>
        <w:rPr>
          <w:rFonts w:ascii="Arial" w:cs="Arial" w:eastAsia="Arial" w:hAnsi="Arial"/>
          <w:sz w:val="18"/>
          <w:szCs w:val="18"/>
          <w:color w:val="auto"/>
        </w:rPr>
        <w:t>officers of the Adviser (i) there are no actions, proceedings or investigations pending before any court or governmental authority, including, without limitation, the SEC or any state securities regulatory authority, against the Company, the Adviser or the Principals that claim or allege violation of any federal or state securities law, rule or regulation, and (ii) during the five years prior to the date hereof, none of the Principals has been found liable for, nor settled, any such violation in any such action, proceeding or investigation.</w:t>
      </w:r>
    </w:p>
    <w:p>
      <w:pPr>
        <w:spacing w:after="0" w:line="79" w:lineRule="exact"/>
        <w:rPr>
          <w:sz w:val="20"/>
          <w:szCs w:val="20"/>
          <w:color w:val="auto"/>
        </w:rPr>
      </w:pPr>
    </w:p>
    <w:p>
      <w:pPr>
        <w:ind w:right="120" w:firstLine="450"/>
        <w:spacing w:after="0" w:line="286"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Anti-Money Laundering</w:t>
      </w:r>
      <w:r>
        <w:rPr>
          <w:rFonts w:ascii="Arial" w:cs="Arial" w:eastAsia="Arial" w:hAnsi="Arial"/>
          <w:sz w:val="16"/>
          <w:szCs w:val="16"/>
          <w:color w:val="auto"/>
        </w:rPr>
        <w:t>. The Adviser hereby confirms that it will use its reasonable best efforts to avoid any investment in the Company by, and to cause the Company to avoid transactions (a) in violation of any relevant anti-money laundering legislation, rule, regulation or order administered by the Office of Foreign Assets Control of the U.S. Department of the Treasury, including Subtitle B, Chapter V of Title 31 of the U.S. Code of Federal Regulations, in each case as amended from time to time, or (b) with: (i) any person appearing on the Specially Designated Nationals and Blocked Persons List of the Office of Foreign Assets Control in the United States Department of the Treasury; (ii) any other person with whom a transaction is prohibited by Executive Order 13224, the USA PATRIOT Act, the Trading with the Enemy Act or the foreign asset control regulations of the United States Treasury Department, in each case as amended from time to time; (iii) any person known by the Adviser (after reasonable inquiry) to be controlled by any person described in the foregoing items (i) or (ii); or (iv) any person having its principal place of business, or the majority of its business operations (measured by revenues), located in any country such that transactions with such person would be prohibited as described in the foregoing item (ii). For purposes of the foregoing, the Adviser’s reliance on a representation or warranty made by a counterparty at or prior to the time of a Company investment or transaction will constitute reasonable inquiry. The Adviser also agrees that it will not cause the Company to make any payment to any person in violation of the U.S. Foreign Corrupt Practices Act (as amended from time to time), or any other applicable anti-money laundering statute or regulation. The Adviser hereby confirms that the term “person” includes governments, territories and other political entities.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Omitted]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117"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Power of Attorney</w:t>
      </w:r>
      <w:r>
        <w:rPr>
          <w:rFonts w:ascii="Arial" w:cs="Arial" w:eastAsia="Arial" w:hAnsi="Arial"/>
          <w:sz w:val="18"/>
          <w:szCs w:val="18"/>
          <w:color w:val="auto"/>
        </w:rPr>
        <w:t>. (a) The Subscriber, by its execution hereof, hereby irrevocably makes, constitutes and appoints the Company as its true and lawful agent and attorney-in-fact, with full power of substitution and full power and authority in its name, place and stead, to make, execute, sign, acknowledge, swear to, record and file:</w:t>
      </w:r>
    </w:p>
    <w:p>
      <w:pPr>
        <w:spacing w:after="0" w:line="73" w:lineRule="exact"/>
        <w:rPr>
          <w:sz w:val="20"/>
          <w:szCs w:val="20"/>
          <w:color w:val="auto"/>
        </w:rPr>
      </w:pPr>
    </w:p>
    <w:p>
      <w:pPr>
        <w:ind w:left="240" w:right="120" w:firstLine="221"/>
        <w:spacing w:after="0" w:line="277" w:lineRule="auto"/>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and all filings required to be made by the Subscriber under the 1934 Act with respect to any of the Company’s securities which may be deemed to be beneficially owned by the Subscriber under the 1934 Act,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0" w:name="page111"/>
    <w:bookmarkEnd w:id="110"/>
    <w:p>
      <w:pPr>
        <w:ind w:left="240" w:right="740" w:firstLine="221"/>
        <w:spacing w:after="0" w:line="277" w:lineRule="auto"/>
        <w:tabs>
          <w:tab w:leader="none" w:pos="73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certificates and other instruments deemed advisable by the Company in order for the Company to enter into any borrowing or pledging arrangement;</w:t>
      </w:r>
    </w:p>
    <w:p>
      <w:pPr>
        <w:spacing w:after="0" w:line="62" w:lineRule="exact"/>
        <w:rPr>
          <w:rFonts w:ascii="Arial" w:cs="Arial" w:eastAsia="Arial" w:hAnsi="Arial"/>
          <w:sz w:val="18"/>
          <w:szCs w:val="18"/>
          <w:color w:val="auto"/>
        </w:rPr>
      </w:pPr>
    </w:p>
    <w:p>
      <w:pPr>
        <w:ind w:left="240" w:right="120" w:firstLine="221"/>
        <w:spacing w:after="0" w:line="277" w:lineRule="auto"/>
        <w:tabs>
          <w:tab w:leader="none" w:pos="7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certificates and other instruments deemed advisable by the Company to comply with the provisions of this Agreement and applicable law or to permit the Company to become or to continue as a business development corporation, and</w:t>
      </w:r>
    </w:p>
    <w:p>
      <w:pPr>
        <w:spacing w:after="0" w:line="62" w:lineRule="exact"/>
        <w:rPr>
          <w:rFonts w:ascii="Arial" w:cs="Arial" w:eastAsia="Arial" w:hAnsi="Arial"/>
          <w:sz w:val="18"/>
          <w:szCs w:val="18"/>
          <w:color w:val="auto"/>
        </w:rPr>
      </w:pPr>
    </w:p>
    <w:p>
      <w:pPr>
        <w:ind w:left="240" w:right="660" w:firstLine="221"/>
        <w:spacing w:after="0" w:line="277" w:lineRule="auto"/>
        <w:tabs>
          <w:tab w:leader="none" w:pos="77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all other instruments or papers not inconsistent with the terms of this Agreement which may be required by law to be filed on behalf of the Company.</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With respect to the Subscriber and the Company, the foregoing power of attorney:</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is coupled with an interest and shall be irrevocable;</w:t>
      </w:r>
    </w:p>
    <w:p>
      <w:pPr>
        <w:spacing w:after="0" w:line="117" w:lineRule="exact"/>
        <w:rPr>
          <w:rFonts w:ascii="Arial" w:cs="Arial" w:eastAsia="Arial" w:hAnsi="Arial"/>
          <w:sz w:val="18"/>
          <w:szCs w:val="18"/>
          <w:color w:val="auto"/>
        </w:rPr>
      </w:pPr>
    </w:p>
    <w:p>
      <w:pPr>
        <w:ind w:left="240" w:right="40" w:firstLine="221"/>
        <w:spacing w:after="0" w:line="277" w:lineRule="auto"/>
        <w:tabs>
          <w:tab w:leader="none" w:pos="73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may be exercised by the Company either by signing separately as attorney-in-fact for the Subscriber or, after listing all of the Subscribers executing an instrument, by a single signature of the Company acting as attorney-in-fact for all of them;</w:t>
      </w:r>
    </w:p>
    <w:p>
      <w:pPr>
        <w:spacing w:after="0" w:line="62" w:lineRule="exact"/>
        <w:rPr>
          <w:rFonts w:ascii="Arial" w:cs="Arial" w:eastAsia="Arial" w:hAnsi="Arial"/>
          <w:sz w:val="18"/>
          <w:szCs w:val="18"/>
          <w:color w:val="auto"/>
        </w:rPr>
      </w:pPr>
    </w:p>
    <w:p>
      <w:pPr>
        <w:ind w:left="780" w:hanging="319"/>
        <w:spacing w:after="0"/>
        <w:tabs>
          <w:tab w:leader="none" w:pos="7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shall survive the assignment by the Subscriber of the whole or any fraction of its Shares;</w:t>
      </w:r>
    </w:p>
    <w:p>
      <w:pPr>
        <w:spacing w:after="0" w:line="117" w:lineRule="exact"/>
        <w:rPr>
          <w:rFonts w:ascii="Arial" w:cs="Arial" w:eastAsia="Arial" w:hAnsi="Arial"/>
          <w:sz w:val="18"/>
          <w:szCs w:val="18"/>
          <w:color w:val="auto"/>
        </w:rPr>
      </w:pPr>
    </w:p>
    <w:p>
      <w:pPr>
        <w:ind w:left="760" w:hanging="299"/>
        <w:spacing w:after="0"/>
        <w:tabs>
          <w:tab w:leader="none" w:pos="7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shall terminate concurrently with the termination of the Capital Commitment, in accordance with Section 2.01(f); and</w:t>
      </w:r>
    </w:p>
    <w:p>
      <w:pPr>
        <w:spacing w:after="0" w:line="117" w:lineRule="exact"/>
        <w:rPr>
          <w:rFonts w:ascii="Arial" w:cs="Arial" w:eastAsia="Arial" w:hAnsi="Arial"/>
          <w:sz w:val="18"/>
          <w:szCs w:val="18"/>
          <w:color w:val="auto"/>
        </w:rPr>
      </w:pPr>
    </w:p>
    <w:p>
      <w:pPr>
        <w:ind w:left="240" w:right="120" w:firstLine="221"/>
        <w:spacing w:after="0" w:line="277" w:lineRule="auto"/>
        <w:tabs>
          <w:tab w:leader="none" w:pos="7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may not be used by the Company in any manner that is inconsistent with the terms of this Agreement and any other written agreement between the Company and the Subscriber.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IX</w:t>
      </w:r>
    </w:p>
    <w:p>
      <w:pPr>
        <w:spacing w:after="0" w:line="117" w:lineRule="exact"/>
        <w:rPr>
          <w:sz w:val="20"/>
          <w:szCs w:val="20"/>
          <w:color w:val="auto"/>
        </w:rPr>
      </w:pPr>
    </w:p>
    <w:p>
      <w:pPr>
        <w:ind w:right="20" w:firstLine="450"/>
        <w:spacing w:after="0" w:line="286"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Condition to Closing</w:t>
      </w:r>
      <w:r>
        <w:rPr>
          <w:rFonts w:ascii="Arial" w:cs="Arial" w:eastAsia="Arial" w:hAnsi="Arial"/>
          <w:sz w:val="17"/>
          <w:szCs w:val="17"/>
          <w:color w:val="auto"/>
        </w:rPr>
        <w:t>. The Subscriber’s obligations hereunder are subject to the fulfillment (or waiver by the Subscriber), prior to or on or about the time of closing on the Closing Date, of the following condition: The Company shall have duly performed and complied in all material respects with all agreements and conditions contained in this Agreement required to be performed or complied with by it prior to or at the Closing Date.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w:t>
      </w:r>
    </w:p>
    <w:p>
      <w:pPr>
        <w:spacing w:after="0" w:line="117" w:lineRule="exact"/>
        <w:rPr>
          <w:sz w:val="20"/>
          <w:szCs w:val="20"/>
          <w:color w:val="auto"/>
        </w:rPr>
      </w:pPr>
    </w:p>
    <w:p>
      <w:pPr>
        <w:ind w:firstLine="450"/>
        <w:spacing w:after="0" w:line="312"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Indemnity</w:t>
      </w:r>
      <w:r>
        <w:rPr>
          <w:rFonts w:ascii="Arial" w:cs="Arial" w:eastAsia="Arial" w:hAnsi="Arial"/>
          <w:sz w:val="16"/>
          <w:szCs w:val="16"/>
          <w:color w:val="auto"/>
        </w:rPr>
        <w:t>. Each of the Company and the Subscriber agrees, to the fullest extent permitted by law, to indemnify and hold harmless the other and each other person, if any, who controls the other (within the meaning of Section 15 of the 1933 Act) against any and all direct losses, liabilities, claims, damages, and expenses whatsoever (including attorneys’ fees and disbursements, judgments, fines and amounts paid in settlement) arising out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1" w:name="page112"/>
    <w:bookmarkEnd w:id="111"/>
    <w:p>
      <w:pPr>
        <w:ind w:right="460"/>
        <w:spacing w:after="0" w:line="277" w:lineRule="auto"/>
        <w:rPr>
          <w:sz w:val="20"/>
          <w:szCs w:val="20"/>
          <w:color w:val="auto"/>
        </w:rPr>
      </w:pPr>
      <w:r>
        <w:rPr>
          <w:rFonts w:ascii="Arial" w:cs="Arial" w:eastAsia="Arial" w:hAnsi="Arial"/>
          <w:sz w:val="18"/>
          <w:szCs w:val="18"/>
          <w:color w:val="auto"/>
        </w:rPr>
        <w:t>of or based upon any breach or failure by the Company or the Subscriber, as the case may be, to comply with any representation, warranty, covenant, or agreement made by it herein.</w:t>
      </w:r>
    </w:p>
    <w:p>
      <w:pPr>
        <w:spacing w:after="0" w:line="62" w:lineRule="exact"/>
        <w:rPr>
          <w:sz w:val="20"/>
          <w:szCs w:val="20"/>
          <w:color w:val="auto"/>
        </w:rPr>
      </w:pPr>
    </w:p>
    <w:p>
      <w:pPr>
        <w:ind w:right="320" w:firstLine="450"/>
        <w:spacing w:after="0" w:line="264"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Acceptance or Rejection</w:t>
      </w:r>
      <w:r>
        <w:rPr>
          <w:rFonts w:ascii="Arial" w:cs="Arial" w:eastAsia="Arial" w:hAnsi="Arial"/>
          <w:sz w:val="18"/>
          <w:szCs w:val="18"/>
          <w:color w:val="auto"/>
        </w:rPr>
        <w:t>. (a) This subscription is irrevocable and, at any time prior to the Closing Date, notwithstanding the Subscriber’s prior receipt of a notice of acceptance of the Subscriber’s subscription, the Company shall have the right to accept an amount equal to or less than the subscribed amount, or reject this subscription, for any reason whatsoever.</w:t>
      </w:r>
    </w:p>
    <w:p>
      <w:pPr>
        <w:spacing w:after="0" w:line="73" w:lineRule="exact"/>
        <w:rPr>
          <w:sz w:val="20"/>
          <w:szCs w:val="20"/>
          <w:color w:val="auto"/>
        </w:rPr>
      </w:pPr>
    </w:p>
    <w:p>
      <w:pPr>
        <w:ind w:right="160" w:firstLine="458"/>
        <w:spacing w:after="0" w:line="264" w:lineRule="auto"/>
        <w:tabs>
          <w:tab w:leader="none" w:pos="70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event of rejection of this subscription, the Company promptly thereupon shall return to the Subscriber the copies of this Agreement and any other documents submitted herewith (but the Company shall have the right to retain a photocopy for its records), and this Agreement shall have no further force or effect thereafter.</w:t>
      </w:r>
    </w:p>
    <w:p>
      <w:pPr>
        <w:spacing w:after="0" w:line="73" w:lineRule="exact"/>
        <w:rPr>
          <w:sz w:val="20"/>
          <w:szCs w:val="20"/>
          <w:color w:val="auto"/>
        </w:rPr>
      </w:pPr>
    </w:p>
    <w:p>
      <w:pPr>
        <w:ind w:right="40" w:firstLine="450"/>
        <w:spacing w:after="0" w:line="308"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Modification</w:t>
      </w:r>
      <w:r>
        <w:rPr>
          <w:rFonts w:ascii="Arial" w:cs="Arial" w:eastAsia="Arial" w:hAnsi="Arial"/>
          <w:sz w:val="17"/>
          <w:szCs w:val="17"/>
          <w:color w:val="auto"/>
        </w:rPr>
        <w:t>. Neither this Agreement nor any provisions hereof shall be modified, changed, discharged, waived or terminated except by an instrument in writing signed by the party against whom any modification, change, discharge, waiver or termination is sought.</w:t>
      </w:r>
    </w:p>
    <w:p>
      <w:pPr>
        <w:spacing w:after="0" w:line="38" w:lineRule="exact"/>
        <w:rPr>
          <w:sz w:val="20"/>
          <w:szCs w:val="20"/>
          <w:color w:val="auto"/>
        </w:rPr>
      </w:pPr>
    </w:p>
    <w:p>
      <w:pPr>
        <w:ind w:right="400" w:firstLine="450"/>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Revocability</w:t>
      </w:r>
      <w:r>
        <w:rPr>
          <w:rFonts w:ascii="Arial" w:cs="Arial" w:eastAsia="Arial" w:hAnsi="Arial"/>
          <w:sz w:val="18"/>
          <w:szCs w:val="18"/>
          <w:color w:val="auto"/>
        </w:rPr>
        <w:t>. This Agreement may not be withdrawn or revoked by the Subscriber in whole or in part without the consent of the Company.</w:t>
      </w:r>
    </w:p>
    <w:p>
      <w:pPr>
        <w:spacing w:after="0" w:line="62" w:lineRule="exact"/>
        <w:rPr>
          <w:sz w:val="20"/>
          <w:szCs w:val="20"/>
          <w:color w:val="auto"/>
        </w:rPr>
      </w:pPr>
    </w:p>
    <w:p>
      <w:pPr>
        <w:ind w:right="20" w:firstLine="450"/>
        <w:spacing w:after="0" w:line="279"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consents, requests, demands, offers, reports, and other communications required or permitted to be given pursuant to this Agreement shall be in writing and shall be given, made or delivered (and shall be deemed to have been duly given, made or delivered upon receipt) by personal hand-delivery, by facsimile transmission, by electronic mail, by mailing the same in a sealed envelope, registered first-class mail, postage prepaid, return receipt requested, or by air courier guaranteeing overnight delivery, addressed, if to the Company, to:</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 Ronald Cami</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301 Commerce Street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Fort Worth, TX 76102</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Tel: (817) 871-4000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(817) 871-4001</w:t>
      </w:r>
    </w:p>
    <w:p>
      <w:pPr>
        <w:spacing w:after="0" w:line="1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and, if to the Subscriber, to the address set forth in the Investor Suitability Questionnaire. The Company or the Subscriber may change its address by giving notice to the other in the manner described herein.</w:t>
      </w:r>
    </w:p>
    <w:p>
      <w:pPr>
        <w:spacing w:after="0" w:line="62"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 copies, each of which will be considered an original and all of which constitute one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and the same instrument binding on all the parties, notwithstanding that all parties are not signatories to the same counterpart.</w:t>
      </w:r>
    </w:p>
    <w:p>
      <w:pPr>
        <w:spacing w:after="0" w:line="117"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Successors</w:t>
      </w:r>
      <w:r>
        <w:rPr>
          <w:rFonts w:ascii="Arial" w:cs="Arial" w:eastAsia="Arial" w:hAnsi="Arial"/>
          <w:sz w:val="18"/>
          <w:szCs w:val="18"/>
          <w:color w:val="auto"/>
        </w:rPr>
        <w:t>. Except as otherwise provided herein, this Agreement and all of the terms and provisions hereof will be binding upon and inure to the benefit of the parties and their respective heirs, executors, administrators, successors, trustees and legal representatives. If the Subscriber is more than one person, the obligation of the Subscriber shall be joint and several and the agreements, representations, warranties, and acknowledgments herein contained will be deemed to be made by and be binding upon each such person and such person’s heirs, executors, administrators, successors, trustees and legal representatives.</w:t>
      </w:r>
    </w:p>
    <w:p>
      <w:pPr>
        <w:spacing w:after="0" w:line="80"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is not transferable or assignable by the Subscriber. Any purported assignment of this Agreement will be null and void.</w:t>
      </w:r>
    </w:p>
    <w:p>
      <w:pPr>
        <w:spacing w:after="0" w:line="62"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This Agreement constitutes the entire agreement of the parties hereto with respect to the subject matter hereof, supersedes any prior agreement or understanding among them with respect to such subject matter, and is not intended to confer upon any person other than the parties hereto any rights or remedies hereunder. The foregoing limitation, however, shall not prohibit any Other Subscriber from enforcing Section 3.01(b) against any defaulting Subscriber.</w:t>
      </w:r>
    </w:p>
    <w:p>
      <w:pPr>
        <w:spacing w:after="0" w:line="79" w:lineRule="exact"/>
        <w:rPr>
          <w:sz w:val="20"/>
          <w:szCs w:val="20"/>
          <w:color w:val="auto"/>
        </w:rPr>
      </w:pPr>
    </w:p>
    <w:p>
      <w:pPr>
        <w:ind w:right="240" w:firstLine="450"/>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LAWS OF THE STATE OF DELAWARE.</w:t>
      </w:r>
    </w:p>
    <w:p>
      <w:pPr>
        <w:spacing w:after="0" w:line="62"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 Except as otherwise agreed by the Company in writing with the Subscriber, any action or proceeding relating in any way to this Agreement may be brought and enforced exclusively in the courts of the State of Delaware or (to the extent subject matter jurisdiction exists therefor) of the United States for the District of Delaware, and the parties irrevocably submit to the jurisdiction of such courts in respect of any such action or proceeding.</w:t>
      </w:r>
    </w:p>
    <w:p>
      <w:pPr>
        <w:spacing w:after="0" w:line="79" w:lineRule="exact"/>
        <w:rPr>
          <w:sz w:val="20"/>
          <w:szCs w:val="20"/>
          <w:color w:val="auto"/>
        </w:rPr>
      </w:pPr>
    </w:p>
    <w:p>
      <w:pPr>
        <w:ind w:right="20" w:firstLine="458"/>
        <w:spacing w:after="0" w:line="312" w:lineRule="auto"/>
        <w:tabs>
          <w:tab w:leader="none" w:pos="70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Except as otherwise agreed by the Company in writing with the Subscriber, the parties irrevocably waive, to the fullest extent permitted by law, any objection that they may now or hereafter have to the laying of venue of any such action or proceeding in the courts of the State of Delaware or of the United States for the District of Delaware, and any claim that any such action or proceeding brought in any such court has been brought in any inconvenient forum.</w:t>
      </w:r>
    </w:p>
    <w:p>
      <w:pPr>
        <w:spacing w:after="0" w:line="39"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Confidentiality</w:t>
      </w:r>
      <w:r>
        <w:rPr>
          <w:rFonts w:ascii="Arial" w:cs="Arial" w:eastAsia="Arial" w:hAnsi="Arial"/>
          <w:sz w:val="18"/>
          <w:szCs w:val="18"/>
          <w:color w:val="auto"/>
        </w:rPr>
        <w:t>. The Subscriber acknowledges that the Memorandum and other information relating to the Company has been submitted to the Subscriber on a confidential basis for use solely in connection with the Subscriber’s consideration of the purchase of Shares. The Subscriber agrees that, without the prior written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3" w:name="page114"/>
    <w:bookmarkEnd w:id="113"/>
    <w:p>
      <w:pPr>
        <w:spacing w:after="0" w:line="287" w:lineRule="auto"/>
        <w:rPr>
          <w:sz w:val="20"/>
          <w:szCs w:val="20"/>
          <w:color w:val="auto"/>
        </w:rPr>
      </w:pPr>
      <w:r>
        <w:rPr>
          <w:rFonts w:ascii="Arial" w:cs="Arial" w:eastAsia="Arial" w:hAnsi="Arial"/>
          <w:sz w:val="16"/>
          <w:szCs w:val="16"/>
          <w:color w:val="auto"/>
        </w:rPr>
        <w:t>consent of the Company (which consent may be withheld at the sole discretion of the Company), the Subscriber shall not (a) reproduce the Memorandum or any other information relating to the Company, in whole or in part, or (b) disclose the Memorandum or any other information relating to the Company to any person who is not an officer or employee of the Subscriber who is involved in its investments, or partner (general or limited) or affiliate of the Subscriber (it being understood and agreed that if the Subscriber is a pooled investment fund, it shall only be permitted to disclose the Memorandum or other information related to the Company to its limited partners if the Subscriber has required its limited partners to enter into confidentiality undertakings no less onerous than the provisions of this Section 10.12), except to the extent (1) such information is in the public domain (other than as a result of any action or omission of Subscriber or any person to whom the Subscriber has disclosed such information) or (2) such information is required by applicable law or regulation to be disclosed. The Subscriber further agrees to return the Memorandum and any other information relating to the Company if no purchase of Shares is made or upon the Company’s request therefore. The Subscriber acknowledges and agrees that monetary damages would not be sufficient remedy for any breach of this section by it, and that in addition to any other remedies available to the Company in respect of any such breach, the Company shall be entitled to specific performance and injunctive or other equitable relief as a remedy for any such breach.</w:t>
      </w:r>
    </w:p>
    <w:p>
      <w:pPr>
        <w:spacing w:after="0" w:line="65" w:lineRule="exact"/>
        <w:rPr>
          <w:sz w:val="20"/>
          <w:szCs w:val="20"/>
          <w:color w:val="auto"/>
        </w:rPr>
      </w:pPr>
    </w:p>
    <w:p>
      <w:pPr>
        <w:jc w:val="both"/>
        <w:ind w:right="80" w:firstLine="450"/>
        <w:spacing w:after="0" w:line="264"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Necessary Acts, Further Assurances</w:t>
      </w:r>
      <w:r>
        <w:rPr>
          <w:rFonts w:ascii="Arial" w:cs="Arial" w:eastAsia="Arial" w:hAnsi="Arial"/>
          <w:sz w:val="18"/>
          <w:szCs w:val="18"/>
          <w:color w:val="auto"/>
        </w:rPr>
        <w:t>. The parties shall at their own cost and expense execute and deliver such further documents and instruments and shall take such other actions as may be reasonably required or appropriate to evidence or carry out the intent and purposes of this Agreement or to show the ability to carry out the intent and purposes of this Agreement.</w:t>
      </w:r>
    </w:p>
    <w:p>
      <w:pPr>
        <w:spacing w:after="0" w:line="73" w:lineRule="exact"/>
        <w:rPr>
          <w:sz w:val="20"/>
          <w:szCs w:val="20"/>
          <w:color w:val="auto"/>
        </w:rPr>
      </w:pPr>
    </w:p>
    <w:p>
      <w:pPr>
        <w:ind w:right="200" w:firstLine="450"/>
        <w:spacing w:after="0" w:line="259"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No Joint Liability Among Company and Adviser</w:t>
      </w:r>
      <w:r>
        <w:rPr>
          <w:rFonts w:ascii="Arial" w:cs="Arial" w:eastAsia="Arial" w:hAnsi="Arial"/>
          <w:sz w:val="18"/>
          <w:szCs w:val="18"/>
          <w:color w:val="auto"/>
        </w:rPr>
        <w:t>. The Company shall not be liable for the fulfillment of any obligation or the accuracy of any representation of the Adviser under or in connection with this Agreement, and the Adviser shall not be liable for the fulfillment of any obligation or the accuracy of any representation of the Company under or in connection with this Agreement. There shall be no joint and several liability of the Company and the Adviser for any obligation under or in connection with this Agreement.</w:t>
      </w:r>
    </w:p>
    <w:p>
      <w:pPr>
        <w:spacing w:after="0" w:line="79" w:lineRule="exact"/>
        <w:rPr>
          <w:sz w:val="20"/>
          <w:szCs w:val="20"/>
          <w:color w:val="auto"/>
        </w:rPr>
      </w:pPr>
    </w:p>
    <w:p>
      <w:pPr>
        <w:ind w:right="260" w:firstLine="450"/>
        <w:spacing w:after="0" w:line="264"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acknowledgments and covenants in Sections 4.01, 4.02 and 5.01 and the provisions of Sections 10.01, 10.10, 10.11, 10.12, 10.13, 10.14 and 10.15 shall, in the event this subscription is accepted, survive such acceptance and the formation and dissolution of the Company.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4" w:name="page115"/>
    <w:bookmarkEnd w:id="114"/>
    <w:p>
      <w:pPr>
        <w:ind w:right="179" w:firstLine="225"/>
        <w:spacing w:after="0" w:line="402" w:lineRule="auto"/>
        <w:rPr>
          <w:sz w:val="20"/>
          <w:szCs w:val="20"/>
          <w:color w:val="auto"/>
        </w:rPr>
      </w:pPr>
      <w:r>
        <w:rPr>
          <w:rFonts w:ascii="Arial" w:cs="Arial" w:eastAsia="Arial" w:hAnsi="Arial"/>
          <w:sz w:val="18"/>
          <w:szCs w:val="18"/>
          <w:color w:val="auto"/>
        </w:rPr>
        <w:t>IN WITNESS WHEREOF, the Subscriber, intending to be legally bound, has executed this Agreement as of the date first written above. AGGREGATE PURCHASE PRICE OF SHARES SUBSCRIBED FOR: $______________</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[LEGAL NAME OF SUBSCRIBER]</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 the date first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35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Solely for the purposes of Article VI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35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Appendix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Investor Suitability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424180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16" w:name="page117"/>
    <w:bookmarkEnd w:id="116"/>
    <w:p>
      <w:pPr>
        <w:ind w:left="4400"/>
        <w:spacing w:after="0"/>
        <w:rPr>
          <w:sz w:val="20"/>
          <w:szCs w:val="20"/>
          <w:color w:val="auto"/>
        </w:rPr>
      </w:pPr>
      <w:r>
        <w:rPr>
          <w:rFonts w:ascii="Arial" w:cs="Arial" w:eastAsia="Arial" w:hAnsi="Arial"/>
          <w:sz w:val="18"/>
          <w:szCs w:val="18"/>
          <w:b w:val="1"/>
          <w:bCs w:val="1"/>
          <w:u w:val="single" w:color="auto"/>
          <w:color w:val="auto"/>
        </w:rPr>
        <w:t>Investor Suitability Questionnaire</w:t>
      </w:r>
    </w:p>
    <w:p>
      <w:pPr>
        <w:spacing w:after="0" w:line="225" w:lineRule="exact"/>
        <w:rPr>
          <w:sz w:val="20"/>
          <w:szCs w:val="20"/>
          <w:color w:val="auto"/>
        </w:rPr>
      </w:pPr>
    </w:p>
    <w:p>
      <w:pPr>
        <w:spacing w:after="0"/>
        <w:tabs>
          <w:tab w:leader="none" w:pos="280" w:val="left"/>
          <w:tab w:leader="none" w:pos="5140" w:val="left"/>
        </w:tabs>
        <w:rPr>
          <w:sz w:val="20"/>
          <w:szCs w:val="20"/>
          <w:color w:val="auto"/>
        </w:rPr>
      </w:pPr>
      <w:r>
        <w:rPr>
          <w:rFonts w:ascii="Arial" w:cs="Arial" w:eastAsia="Arial" w:hAnsi="Arial"/>
          <w:sz w:val="18"/>
          <w:szCs w:val="18"/>
          <w:b w:val="1"/>
          <w:bCs w:val="1"/>
          <w:color w:val="auto"/>
        </w:rPr>
        <w:t>I.</w:t>
        <w:tab/>
        <w:t>Proposed Total Capital Commitment to the Company</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17145</wp:posOffset>
            </wp:positionV>
            <wp:extent cx="39706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General Information</w:t>
      </w:r>
    </w:p>
    <w:p>
      <w:pPr>
        <w:spacing w:after="0" w:line="229" w:lineRule="exact"/>
        <w:rPr>
          <w:sz w:val="20"/>
          <w:szCs w:val="20"/>
          <w:color w:val="auto"/>
        </w:rPr>
      </w:pPr>
    </w:p>
    <w:p>
      <w:pPr>
        <w:ind w:left="300" w:right="6760" w:hanging="292"/>
        <w:spacing w:after="0" w:line="266" w:lineRule="auto"/>
        <w:tabs>
          <w:tab w:leader="none" w:pos="3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Subscriber’s Legal Name, Address and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-6985</wp:posOffset>
            </wp:positionV>
            <wp:extent cx="39706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both"/>
        <w:ind w:left="5580"/>
        <w:spacing w:after="0"/>
        <w:tabs>
          <w:tab w:leader="none" w:pos="8100" w:val="left"/>
          <w:tab w:leader="none" w:pos="1050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Tax Identification or Social Security Number</w:t>
      </w:r>
    </w:p>
    <w:p>
      <w:pPr>
        <w:spacing w:after="0" w:line="225" w:lineRule="exact"/>
        <w:rPr>
          <w:sz w:val="20"/>
          <w:szCs w:val="20"/>
          <w:color w:val="auto"/>
        </w:rPr>
      </w:pPr>
    </w:p>
    <w:p>
      <w:pPr>
        <w:ind w:left="300" w:right="6640" w:hanging="292"/>
        <w:spacing w:after="0" w:line="266" w:lineRule="auto"/>
        <w:tabs>
          <w:tab w:leader="none" w:pos="30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Subscriber’s Address for Notices if Different from Address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-6985</wp:posOffset>
            </wp:positionV>
            <wp:extent cx="39706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both"/>
        <w:ind w:left="5580"/>
        <w:spacing w:after="0"/>
        <w:tabs>
          <w:tab w:leader="none" w:pos="8100" w:val="left"/>
          <w:tab w:leader="none" w:pos="1050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Email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Subscriber’s Principal Business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14605</wp:posOffset>
            </wp:positionV>
            <wp:extent cx="39706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16"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both"/>
        <w:ind w:left="5580"/>
        <w:spacing w:after="0"/>
        <w:tabs>
          <w:tab w:leader="none" w:pos="8100" w:val="left"/>
          <w:tab w:leader="none" w:pos="1050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152400</wp:posOffset>
            </wp:positionV>
            <wp:extent cx="39706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Email Address</w:t>
      </w: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58" w:right="4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(D) Subscriber’s Principal Legal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 Subscriber’s Wiring Instructions:</w:t>
      </w:r>
    </w:p>
    <w:p>
      <w:pPr>
        <w:spacing w:after="0" w:line="22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o Please check here if these wiring instructions differ from those you or your affiliates have previously provided to TSL Advisers, LLC for TPG partnership(s) in which you are currently invested (if any).</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-139065</wp:posOffset>
            </wp:positionV>
            <wp:extent cx="39706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970655"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spacing w:after="0"/>
        <w:tabs>
          <w:tab w:leader="none" w:pos="2520" w:val="left"/>
          <w:tab w:leader="none" w:pos="492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Email Address</w:t>
      </w:r>
    </w:p>
    <w:p>
      <w:pPr>
        <w:spacing w:after="0" w:line="221" w:lineRule="exact"/>
        <w:rPr>
          <w:sz w:val="20"/>
          <w:szCs w:val="20"/>
          <w:color w:val="auto"/>
        </w:rPr>
      </w:pPr>
    </w:p>
    <w:p>
      <w:pPr>
        <w:ind w:left="1940"/>
        <w:spacing w:after="0"/>
        <w:rPr>
          <w:sz w:val="20"/>
          <w:szCs w:val="20"/>
          <w:color w:val="auto"/>
        </w:rPr>
      </w:pPr>
      <w:r>
        <w:rPr>
          <w:rFonts w:ascii="Arial" w:cs="Arial" w:eastAsia="Arial" w:hAnsi="Arial"/>
          <w:sz w:val="18"/>
          <w:szCs w:val="18"/>
          <w:b w:val="1"/>
          <w:bCs w:val="1"/>
          <w:u w:val="single" w:color="auto"/>
          <w:color w:val="auto"/>
        </w:rPr>
        <w:t>U.S. Bank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292100</wp:posOffset>
            </wp:positionV>
            <wp:extent cx="39706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Name of Subscriber’s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Fed Wire 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For Credit To (Brokerage or Trust Accounts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Subscriber’s 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Subscriber’s Account Number</w:t>
      </w:r>
    </w:p>
    <w:p>
      <w:pPr>
        <w:spacing w:after="0" w:line="221"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u w:val="single" w:color="auto"/>
          <w:color w:val="auto"/>
        </w:rPr>
        <w:t>Non-U.S. Bank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154940</wp:posOffset>
            </wp:positionV>
            <wp:extent cx="39706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Name of U.S. Correspondent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Fed Wire 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Name of Foreign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Address of Foreign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SWIFT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For Credit To (Brokerage or Trust Accounts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Subscriber’s 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152400</wp:posOffset>
            </wp:positionV>
            <wp:extent cx="39706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Subscriber’s Account Number</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860" w:space="720"/>
            <w:col w:w="5620"/>
          </w:cols>
          <w:pgMar w:left="240" w:top="1152" w:right="4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III. Type of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Please check all that apply:</w:t>
      </w:r>
    </w:p>
    <w:p>
      <w:pPr>
        <w:spacing w:after="0" w:line="225" w:lineRule="exact"/>
        <w:rPr>
          <w:sz w:val="20"/>
          <w:szCs w:val="20"/>
          <w:color w:val="auto"/>
        </w:rPr>
      </w:pPr>
    </w:p>
    <w:p>
      <w:pPr>
        <w:ind w:left="920" w:hanging="453"/>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Individual</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Trust (If YES, please complete Section III(C) below)</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Corporation</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Partnership</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Limited Liability Company</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Fund of Funds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Governmental Entity</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Foundation</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Endowment</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Registered investment company under the 1940 Act</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Business Development Company (“BDC”) under the 1940 Act</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Entity relying on the exception from the definition of “investment company” under Section 3(c)(1) or 3(c)(7) of the 1940 Act</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Other.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14605</wp:posOffset>
            </wp:positionV>
            <wp:extent cx="564261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42610" cy="8890"/>
                    </a:xfrm>
                    <a:prstGeom prst="rect">
                      <a:avLst/>
                    </a:prstGeom>
                    <a:noFill/>
                  </pic:spPr>
                </pic:pic>
              </a:graphicData>
            </a:graphic>
          </wp:anchor>
        </w:drawing>
      </w:r>
    </w:p>
    <w:p>
      <w:pPr>
        <w:spacing w:after="0" w:line="232"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color w:val="auto"/>
        </w:rPr>
        <w:t>(B) Are you subscribing for Shares with one or more co-owners?</w:t>
      </w:r>
      <w:r>
        <w:rPr>
          <w:sz w:val="20"/>
          <w:szCs w:val="20"/>
          <w:color w:val="auto"/>
        </w:rPr>
        <w:tab/>
      </w:r>
      <w:r>
        <w:rPr>
          <w:rFonts w:ascii="Arial" w:cs="Arial" w:eastAsia="Arial" w:hAnsi="Arial"/>
          <w:sz w:val="16"/>
          <w:szCs w:val="16"/>
          <w:color w:val="auto"/>
        </w:rPr>
        <w:t>o YES o NO</w:t>
      </w:r>
    </w:p>
    <w:p>
      <w:pPr>
        <w:spacing w:after="0" w:line="117" w:lineRule="exact"/>
        <w:rPr>
          <w:sz w:val="20"/>
          <w:szCs w:val="20"/>
          <w:color w:val="auto"/>
        </w:rPr>
      </w:pPr>
    </w:p>
    <w:p>
      <w:pPr>
        <w:ind w:left="220" w:right="460"/>
        <w:spacing w:after="0" w:line="342" w:lineRule="auto"/>
        <w:rPr>
          <w:sz w:val="20"/>
          <w:szCs w:val="20"/>
          <w:color w:val="auto"/>
        </w:rPr>
      </w:pPr>
      <w:r>
        <w:rPr>
          <w:rFonts w:ascii="Arial" w:cs="Arial" w:eastAsia="Arial" w:hAnsi="Arial"/>
          <w:sz w:val="16"/>
          <w:szCs w:val="16"/>
          <w:color w:val="auto"/>
        </w:rPr>
        <w:t xml:space="preserve">If YES, please indicate after your names in Section II if you will hold as joint tenants with rights of survivorship, tenants by the entirety or tenants in common. </w:t>
      </w:r>
      <w:r>
        <w:rPr>
          <w:rFonts w:ascii="Arial" w:cs="Arial" w:eastAsia="Arial" w:hAnsi="Arial"/>
          <w:sz w:val="16"/>
          <w:szCs w:val="16"/>
          <w:b w:val="1"/>
          <w:bCs w:val="1"/>
          <w:color w:val="auto"/>
        </w:rPr>
        <w:t>NOTE:</w:t>
      </w:r>
      <w:r>
        <w:rPr>
          <w:rFonts w:ascii="Arial" w:cs="Arial" w:eastAsia="Arial" w:hAnsi="Arial"/>
          <w:sz w:val="16"/>
          <w:szCs w:val="16"/>
          <w:color w:val="auto"/>
        </w:rPr>
        <w:t xml:space="preserve"> If any co-owner is not a subscriber’s spouse, each co-owner must complete a separate Investor Suitability Questionnaire.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 If the subscriber is a trust, please complete (C)(1) and (C)(2) below:</w:t>
      </w:r>
    </w:p>
    <w:p>
      <w:pPr>
        <w:spacing w:after="0" w:line="225" w:lineRule="exact"/>
        <w:rPr>
          <w:sz w:val="20"/>
          <w:szCs w:val="20"/>
          <w:color w:val="auto"/>
        </w:rPr>
      </w:pPr>
    </w:p>
    <w:p>
      <w:pPr>
        <w:ind w:left="240"/>
        <w:spacing w:after="0"/>
        <w:tabs>
          <w:tab w:leader="none" w:pos="10480" w:val="left"/>
        </w:tabs>
        <w:rPr>
          <w:sz w:val="20"/>
          <w:szCs w:val="20"/>
          <w:color w:val="auto"/>
        </w:rPr>
      </w:pPr>
      <w:r>
        <w:rPr>
          <w:rFonts w:ascii="Arial" w:cs="Arial" w:eastAsia="Arial" w:hAnsi="Arial"/>
          <w:sz w:val="18"/>
          <w:szCs w:val="18"/>
          <w:color w:val="auto"/>
        </w:rPr>
        <w:t>(1) Is the subscriber a revocable trust?</w:t>
      </w:r>
      <w:r>
        <w:rPr>
          <w:sz w:val="20"/>
          <w:szCs w:val="20"/>
          <w:color w:val="auto"/>
        </w:rPr>
        <w:tab/>
      </w:r>
      <w:r>
        <w:rPr>
          <w:rFonts w:ascii="Arial" w:cs="Arial" w:eastAsia="Arial" w:hAnsi="Arial"/>
          <w:sz w:val="16"/>
          <w:szCs w:val="16"/>
          <w:color w:val="auto"/>
        </w:rPr>
        <w:t>o YES o NO</w:t>
      </w:r>
    </w:p>
    <w:p>
      <w:pPr>
        <w:spacing w:after="0" w:line="117" w:lineRule="exact"/>
        <w:rPr>
          <w:sz w:val="20"/>
          <w:szCs w:val="20"/>
          <w:color w:val="auto"/>
        </w:rPr>
      </w:pPr>
    </w:p>
    <w:p>
      <w:pPr>
        <w:ind w:left="220" w:right="260"/>
        <w:spacing w:after="0" w:line="264" w:lineRule="auto"/>
        <w:rPr>
          <w:sz w:val="20"/>
          <w:szCs w:val="20"/>
          <w:color w:val="auto"/>
        </w:rPr>
      </w:pPr>
      <w:r>
        <w:rPr>
          <w:rFonts w:ascii="Arial" w:cs="Arial" w:eastAsia="Arial" w:hAnsi="Arial"/>
          <w:sz w:val="18"/>
          <w:szCs w:val="18"/>
          <w:color w:val="auto"/>
        </w:rPr>
        <w:t xml:space="preserve">If YES, </w:t>
      </w:r>
      <w:r>
        <w:rPr>
          <w:rFonts w:ascii="Arial" w:cs="Arial" w:eastAsia="Arial" w:hAnsi="Arial"/>
          <w:sz w:val="18"/>
          <w:szCs w:val="18"/>
          <w:u w:val="single" w:color="auto"/>
          <w:color w:val="auto"/>
        </w:rPr>
        <w:t>each grantor</w:t>
      </w:r>
      <w:r>
        <w:rPr>
          <w:rFonts w:ascii="Arial" w:cs="Arial" w:eastAsia="Arial" w:hAnsi="Arial"/>
          <w:sz w:val="18"/>
          <w:szCs w:val="18"/>
          <w:color w:val="auto"/>
        </w:rPr>
        <w:t xml:space="preserve"> of the revocable trust must complete and execute a Subscription Booklet as if the grantor were subscribing for Shares. In the event that the grantor revokes the trust, such grantor shall also thereafter be liable for all obligations of the trust as an investor of the Company and such revocation may be deemed to be a transfer of the Shares.</w:t>
      </w:r>
    </w:p>
    <w:p>
      <w:pPr>
        <w:spacing w:after="0" w:line="181" w:lineRule="exact"/>
        <w:rPr>
          <w:sz w:val="20"/>
          <w:szCs w:val="20"/>
          <w:color w:val="auto"/>
        </w:rPr>
      </w:pPr>
    </w:p>
    <w:p>
      <w:pPr>
        <w:ind w:left="240"/>
        <w:spacing w:after="0"/>
        <w:tabs>
          <w:tab w:leader="none" w:pos="10480" w:val="left"/>
        </w:tabs>
        <w:rPr>
          <w:sz w:val="20"/>
          <w:szCs w:val="20"/>
          <w:color w:val="auto"/>
        </w:rPr>
      </w:pPr>
      <w:r>
        <w:rPr>
          <w:rFonts w:ascii="Arial" w:cs="Arial" w:eastAsia="Arial" w:hAnsi="Arial"/>
          <w:sz w:val="18"/>
          <w:szCs w:val="18"/>
          <w:color w:val="auto"/>
        </w:rPr>
        <w:t>(2) Is the subscriber a charitable remainder trust?</w:t>
      </w:r>
      <w:r>
        <w:rPr>
          <w:sz w:val="20"/>
          <w:szCs w:val="20"/>
          <w:color w:val="auto"/>
        </w:rPr>
        <w:tab/>
      </w:r>
      <w:r>
        <w:rPr>
          <w:rFonts w:ascii="Arial" w:cs="Arial" w:eastAsia="Arial" w:hAnsi="Arial"/>
          <w:sz w:val="16"/>
          <w:szCs w:val="16"/>
          <w:color w:val="auto"/>
        </w:rPr>
        <w:t>o YES o NO</w:t>
      </w:r>
    </w:p>
    <w:p>
      <w:pPr>
        <w:spacing w:after="0" w:line="225" w:lineRule="exact"/>
        <w:rPr>
          <w:sz w:val="20"/>
          <w:szCs w:val="20"/>
          <w:color w:val="auto"/>
        </w:rPr>
      </w:pPr>
    </w:p>
    <w:p>
      <w:pPr>
        <w:ind w:left="300" w:hanging="292"/>
        <w:spacing w:after="0" w:line="277" w:lineRule="auto"/>
        <w:tabs>
          <w:tab w:leader="none" w:pos="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Is the subscriber a governmental plan (a “</w:t>
      </w:r>
      <w:r>
        <w:rPr>
          <w:rFonts w:ascii="Arial" w:cs="Arial" w:eastAsia="Arial" w:hAnsi="Arial"/>
          <w:sz w:val="18"/>
          <w:szCs w:val="18"/>
          <w:u w:val="single" w:color="auto"/>
          <w:color w:val="auto"/>
        </w:rPr>
        <w:t>Governmental Plan Investor</w:t>
      </w:r>
      <w:r>
        <w:rPr>
          <w:rFonts w:ascii="Arial" w:cs="Arial" w:eastAsia="Arial" w:hAnsi="Arial"/>
          <w:sz w:val="18"/>
          <w:szCs w:val="18"/>
          <w:color w:val="auto"/>
        </w:rPr>
        <w:t>”) as defined in Section 3(32) of the U.S. Employee Retirement Incomeo YES o NO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9" w:name="page120"/>
    <w:bookmarkEnd w:id="119"/>
    <w:p>
      <w:pPr>
        <w:spacing w:after="0"/>
        <w:tabs>
          <w:tab w:leader="none" w:pos="10480" w:val="left"/>
        </w:tabs>
        <w:rPr>
          <w:sz w:val="20"/>
          <w:szCs w:val="20"/>
          <w:color w:val="auto"/>
        </w:rPr>
      </w:pPr>
      <w:r>
        <w:rPr>
          <w:rFonts w:ascii="Arial" w:cs="Arial" w:eastAsia="Arial" w:hAnsi="Arial"/>
          <w:sz w:val="18"/>
          <w:szCs w:val="18"/>
          <w:color w:val="auto"/>
        </w:rPr>
        <w:t>(E) Is the subscriber a nominee, custodian or person acting in a similar capacity?</w:t>
      </w:r>
      <w:r>
        <w:rPr>
          <w:rFonts w:ascii="Arial" w:cs="Arial" w:eastAsia="Arial" w:hAnsi="Arial"/>
          <w:sz w:val="15"/>
          <w:szCs w:val="15"/>
          <w:color w:val="auto"/>
        </w:rPr>
        <w:t>7</w:t>
      </w:r>
      <w:r>
        <w:rPr>
          <w:sz w:val="20"/>
          <w:szCs w:val="20"/>
          <w:color w:val="auto"/>
        </w:rPr>
        <w:tab/>
      </w:r>
      <w:r>
        <w:rPr>
          <w:rFonts w:ascii="Arial" w:cs="Arial" w:eastAsia="Arial" w:hAnsi="Arial"/>
          <w:sz w:val="16"/>
          <w:szCs w:val="16"/>
          <w:color w:val="auto"/>
        </w:rPr>
        <w:t>o YES o NO</w:t>
      </w:r>
    </w:p>
    <w:p>
      <w:pPr>
        <w:spacing w:after="0" w:line="117" w:lineRule="exact"/>
        <w:rPr>
          <w:sz w:val="20"/>
          <w:szCs w:val="20"/>
          <w:color w:val="auto"/>
        </w:rPr>
      </w:pPr>
    </w:p>
    <w:p>
      <w:pPr>
        <w:jc w:val="both"/>
        <w:ind w:left="220" w:right="140"/>
        <w:spacing w:after="0" w:line="264" w:lineRule="auto"/>
        <w:rPr>
          <w:sz w:val="20"/>
          <w:szCs w:val="20"/>
          <w:color w:val="auto"/>
        </w:rPr>
      </w:pPr>
      <w:r>
        <w:rPr>
          <w:rFonts w:ascii="Arial" w:cs="Arial" w:eastAsia="Arial" w:hAnsi="Arial"/>
          <w:sz w:val="18"/>
          <w:szCs w:val="18"/>
          <w:color w:val="auto"/>
        </w:rPr>
        <w:t>If YES, the subscriber certifies that the full legal name of the Beneficial Owner and its state of residence or jurisdiction of organization is set forth below, and that that this Investor Suitability Questionnaire has been completed by the subscriber, on behalf of and at the direction of the Beneficial Owner, as if the Beneficial Owner were the “subscriber” for purposes of this Investor Suitability Questionnaire.</w:t>
      </w:r>
    </w:p>
    <w:p>
      <w:pPr>
        <w:spacing w:after="0" w:line="3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Legal 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-130175</wp:posOffset>
            </wp:positionV>
            <wp:extent cx="71094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3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State or country of residence or jurisdiction of organization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-130175</wp:posOffset>
            </wp:positionV>
            <wp:extent cx="71094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111" w:lineRule="exact"/>
        <w:rPr>
          <w:sz w:val="20"/>
          <w:szCs w:val="20"/>
          <w:color w:val="auto"/>
        </w:rPr>
      </w:pPr>
    </w:p>
    <w:p>
      <w:pPr>
        <w:ind w:left="220" w:right="60"/>
        <w:spacing w:after="0" w:line="308" w:lineRule="auto"/>
        <w:rPr>
          <w:sz w:val="20"/>
          <w:szCs w:val="20"/>
          <w:color w:val="auto"/>
        </w:rPr>
      </w:pPr>
      <w:r>
        <w:rPr>
          <w:rFonts w:ascii="Arial" w:cs="Arial" w:eastAsia="Arial" w:hAnsi="Arial"/>
          <w:sz w:val="17"/>
          <w:szCs w:val="17"/>
          <w:color w:val="auto"/>
        </w:rPr>
        <w:t>Except as described below, any purchase of Shares will be solely for the subscriber’s own account or the account of the Beneficial Owner identified above and not for the account of any other person or entity. (</w:t>
      </w:r>
      <w:r>
        <w:rPr>
          <w:rFonts w:ascii="Arial" w:cs="Arial" w:eastAsia="Arial" w:hAnsi="Arial"/>
          <w:sz w:val="17"/>
          <w:szCs w:val="17"/>
          <w:i w:val="1"/>
          <w:iCs w:val="1"/>
          <w:color w:val="auto"/>
        </w:rPr>
        <w:t>Set forth exceptions and give details. Attach additional pages if necessary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110490</wp:posOffset>
            </wp:positionV>
            <wp:extent cx="71094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(F)</w:t>
            </w:r>
          </w:p>
        </w:tc>
        <w:tc>
          <w:tcPr>
            <w:tcW w:w="10100" w:type="dxa"/>
            <w:vAlign w:val="bottom"/>
          </w:tcPr>
          <w:p>
            <w:pPr>
              <w:ind w:left="60"/>
              <w:spacing w:after="0"/>
              <w:rPr>
                <w:sz w:val="20"/>
                <w:szCs w:val="20"/>
                <w:color w:val="auto"/>
              </w:rPr>
            </w:pPr>
            <w:r>
              <w:rPr>
                <w:rFonts w:ascii="Arial" w:cs="Arial" w:eastAsia="Arial" w:hAnsi="Arial"/>
                <w:sz w:val="18"/>
                <w:szCs w:val="18"/>
                <w:color w:val="auto"/>
              </w:rPr>
              <w:t>Is the subscriber a “U.S. Person”?</w:t>
            </w:r>
            <w:r>
              <w:rPr>
                <w:rFonts w:ascii="Arial" w:cs="Arial" w:eastAsia="Arial" w:hAnsi="Arial"/>
                <w:sz w:val="15"/>
                <w:szCs w:val="15"/>
                <w:color w:val="auto"/>
              </w:rPr>
              <w:t>8</w:t>
            </w:r>
          </w:p>
        </w:tc>
        <w:tc>
          <w:tcPr>
            <w:tcW w:w="1000" w:type="dxa"/>
            <w:vAlign w:val="bottom"/>
          </w:tcPr>
          <w:p>
            <w:pPr>
              <w:ind w:left="100"/>
              <w:spacing w:after="0"/>
              <w:rPr>
                <w:sz w:val="20"/>
                <w:szCs w:val="20"/>
                <w:color w:val="auto"/>
              </w:rPr>
            </w:pPr>
            <w:r>
              <w:rPr>
                <w:rFonts w:ascii="Arial" w:cs="Arial" w:eastAsia="Arial" w:hAnsi="Arial"/>
                <w:sz w:val="18"/>
                <w:szCs w:val="18"/>
                <w:color w:val="auto"/>
                <w:w w:val="89"/>
              </w:rPr>
              <w:t>o YES o NO</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(H)</w:t>
            </w:r>
          </w:p>
        </w:tc>
        <w:tc>
          <w:tcPr>
            <w:tcW w:w="10100" w:type="dxa"/>
            <w:vAlign w:val="bottom"/>
          </w:tcPr>
          <w:p>
            <w:pPr>
              <w:ind w:left="60"/>
              <w:spacing w:after="0"/>
              <w:rPr>
                <w:sz w:val="20"/>
                <w:szCs w:val="20"/>
                <w:color w:val="auto"/>
              </w:rPr>
            </w:pPr>
            <w:r>
              <w:rPr>
                <w:rFonts w:ascii="Arial" w:cs="Arial" w:eastAsia="Arial" w:hAnsi="Arial"/>
                <w:sz w:val="18"/>
                <w:szCs w:val="18"/>
                <w:color w:val="auto"/>
              </w:rPr>
              <w:t>Is the subscriber a BHC Subscriber?</w:t>
            </w:r>
            <w:r>
              <w:rPr>
                <w:rFonts w:ascii="Arial" w:cs="Arial" w:eastAsia="Arial" w:hAnsi="Arial"/>
                <w:sz w:val="15"/>
                <w:szCs w:val="15"/>
                <w:color w:val="auto"/>
              </w:rPr>
              <w:t>9</w:t>
            </w:r>
          </w:p>
        </w:tc>
        <w:tc>
          <w:tcPr>
            <w:tcW w:w="1000" w:type="dxa"/>
            <w:vAlign w:val="bottom"/>
          </w:tcPr>
          <w:p>
            <w:pPr>
              <w:ind w:left="100"/>
              <w:spacing w:after="0"/>
              <w:rPr>
                <w:sz w:val="20"/>
                <w:szCs w:val="20"/>
                <w:color w:val="auto"/>
              </w:rPr>
            </w:pPr>
            <w:r>
              <w:rPr>
                <w:rFonts w:ascii="Arial" w:cs="Arial" w:eastAsia="Arial" w:hAnsi="Arial"/>
                <w:sz w:val="18"/>
                <w:szCs w:val="18"/>
                <w:color w:val="auto"/>
                <w:w w:val="89"/>
              </w:rPr>
              <w:t>o YES o NO</w:t>
            </w:r>
          </w:p>
        </w:tc>
      </w:tr>
      <w:tr>
        <w:trPr>
          <w:trHeight w:val="418"/>
        </w:trPr>
        <w:tc>
          <w:tcPr>
            <w:tcW w:w="300" w:type="dxa"/>
            <w:vAlign w:val="bottom"/>
          </w:tcPr>
          <w:p>
            <w:pPr>
              <w:spacing w:after="0"/>
              <w:rPr>
                <w:sz w:val="20"/>
                <w:szCs w:val="20"/>
                <w:color w:val="auto"/>
              </w:rPr>
            </w:pPr>
            <w:r>
              <w:rPr>
                <w:rFonts w:ascii="Arial" w:cs="Arial" w:eastAsia="Arial" w:hAnsi="Arial"/>
                <w:sz w:val="18"/>
                <w:szCs w:val="18"/>
                <w:color w:val="auto"/>
              </w:rPr>
              <w:t>(I)</w:t>
            </w:r>
          </w:p>
        </w:tc>
        <w:tc>
          <w:tcPr>
            <w:tcW w:w="10100" w:type="dxa"/>
            <w:vAlign w:val="bottom"/>
          </w:tcPr>
          <w:p>
            <w:pPr>
              <w:ind w:left="60"/>
              <w:spacing w:after="0"/>
              <w:rPr>
                <w:sz w:val="20"/>
                <w:szCs w:val="20"/>
                <w:color w:val="auto"/>
              </w:rPr>
            </w:pPr>
            <w:r>
              <w:rPr>
                <w:rFonts w:ascii="Arial" w:cs="Arial" w:eastAsia="Arial" w:hAnsi="Arial"/>
                <w:sz w:val="18"/>
                <w:szCs w:val="18"/>
                <w:color w:val="auto"/>
                <w:w w:val="91"/>
              </w:rPr>
              <w:t>Is the subscriber subject to the U.S. Freedom of Information Act, or any similar statutory or regulatory disclosure requirement of any state</w:t>
            </w:r>
          </w:p>
        </w:tc>
        <w:tc>
          <w:tcPr>
            <w:tcW w:w="1000" w:type="dxa"/>
            <w:vAlign w:val="bottom"/>
          </w:tcPr>
          <w:p>
            <w:pPr>
              <w:ind w:left="100"/>
              <w:spacing w:after="0"/>
              <w:rPr>
                <w:sz w:val="20"/>
                <w:szCs w:val="20"/>
                <w:color w:val="auto"/>
              </w:rPr>
            </w:pPr>
            <w:r>
              <w:rPr>
                <w:rFonts w:ascii="Arial" w:cs="Arial" w:eastAsia="Arial" w:hAnsi="Arial"/>
                <w:sz w:val="18"/>
                <w:szCs w:val="18"/>
                <w:color w:val="auto"/>
                <w:w w:val="89"/>
              </w:rPr>
              <w:t>o YES o NO</w:t>
            </w:r>
          </w:p>
        </w:tc>
      </w:tr>
      <w:tr>
        <w:trPr>
          <w:trHeight w:val="230"/>
        </w:trPr>
        <w:tc>
          <w:tcPr>
            <w:tcW w:w="300" w:type="dxa"/>
            <w:vAlign w:val="bottom"/>
          </w:tcPr>
          <w:p>
            <w:pPr>
              <w:spacing w:after="0"/>
              <w:rPr>
                <w:sz w:val="20"/>
                <w:szCs w:val="20"/>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rPr>
              <w:t>or other jurisdiction?</w:t>
            </w:r>
          </w:p>
        </w:tc>
        <w:tc>
          <w:tcPr>
            <w:tcW w:w="1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4"/>
          <w:szCs w:val="14"/>
          <w:color w:val="auto"/>
        </w:rPr>
      </w:pPr>
      <w:r>
        <w:rPr>
          <w:rFonts w:ascii="Arial" w:cs="Arial" w:eastAsia="Arial" w:hAnsi="Arial"/>
          <w:sz w:val="17"/>
          <w:szCs w:val="17"/>
          <w:color w:val="auto"/>
        </w:rPr>
        <w:t>By checking YES, the subscriber certifies that it is acting as a nominee, custodian or in a similar capacity, in each case in which the person (the</w:t>
      </w:r>
    </w:p>
    <w:p>
      <w:pPr>
        <w:spacing w:after="0" w:line="34" w:lineRule="exact"/>
        <w:rPr>
          <w:rFonts w:ascii="Arial" w:cs="Arial" w:eastAsia="Arial" w:hAnsi="Arial"/>
          <w:sz w:val="14"/>
          <w:szCs w:val="14"/>
          <w:color w:val="auto"/>
        </w:rPr>
      </w:pPr>
    </w:p>
    <w:p>
      <w:pPr>
        <w:jc w:val="both"/>
        <w:ind w:left="460" w:right="180"/>
        <w:spacing w:after="0" w:line="277" w:lineRule="auto"/>
        <w:rPr>
          <w:rFonts w:ascii="Arial" w:cs="Arial" w:eastAsia="Arial" w:hAnsi="Arial"/>
          <w:sz w:val="14"/>
          <w:szCs w:val="14"/>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w:t>
      </w:r>
      <w:r>
        <w:rPr>
          <w:rFonts w:ascii="Arial" w:cs="Arial" w:eastAsia="Arial" w:hAnsi="Arial"/>
          <w:sz w:val="17"/>
          <w:szCs w:val="17"/>
          <w:color w:val="auto"/>
        </w:rPr>
        <w:t>”) for whom the prospective investor is acting (A) has the sole power to direct the acquisition, disposition and voting of the Shares (i.e., the nominee, custodian or person acting in a similar capacity will acquire, dispose of and vote the Shares solely at the direction of the Beneficial Owner) and (B) will be the sole beneficiary of any and all Shares (whether economic, voting or otherwise) relating to the Shares.</w:t>
      </w:r>
    </w:p>
    <w:p>
      <w:pPr>
        <w:spacing w:after="0" w:line="25" w:lineRule="exact"/>
        <w:rPr>
          <w:sz w:val="20"/>
          <w:szCs w:val="20"/>
          <w:color w:val="auto"/>
        </w:rPr>
      </w:pPr>
    </w:p>
    <w:p>
      <w:pPr>
        <w:ind w:left="460" w:hanging="452"/>
        <w:spacing w:after="0" w:line="279" w:lineRule="auto"/>
        <w:tabs>
          <w:tab w:leader="none" w:pos="460" w:val="left"/>
        </w:tabs>
        <w:numPr>
          <w:ilvl w:val="0"/>
          <w:numId w:val="142"/>
        </w:numPr>
        <w:rPr>
          <w:rFonts w:ascii="Arial" w:cs="Arial" w:eastAsia="Arial" w:hAnsi="Arial"/>
          <w:sz w:val="14"/>
          <w:szCs w:val="14"/>
          <w:color w:val="auto"/>
        </w:rPr>
      </w:pPr>
      <w:r>
        <w:rPr>
          <w:rFonts w:ascii="Arial" w:cs="Arial" w:eastAsia="Arial" w:hAnsi="Arial"/>
          <w:sz w:val="17"/>
          <w:szCs w:val="17"/>
          <w:color w:val="auto"/>
        </w:rPr>
        <w:t>A “U.S. person” for this purpose generally means a citizen or resident of the United States, a corporation, partnership or other entity created or organized in or under the laws of the United States or any political subdivision thereof, an estate the income of which is subject to United States federal income taxation regardless of its source, or any trust if (i) a U.S. court is able to exercise primary supervision over the trust’s administration and (ii) one or more United States persons have the authority to control all of the trust’s substantial decisions.</w:t>
      </w:r>
    </w:p>
    <w:p>
      <w:pPr>
        <w:spacing w:after="0" w:line="23" w:lineRule="exact"/>
        <w:rPr>
          <w:sz w:val="20"/>
          <w:szCs w:val="20"/>
          <w:color w:val="auto"/>
        </w:rPr>
      </w:pPr>
    </w:p>
    <w:p>
      <w:pPr>
        <w:ind w:left="460" w:right="20" w:hanging="452"/>
        <w:spacing w:after="0" w:line="257" w:lineRule="auto"/>
        <w:tabs>
          <w:tab w:leader="none" w:pos="460" w:val="left"/>
        </w:tabs>
        <w:numPr>
          <w:ilvl w:val="0"/>
          <w:numId w:val="143"/>
        </w:numPr>
        <w:rPr>
          <w:rFonts w:ascii="Arial" w:cs="Arial" w:eastAsia="Arial" w:hAnsi="Arial"/>
          <w:sz w:val="15"/>
          <w:szCs w:val="15"/>
          <w:color w:val="auto"/>
        </w:rPr>
      </w:pPr>
      <w:r>
        <w:rPr>
          <w:rFonts w:ascii="Arial" w:cs="Arial" w:eastAsia="Arial" w:hAnsi="Arial"/>
          <w:sz w:val="18"/>
          <w:szCs w:val="18"/>
          <w:color w:val="auto"/>
        </w:rPr>
        <w:t>A BHC Subscriber is defined as a subscriber that is a bank holding company, as defined in Section 2(a) of the Bank Holding Company Act of 1956, as amended (the “</w:t>
      </w:r>
      <w:r>
        <w:rPr>
          <w:rFonts w:ascii="Arial" w:cs="Arial" w:eastAsia="Arial" w:hAnsi="Arial"/>
          <w:sz w:val="18"/>
          <w:szCs w:val="18"/>
          <w:u w:val="single" w:color="auto"/>
          <w:color w:val="auto"/>
        </w:rPr>
        <w:t>BHC Act</w:t>
      </w:r>
      <w:r>
        <w:rPr>
          <w:rFonts w:ascii="Arial" w:cs="Arial" w:eastAsia="Arial" w:hAnsi="Arial"/>
          <w:sz w:val="18"/>
          <w:szCs w:val="18"/>
          <w:color w:val="auto"/>
        </w:rPr>
        <w:t>”), a non-bank subsidiary (for purposes of the BHC Act) of a bank holding company, a foreign banking organization, as defined in Regulation K of the Board of Governors of the Federal Reserve System (12 C.F.R. § 211.23) or any successor regulation, or a non-bank subsidiary (for purposes of the BHC Act) of a foreign banking organization which subsidiary is engaged, directly or indirectly in business in the United States and which in any case holds Shares for its own account.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120" w:name="page121"/>
    <w:bookmarkEnd w:id="120"/>
    <w:p>
      <w:pPr>
        <w:ind w:left="220"/>
        <w:spacing w:after="0"/>
        <w:rPr>
          <w:sz w:val="20"/>
          <w:szCs w:val="20"/>
          <w:color w:val="auto"/>
        </w:rPr>
      </w:pPr>
      <w:r>
        <w:rPr>
          <w:rFonts w:ascii="Arial" w:cs="Arial" w:eastAsia="Arial" w:hAnsi="Arial"/>
          <w:sz w:val="17"/>
          <w:szCs w:val="17"/>
          <w:color w:val="auto"/>
        </w:rPr>
        <w:t>If YES, please indicate the relevant law(s) to which the subscriber is subject and provide any additional explanatory information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168275</wp:posOffset>
            </wp:positionV>
            <wp:extent cx="71094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322580</wp:posOffset>
            </wp:positionV>
            <wp:extent cx="71094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476885</wp:posOffset>
            </wp:positionV>
            <wp:extent cx="71094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(J) Is the subscriber required, by regulation, contract or otherwise, to disclose information concerning the Company to a trading exchange or</w:t>
      </w:r>
    </w:p>
    <w:p>
      <w:pPr>
        <w:spacing w:after="0" w:line="23" w:lineRule="exact"/>
        <w:rPr>
          <w:sz w:val="20"/>
          <w:szCs w:val="20"/>
          <w:color w:val="auto"/>
        </w:rPr>
      </w:pPr>
    </w:p>
    <w:p>
      <w:pPr>
        <w:ind w:left="300"/>
        <w:spacing w:after="0"/>
        <w:tabs>
          <w:tab w:leader="none" w:pos="10480" w:val="left"/>
        </w:tabs>
        <w:rPr>
          <w:sz w:val="20"/>
          <w:szCs w:val="20"/>
          <w:color w:val="auto"/>
        </w:rPr>
      </w:pPr>
      <w:r>
        <w:rPr>
          <w:rFonts w:ascii="Arial" w:cs="Arial" w:eastAsia="Arial" w:hAnsi="Arial"/>
          <w:sz w:val="18"/>
          <w:szCs w:val="18"/>
          <w:color w:val="auto"/>
        </w:rPr>
        <w:t>other market?</w:t>
      </w:r>
      <w:r>
        <w:rPr>
          <w:sz w:val="20"/>
          <w:szCs w:val="20"/>
          <w:color w:val="auto"/>
        </w:rPr>
        <w:tab/>
      </w:r>
      <w:r>
        <w:rPr>
          <w:rFonts w:ascii="Arial" w:cs="Arial" w:eastAsia="Arial" w:hAnsi="Arial"/>
          <w:sz w:val="16"/>
          <w:szCs w:val="16"/>
          <w:color w:val="auto"/>
        </w:rPr>
        <w:t>o YES o NO</w:t>
      </w:r>
    </w:p>
    <w:p>
      <w:pPr>
        <w:spacing w:after="0" w:line="103" w:lineRule="exact"/>
        <w:rPr>
          <w:sz w:val="20"/>
          <w:szCs w:val="20"/>
          <w:color w:val="auto"/>
        </w:rPr>
      </w:pPr>
    </w:p>
    <w:p>
      <w:pPr>
        <w:ind w:left="220" w:right="420"/>
        <w:spacing w:after="0" w:line="277" w:lineRule="auto"/>
        <w:rPr>
          <w:sz w:val="20"/>
          <w:szCs w:val="20"/>
          <w:color w:val="auto"/>
        </w:rPr>
      </w:pPr>
      <w:r>
        <w:rPr>
          <w:rFonts w:ascii="Arial" w:cs="Arial" w:eastAsia="Arial" w:hAnsi="Arial"/>
          <w:sz w:val="18"/>
          <w:szCs w:val="18"/>
          <w:color w:val="auto"/>
        </w:rPr>
        <w:t>If YES, please indicate the relevant requirement(s) to which the subscriber is subject and provide any additional explanatory information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125730</wp:posOffset>
            </wp:positionV>
            <wp:extent cx="71094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280035</wp:posOffset>
            </wp:positionV>
            <wp:extent cx="71094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434340</wp:posOffset>
            </wp:positionV>
            <wp:extent cx="71094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IV. Status as an Accredited Investor</w:t>
      </w:r>
    </w:p>
    <w:p>
      <w:pPr>
        <w:spacing w:after="0" w:line="12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This offering is being made privately by the Company pursuant to the private placement exemption from registration provided by Section 4(2) of the 1933 Act. Shares offered pursuant to the private placement exemption generally are available only to “accredited investors” as defined in Rule 501(a) of Regulation D (“</w:t>
      </w:r>
      <w:r>
        <w:rPr>
          <w:rFonts w:ascii="Arial" w:cs="Arial" w:eastAsia="Arial" w:hAnsi="Arial"/>
          <w:sz w:val="16"/>
          <w:szCs w:val="16"/>
          <w:u w:val="single" w:color="auto"/>
          <w:color w:val="auto"/>
        </w:rPr>
        <w:t>Accredited Investors</w:t>
      </w:r>
      <w:r>
        <w:rPr>
          <w:rFonts w:ascii="Arial" w:cs="Arial" w:eastAsia="Arial" w:hAnsi="Arial"/>
          <w:sz w:val="16"/>
          <w:szCs w:val="16"/>
          <w:color w:val="auto"/>
        </w:rPr>
        <w:t>”). The applicability of such exemption is in part dependent upon your answers to the following questions:</w:t>
      </w:r>
    </w:p>
    <w:p>
      <w:pPr>
        <w:sectPr>
          <w:pgSz w:w="11900" w:h="16838" w:orient="portrait"/>
          <w:cols w:equalWidth="0" w:num="1">
            <w:col w:w="11400"/>
          </w:cols>
          <w:pgMar w:left="240" w:top="1148" w:right="259" w:bottom="1440" w:gutter="0" w:footer="0" w:header="0"/>
        </w:sectPr>
      </w:pPr>
    </w:p>
    <w:p>
      <w:pPr>
        <w:spacing w:after="0" w:line="147" w:lineRule="exact"/>
        <w:rPr>
          <w:sz w:val="20"/>
          <w:szCs w:val="20"/>
          <w:color w:val="auto"/>
        </w:rPr>
      </w:pPr>
    </w:p>
    <w:p>
      <w:pPr>
        <w:ind w:left="360" w:hanging="359"/>
        <w:spacing w:after="0" w:line="259" w:lineRule="auto"/>
        <w:tabs>
          <w:tab w:leader="none" w:pos="340" w:val="left"/>
        </w:tabs>
        <w:rPr>
          <w:sz w:val="20"/>
          <w:szCs w:val="20"/>
          <w:color w:val="auto"/>
        </w:rPr>
      </w:pPr>
      <w:r>
        <w:rPr>
          <w:rFonts w:ascii="Arial" w:cs="Arial" w:eastAsia="Arial" w:hAnsi="Arial"/>
          <w:sz w:val="18"/>
          <w:szCs w:val="18"/>
          <w:color w:val="auto"/>
        </w:rPr>
        <w:t>(A)</w:t>
        <w:tab/>
        <w:t>If the subscriber is an individual, does the subscriber either (i) have an individual net worth</w:t>
      </w:r>
      <w:r>
        <w:rPr>
          <w:rFonts w:ascii="Arial" w:cs="Arial" w:eastAsia="Arial" w:hAnsi="Arial"/>
          <w:sz w:val="15"/>
          <w:szCs w:val="15"/>
          <w:color w:val="auto"/>
        </w:rPr>
        <w:t>10</w:t>
      </w:r>
      <w:r>
        <w:rPr>
          <w:rFonts w:ascii="Arial" w:cs="Arial" w:eastAsia="Arial" w:hAnsi="Arial"/>
          <w:sz w:val="18"/>
          <w:szCs w:val="18"/>
          <w:color w:val="auto"/>
        </w:rPr>
        <w:t xml:space="preserve"> or joint net worth with his or her spouse exceeding $1,000,000; or (ii) have an individual income</w:t>
      </w:r>
      <w:r>
        <w:rPr>
          <w:rFonts w:ascii="Arial" w:cs="Arial" w:eastAsia="Arial" w:hAnsi="Arial"/>
          <w:sz w:val="15"/>
          <w:szCs w:val="15"/>
          <w:color w:val="auto"/>
        </w:rPr>
        <w:t>11</w:t>
      </w:r>
      <w:r>
        <w:rPr>
          <w:rFonts w:ascii="Arial" w:cs="Arial" w:eastAsia="Arial" w:hAnsi="Arial"/>
          <w:sz w:val="18"/>
          <w:szCs w:val="18"/>
          <w:color w:val="auto"/>
        </w:rPr>
        <w:t xml:space="preserve"> in excess of $200,000 in each of the two most recent years or joint income with his or her spouse in excess of $300,000 in each of those years and have a reasonable expectation of reaching the same income level in the current year?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 YES o NO</w:t>
      </w:r>
    </w:p>
    <w:p>
      <w:pPr>
        <w:spacing w:after="0" w:line="896" w:lineRule="exact"/>
        <w:rPr>
          <w:sz w:val="20"/>
          <w:szCs w:val="20"/>
          <w:color w:val="auto"/>
        </w:rPr>
      </w:pPr>
    </w:p>
    <w:p>
      <w:pPr>
        <w:sectPr>
          <w:pgSz w:w="11900" w:h="16838" w:orient="portrait"/>
          <w:cols w:equalWidth="0" w:num="2">
            <w:col w:w="10320" w:space="180"/>
            <w:col w:w="900"/>
          </w:cols>
          <w:pgMar w:left="240" w:top="1148" w:right="259" w:bottom="1440" w:gutter="0" w:footer="0" w:header="0"/>
          <w:type w:val="continuous"/>
        </w:sectPr>
      </w:pPr>
    </w:p>
    <w:p>
      <w:pPr>
        <w:ind w:left="360" w:right="1240" w:hanging="352"/>
        <w:spacing w:after="0" w:line="277" w:lineRule="auto"/>
        <w:tabs>
          <w:tab w:leader="none" w:pos="3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the subscriber is a corporation, partnership, trust or other entity, the subscriber certifies that it is one of the following (please check all that apply):</w:t>
      </w:r>
    </w:p>
    <w:p>
      <w:pPr>
        <w:spacing w:after="0" w:line="170"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(1)</w:t>
            </w:r>
          </w:p>
        </w:tc>
        <w:tc>
          <w:tcPr>
            <w:tcW w:w="10040" w:type="dxa"/>
            <w:vAlign w:val="bottom"/>
            <w:gridSpan w:val="3"/>
          </w:tcPr>
          <w:p>
            <w:pPr>
              <w:ind w:left="20"/>
              <w:spacing w:after="0"/>
              <w:rPr>
                <w:sz w:val="20"/>
                <w:szCs w:val="20"/>
                <w:color w:val="auto"/>
              </w:rPr>
            </w:pPr>
            <w:r>
              <w:rPr>
                <w:rFonts w:ascii="Arial" w:cs="Arial" w:eastAsia="Arial" w:hAnsi="Arial"/>
                <w:sz w:val="18"/>
                <w:szCs w:val="18"/>
                <w:color w:val="auto"/>
                <w:w w:val="94"/>
              </w:rPr>
              <w:t>A trust, with total assets in excess of $5,000,000, not formed for the specific purpose of acquiring Shares, whose purchase is directed</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o</w:t>
            </w:r>
          </w:p>
        </w:tc>
      </w:tr>
      <w:tr>
        <w:trPr>
          <w:trHeight w:val="216"/>
        </w:trPr>
        <w:tc>
          <w:tcPr>
            <w:tcW w:w="10280" w:type="dxa"/>
            <w:vAlign w:val="bottom"/>
            <w:gridSpan w:val="4"/>
          </w:tcPr>
          <w:p>
            <w:pPr>
              <w:spacing w:after="0"/>
              <w:rPr>
                <w:sz w:val="20"/>
                <w:szCs w:val="20"/>
                <w:color w:val="auto"/>
              </w:rPr>
            </w:pPr>
            <w:r>
              <w:rPr>
                <w:rFonts w:ascii="Arial" w:cs="Arial" w:eastAsia="Arial" w:hAnsi="Arial"/>
                <w:sz w:val="18"/>
                <w:szCs w:val="18"/>
                <w:color w:val="auto"/>
                <w:w w:val="91"/>
              </w:rPr>
              <w:t>by a sophisticated person who has such knowledge and experience in financial and business matters that such person is and will be capable</w:t>
            </w:r>
          </w:p>
        </w:tc>
        <w:tc>
          <w:tcPr>
            <w:tcW w:w="360" w:type="dxa"/>
            <w:vAlign w:val="bottom"/>
          </w:tcPr>
          <w:p>
            <w:pPr>
              <w:spacing w:after="0"/>
              <w:rPr>
                <w:sz w:val="18"/>
                <w:szCs w:val="18"/>
                <w:color w:val="auto"/>
              </w:rPr>
            </w:pPr>
          </w:p>
        </w:tc>
      </w:tr>
      <w:tr>
        <w:trPr>
          <w:trHeight w:val="230"/>
        </w:trPr>
        <w:tc>
          <w:tcPr>
            <w:tcW w:w="10280" w:type="dxa"/>
            <w:vAlign w:val="bottom"/>
            <w:gridSpan w:val="4"/>
          </w:tcPr>
          <w:p>
            <w:pPr>
              <w:spacing w:after="0"/>
              <w:rPr>
                <w:sz w:val="20"/>
                <w:szCs w:val="20"/>
                <w:color w:val="auto"/>
              </w:rPr>
            </w:pPr>
            <w:r>
              <w:rPr>
                <w:rFonts w:ascii="Arial" w:cs="Arial" w:eastAsia="Arial" w:hAnsi="Arial"/>
                <w:sz w:val="18"/>
                <w:szCs w:val="18"/>
                <w:color w:val="auto"/>
              </w:rPr>
              <w:t>of evaluating the merits and risks of the prospective investment.</w:t>
            </w:r>
          </w:p>
        </w:tc>
        <w:tc>
          <w:tcPr>
            <w:tcW w:w="360" w:type="dxa"/>
            <w:vAlign w:val="bottom"/>
          </w:tcPr>
          <w:p>
            <w:pPr>
              <w:spacing w:after="0"/>
              <w:rPr>
                <w:sz w:val="20"/>
                <w:szCs w:val="20"/>
                <w:color w:val="auto"/>
              </w:rPr>
            </w:pPr>
          </w:p>
        </w:tc>
      </w:tr>
      <w:tr>
        <w:trPr>
          <w:trHeight w:val="418"/>
        </w:trPr>
        <w:tc>
          <w:tcPr>
            <w:tcW w:w="240" w:type="dxa"/>
            <w:vAlign w:val="bottom"/>
          </w:tcPr>
          <w:p>
            <w:pPr>
              <w:spacing w:after="0"/>
              <w:rPr>
                <w:sz w:val="20"/>
                <w:szCs w:val="20"/>
                <w:color w:val="auto"/>
              </w:rPr>
            </w:pPr>
            <w:r>
              <w:rPr>
                <w:rFonts w:ascii="Arial" w:cs="Arial" w:eastAsia="Arial" w:hAnsi="Arial"/>
                <w:sz w:val="18"/>
                <w:szCs w:val="18"/>
                <w:color w:val="auto"/>
                <w:w w:val="99"/>
              </w:rPr>
              <w:t>(2)</w:t>
            </w:r>
          </w:p>
        </w:tc>
        <w:tc>
          <w:tcPr>
            <w:tcW w:w="10040" w:type="dxa"/>
            <w:vAlign w:val="bottom"/>
            <w:gridSpan w:val="3"/>
          </w:tcPr>
          <w:p>
            <w:pPr>
              <w:ind w:left="20"/>
              <w:spacing w:after="0"/>
              <w:rPr>
                <w:sz w:val="20"/>
                <w:szCs w:val="20"/>
                <w:color w:val="auto"/>
              </w:rPr>
            </w:pPr>
            <w:r>
              <w:rPr>
                <w:rFonts w:ascii="Arial" w:cs="Arial" w:eastAsia="Arial" w:hAnsi="Arial"/>
                <w:sz w:val="18"/>
                <w:szCs w:val="18"/>
                <w:color w:val="auto"/>
                <w:w w:val="99"/>
              </w:rPr>
              <w:t>A partnership, a corporation, a limited liability company or a Massachusetts or similar business trust, not formed for the specific</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o</w:t>
            </w:r>
          </w:p>
        </w:tc>
      </w:tr>
      <w:tr>
        <w:trPr>
          <w:trHeight w:val="230"/>
        </w:trPr>
        <w:tc>
          <w:tcPr>
            <w:tcW w:w="10280" w:type="dxa"/>
            <w:vAlign w:val="bottom"/>
            <w:gridSpan w:val="4"/>
          </w:tcPr>
          <w:p>
            <w:pPr>
              <w:spacing w:after="0"/>
              <w:rPr>
                <w:sz w:val="20"/>
                <w:szCs w:val="20"/>
                <w:color w:val="auto"/>
              </w:rPr>
            </w:pPr>
            <w:r>
              <w:rPr>
                <w:rFonts w:ascii="Arial" w:cs="Arial" w:eastAsia="Arial" w:hAnsi="Arial"/>
                <w:sz w:val="18"/>
                <w:szCs w:val="18"/>
                <w:color w:val="auto"/>
              </w:rPr>
              <w:t>purpose of acquiring an Interest, with total assets in excess of $5,000,000.</w:t>
            </w:r>
          </w:p>
        </w:tc>
        <w:tc>
          <w:tcPr>
            <w:tcW w:w="360" w:type="dxa"/>
            <w:vAlign w:val="bottom"/>
          </w:tcPr>
          <w:p>
            <w:pPr>
              <w:spacing w:after="0"/>
              <w:rPr>
                <w:sz w:val="20"/>
                <w:szCs w:val="20"/>
                <w:color w:val="auto"/>
              </w:rPr>
            </w:pPr>
          </w:p>
        </w:tc>
      </w:tr>
      <w:tr>
        <w:trPr>
          <w:trHeight w:val="418"/>
        </w:trPr>
        <w:tc>
          <w:tcPr>
            <w:tcW w:w="240" w:type="dxa"/>
            <w:vAlign w:val="bottom"/>
          </w:tcPr>
          <w:p>
            <w:pPr>
              <w:spacing w:after="0"/>
              <w:rPr>
                <w:sz w:val="20"/>
                <w:szCs w:val="20"/>
                <w:color w:val="auto"/>
              </w:rPr>
            </w:pPr>
            <w:r>
              <w:rPr>
                <w:rFonts w:ascii="Arial" w:cs="Arial" w:eastAsia="Arial" w:hAnsi="Arial"/>
                <w:sz w:val="18"/>
                <w:szCs w:val="18"/>
                <w:color w:val="auto"/>
                <w:w w:val="99"/>
              </w:rPr>
              <w:t>(3)</w:t>
            </w:r>
          </w:p>
        </w:tc>
        <w:tc>
          <w:tcPr>
            <w:tcW w:w="10040" w:type="dxa"/>
            <w:vAlign w:val="bottom"/>
            <w:gridSpan w:val="3"/>
          </w:tcPr>
          <w:p>
            <w:pPr>
              <w:ind w:left="20"/>
              <w:spacing w:after="0"/>
              <w:rPr>
                <w:sz w:val="20"/>
                <w:szCs w:val="20"/>
                <w:color w:val="auto"/>
              </w:rPr>
            </w:pPr>
            <w:r>
              <w:rPr>
                <w:rFonts w:ascii="Arial" w:cs="Arial" w:eastAsia="Arial" w:hAnsi="Arial"/>
                <w:sz w:val="18"/>
                <w:szCs w:val="18"/>
                <w:color w:val="auto"/>
                <w:w w:val="98"/>
              </w:rPr>
              <w:t>A bank or any savings and loan association, building and loan association, cooperative bank, homestead association, or similar</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o</w:t>
            </w:r>
          </w:p>
        </w:tc>
      </w:tr>
      <w:tr>
        <w:trPr>
          <w:trHeight w:val="216"/>
        </w:trPr>
        <w:tc>
          <w:tcPr>
            <w:tcW w:w="10280" w:type="dxa"/>
            <w:vAlign w:val="bottom"/>
            <w:gridSpan w:val="4"/>
          </w:tcPr>
          <w:p>
            <w:pPr>
              <w:spacing w:after="0"/>
              <w:rPr>
                <w:sz w:val="20"/>
                <w:szCs w:val="20"/>
                <w:color w:val="auto"/>
              </w:rPr>
            </w:pPr>
            <w:r>
              <w:rPr>
                <w:rFonts w:ascii="Arial" w:cs="Arial" w:eastAsia="Arial" w:hAnsi="Arial"/>
                <w:sz w:val="18"/>
                <w:szCs w:val="18"/>
                <w:color w:val="auto"/>
              </w:rPr>
              <w:t>institution, whether acting in its individual or fiduciary capacity, or a broker or dealer registered pursuant to Section 15 of the U.S.</w:t>
            </w:r>
          </w:p>
        </w:tc>
        <w:tc>
          <w:tcPr>
            <w:tcW w:w="360" w:type="dxa"/>
            <w:vAlign w:val="bottom"/>
          </w:tcPr>
          <w:p>
            <w:pPr>
              <w:spacing w:after="0"/>
              <w:rPr>
                <w:sz w:val="18"/>
                <w:szCs w:val="18"/>
                <w:color w:val="auto"/>
              </w:rPr>
            </w:pPr>
          </w:p>
        </w:tc>
      </w:tr>
      <w:tr>
        <w:trPr>
          <w:trHeight w:val="190"/>
        </w:trPr>
        <w:tc>
          <w:tcPr>
            <w:tcW w:w="10280" w:type="dxa"/>
            <w:vAlign w:val="bottom"/>
            <w:gridSpan w:val="4"/>
          </w:tcPr>
          <w:p>
            <w:pPr>
              <w:spacing w:after="0" w:line="190" w:lineRule="exact"/>
              <w:rPr>
                <w:sz w:val="20"/>
                <w:szCs w:val="20"/>
                <w:color w:val="auto"/>
              </w:rPr>
            </w:pPr>
            <w:r>
              <w:rPr>
                <w:rFonts w:ascii="Arial" w:cs="Arial" w:eastAsia="Arial" w:hAnsi="Arial"/>
                <w:sz w:val="18"/>
                <w:szCs w:val="18"/>
                <w:color w:val="auto"/>
              </w:rPr>
              <w:t>Securities Exchange Act of 1934, as amended (the “1934 Act”).</w:t>
            </w:r>
          </w:p>
        </w:tc>
        <w:tc>
          <w:tcPr>
            <w:tcW w:w="36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700" w:hanging="452"/>
        <w:spacing w:after="0" w:line="277" w:lineRule="auto"/>
        <w:tabs>
          <w:tab w:leader="none" w:pos="460" w:val="left"/>
        </w:tabs>
        <w:numPr>
          <w:ilvl w:val="0"/>
          <w:numId w:val="145"/>
        </w:numPr>
        <w:rPr>
          <w:rFonts w:ascii="Arial" w:cs="Arial" w:eastAsia="Arial" w:hAnsi="Arial"/>
          <w:sz w:val="15"/>
          <w:szCs w:val="15"/>
          <w:color w:val="auto"/>
        </w:rPr>
      </w:pPr>
      <w:r>
        <w:rPr>
          <w:rFonts w:ascii="Arial" w:cs="Arial" w:eastAsia="Arial" w:hAnsi="Arial"/>
          <w:sz w:val="18"/>
          <w:szCs w:val="18"/>
          <w:color w:val="auto"/>
        </w:rPr>
        <w:t>Solely for the purposes of this Section IV, “net worth” means the excess of total assets over total liabilities (excluding the value of the primary residence of the individual).</w:t>
      </w:r>
    </w:p>
    <w:p>
      <w:pPr>
        <w:spacing w:after="0" w:line="21" w:lineRule="exact"/>
        <w:rPr>
          <w:rFonts w:ascii="Arial" w:cs="Arial" w:eastAsia="Arial" w:hAnsi="Arial"/>
          <w:sz w:val="15"/>
          <w:szCs w:val="15"/>
          <w:color w:val="auto"/>
        </w:rPr>
      </w:pPr>
    </w:p>
    <w:p>
      <w:pPr>
        <w:ind w:left="460" w:right="60" w:hanging="452"/>
        <w:spacing w:after="0" w:line="257" w:lineRule="auto"/>
        <w:tabs>
          <w:tab w:leader="none" w:pos="460" w:val="left"/>
        </w:tabs>
        <w:numPr>
          <w:ilvl w:val="0"/>
          <w:numId w:val="145"/>
        </w:numPr>
        <w:rPr>
          <w:rFonts w:ascii="Arial" w:cs="Arial" w:eastAsia="Arial" w:hAnsi="Arial"/>
          <w:sz w:val="15"/>
          <w:szCs w:val="15"/>
          <w:color w:val="auto"/>
        </w:rPr>
      </w:pPr>
      <w:r>
        <w:rPr>
          <w:rFonts w:ascii="Arial" w:cs="Arial" w:eastAsia="Arial" w:hAnsi="Arial"/>
          <w:sz w:val="18"/>
          <w:szCs w:val="18"/>
          <w:color w:val="auto"/>
        </w:rPr>
        <w:t>Generally, this means “adjusted gross income” as reported for U.S. federal income tax purposes, less any income attributable to a spouse or to property owned by a spouse and increased by the following amounts (but not including any portion of such amounts attributable to a spouse or to property owned by a spouse): (i) the amount of any tax-exempt interest income received; (ii) the amount of losses claimed as a limited partner in a limited partnership; (iii) any deduction claimed for depreciation; and (iv) any amount by which income from long-term capital gains has been reduced in arriving at adjusted gross income.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8" w:right="25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7"/>
              </w:rPr>
              <w:t>(4) An insurance company whose primary and predominant business activity is the writing of insurance or the reinsuring of risks</w:t>
            </w:r>
          </w:p>
        </w:tc>
        <w:tc>
          <w:tcPr>
            <w:tcW w:w="680" w:type="dxa"/>
            <w:vAlign w:val="bottom"/>
          </w:tcPr>
          <w:p>
            <w:pPr>
              <w:ind w:left="540"/>
              <w:spacing w:after="0"/>
              <w:rPr>
                <w:sz w:val="20"/>
                <w:szCs w:val="20"/>
                <w:color w:val="auto"/>
              </w:rPr>
            </w:pPr>
            <w:r>
              <w:rPr>
                <w:rFonts w:ascii="Arial" w:cs="Arial" w:eastAsia="Arial" w:hAnsi="Arial"/>
                <w:sz w:val="18"/>
                <w:szCs w:val="18"/>
                <w:color w:val="auto"/>
              </w:rPr>
              <w:t>o</w:t>
            </w:r>
          </w:p>
        </w:tc>
        <w:tc>
          <w:tcPr>
            <w:tcW w:w="4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underwritten by insurance companies.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3"/>
              </w:rPr>
              <w:t>(5) A Small Business Investment Company licensed by the U.S. Small Business Administration under Section 301(c) or (d) of the U.S.</w:t>
            </w:r>
          </w:p>
        </w:tc>
        <w:tc>
          <w:tcPr>
            <w:tcW w:w="680" w:type="dxa"/>
            <w:vAlign w:val="bottom"/>
          </w:tcPr>
          <w:p>
            <w:pPr>
              <w:ind w:left="540"/>
              <w:spacing w:after="0"/>
              <w:rPr>
                <w:sz w:val="20"/>
                <w:szCs w:val="20"/>
                <w:color w:val="auto"/>
              </w:rPr>
            </w:pPr>
            <w:r>
              <w:rPr>
                <w:rFonts w:ascii="Arial" w:cs="Arial" w:eastAsia="Arial" w:hAnsi="Arial"/>
                <w:sz w:val="18"/>
                <w:szCs w:val="18"/>
                <w:color w:val="auto"/>
              </w:rPr>
              <w:t>o</w:t>
            </w:r>
          </w:p>
        </w:tc>
        <w:tc>
          <w:tcPr>
            <w:tcW w:w="4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Small Business Investment Act of 1958, as amended.</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2"/>
              </w:rPr>
              <w:t>(6) An employee benefit plan within the meaning of ERISA either (i) that has total assets in excess of $5,000,000, (ii) whose investment</w:t>
            </w:r>
          </w:p>
        </w:tc>
        <w:tc>
          <w:tcPr>
            <w:tcW w:w="680" w:type="dxa"/>
            <w:vAlign w:val="bottom"/>
          </w:tcPr>
          <w:p>
            <w:pPr>
              <w:ind w:left="540"/>
              <w:spacing w:after="0"/>
              <w:rPr>
                <w:sz w:val="20"/>
                <w:szCs w:val="20"/>
                <w:color w:val="auto"/>
              </w:rPr>
            </w:pPr>
            <w:r>
              <w:rPr>
                <w:rFonts w:ascii="Arial" w:cs="Arial" w:eastAsia="Arial" w:hAnsi="Arial"/>
                <w:sz w:val="18"/>
                <w:szCs w:val="18"/>
                <w:color w:val="auto"/>
              </w:rPr>
              <w:t>o</w:t>
            </w:r>
          </w:p>
        </w:tc>
        <w:tc>
          <w:tcPr>
            <w:tcW w:w="44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2"/>
              </w:rPr>
              <w:t>decisions are made by a plan fiduciary, as defined under ERISA, which is a bank, savings and loan association, insurance company, or</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1"/>
              </w:rPr>
              <w:t>registered investment adviser, or (iii) if the employee benefit plan is a self-directed plan, whose investment decisions are made solely by</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persons that themselves are Accredited Investors.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2"/>
        </w:trPr>
        <w:tc>
          <w:tcPr>
            <w:tcW w:w="3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2"/>
              </w:rPr>
              <w:t>(7) An organization described in Section 501(c)(3) of the U.S. Internal Revenue Code of 1986, as amended (the “Code”), not formed for</w:t>
            </w:r>
          </w:p>
        </w:tc>
        <w:tc>
          <w:tcPr>
            <w:tcW w:w="680" w:type="dxa"/>
            <w:vAlign w:val="bottom"/>
          </w:tcPr>
          <w:p>
            <w:pPr>
              <w:ind w:left="540"/>
              <w:spacing w:after="0"/>
              <w:rPr>
                <w:sz w:val="20"/>
                <w:szCs w:val="20"/>
                <w:color w:val="auto"/>
              </w:rPr>
            </w:pPr>
            <w:r>
              <w:rPr>
                <w:rFonts w:ascii="Arial" w:cs="Arial" w:eastAsia="Arial" w:hAnsi="Arial"/>
                <w:sz w:val="18"/>
                <w:szCs w:val="18"/>
                <w:color w:val="auto"/>
              </w:rPr>
              <w:t>o</w:t>
            </w:r>
          </w:p>
        </w:tc>
        <w:tc>
          <w:tcPr>
            <w:tcW w:w="44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the specific purpose of acquiring an Interest, with total assets in excess of $5,000,000.</w:t>
            </w:r>
          </w:p>
        </w:tc>
        <w:tc>
          <w:tcPr>
            <w:tcW w:w="380" w:type="dxa"/>
            <w:vAlign w:val="bottom"/>
            <w:tcBorders>
              <w:top w:val="single" w:sz="8" w:color="auto"/>
            </w:tcBorders>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5"/>
              </w:rPr>
              <w:t>(8) A plan established and maintained by a state, its political subdivisions, or any agency or instrumentality of a state or its political</w:t>
            </w:r>
          </w:p>
        </w:tc>
        <w:tc>
          <w:tcPr>
            <w:tcW w:w="680" w:type="dxa"/>
            <w:vAlign w:val="bottom"/>
          </w:tcPr>
          <w:p>
            <w:pPr>
              <w:ind w:left="540"/>
              <w:spacing w:after="0"/>
              <w:rPr>
                <w:sz w:val="20"/>
                <w:szCs w:val="20"/>
                <w:color w:val="auto"/>
              </w:rPr>
            </w:pPr>
            <w:r>
              <w:rPr>
                <w:rFonts w:ascii="Arial" w:cs="Arial" w:eastAsia="Arial" w:hAnsi="Arial"/>
                <w:sz w:val="18"/>
                <w:szCs w:val="18"/>
                <w:color w:val="auto"/>
              </w:rPr>
              <w:t>o</w:t>
            </w:r>
          </w:p>
        </w:tc>
        <w:tc>
          <w:tcPr>
            <w:tcW w:w="4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subdivisions, for the benefit of its employees, if such plan has total assets in excess of $5,000,000.</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2"/>
              </w:rPr>
              <w:t>(9) An entity not meeting any description set forth in provisions (1) to (8) above, each of whose equity owners qualify under at least one</w:t>
            </w:r>
          </w:p>
        </w:tc>
        <w:tc>
          <w:tcPr>
            <w:tcW w:w="680" w:type="dxa"/>
            <w:vAlign w:val="bottom"/>
          </w:tcPr>
          <w:p>
            <w:pPr>
              <w:ind w:left="540"/>
              <w:spacing w:after="0"/>
              <w:rPr>
                <w:sz w:val="20"/>
                <w:szCs w:val="20"/>
                <w:color w:val="auto"/>
              </w:rPr>
            </w:pPr>
            <w:r>
              <w:rPr>
                <w:rFonts w:ascii="Arial" w:cs="Arial" w:eastAsia="Arial" w:hAnsi="Arial"/>
                <w:sz w:val="18"/>
                <w:szCs w:val="18"/>
                <w:color w:val="auto"/>
              </w:rPr>
              <w:t>o</w:t>
            </w:r>
          </w:p>
        </w:tc>
        <w:tc>
          <w:tcPr>
            <w:tcW w:w="4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category in provisions (1) to (8) above, or which can answer “Yes” to Section IV(A) above.</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1"/>
              </w:rPr>
              <w:t>(10) An investment company registered under the 1940 Act, a business development company as defined in Section 2(a)(48) of the 1940</w:t>
            </w:r>
          </w:p>
        </w:tc>
        <w:tc>
          <w:tcPr>
            <w:tcW w:w="680" w:type="dxa"/>
            <w:vAlign w:val="bottom"/>
          </w:tcPr>
          <w:p>
            <w:pPr>
              <w:ind w:left="540"/>
              <w:spacing w:after="0"/>
              <w:rPr>
                <w:sz w:val="20"/>
                <w:szCs w:val="20"/>
                <w:color w:val="auto"/>
              </w:rPr>
            </w:pPr>
            <w:r>
              <w:rPr>
                <w:rFonts w:ascii="Arial" w:cs="Arial" w:eastAsia="Arial" w:hAnsi="Arial"/>
                <w:sz w:val="18"/>
                <w:szCs w:val="18"/>
                <w:color w:val="auto"/>
              </w:rPr>
              <w:t>o</w:t>
            </w:r>
          </w:p>
        </w:tc>
        <w:tc>
          <w:tcPr>
            <w:tcW w:w="44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6"/>
              </w:rPr>
              <w:t>Act or a private business development company as defined in Section 202(a)(22) of the U.S. Investment Advisers Act of 1940, as</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amended.</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(11) Other (please describe below):</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8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r>
      <w:tr>
        <w:trPr>
          <w:trHeight w:val="411"/>
        </w:trPr>
        <w:tc>
          <w:tcPr>
            <w:tcW w:w="360" w:type="dxa"/>
            <w:vAlign w:val="bottom"/>
          </w:tcPr>
          <w:p>
            <w:pPr>
              <w:spacing w:after="0"/>
              <w:rPr>
                <w:sz w:val="20"/>
                <w:szCs w:val="20"/>
                <w:color w:val="auto"/>
              </w:rPr>
            </w:pPr>
            <w:r>
              <w:rPr>
                <w:rFonts w:ascii="Arial" w:cs="Arial" w:eastAsia="Arial" w:hAnsi="Arial"/>
                <w:sz w:val="18"/>
                <w:szCs w:val="18"/>
                <w:color w:val="auto"/>
              </w:rPr>
              <w:t>(C)</w:t>
            </w:r>
          </w:p>
        </w:tc>
        <w:tc>
          <w:tcPr>
            <w:tcW w:w="9940" w:type="dxa"/>
            <w:vAlign w:val="bottom"/>
            <w:gridSpan w:val="3"/>
          </w:tcPr>
          <w:p>
            <w:pPr>
              <w:spacing w:after="0"/>
              <w:rPr>
                <w:sz w:val="20"/>
                <w:szCs w:val="20"/>
                <w:color w:val="auto"/>
              </w:rPr>
            </w:pPr>
            <w:r>
              <w:rPr>
                <w:rFonts w:ascii="Arial" w:cs="Arial" w:eastAsia="Arial" w:hAnsi="Arial"/>
                <w:sz w:val="18"/>
                <w:szCs w:val="18"/>
                <w:color w:val="auto"/>
                <w:w w:val="94"/>
              </w:rPr>
              <w:t>If the subscriber is a corporation, partnership, trust or other entity, was it formed or recapitalized for the specific purpose of acquiring</w:t>
            </w:r>
          </w:p>
        </w:tc>
        <w:tc>
          <w:tcPr>
            <w:tcW w:w="680" w:type="dxa"/>
            <w:vAlign w:val="bottom"/>
          </w:tcPr>
          <w:p>
            <w:pPr>
              <w:ind w:left="120"/>
              <w:spacing w:after="0"/>
              <w:rPr>
                <w:sz w:val="20"/>
                <w:szCs w:val="20"/>
                <w:color w:val="auto"/>
              </w:rPr>
            </w:pPr>
            <w:r>
              <w:rPr>
                <w:rFonts w:ascii="Arial" w:cs="Arial" w:eastAsia="Arial" w:hAnsi="Arial"/>
                <w:sz w:val="18"/>
                <w:szCs w:val="18"/>
                <w:color w:val="auto"/>
              </w:rPr>
              <w:t>o YES</w:t>
            </w:r>
          </w:p>
        </w:tc>
        <w:tc>
          <w:tcPr>
            <w:tcW w:w="440" w:type="dxa"/>
            <w:vAlign w:val="bottom"/>
          </w:tcPr>
          <w:p>
            <w:pPr>
              <w:ind w:left="40"/>
              <w:spacing w:after="0"/>
              <w:rPr>
                <w:sz w:val="20"/>
                <w:szCs w:val="20"/>
                <w:color w:val="auto"/>
              </w:rPr>
            </w:pPr>
            <w:r>
              <w:rPr>
                <w:rFonts w:ascii="Arial" w:cs="Arial" w:eastAsia="Arial" w:hAnsi="Arial"/>
                <w:sz w:val="18"/>
                <w:szCs w:val="18"/>
                <w:color w:val="auto"/>
                <w:w w:val="90"/>
              </w:rPr>
              <w:t>o NO</w:t>
            </w:r>
          </w:p>
        </w:tc>
      </w:tr>
      <w:tr>
        <w:trPr>
          <w:trHeight w:val="230"/>
        </w:trPr>
        <w:tc>
          <w:tcPr>
            <w:tcW w:w="36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Shares in the Company?</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(D)</w:t>
            </w:r>
          </w:p>
        </w:tc>
        <w:tc>
          <w:tcPr>
            <w:tcW w:w="9940" w:type="dxa"/>
            <w:vAlign w:val="bottom"/>
            <w:gridSpan w:val="3"/>
          </w:tcPr>
          <w:p>
            <w:pPr>
              <w:spacing w:after="0"/>
              <w:rPr>
                <w:sz w:val="20"/>
                <w:szCs w:val="20"/>
                <w:color w:val="auto"/>
              </w:rPr>
            </w:pPr>
            <w:r>
              <w:rPr>
                <w:rFonts w:ascii="Arial" w:cs="Arial" w:eastAsia="Arial" w:hAnsi="Arial"/>
                <w:sz w:val="18"/>
                <w:szCs w:val="18"/>
                <w:color w:val="auto"/>
                <w:w w:val="94"/>
              </w:rPr>
              <w:t>(1) Are the subscriber’s shareholders, partners, beneficiaries or members, as the case may be, permitted to opt in or out of particular</w:t>
            </w:r>
          </w:p>
        </w:tc>
        <w:tc>
          <w:tcPr>
            <w:tcW w:w="680" w:type="dxa"/>
            <w:vAlign w:val="bottom"/>
          </w:tcPr>
          <w:p>
            <w:pPr>
              <w:ind w:left="120"/>
              <w:spacing w:after="0"/>
              <w:rPr>
                <w:sz w:val="20"/>
                <w:szCs w:val="20"/>
                <w:color w:val="auto"/>
              </w:rPr>
            </w:pPr>
            <w:r>
              <w:rPr>
                <w:rFonts w:ascii="Arial" w:cs="Arial" w:eastAsia="Arial" w:hAnsi="Arial"/>
                <w:sz w:val="18"/>
                <w:szCs w:val="18"/>
                <w:color w:val="auto"/>
              </w:rPr>
              <w:t>o YES</w:t>
            </w:r>
          </w:p>
        </w:tc>
        <w:tc>
          <w:tcPr>
            <w:tcW w:w="440" w:type="dxa"/>
            <w:vAlign w:val="bottom"/>
          </w:tcPr>
          <w:p>
            <w:pPr>
              <w:ind w:left="40"/>
              <w:spacing w:after="0"/>
              <w:rPr>
                <w:sz w:val="20"/>
                <w:szCs w:val="20"/>
                <w:color w:val="auto"/>
              </w:rPr>
            </w:pPr>
            <w:r>
              <w:rPr>
                <w:rFonts w:ascii="Arial" w:cs="Arial" w:eastAsia="Arial" w:hAnsi="Arial"/>
                <w:sz w:val="18"/>
                <w:szCs w:val="18"/>
                <w:color w:val="auto"/>
                <w:w w:val="90"/>
              </w:rPr>
              <w:t>o NO</w:t>
            </w:r>
          </w:p>
        </w:tc>
      </w:tr>
      <w:tr>
        <w:trPr>
          <w:trHeight w:val="216"/>
        </w:trPr>
        <w:tc>
          <w:tcPr>
            <w:tcW w:w="36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8"/>
              </w:rPr>
              <w:t xml:space="preserve">investments made by the subscriber, or does any such person not participate in investments made by the subscriber </w:t>
            </w:r>
            <w:r>
              <w:rPr>
                <w:rFonts w:ascii="Arial" w:cs="Arial" w:eastAsia="Arial" w:hAnsi="Arial"/>
                <w:sz w:val="18"/>
                <w:szCs w:val="18"/>
                <w:i w:val="1"/>
                <w:iCs w:val="1"/>
                <w:color w:val="auto"/>
                <w:w w:val="98"/>
              </w:rPr>
              <w:t>pro rata</w:t>
            </w:r>
            <w:r>
              <w:rPr>
                <w:rFonts w:ascii="Arial" w:cs="Arial" w:eastAsia="Arial" w:hAnsi="Arial"/>
                <w:sz w:val="18"/>
                <w:szCs w:val="18"/>
                <w:color w:val="auto"/>
                <w:w w:val="98"/>
              </w:rPr>
              <w:t xml:space="preserve"> in</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accordance with its interest in the subscriber?</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4"/>
              </w:rPr>
              <w:t>(2) If the subscriber is a plan described in Section IV(B)(6) or IV(B)(8) above, or a “master trust” established for one or more of such</w:t>
            </w:r>
          </w:p>
        </w:tc>
        <w:tc>
          <w:tcPr>
            <w:tcW w:w="680" w:type="dxa"/>
            <w:vAlign w:val="bottom"/>
          </w:tcPr>
          <w:p>
            <w:pPr>
              <w:ind w:left="120"/>
              <w:spacing w:after="0"/>
              <w:rPr>
                <w:sz w:val="20"/>
                <w:szCs w:val="20"/>
                <w:color w:val="auto"/>
              </w:rPr>
            </w:pPr>
            <w:r>
              <w:rPr>
                <w:rFonts w:ascii="Arial" w:cs="Arial" w:eastAsia="Arial" w:hAnsi="Arial"/>
                <w:sz w:val="18"/>
                <w:szCs w:val="18"/>
                <w:color w:val="auto"/>
              </w:rPr>
              <w:t>o YES</w:t>
            </w:r>
          </w:p>
        </w:tc>
        <w:tc>
          <w:tcPr>
            <w:tcW w:w="440" w:type="dxa"/>
            <w:vAlign w:val="bottom"/>
          </w:tcPr>
          <w:p>
            <w:pPr>
              <w:ind w:left="40"/>
              <w:spacing w:after="0"/>
              <w:rPr>
                <w:sz w:val="20"/>
                <w:szCs w:val="20"/>
                <w:color w:val="auto"/>
              </w:rPr>
            </w:pPr>
            <w:r>
              <w:rPr>
                <w:rFonts w:ascii="Arial" w:cs="Arial" w:eastAsia="Arial" w:hAnsi="Arial"/>
                <w:sz w:val="18"/>
                <w:szCs w:val="18"/>
                <w:color w:val="auto"/>
                <w:w w:val="90"/>
              </w:rPr>
              <w:t>o NO</w:t>
            </w:r>
          </w:p>
        </w:tc>
      </w:tr>
      <w:tr>
        <w:trPr>
          <w:trHeight w:val="230"/>
        </w:trPr>
        <w:tc>
          <w:tcPr>
            <w:tcW w:w="36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plans, are plan beneficiaries allowed to direct the investment of their own accounts?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05"/>
        </w:trPr>
        <w:tc>
          <w:tcPr>
            <w:tcW w:w="360" w:type="dxa"/>
            <w:vAlign w:val="bottom"/>
          </w:tcPr>
          <w:p>
            <w:pPr>
              <w:spacing w:after="0"/>
              <w:rPr>
                <w:sz w:val="24"/>
                <w:szCs w:val="24"/>
                <w:color w:val="auto"/>
              </w:rPr>
            </w:pPr>
          </w:p>
        </w:tc>
        <w:tc>
          <w:tcPr>
            <w:tcW w:w="8160" w:type="dxa"/>
            <w:vAlign w:val="bottom"/>
          </w:tcPr>
          <w:p>
            <w:pPr>
              <w:ind w:left="530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6"/>
        </w:trPr>
        <w:tc>
          <w:tcPr>
            <w:tcW w:w="360" w:type="dxa"/>
            <w:vAlign w:val="bottom"/>
            <w:tcBorders>
              <w:bottom w:val="single" w:sz="8" w:color="808080"/>
            </w:tcBorders>
          </w:tcPr>
          <w:p>
            <w:pPr>
              <w:spacing w:after="0"/>
              <w:rPr>
                <w:sz w:val="19"/>
                <w:szCs w:val="19"/>
                <w:color w:val="auto"/>
              </w:rPr>
            </w:pPr>
          </w:p>
        </w:tc>
        <w:tc>
          <w:tcPr>
            <w:tcW w:w="8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23" w:name="page124"/>
    <w:bookmarkEnd w:id="123"/>
    <w:p>
      <w:pPr>
        <w:spacing w:after="0" w:line="347"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If the answer to IV(D)(1) or IV(D)(2) above is YES, the subscriber must submit with these subscription materials a complete list of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participants. The Company may require that </w:t>
      </w:r>
      <w:r>
        <w:rPr>
          <w:rFonts w:ascii="Arial" w:cs="Arial" w:eastAsia="Arial" w:hAnsi="Arial"/>
          <w:sz w:val="16"/>
          <w:szCs w:val="16"/>
          <w:u w:val="single" w:color="auto"/>
          <w:color w:val="auto"/>
        </w:rPr>
        <w:t>each</w:t>
      </w:r>
      <w:r>
        <w:rPr>
          <w:rFonts w:ascii="Arial" w:cs="Arial" w:eastAsia="Arial" w:hAnsi="Arial"/>
          <w:sz w:val="16"/>
          <w:szCs w:val="16"/>
          <w:color w:val="auto"/>
        </w:rPr>
        <w:t xml:space="preserve"> participant properly complete and submit to the Company an Investor Suitability Questionnaire.</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600" w:top="931" w:right="79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V. Status as a Qualified Purchaser and Institutional Investor</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will not initially be registered as an investment company under the 1940 Act in reliance upon an exemption from registration provided by Section 3(c)(7) of the 1940 Act. The exemption provided by Section 3(c)(7) generally is available only to an issuer, the securities of which are beneficially owned by “qualified purchasers,” as defined in the 1940 Act (“</w:t>
      </w:r>
      <w:r>
        <w:rPr>
          <w:rFonts w:ascii="Arial" w:cs="Arial" w:eastAsia="Arial" w:hAnsi="Arial"/>
          <w:sz w:val="18"/>
          <w:szCs w:val="18"/>
          <w:u w:val="single" w:color="auto"/>
          <w:color w:val="auto"/>
        </w:rPr>
        <w:t>Qualified Purchasers</w:t>
      </w:r>
      <w:r>
        <w:rPr>
          <w:rFonts w:ascii="Arial" w:cs="Arial" w:eastAsia="Arial" w:hAnsi="Arial"/>
          <w:sz w:val="18"/>
          <w:szCs w:val="18"/>
          <w:color w:val="auto"/>
        </w:rPr>
        <w:t>”). Your status as a Qualified Purchaser may depend on your answers to the following questions: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Arial" w:cs="Arial" w:eastAsia="Arial" w:hAnsi="Arial"/>
                <w:sz w:val="18"/>
                <w:szCs w:val="18"/>
                <w:color w:val="auto"/>
              </w:rPr>
              <w:t>(A)</w:t>
            </w:r>
          </w:p>
        </w:tc>
        <w:tc>
          <w:tcPr>
            <w:tcW w:w="10060" w:type="dxa"/>
            <w:vAlign w:val="bottom"/>
            <w:gridSpan w:val="3"/>
          </w:tcPr>
          <w:p>
            <w:pPr>
              <w:ind w:left="60"/>
              <w:spacing w:after="0"/>
              <w:rPr>
                <w:sz w:val="20"/>
                <w:szCs w:val="20"/>
                <w:color w:val="auto"/>
              </w:rPr>
            </w:pPr>
            <w:r>
              <w:rPr>
                <w:rFonts w:ascii="Arial" w:cs="Arial" w:eastAsia="Arial" w:hAnsi="Arial"/>
                <w:sz w:val="18"/>
                <w:szCs w:val="18"/>
                <w:color w:val="auto"/>
                <w:w w:val="95"/>
              </w:rPr>
              <w:t>Is the subscriber a “qualified institutional buyer” as defined in paragraph (a) of Rule 144A under the 1933 Act (a “QIB”), which meets</w:t>
            </w:r>
          </w:p>
        </w:tc>
        <w:tc>
          <w:tcPr>
            <w:tcW w:w="600" w:type="dxa"/>
            <w:vAlign w:val="bottom"/>
          </w:tcPr>
          <w:p>
            <w:pPr>
              <w:ind w:left="6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237"/>
        </w:trPr>
        <w:tc>
          <w:tcPr>
            <w:tcW w:w="300" w:type="dxa"/>
            <w:vAlign w:val="bottom"/>
          </w:tcPr>
          <w:p>
            <w:pPr>
              <w:spacing w:after="0"/>
              <w:rPr>
                <w:sz w:val="20"/>
                <w:szCs w:val="20"/>
                <w:color w:val="auto"/>
              </w:rPr>
            </w:pPr>
          </w:p>
        </w:tc>
        <w:tc>
          <w:tcPr>
            <w:tcW w:w="8300" w:type="dxa"/>
            <w:vAlign w:val="bottom"/>
          </w:tcPr>
          <w:p>
            <w:pPr>
              <w:ind w:left="60"/>
              <w:spacing w:after="0"/>
              <w:rPr>
                <w:sz w:val="20"/>
                <w:szCs w:val="20"/>
                <w:color w:val="auto"/>
              </w:rPr>
            </w:pPr>
            <w:r>
              <w:rPr>
                <w:rFonts w:ascii="Arial" w:cs="Arial" w:eastAsia="Arial" w:hAnsi="Arial"/>
                <w:sz w:val="18"/>
                <w:szCs w:val="18"/>
                <w:color w:val="auto"/>
              </w:rPr>
              <w:t>the requirements of Rule 2a51-1(g)</w:t>
            </w:r>
            <w:r>
              <w:rPr>
                <w:rFonts w:ascii="Arial" w:cs="Arial" w:eastAsia="Arial" w:hAnsi="Arial"/>
                <w:sz w:val="15"/>
                <w:szCs w:val="15"/>
                <w:color w:val="auto"/>
              </w:rPr>
              <w:t>12</w:t>
            </w:r>
            <w:r>
              <w:rPr>
                <w:rFonts w:ascii="Arial" w:cs="Arial" w:eastAsia="Arial" w:hAnsi="Arial"/>
                <w:sz w:val="18"/>
                <w:szCs w:val="18"/>
                <w:color w:val="auto"/>
              </w:rPr>
              <w:t xml:space="preserve"> of the 1940 Act?</w:t>
            </w:r>
          </w:p>
        </w:tc>
        <w:tc>
          <w:tcPr>
            <w:tcW w:w="320" w:type="dxa"/>
            <w:vAlign w:val="bottom"/>
            <w:tcBorders>
              <w:top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18"/>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10060" w:type="dxa"/>
            <w:vAlign w:val="bottom"/>
            <w:gridSpan w:val="3"/>
          </w:tcPr>
          <w:p>
            <w:pPr>
              <w:ind w:left="60"/>
              <w:spacing w:after="0"/>
              <w:rPr>
                <w:sz w:val="20"/>
                <w:szCs w:val="20"/>
                <w:color w:val="auto"/>
              </w:rPr>
            </w:pPr>
            <w:r>
              <w:rPr>
                <w:rFonts w:ascii="Arial" w:cs="Arial" w:eastAsia="Arial" w:hAnsi="Arial"/>
                <w:sz w:val="18"/>
                <w:szCs w:val="18"/>
                <w:color w:val="auto"/>
              </w:rPr>
              <w:t>Is the subscriber an individual who (alone, or together with his or her spouse if investing jointly) owns at least $5,000,000 in</w:t>
            </w:r>
          </w:p>
        </w:tc>
        <w:tc>
          <w:tcPr>
            <w:tcW w:w="600" w:type="dxa"/>
            <w:vAlign w:val="bottom"/>
          </w:tcPr>
          <w:p>
            <w:pPr>
              <w:ind w:left="6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230"/>
        </w:trPr>
        <w:tc>
          <w:tcPr>
            <w:tcW w:w="300" w:type="dxa"/>
            <w:vAlign w:val="bottom"/>
          </w:tcPr>
          <w:p>
            <w:pPr>
              <w:spacing w:after="0"/>
              <w:rPr>
                <w:sz w:val="20"/>
                <w:szCs w:val="20"/>
                <w:color w:val="auto"/>
              </w:rPr>
            </w:pPr>
          </w:p>
        </w:tc>
        <w:tc>
          <w:tcPr>
            <w:tcW w:w="10060" w:type="dxa"/>
            <w:vAlign w:val="bottom"/>
            <w:gridSpan w:val="3"/>
          </w:tcPr>
          <w:p>
            <w:pPr>
              <w:ind w:left="60"/>
              <w:spacing w:after="0"/>
              <w:rPr>
                <w:sz w:val="20"/>
                <w:szCs w:val="20"/>
                <w:color w:val="auto"/>
              </w:rPr>
            </w:pPr>
            <w:r>
              <w:rPr>
                <w:rFonts w:ascii="Arial" w:cs="Arial" w:eastAsia="Arial" w:hAnsi="Arial"/>
                <w:sz w:val="18"/>
                <w:szCs w:val="18"/>
                <w:color w:val="auto"/>
              </w:rPr>
              <w:t>Investments</w:t>
            </w:r>
            <w:r>
              <w:rPr>
                <w:rFonts w:ascii="Arial" w:cs="Arial" w:eastAsia="Arial" w:hAnsi="Arial"/>
                <w:sz w:val="15"/>
                <w:szCs w:val="15"/>
                <w:color w:val="auto"/>
              </w:rPr>
              <w:t>13</w:t>
            </w: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18"/>
        </w:trPr>
        <w:tc>
          <w:tcPr>
            <w:tcW w:w="300" w:type="dxa"/>
            <w:vAlign w:val="bottom"/>
          </w:tcPr>
          <w:p>
            <w:pPr>
              <w:spacing w:after="0"/>
              <w:rPr>
                <w:sz w:val="20"/>
                <w:szCs w:val="20"/>
                <w:color w:val="auto"/>
              </w:rPr>
            </w:pPr>
            <w:r>
              <w:rPr>
                <w:rFonts w:ascii="Arial" w:cs="Arial" w:eastAsia="Arial" w:hAnsi="Arial"/>
                <w:sz w:val="18"/>
                <w:szCs w:val="18"/>
                <w:color w:val="auto"/>
              </w:rPr>
              <w:t>(C)</w:t>
            </w:r>
          </w:p>
        </w:tc>
        <w:tc>
          <w:tcPr>
            <w:tcW w:w="10060" w:type="dxa"/>
            <w:vAlign w:val="bottom"/>
            <w:gridSpan w:val="3"/>
          </w:tcPr>
          <w:p>
            <w:pPr>
              <w:ind w:left="60"/>
              <w:spacing w:after="0"/>
              <w:rPr>
                <w:sz w:val="20"/>
                <w:szCs w:val="20"/>
                <w:color w:val="auto"/>
              </w:rPr>
            </w:pPr>
            <w:r>
              <w:rPr>
                <w:rFonts w:ascii="Arial" w:cs="Arial" w:eastAsia="Arial" w:hAnsi="Arial"/>
                <w:sz w:val="18"/>
                <w:szCs w:val="18"/>
                <w:color w:val="auto"/>
                <w:w w:val="97"/>
              </w:rPr>
              <w:t>Is the subscriber an individual or an entity (acting for its own account or for the accounts of other Qualified Purchasers) that in the</w:t>
            </w:r>
          </w:p>
        </w:tc>
        <w:tc>
          <w:tcPr>
            <w:tcW w:w="600" w:type="dxa"/>
            <w:vAlign w:val="bottom"/>
          </w:tcPr>
          <w:p>
            <w:pPr>
              <w:ind w:left="6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230"/>
        </w:trPr>
        <w:tc>
          <w:tcPr>
            <w:tcW w:w="300" w:type="dxa"/>
            <w:vAlign w:val="bottom"/>
          </w:tcPr>
          <w:p>
            <w:pPr>
              <w:spacing w:after="0"/>
              <w:rPr>
                <w:sz w:val="20"/>
                <w:szCs w:val="20"/>
                <w:color w:val="auto"/>
              </w:rPr>
            </w:pPr>
          </w:p>
        </w:tc>
        <w:tc>
          <w:tcPr>
            <w:tcW w:w="10060" w:type="dxa"/>
            <w:vAlign w:val="bottom"/>
            <w:gridSpan w:val="3"/>
          </w:tcPr>
          <w:p>
            <w:pPr>
              <w:ind w:left="60"/>
              <w:spacing w:after="0"/>
              <w:rPr>
                <w:sz w:val="20"/>
                <w:szCs w:val="20"/>
                <w:color w:val="auto"/>
              </w:rPr>
            </w:pPr>
            <w:r>
              <w:rPr>
                <w:rFonts w:ascii="Arial" w:cs="Arial" w:eastAsia="Arial" w:hAnsi="Arial"/>
                <w:sz w:val="18"/>
                <w:szCs w:val="18"/>
                <w:color w:val="auto"/>
              </w:rPr>
              <w:t>aggregate owns and invests on a discretionary basis not less than $25,000,000 in Investments?</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18"/>
        </w:trPr>
        <w:tc>
          <w:tcPr>
            <w:tcW w:w="300" w:type="dxa"/>
            <w:vAlign w:val="bottom"/>
          </w:tcPr>
          <w:p>
            <w:pPr>
              <w:spacing w:after="0"/>
              <w:rPr>
                <w:sz w:val="20"/>
                <w:szCs w:val="20"/>
                <w:color w:val="auto"/>
              </w:rPr>
            </w:pPr>
            <w:r>
              <w:rPr>
                <w:rFonts w:ascii="Arial" w:cs="Arial" w:eastAsia="Arial" w:hAnsi="Arial"/>
                <w:sz w:val="18"/>
                <w:szCs w:val="18"/>
                <w:color w:val="auto"/>
              </w:rPr>
              <w:t>(D)</w:t>
            </w:r>
          </w:p>
        </w:tc>
        <w:tc>
          <w:tcPr>
            <w:tcW w:w="10060" w:type="dxa"/>
            <w:vAlign w:val="bottom"/>
            <w:gridSpan w:val="3"/>
          </w:tcPr>
          <w:p>
            <w:pPr>
              <w:ind w:left="60"/>
              <w:spacing w:after="0"/>
              <w:rPr>
                <w:sz w:val="20"/>
                <w:szCs w:val="20"/>
                <w:color w:val="auto"/>
              </w:rPr>
            </w:pPr>
            <w:r>
              <w:rPr>
                <w:rFonts w:ascii="Arial" w:cs="Arial" w:eastAsia="Arial" w:hAnsi="Arial"/>
                <w:sz w:val="18"/>
                <w:szCs w:val="18"/>
                <w:color w:val="auto"/>
                <w:w w:val="91"/>
              </w:rPr>
              <w:t>Is the subscriber a company (including a corporation, partnership, trust, or other entity) that owns not less than $5,000,000 in Investments</w:t>
            </w:r>
          </w:p>
        </w:tc>
        <w:tc>
          <w:tcPr>
            <w:tcW w:w="600" w:type="dxa"/>
            <w:vAlign w:val="bottom"/>
          </w:tcPr>
          <w:p>
            <w:pPr>
              <w:ind w:left="6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216"/>
        </w:trPr>
        <w:tc>
          <w:tcPr>
            <w:tcW w:w="300" w:type="dxa"/>
            <w:vAlign w:val="bottom"/>
          </w:tcPr>
          <w:p>
            <w:pPr>
              <w:spacing w:after="0"/>
              <w:rPr>
                <w:sz w:val="18"/>
                <w:szCs w:val="18"/>
                <w:color w:val="auto"/>
              </w:rPr>
            </w:pPr>
          </w:p>
        </w:tc>
        <w:tc>
          <w:tcPr>
            <w:tcW w:w="10060" w:type="dxa"/>
            <w:vAlign w:val="bottom"/>
            <w:gridSpan w:val="3"/>
          </w:tcPr>
          <w:p>
            <w:pPr>
              <w:ind w:left="60"/>
              <w:spacing w:after="0"/>
              <w:rPr>
                <w:sz w:val="20"/>
                <w:szCs w:val="20"/>
                <w:color w:val="auto"/>
              </w:rPr>
            </w:pPr>
            <w:r>
              <w:rPr>
                <w:rFonts w:ascii="Arial" w:cs="Arial" w:eastAsia="Arial" w:hAnsi="Arial"/>
                <w:sz w:val="18"/>
                <w:szCs w:val="18"/>
                <w:color w:val="auto"/>
                <w:w w:val="92"/>
              </w:rPr>
              <w:t>and that is owned directly or indirectly by or for two or more individuals who are related as siblings or spouse (including former spouses),</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060" w:type="dxa"/>
            <w:vAlign w:val="bottom"/>
            <w:gridSpan w:val="3"/>
          </w:tcPr>
          <w:p>
            <w:pPr>
              <w:ind w:left="60"/>
              <w:spacing w:after="0"/>
              <w:rPr>
                <w:sz w:val="20"/>
                <w:szCs w:val="20"/>
                <w:color w:val="auto"/>
              </w:rPr>
            </w:pPr>
            <w:r>
              <w:rPr>
                <w:rFonts w:ascii="Arial" w:cs="Arial" w:eastAsia="Arial" w:hAnsi="Arial"/>
                <w:sz w:val="18"/>
                <w:szCs w:val="18"/>
                <w:color w:val="auto"/>
                <w:w w:val="98"/>
              </w:rPr>
              <w:t>direct lineal descendants by birth or adoption, spouses of such persons, the estates of such persons, or a foundation, charitable</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10060" w:type="dxa"/>
            <w:vAlign w:val="bottom"/>
            <w:gridSpan w:val="3"/>
          </w:tcPr>
          <w:p>
            <w:pPr>
              <w:ind w:left="60"/>
              <w:spacing w:after="0"/>
              <w:rPr>
                <w:sz w:val="20"/>
                <w:szCs w:val="20"/>
                <w:color w:val="auto"/>
              </w:rPr>
            </w:pPr>
            <w:r>
              <w:rPr>
                <w:rFonts w:ascii="Arial" w:cs="Arial" w:eastAsia="Arial" w:hAnsi="Arial"/>
                <w:sz w:val="18"/>
                <w:szCs w:val="18"/>
                <w:color w:val="auto"/>
              </w:rPr>
              <w:t>organization or trust established by or for the benefit of such persons?</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18"/>
        </w:trPr>
        <w:tc>
          <w:tcPr>
            <w:tcW w:w="300" w:type="dxa"/>
            <w:vAlign w:val="bottom"/>
          </w:tcPr>
          <w:p>
            <w:pPr>
              <w:spacing w:after="0"/>
              <w:rPr>
                <w:sz w:val="20"/>
                <w:szCs w:val="20"/>
                <w:color w:val="auto"/>
              </w:rPr>
            </w:pPr>
            <w:r>
              <w:rPr>
                <w:rFonts w:ascii="Arial" w:cs="Arial" w:eastAsia="Arial" w:hAnsi="Arial"/>
                <w:sz w:val="18"/>
                <w:szCs w:val="18"/>
                <w:color w:val="auto"/>
              </w:rPr>
              <w:t>(E)</w:t>
            </w:r>
          </w:p>
        </w:tc>
        <w:tc>
          <w:tcPr>
            <w:tcW w:w="10060" w:type="dxa"/>
            <w:vAlign w:val="bottom"/>
            <w:gridSpan w:val="3"/>
          </w:tcPr>
          <w:p>
            <w:pPr>
              <w:ind w:left="60"/>
              <w:spacing w:after="0"/>
              <w:rPr>
                <w:sz w:val="20"/>
                <w:szCs w:val="20"/>
                <w:color w:val="auto"/>
              </w:rPr>
            </w:pPr>
            <w:r>
              <w:rPr>
                <w:rFonts w:ascii="Arial" w:cs="Arial" w:eastAsia="Arial" w:hAnsi="Arial"/>
                <w:sz w:val="18"/>
                <w:szCs w:val="18"/>
                <w:color w:val="auto"/>
                <w:w w:val="96"/>
              </w:rPr>
              <w:t>Is the subscriber a trust, not covered by Section V(D) above, with respect to which each trustee or other authorized person making</w:t>
            </w:r>
          </w:p>
        </w:tc>
        <w:tc>
          <w:tcPr>
            <w:tcW w:w="600" w:type="dxa"/>
            <w:vAlign w:val="bottom"/>
          </w:tcPr>
          <w:p>
            <w:pPr>
              <w:ind w:left="6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230"/>
        </w:trPr>
        <w:tc>
          <w:tcPr>
            <w:tcW w:w="300" w:type="dxa"/>
            <w:vAlign w:val="bottom"/>
          </w:tcPr>
          <w:p>
            <w:pPr>
              <w:spacing w:after="0"/>
              <w:rPr>
                <w:sz w:val="20"/>
                <w:szCs w:val="20"/>
                <w:color w:val="auto"/>
              </w:rPr>
            </w:pPr>
          </w:p>
        </w:tc>
        <w:tc>
          <w:tcPr>
            <w:tcW w:w="10060" w:type="dxa"/>
            <w:vAlign w:val="bottom"/>
            <w:gridSpan w:val="3"/>
          </w:tcPr>
          <w:p>
            <w:pPr>
              <w:ind w:left="60"/>
              <w:spacing w:after="0"/>
              <w:rPr>
                <w:sz w:val="20"/>
                <w:szCs w:val="20"/>
                <w:color w:val="auto"/>
              </w:rPr>
            </w:pPr>
            <w:r>
              <w:rPr>
                <w:rFonts w:ascii="Arial" w:cs="Arial" w:eastAsia="Arial" w:hAnsi="Arial"/>
                <w:sz w:val="18"/>
                <w:szCs w:val="18"/>
                <w:color w:val="auto"/>
                <w:w w:val="94"/>
              </w:rPr>
              <w:t>decisions with respect to the trust, and each settlor or other person who has contributed assets to the trust, is a Qualified Purchaser?</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57" w:lineRule="auto"/>
        <w:tabs>
          <w:tab w:leader="none" w:pos="460" w:val="left"/>
        </w:tabs>
        <w:numPr>
          <w:ilvl w:val="0"/>
          <w:numId w:val="146"/>
        </w:numPr>
        <w:rPr>
          <w:rFonts w:ascii="Arial" w:cs="Arial" w:eastAsia="Arial" w:hAnsi="Arial"/>
          <w:sz w:val="15"/>
          <w:szCs w:val="15"/>
          <w:color w:val="auto"/>
        </w:rPr>
      </w:pPr>
      <w:r>
        <w:rPr>
          <w:rFonts w:ascii="Arial" w:cs="Arial" w:eastAsia="Arial" w:hAnsi="Arial"/>
          <w:sz w:val="18"/>
          <w:szCs w:val="18"/>
          <w:color w:val="auto"/>
        </w:rPr>
        <w:t xml:space="preserve">Rule 2a51-1 of the 1940 Act provides that a QIB, acting for its own account, the account of another QIB, or the account of a Qualified Purchaser, shall be deemed to be a Qualified Purchaser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such QIB is a dealer (described in paragraph (a)(1)(ii) of Rule 144A), such dealer owns and invests on a discretionary basis at least $25,000,000 in securities of issuers that are not affiliated persons of the dealer; and (ii) if such QIB is a government plan, an employee benefit plan or a trust that holds the assets of such a plan, investment decisions with respect to the plan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made by the beneficiaries of the plan.</w:t>
      </w:r>
    </w:p>
    <w:p>
      <w:pPr>
        <w:spacing w:after="0" w:line="39" w:lineRule="exact"/>
        <w:rPr>
          <w:rFonts w:ascii="Arial" w:cs="Arial" w:eastAsia="Arial" w:hAnsi="Arial"/>
          <w:sz w:val="15"/>
          <w:szCs w:val="15"/>
          <w:color w:val="auto"/>
        </w:rPr>
      </w:pPr>
    </w:p>
    <w:p>
      <w:pPr>
        <w:ind w:left="460" w:right="40" w:hanging="452"/>
        <w:spacing w:after="0" w:line="276" w:lineRule="auto"/>
        <w:tabs>
          <w:tab w:leader="none" w:pos="460" w:val="left"/>
        </w:tabs>
        <w:numPr>
          <w:ilvl w:val="0"/>
          <w:numId w:val="146"/>
        </w:numPr>
        <w:rPr>
          <w:rFonts w:ascii="Arial" w:cs="Arial" w:eastAsia="Arial" w:hAnsi="Arial"/>
          <w:sz w:val="14"/>
          <w:szCs w:val="14"/>
          <w:color w:val="auto"/>
        </w:rPr>
      </w:pPr>
      <w:r>
        <w:rPr>
          <w:rFonts w:ascii="Arial" w:cs="Arial" w:eastAsia="Arial" w:hAnsi="Arial"/>
          <w:sz w:val="17"/>
          <w:szCs w:val="17"/>
          <w:color w:val="auto"/>
        </w:rPr>
        <w:t>As used herein, “Investments” means, subject to certain exceptions, securities, real estate (excluding the subscriber’s primary residence), commodities and cash held for investment purposes. However, a number of rules have been promulgated with respect to these matters that must be consulted before determining the amount of Investments. For example, Rule 2a51-1 of the 1940 Act requires that certain amounts be deducted from gross investments to determine the amount of Investments. Generally, the amount of any outstanding indebtedness incurred to acquire Investments should also be deducted. Other amounts may also be required to be deducted in determining the amount of Investments.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t>(F)  Is the subscriber a company (including a corporation, partnership, trust, or other entity) of which each beneficial owner of the company’s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 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 NO</w:t>
      </w:r>
    </w:p>
    <w:p>
      <w:pPr>
        <w:spacing w:after="0" w:line="35" w:lineRule="exact"/>
        <w:rPr>
          <w:sz w:val="20"/>
          <w:szCs w:val="20"/>
          <w:color w:val="auto"/>
        </w:rPr>
      </w:pPr>
    </w:p>
    <w:p>
      <w:pPr>
        <w:sectPr>
          <w:pgSz w:w="11900" w:h="16838" w:orient="portrait"/>
          <w:cols w:equalWidth="0" w:num="3">
            <w:col w:w="10220" w:space="200"/>
            <w:col w:w="460" w:space="140"/>
            <w:col w:w="400"/>
          </w:cols>
          <w:pgMar w:left="240" w:top="1151" w:right="239" w:bottom="1440" w:gutter="0" w:footer="0" w:header="0"/>
        </w:sectPr>
      </w:pPr>
    </w:p>
    <w:p>
      <w:pPr>
        <w:ind w:left="360"/>
        <w:spacing w:after="0"/>
        <w:rPr>
          <w:sz w:val="20"/>
          <w:szCs w:val="20"/>
          <w:color w:val="auto"/>
        </w:rPr>
      </w:pPr>
      <w:r>
        <w:rPr>
          <w:rFonts w:ascii="Arial" w:cs="Arial" w:eastAsia="Arial" w:hAnsi="Arial"/>
          <w:sz w:val="16"/>
          <w:szCs w:val="16"/>
          <w:color w:val="auto"/>
        </w:rPr>
        <w:t>securities is a Qualified Purchaser?</w:t>
      </w:r>
    </w:p>
    <w:p>
      <w:pPr>
        <w:sectPr>
          <w:pgSz w:w="11900" w:h="16838" w:orient="portrait"/>
          <w:cols w:equalWidth="0" w:num="1">
            <w:col w:w="11420"/>
          </w:cols>
          <w:pgMar w:left="240" w:top="1151" w:right="2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(G) Does the subscriber rely on either Section 3(c)(1) or Section 3(c)(7) of the 1940 Act to avoid registration with the SEC as an investment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 YES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 NO</w:t>
      </w:r>
    </w:p>
    <w:p>
      <w:pPr>
        <w:spacing w:after="0" w:line="35" w:lineRule="exact"/>
        <w:rPr>
          <w:sz w:val="20"/>
          <w:szCs w:val="20"/>
          <w:color w:val="auto"/>
        </w:rPr>
      </w:pPr>
    </w:p>
    <w:p>
      <w:pPr>
        <w:sectPr>
          <w:pgSz w:w="11900" w:h="16838" w:orient="portrait"/>
          <w:cols w:equalWidth="0" w:num="3">
            <w:col w:w="10160" w:space="260"/>
            <w:col w:w="460" w:space="140"/>
            <w:col w:w="400"/>
          </w:cols>
          <w:pgMar w:left="240" w:top="1151" w:right="23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YES, proceed to the next question) (If NO, go to Section V(H) below)</w:t>
      </w:r>
    </w:p>
    <w:p>
      <w:pPr>
        <w:sectPr>
          <w:pgSz w:w="11900" w:h="16838" w:orient="portrait"/>
          <w:cols w:equalWidth="0" w:num="1">
            <w:col w:w="11420"/>
          </w:cols>
          <w:pgMar w:left="240" w:top="1151" w:right="239" w:bottom="1440" w:gutter="0" w:footer="0" w:header="0"/>
          <w:type w:val="continuous"/>
        </w:sectPr>
      </w:pPr>
    </w:p>
    <w:p>
      <w:pPr>
        <w:spacing w:after="0" w:line="24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(1)  If the subscriber answered YES to the question above, did any of the subscriber’s beneficial owners acquire their interests in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 YES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o NO</w:t>
      </w:r>
    </w:p>
    <w:p>
      <w:pPr>
        <w:spacing w:after="0" w:line="35" w:lineRule="exact"/>
        <w:rPr>
          <w:sz w:val="20"/>
          <w:szCs w:val="20"/>
          <w:color w:val="auto"/>
        </w:rPr>
      </w:pPr>
    </w:p>
    <w:p>
      <w:pPr>
        <w:sectPr>
          <w:pgSz w:w="11900" w:h="16838" w:orient="portrait"/>
          <w:cols w:equalWidth="0" w:num="3">
            <w:col w:w="10080" w:space="340"/>
            <w:col w:w="460" w:space="140"/>
            <w:col w:w="400"/>
          </w:cols>
          <w:pgMar w:left="240" w:top="1151" w:right="239" w:bottom="1440" w:gutter="0" w:footer="0" w:header="0"/>
          <w:type w:val="continuous"/>
        </w:sectPr>
      </w:pPr>
    </w:p>
    <w:p>
      <w:pPr>
        <w:ind w:left="1120"/>
        <w:spacing w:after="0"/>
        <w:rPr>
          <w:sz w:val="20"/>
          <w:szCs w:val="20"/>
          <w:color w:val="auto"/>
        </w:rPr>
      </w:pPr>
      <w:r>
        <w:rPr>
          <w:rFonts w:ascii="Arial" w:cs="Arial" w:eastAsia="Arial" w:hAnsi="Arial"/>
          <w:sz w:val="18"/>
          <w:szCs w:val="18"/>
          <w:color w:val="auto"/>
        </w:rPr>
        <w:t>the subscriber on or before April 30, 1996?</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YES, proceed to the next question) (If NO, go to Section V(H) below)</w:t>
      </w:r>
    </w:p>
    <w:p>
      <w:pPr>
        <w:sectPr>
          <w:pgSz w:w="11900" w:h="16838" w:orient="portrait"/>
          <w:cols w:equalWidth="0" w:num="1">
            <w:col w:w="11420"/>
          </w:cols>
          <w:pgMar w:left="240" w:top="1151" w:right="239" w:bottom="1440" w:gutter="0" w:footer="0" w:header="0"/>
          <w:type w:val="continuous"/>
        </w:sectPr>
      </w:pPr>
    </w:p>
    <w:p>
      <w:pPr>
        <w:spacing w:after="0" w:line="24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(2)  Have all the beneficial owners of the subscriber’s securities consented (as required under Section 2(a)(51)(C) of the 1940 Act)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 YES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o NO</w:t>
      </w:r>
    </w:p>
    <w:p>
      <w:pPr>
        <w:spacing w:after="0" w:line="35" w:lineRule="exact"/>
        <w:rPr>
          <w:sz w:val="20"/>
          <w:szCs w:val="20"/>
          <w:color w:val="auto"/>
        </w:rPr>
      </w:pPr>
    </w:p>
    <w:p>
      <w:pPr>
        <w:sectPr>
          <w:pgSz w:w="11900" w:h="16838" w:orient="portrait"/>
          <w:cols w:equalWidth="0" w:num="3">
            <w:col w:w="10220" w:space="200"/>
            <w:col w:w="460" w:space="140"/>
            <w:col w:w="400"/>
          </w:cols>
          <w:pgMar w:left="240" w:top="1151" w:right="23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to the subscriber’s treatment as a Qualified Purchaser?</w:t>
      </w:r>
    </w:p>
    <w:p>
      <w:pPr>
        <w:sectPr>
          <w:pgSz w:w="11900" w:h="16838" w:orient="portrait"/>
          <w:cols w:equalWidth="0" w:num="1">
            <w:col w:w="11420"/>
          </w:cols>
          <w:pgMar w:left="240" w:top="1151" w:right="239" w:bottom="1440" w:gutter="0" w:footer="0" w:header="0"/>
          <w:type w:val="continuous"/>
        </w:sectPr>
      </w:pPr>
    </w:p>
    <w:p>
      <w:pPr>
        <w:spacing w:after="0" w:line="234" w:lineRule="exact"/>
        <w:rPr>
          <w:sz w:val="20"/>
          <w:szCs w:val="20"/>
          <w:color w:val="auto"/>
        </w:rPr>
      </w:pPr>
    </w:p>
    <w:p>
      <w:pPr>
        <w:ind w:left="360" w:right="1300" w:hanging="352"/>
        <w:spacing w:after="0" w:line="277" w:lineRule="auto"/>
        <w:tabs>
          <w:tab w:leader="none" w:pos="3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What is the approximate percentage of the total assets or the total committed capital of the subscriber (whichever is greater) that will be devoted to making an investment 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10%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14605</wp:posOffset>
            </wp:positionV>
            <wp:extent cx="7200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20%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30%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14605</wp:posOffset>
            </wp:positionV>
            <wp:extent cx="7200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Greater than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(I) Is the Subscriber an Institutional Investor within the meaning of FINRA Rule 2211(a)(3)</w:t>
      </w:r>
      <w:r>
        <w:rPr>
          <w:rFonts w:ascii="Arial" w:cs="Arial" w:eastAsia="Arial" w:hAnsi="Arial"/>
          <w:sz w:val="15"/>
          <w:szCs w:val="15"/>
          <w:color w:val="auto"/>
        </w:rPr>
        <w:t>14</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 YES  o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120" w:hanging="452"/>
        <w:spacing w:after="0" w:line="255" w:lineRule="auto"/>
        <w:tabs>
          <w:tab w:leader="none" w:pos="460" w:val="left"/>
        </w:tabs>
        <w:numPr>
          <w:ilvl w:val="0"/>
          <w:numId w:val="148"/>
        </w:numPr>
        <w:rPr>
          <w:rFonts w:ascii="Arial" w:cs="Arial" w:eastAsia="Arial" w:hAnsi="Arial"/>
          <w:sz w:val="15"/>
          <w:szCs w:val="15"/>
          <w:color w:val="auto"/>
        </w:rPr>
      </w:pPr>
      <w:r>
        <w:rPr>
          <w:rFonts w:ascii="Arial" w:cs="Arial" w:eastAsia="Arial" w:hAnsi="Arial"/>
          <w:sz w:val="18"/>
          <w:szCs w:val="18"/>
          <w:color w:val="auto"/>
        </w:rPr>
        <w:t>An “Institutional Investor” means any (A) bank, savings and loan association, insurance company, registered investment company, registered investment advisor or other entity with total assets of at least $50 million, (B) governmental entity or subdivision thereof; (C) employee benefit plan that meets the requirements of Section 403(b) or Section 457 of the Code and has at least 100 participants, but does not include any participant of such plan; (D) qualified plan, as defined in Section 3(a)(12)(C) of the 1934 Act, that has at least 100 participants, but does not include any participant of such a plan; (E) NASD member or registered associated person of such a member; and (F) person acting solely on behalf of any such institutional investor.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1" w:right="2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VI. Background Information Relating to Certain ERISA Matters</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Until such time as the interests in the Company are considered “publicly-offered securities” within the meaning of Section 3(42) of ERISA and certain Department of Labor regulations (the “</w:t>
      </w:r>
      <w:r>
        <w:rPr>
          <w:rFonts w:ascii="Arial" w:cs="Arial" w:eastAsia="Arial" w:hAnsi="Arial"/>
          <w:sz w:val="16"/>
          <w:szCs w:val="16"/>
          <w:u w:val="single" w:color="auto"/>
          <w:color w:val="auto"/>
        </w:rPr>
        <w:t>Plan Asset Provisions</w:t>
      </w:r>
      <w:r>
        <w:rPr>
          <w:rFonts w:ascii="Arial" w:cs="Arial" w:eastAsia="Arial" w:hAnsi="Arial"/>
          <w:sz w:val="16"/>
          <w:szCs w:val="16"/>
          <w:color w:val="auto"/>
        </w:rPr>
        <w:t>”), the Company intends to operate so that less than 25% of the value of all classes of equity that invest in the Company are held by “Benefit Plan Investors” (within the meaning of the Plan Asset Provisions), so that investment by Benefit Plan Investors will not be significant and the assets of the Company will not be considered “plan assets” under ERISA (the “</w:t>
      </w:r>
      <w:r>
        <w:rPr>
          <w:rFonts w:ascii="Arial" w:cs="Arial" w:eastAsia="Arial" w:hAnsi="Arial"/>
          <w:sz w:val="16"/>
          <w:szCs w:val="16"/>
          <w:u w:val="single" w:color="auto"/>
          <w:color w:val="auto"/>
        </w:rPr>
        <w:t>25% Test</w:t>
      </w:r>
      <w:r>
        <w:rPr>
          <w:rFonts w:ascii="Arial" w:cs="Arial" w:eastAsia="Arial" w:hAnsi="Arial"/>
          <w:sz w:val="16"/>
          <w:szCs w:val="16"/>
          <w:color w:val="auto"/>
        </w:rPr>
        <w:t>”). In order to meet the requirements of the 25% Test, the Company may prohibit certain transfers of Capital Commitments and/or Shares so as to avoid the Company holding “plan assets” within the meaning of ERISA. The Company’s ability to meet the requirements of the 25% Test may depend on your answers to the following questions: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60" w:type="dxa"/>
            <w:vAlign w:val="bottom"/>
            <w:gridSpan w:val="2"/>
          </w:tcPr>
          <w:p>
            <w:pPr>
              <w:spacing w:after="0"/>
              <w:rPr>
                <w:sz w:val="20"/>
                <w:szCs w:val="20"/>
                <w:color w:val="auto"/>
              </w:rPr>
            </w:pPr>
            <w:r>
              <w:rPr>
                <w:rFonts w:ascii="Arial" w:cs="Arial" w:eastAsia="Arial" w:hAnsi="Arial"/>
                <w:sz w:val="18"/>
                <w:szCs w:val="18"/>
                <w:color w:val="auto"/>
              </w:rPr>
              <w:t>(A) Is the subscriber a “Benefit Plan Investor”?</w:t>
            </w:r>
            <w:r>
              <w:rPr>
                <w:rFonts w:ascii="Arial" w:cs="Arial" w:eastAsia="Arial" w:hAnsi="Arial"/>
                <w:sz w:val="15"/>
                <w:szCs w:val="15"/>
                <w:color w:val="auto"/>
              </w:rPr>
              <w:t>15</w:t>
            </w:r>
          </w:p>
        </w:tc>
        <w:tc>
          <w:tcPr>
            <w:tcW w:w="600" w:type="dxa"/>
            <w:vAlign w:val="bottom"/>
          </w:tcPr>
          <w:p>
            <w:pPr>
              <w:ind w:left="6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324"/>
        </w:trPr>
        <w:tc>
          <w:tcPr>
            <w:tcW w:w="10360" w:type="dxa"/>
            <w:vAlign w:val="bottom"/>
            <w:gridSpan w:val="2"/>
          </w:tcPr>
          <w:p>
            <w:pPr>
              <w:ind w:left="220"/>
              <w:spacing w:after="0"/>
              <w:rPr>
                <w:sz w:val="20"/>
                <w:szCs w:val="20"/>
                <w:color w:val="auto"/>
              </w:rPr>
            </w:pPr>
            <w:r>
              <w:rPr>
                <w:rFonts w:ascii="Arial" w:cs="Arial" w:eastAsia="Arial" w:hAnsi="Arial"/>
                <w:sz w:val="18"/>
                <w:szCs w:val="18"/>
                <w:color w:val="auto"/>
              </w:rPr>
              <w:t>(If YES, proceed to the next questions) (If NO, go to Section VI(B) below)</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8"/>
        </w:trPr>
        <w:tc>
          <w:tcPr>
            <w:tcW w:w="500" w:type="dxa"/>
            <w:vAlign w:val="bottom"/>
          </w:tcPr>
          <w:p>
            <w:pPr>
              <w:ind w:left="240"/>
              <w:spacing w:after="0"/>
              <w:rPr>
                <w:sz w:val="20"/>
                <w:szCs w:val="20"/>
                <w:color w:val="auto"/>
              </w:rPr>
            </w:pPr>
            <w:r>
              <w:rPr>
                <w:rFonts w:ascii="Arial" w:cs="Arial" w:eastAsia="Arial" w:hAnsi="Arial"/>
                <w:sz w:val="18"/>
                <w:szCs w:val="18"/>
                <w:color w:val="auto"/>
              </w:rPr>
              <w:t>(1)</w:t>
            </w:r>
          </w:p>
        </w:tc>
        <w:tc>
          <w:tcPr>
            <w:tcW w:w="9860" w:type="dxa"/>
            <w:vAlign w:val="bottom"/>
          </w:tcPr>
          <w:p>
            <w:pPr>
              <w:ind w:left="40"/>
              <w:spacing w:after="0"/>
              <w:rPr>
                <w:sz w:val="20"/>
                <w:szCs w:val="20"/>
                <w:color w:val="auto"/>
              </w:rPr>
            </w:pPr>
            <w:r>
              <w:rPr>
                <w:rFonts w:ascii="Arial" w:cs="Arial" w:eastAsia="Arial" w:hAnsi="Arial"/>
                <w:sz w:val="18"/>
                <w:szCs w:val="18"/>
                <w:color w:val="auto"/>
                <w:w w:val="91"/>
              </w:rPr>
              <w:t>Is the subscriber an employee benefit plan or trust that is subject to the fiduciary provisions of ERISA (this includes U.S. pension plans</w:t>
            </w:r>
          </w:p>
        </w:tc>
        <w:tc>
          <w:tcPr>
            <w:tcW w:w="600" w:type="dxa"/>
            <w:vAlign w:val="bottom"/>
          </w:tcPr>
          <w:p>
            <w:pPr>
              <w:ind w:left="6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216"/>
        </w:trPr>
        <w:tc>
          <w:tcPr>
            <w:tcW w:w="500" w:type="dxa"/>
            <w:vAlign w:val="bottom"/>
          </w:tcPr>
          <w:p>
            <w:pPr>
              <w:spacing w:after="0"/>
              <w:rPr>
                <w:sz w:val="18"/>
                <w:szCs w:val="18"/>
                <w:color w:val="auto"/>
              </w:rPr>
            </w:pPr>
          </w:p>
        </w:tc>
        <w:tc>
          <w:tcPr>
            <w:tcW w:w="9860" w:type="dxa"/>
            <w:vAlign w:val="bottom"/>
          </w:tcPr>
          <w:p>
            <w:pPr>
              <w:ind w:left="40"/>
              <w:spacing w:after="0"/>
              <w:rPr>
                <w:sz w:val="20"/>
                <w:szCs w:val="20"/>
                <w:color w:val="auto"/>
              </w:rPr>
            </w:pPr>
            <w:r>
              <w:rPr>
                <w:rFonts w:ascii="Arial" w:cs="Arial" w:eastAsia="Arial" w:hAnsi="Arial"/>
                <w:sz w:val="18"/>
                <w:szCs w:val="18"/>
                <w:color w:val="auto"/>
                <w:w w:val="96"/>
              </w:rPr>
              <w:t>and U.S. profit-sharing and 401(k) plans, “Multiemployer Plans” and “Taft-Hartley Plans” but does not include U.S. governmental</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9860" w:type="dxa"/>
            <w:vAlign w:val="bottom"/>
          </w:tcPr>
          <w:p>
            <w:pPr>
              <w:ind w:left="40"/>
              <w:spacing w:after="0"/>
              <w:rPr>
                <w:sz w:val="20"/>
                <w:szCs w:val="20"/>
                <w:color w:val="auto"/>
              </w:rPr>
            </w:pPr>
            <w:r>
              <w:rPr>
                <w:rFonts w:ascii="Arial" w:cs="Arial" w:eastAsia="Arial" w:hAnsi="Arial"/>
                <w:sz w:val="18"/>
                <w:szCs w:val="18"/>
                <w:color w:val="auto"/>
              </w:rPr>
              <w:t>plans, certain church plans and non-U.S. employee pension and welfare benefit plans)?</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500" w:type="dxa"/>
            <w:vAlign w:val="bottom"/>
          </w:tcPr>
          <w:p>
            <w:pPr>
              <w:ind w:left="240"/>
              <w:spacing w:after="0"/>
              <w:rPr>
                <w:sz w:val="20"/>
                <w:szCs w:val="20"/>
                <w:color w:val="auto"/>
              </w:rPr>
            </w:pPr>
            <w:r>
              <w:rPr>
                <w:rFonts w:ascii="Arial" w:cs="Arial" w:eastAsia="Arial" w:hAnsi="Arial"/>
                <w:sz w:val="18"/>
                <w:szCs w:val="18"/>
                <w:color w:val="auto"/>
              </w:rPr>
              <w:t>(2)</w:t>
            </w:r>
          </w:p>
        </w:tc>
        <w:tc>
          <w:tcPr>
            <w:tcW w:w="9860" w:type="dxa"/>
            <w:vAlign w:val="bottom"/>
          </w:tcPr>
          <w:p>
            <w:pPr>
              <w:ind w:left="40"/>
              <w:spacing w:after="0"/>
              <w:rPr>
                <w:sz w:val="20"/>
                <w:szCs w:val="20"/>
                <w:color w:val="auto"/>
              </w:rPr>
            </w:pPr>
            <w:r>
              <w:rPr>
                <w:rFonts w:ascii="Arial" w:cs="Arial" w:eastAsia="Arial" w:hAnsi="Arial"/>
                <w:sz w:val="18"/>
                <w:szCs w:val="18"/>
                <w:color w:val="auto"/>
                <w:w w:val="97"/>
              </w:rPr>
              <w:t>Is the subscriber a U.S. individual retirement account, Keogh Plan and/or other plan subject to Section 4975(e)(1) of the Code?</w:t>
            </w:r>
          </w:p>
        </w:tc>
        <w:tc>
          <w:tcPr>
            <w:tcW w:w="600" w:type="dxa"/>
            <w:vAlign w:val="bottom"/>
          </w:tcPr>
          <w:p>
            <w:pPr>
              <w:ind w:left="6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418"/>
        </w:trPr>
        <w:tc>
          <w:tcPr>
            <w:tcW w:w="500" w:type="dxa"/>
            <w:vAlign w:val="bottom"/>
          </w:tcPr>
          <w:p>
            <w:pPr>
              <w:ind w:left="240"/>
              <w:spacing w:after="0"/>
              <w:rPr>
                <w:sz w:val="20"/>
                <w:szCs w:val="20"/>
                <w:color w:val="auto"/>
              </w:rPr>
            </w:pPr>
            <w:r>
              <w:rPr>
                <w:rFonts w:ascii="Arial" w:cs="Arial" w:eastAsia="Arial" w:hAnsi="Arial"/>
                <w:sz w:val="18"/>
                <w:szCs w:val="18"/>
                <w:color w:val="auto"/>
              </w:rPr>
              <w:t>(3)</w:t>
            </w:r>
          </w:p>
        </w:tc>
        <w:tc>
          <w:tcPr>
            <w:tcW w:w="9860" w:type="dxa"/>
            <w:vAlign w:val="bottom"/>
          </w:tcPr>
          <w:p>
            <w:pPr>
              <w:ind w:left="40"/>
              <w:spacing w:after="0"/>
              <w:rPr>
                <w:sz w:val="20"/>
                <w:szCs w:val="20"/>
                <w:color w:val="auto"/>
              </w:rPr>
            </w:pPr>
            <w:r>
              <w:rPr>
                <w:rFonts w:ascii="Arial" w:cs="Arial" w:eastAsia="Arial" w:hAnsi="Arial"/>
                <w:sz w:val="18"/>
                <w:szCs w:val="18"/>
                <w:color w:val="auto"/>
                <w:w w:val="91"/>
              </w:rPr>
              <w:t>Is the subscriber an entity (e.g., a fund of funds) whose underlying assets include “plan assets” by reason of a plan’s investment in the</w:t>
            </w:r>
          </w:p>
        </w:tc>
        <w:tc>
          <w:tcPr>
            <w:tcW w:w="600" w:type="dxa"/>
            <w:vAlign w:val="bottom"/>
          </w:tcPr>
          <w:p>
            <w:pPr>
              <w:ind w:left="6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216"/>
        </w:trPr>
        <w:tc>
          <w:tcPr>
            <w:tcW w:w="500" w:type="dxa"/>
            <w:vAlign w:val="bottom"/>
          </w:tcPr>
          <w:p>
            <w:pPr>
              <w:spacing w:after="0"/>
              <w:rPr>
                <w:sz w:val="18"/>
                <w:szCs w:val="18"/>
                <w:color w:val="auto"/>
              </w:rPr>
            </w:pPr>
          </w:p>
        </w:tc>
        <w:tc>
          <w:tcPr>
            <w:tcW w:w="9860" w:type="dxa"/>
            <w:vAlign w:val="bottom"/>
          </w:tcPr>
          <w:p>
            <w:pPr>
              <w:ind w:left="40"/>
              <w:spacing w:after="0"/>
              <w:rPr>
                <w:sz w:val="20"/>
                <w:szCs w:val="20"/>
                <w:color w:val="auto"/>
              </w:rPr>
            </w:pPr>
            <w:r>
              <w:rPr>
                <w:rFonts w:ascii="Arial" w:cs="Arial" w:eastAsia="Arial" w:hAnsi="Arial"/>
                <w:sz w:val="18"/>
                <w:szCs w:val="18"/>
                <w:color w:val="auto"/>
                <w:w w:val="95"/>
              </w:rPr>
              <w:t>entity and such plan investors include (1) one or more U.S. pension benefit plans, welfare benefit plans or similar plans subject to</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9860" w:type="dxa"/>
            <w:vAlign w:val="bottom"/>
          </w:tcPr>
          <w:p>
            <w:pPr>
              <w:ind w:left="40"/>
              <w:spacing w:after="0"/>
              <w:rPr>
                <w:sz w:val="20"/>
                <w:szCs w:val="20"/>
                <w:color w:val="auto"/>
              </w:rPr>
            </w:pPr>
            <w:r>
              <w:rPr>
                <w:rFonts w:ascii="Arial" w:cs="Arial" w:eastAsia="Arial" w:hAnsi="Arial"/>
                <w:sz w:val="18"/>
                <w:szCs w:val="18"/>
                <w:color w:val="auto"/>
                <w:w w:val="92"/>
              </w:rPr>
              <w:t>ERISA and/or (2) one or more individual retirement accounts, Keogh plans or other individual arrangement subject to Section 4975(e)</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ind w:left="540" w:right="1260" w:firstLine="8"/>
        <w:spacing w:after="0" w:line="261" w:lineRule="auto"/>
        <w:tabs>
          <w:tab w:leader="none" w:pos="7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of the Code (including by reason of 25% or more of any class of equity interests in the entity being held by Benefit Plan Investors that include any plan described above)?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YES, proceed to the next question) (If NO, go to Section VI(B)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120" w:hanging="452"/>
        <w:spacing w:after="0" w:line="288" w:lineRule="auto"/>
        <w:tabs>
          <w:tab w:leader="none" w:pos="460" w:val="left"/>
        </w:tabs>
        <w:numPr>
          <w:ilvl w:val="0"/>
          <w:numId w:val="150"/>
        </w:numPr>
        <w:rPr>
          <w:rFonts w:ascii="Arial" w:cs="Arial" w:eastAsia="Arial" w:hAnsi="Arial"/>
          <w:sz w:val="14"/>
          <w:szCs w:val="14"/>
          <w:color w:val="auto"/>
        </w:rPr>
      </w:pPr>
      <w:r>
        <w:rPr>
          <w:rFonts w:ascii="Arial" w:cs="Arial" w:eastAsia="Arial" w:hAnsi="Arial"/>
          <w:sz w:val="16"/>
          <w:szCs w:val="16"/>
          <w:color w:val="auto"/>
        </w:rPr>
        <w:t>A “Benefit Plan Investor” is (i) any plan subject to part 4 of Title I of ERISA (e.g., U.S. corporate plans), (ii) any plan subject to Section 4975 of the Code (e.g., IRAs) and (iii) any investment fund whose underlying assets include “plan assets” (generally because plans (described in (i) or (ii)) own 25% or more of a class of the investment fund’s equity interests). Any entity that is a Benefit Plan Investor by virtue of (iii) above should check VI(A)</w:t>
      </w:r>
    </w:p>
    <w:p>
      <w:pPr>
        <w:ind w:left="460"/>
        <w:spacing w:after="0"/>
        <w:rPr>
          <w:rFonts w:ascii="Arial" w:cs="Arial" w:eastAsia="Arial" w:hAnsi="Arial"/>
          <w:sz w:val="14"/>
          <w:szCs w:val="14"/>
          <w:color w:val="auto"/>
        </w:rPr>
      </w:pPr>
      <w:r>
        <w:rPr>
          <w:rFonts w:ascii="Arial" w:cs="Arial" w:eastAsia="Arial" w:hAnsi="Arial"/>
          <w:sz w:val="18"/>
          <w:szCs w:val="18"/>
          <w:color w:val="auto"/>
        </w:rPr>
        <w:t>(3).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27" w:name="page128"/>
    <w:bookmarkEnd w:id="127"/>
    <w:p>
      <w:pPr>
        <w:ind w:left="980" w:right="880" w:hanging="283"/>
        <w:spacing w:after="0" w:line="308" w:lineRule="auto"/>
        <w:tabs>
          <w:tab w:leader="none" w:pos="9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If the subscriber is an entity whose underlying assets include “plan assets,” indicate that the percentage of such assets that constitute “plan assets” within the meaning of ERISA or the Code is not more than (please check an applicable box):</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o</w:t>
            </w:r>
          </w:p>
        </w:tc>
        <w:tc>
          <w:tcPr>
            <w:tcW w:w="1340" w:type="dxa"/>
            <w:vAlign w:val="bottom"/>
            <w:gridSpan w:val="2"/>
          </w:tcPr>
          <w:p>
            <w:pPr>
              <w:jc w:val="right"/>
              <w:ind w:right="730"/>
              <w:spacing w:after="0"/>
              <w:rPr>
                <w:sz w:val="20"/>
                <w:szCs w:val="20"/>
                <w:color w:val="auto"/>
              </w:rPr>
            </w:pPr>
            <w:r>
              <w:rPr>
                <w:rFonts w:ascii="Arial" w:cs="Arial" w:eastAsia="Arial" w:hAnsi="Arial"/>
                <w:sz w:val="18"/>
                <w:szCs w:val="18"/>
                <w:color w:val="auto"/>
                <w:w w:val="94"/>
              </w:rPr>
              <w:t>10%</w:t>
            </w:r>
            <w:r>
              <w:rPr>
                <w:rFonts w:ascii="Arial" w:cs="Arial" w:eastAsia="Arial" w:hAnsi="Arial"/>
                <w:sz w:val="15"/>
                <w:szCs w:val="15"/>
                <w:color w:val="auto"/>
                <w:w w:val="94"/>
              </w:rPr>
              <w:t>16</w:t>
            </w:r>
          </w:p>
        </w:tc>
        <w:tc>
          <w:tcPr>
            <w:tcW w:w="1000" w:type="dxa"/>
            <w:vAlign w:val="bottom"/>
          </w:tcPr>
          <w:p>
            <w:pPr>
              <w:ind w:left="800"/>
              <w:spacing w:after="0"/>
              <w:rPr>
                <w:sz w:val="20"/>
                <w:szCs w:val="20"/>
                <w:color w:val="auto"/>
              </w:rPr>
            </w:pPr>
            <w:r>
              <w:rPr>
                <w:rFonts w:ascii="Arial" w:cs="Arial" w:eastAsia="Arial" w:hAnsi="Arial"/>
                <w:sz w:val="18"/>
                <w:szCs w:val="18"/>
                <w:color w:val="auto"/>
              </w:rPr>
              <w:t>o</w:t>
            </w:r>
          </w:p>
        </w:tc>
        <w:tc>
          <w:tcPr>
            <w:tcW w:w="1540" w:type="dxa"/>
            <w:vAlign w:val="bottom"/>
          </w:tcPr>
          <w:p>
            <w:pPr>
              <w:ind w:left="120"/>
              <w:spacing w:after="0"/>
              <w:rPr>
                <w:sz w:val="20"/>
                <w:szCs w:val="20"/>
                <w:color w:val="auto"/>
              </w:rPr>
            </w:pPr>
            <w:r>
              <w:rPr>
                <w:rFonts w:ascii="Arial" w:cs="Arial" w:eastAsia="Arial" w:hAnsi="Arial"/>
                <w:sz w:val="18"/>
                <w:szCs w:val="18"/>
                <w:color w:val="auto"/>
              </w:rPr>
              <w:t>20%</w:t>
            </w:r>
            <w:r>
              <w:rPr>
                <w:rFonts w:ascii="Arial" w:cs="Arial" w:eastAsia="Arial" w:hAnsi="Arial"/>
                <w:sz w:val="15"/>
                <w:szCs w:val="15"/>
                <w:color w:val="auto"/>
              </w:rPr>
              <w:t>16</w:t>
            </w:r>
          </w:p>
        </w:tc>
        <w:tc>
          <w:tcPr>
            <w:tcW w:w="1160" w:type="dxa"/>
            <w:vAlign w:val="bottom"/>
          </w:tcPr>
          <w:p>
            <w:pPr>
              <w:ind w:left="880"/>
              <w:spacing w:after="0"/>
              <w:rPr>
                <w:sz w:val="20"/>
                <w:szCs w:val="20"/>
                <w:color w:val="auto"/>
              </w:rPr>
            </w:pPr>
            <w:r>
              <w:rPr>
                <w:rFonts w:ascii="Arial" w:cs="Arial" w:eastAsia="Arial" w:hAnsi="Arial"/>
                <w:sz w:val="18"/>
                <w:szCs w:val="18"/>
                <w:color w:val="auto"/>
              </w:rPr>
              <w:t>o</w:t>
            </w:r>
          </w:p>
        </w:tc>
        <w:tc>
          <w:tcPr>
            <w:tcW w:w="1360" w:type="dxa"/>
            <w:vAlign w:val="bottom"/>
          </w:tcPr>
          <w:p>
            <w:pPr>
              <w:jc w:val="right"/>
              <w:ind w:right="890"/>
              <w:spacing w:after="0"/>
              <w:rPr>
                <w:sz w:val="20"/>
                <w:szCs w:val="20"/>
                <w:color w:val="auto"/>
              </w:rPr>
            </w:pPr>
            <w:r>
              <w:rPr>
                <w:rFonts w:ascii="Arial" w:cs="Arial" w:eastAsia="Arial" w:hAnsi="Arial"/>
                <w:sz w:val="18"/>
                <w:szCs w:val="18"/>
                <w:color w:val="auto"/>
                <w:w w:val="99"/>
              </w:rPr>
              <w:t>30%</w:t>
            </w:r>
          </w:p>
        </w:tc>
        <w:tc>
          <w:tcPr>
            <w:tcW w:w="1180" w:type="dxa"/>
            <w:vAlign w:val="bottom"/>
          </w:tcPr>
          <w:p>
            <w:pPr>
              <w:ind w:left="980"/>
              <w:spacing w:after="0"/>
              <w:rPr>
                <w:sz w:val="20"/>
                <w:szCs w:val="20"/>
                <w:color w:val="auto"/>
              </w:rPr>
            </w:pPr>
            <w:r>
              <w:rPr>
                <w:rFonts w:ascii="Arial" w:cs="Arial" w:eastAsia="Arial" w:hAnsi="Arial"/>
                <w:sz w:val="18"/>
                <w:szCs w:val="18"/>
                <w:color w:val="auto"/>
              </w:rPr>
              <w:t>o</w:t>
            </w:r>
          </w:p>
        </w:tc>
        <w:tc>
          <w:tcPr>
            <w:tcW w:w="2320" w:type="dxa"/>
            <w:vAlign w:val="bottom"/>
          </w:tcPr>
          <w:p>
            <w:pPr>
              <w:jc w:val="right"/>
              <w:ind w:right="1770"/>
              <w:spacing w:after="0"/>
              <w:rPr>
                <w:sz w:val="20"/>
                <w:szCs w:val="20"/>
                <w:color w:val="auto"/>
              </w:rPr>
            </w:pPr>
            <w:r>
              <w:rPr>
                <w:rFonts w:ascii="Arial" w:cs="Arial" w:eastAsia="Arial" w:hAnsi="Arial"/>
                <w:sz w:val="18"/>
                <w:szCs w:val="18"/>
                <w:color w:val="auto"/>
              </w:rPr>
              <w:t>40%</w:t>
            </w:r>
          </w:p>
        </w:tc>
        <w:tc>
          <w:tcPr>
            <w:tcW w:w="300" w:type="dxa"/>
            <w:vAlign w:val="bottom"/>
          </w:tcPr>
          <w:p>
            <w:pPr>
              <w:ind w:left="100"/>
              <w:spacing w:after="0"/>
              <w:rPr>
                <w:sz w:val="20"/>
                <w:szCs w:val="20"/>
                <w:color w:val="auto"/>
              </w:rPr>
            </w:pPr>
            <w:r>
              <w:rPr>
                <w:rFonts w:ascii="Arial" w:cs="Arial" w:eastAsia="Arial" w:hAnsi="Arial"/>
                <w:sz w:val="18"/>
                <w:szCs w:val="18"/>
                <w:color w:val="auto"/>
              </w:rPr>
              <w:t>o</w:t>
            </w:r>
          </w:p>
        </w:tc>
        <w:tc>
          <w:tcPr>
            <w:tcW w:w="480" w:type="dxa"/>
            <w:vAlign w:val="bottom"/>
          </w:tcPr>
          <w:p>
            <w:pPr>
              <w:ind w:left="120"/>
              <w:spacing w:after="0"/>
              <w:rPr>
                <w:sz w:val="20"/>
                <w:szCs w:val="20"/>
                <w:color w:val="auto"/>
              </w:rPr>
            </w:pPr>
            <w:r>
              <w:rPr>
                <w:rFonts w:ascii="Arial" w:cs="Arial" w:eastAsia="Arial" w:hAnsi="Arial"/>
                <w:sz w:val="18"/>
                <w:szCs w:val="18"/>
                <w:color w:val="auto"/>
                <w:w w:val="94"/>
              </w:rPr>
              <w:t>50%</w:t>
            </w:r>
          </w:p>
        </w:tc>
        <w:tc>
          <w:tcPr>
            <w:tcW w:w="42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o</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60%</w:t>
            </w:r>
          </w:p>
        </w:tc>
        <w:tc>
          <w:tcPr>
            <w:tcW w:w="960" w:type="dxa"/>
            <w:vAlign w:val="bottom"/>
          </w:tcPr>
          <w:p>
            <w:pPr>
              <w:spacing w:after="0"/>
              <w:rPr>
                <w:sz w:val="20"/>
                <w:szCs w:val="20"/>
                <w:color w:val="auto"/>
              </w:rPr>
            </w:pPr>
          </w:p>
        </w:tc>
        <w:tc>
          <w:tcPr>
            <w:tcW w:w="1000" w:type="dxa"/>
            <w:vAlign w:val="bottom"/>
          </w:tcPr>
          <w:p>
            <w:pPr>
              <w:ind w:left="800"/>
              <w:spacing w:after="0"/>
              <w:rPr>
                <w:sz w:val="20"/>
                <w:szCs w:val="20"/>
                <w:color w:val="auto"/>
              </w:rPr>
            </w:pPr>
            <w:r>
              <w:rPr>
                <w:rFonts w:ascii="Arial" w:cs="Arial" w:eastAsia="Arial" w:hAnsi="Arial"/>
                <w:sz w:val="18"/>
                <w:szCs w:val="18"/>
                <w:color w:val="auto"/>
              </w:rPr>
              <w:t>o</w:t>
            </w:r>
          </w:p>
        </w:tc>
        <w:tc>
          <w:tcPr>
            <w:tcW w:w="1540" w:type="dxa"/>
            <w:vAlign w:val="bottom"/>
          </w:tcPr>
          <w:p>
            <w:pPr>
              <w:ind w:left="120"/>
              <w:spacing w:after="0"/>
              <w:rPr>
                <w:sz w:val="20"/>
                <w:szCs w:val="20"/>
                <w:color w:val="auto"/>
              </w:rPr>
            </w:pPr>
            <w:r>
              <w:rPr>
                <w:rFonts w:ascii="Arial" w:cs="Arial" w:eastAsia="Arial" w:hAnsi="Arial"/>
                <w:sz w:val="18"/>
                <w:szCs w:val="18"/>
                <w:color w:val="auto"/>
              </w:rPr>
              <w:t>70%</w:t>
            </w:r>
          </w:p>
        </w:tc>
        <w:tc>
          <w:tcPr>
            <w:tcW w:w="1160" w:type="dxa"/>
            <w:vAlign w:val="bottom"/>
          </w:tcPr>
          <w:p>
            <w:pPr>
              <w:ind w:left="880"/>
              <w:spacing w:after="0"/>
              <w:rPr>
                <w:sz w:val="20"/>
                <w:szCs w:val="20"/>
                <w:color w:val="auto"/>
              </w:rPr>
            </w:pPr>
            <w:r>
              <w:rPr>
                <w:rFonts w:ascii="Arial" w:cs="Arial" w:eastAsia="Arial" w:hAnsi="Arial"/>
                <w:sz w:val="18"/>
                <w:szCs w:val="18"/>
                <w:color w:val="auto"/>
              </w:rPr>
              <w:t>o</w:t>
            </w:r>
          </w:p>
        </w:tc>
        <w:tc>
          <w:tcPr>
            <w:tcW w:w="1360" w:type="dxa"/>
            <w:vAlign w:val="bottom"/>
          </w:tcPr>
          <w:p>
            <w:pPr>
              <w:jc w:val="right"/>
              <w:ind w:right="890"/>
              <w:spacing w:after="0"/>
              <w:rPr>
                <w:sz w:val="20"/>
                <w:szCs w:val="20"/>
                <w:color w:val="auto"/>
              </w:rPr>
            </w:pPr>
            <w:r>
              <w:rPr>
                <w:rFonts w:ascii="Arial" w:cs="Arial" w:eastAsia="Arial" w:hAnsi="Arial"/>
                <w:sz w:val="18"/>
                <w:szCs w:val="18"/>
                <w:color w:val="auto"/>
                <w:w w:val="99"/>
              </w:rPr>
              <w:t>80%</w:t>
            </w:r>
          </w:p>
        </w:tc>
        <w:tc>
          <w:tcPr>
            <w:tcW w:w="1180" w:type="dxa"/>
            <w:vAlign w:val="bottom"/>
          </w:tcPr>
          <w:p>
            <w:pPr>
              <w:ind w:left="980"/>
              <w:spacing w:after="0"/>
              <w:rPr>
                <w:sz w:val="20"/>
                <w:szCs w:val="20"/>
                <w:color w:val="auto"/>
              </w:rPr>
            </w:pPr>
            <w:r>
              <w:rPr>
                <w:rFonts w:ascii="Arial" w:cs="Arial" w:eastAsia="Arial" w:hAnsi="Arial"/>
                <w:sz w:val="18"/>
                <w:szCs w:val="18"/>
                <w:color w:val="auto"/>
              </w:rPr>
              <w:t>o</w:t>
            </w:r>
          </w:p>
        </w:tc>
        <w:tc>
          <w:tcPr>
            <w:tcW w:w="2320" w:type="dxa"/>
            <w:vAlign w:val="bottom"/>
          </w:tcPr>
          <w:p>
            <w:pPr>
              <w:jc w:val="right"/>
              <w:ind w:right="1770"/>
              <w:spacing w:after="0"/>
              <w:rPr>
                <w:sz w:val="20"/>
                <w:szCs w:val="20"/>
                <w:color w:val="auto"/>
              </w:rPr>
            </w:pPr>
            <w:r>
              <w:rPr>
                <w:rFonts w:ascii="Arial" w:cs="Arial" w:eastAsia="Arial" w:hAnsi="Arial"/>
                <w:sz w:val="18"/>
                <w:szCs w:val="18"/>
                <w:color w:val="auto"/>
              </w:rPr>
              <w:t>90%</w:t>
            </w:r>
          </w:p>
        </w:tc>
        <w:tc>
          <w:tcPr>
            <w:tcW w:w="300" w:type="dxa"/>
            <w:vAlign w:val="bottom"/>
          </w:tcPr>
          <w:p>
            <w:pPr>
              <w:ind w:left="100"/>
              <w:spacing w:after="0"/>
              <w:rPr>
                <w:sz w:val="20"/>
                <w:szCs w:val="20"/>
                <w:color w:val="auto"/>
              </w:rPr>
            </w:pPr>
            <w:r>
              <w:rPr>
                <w:rFonts w:ascii="Arial" w:cs="Arial" w:eastAsia="Arial" w:hAnsi="Arial"/>
                <w:sz w:val="18"/>
                <w:szCs w:val="18"/>
                <w:color w:val="auto"/>
              </w:rPr>
              <w:t>o</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100%</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3880" w:type="dxa"/>
            <w:vAlign w:val="bottom"/>
            <w:gridSpan w:val="4"/>
          </w:tcPr>
          <w:p>
            <w:pPr>
              <w:ind w:left="60"/>
              <w:spacing w:after="0"/>
              <w:rPr>
                <w:sz w:val="20"/>
                <w:szCs w:val="20"/>
                <w:color w:val="auto"/>
              </w:rPr>
            </w:pPr>
            <w:r>
              <w:rPr>
                <w:rFonts w:ascii="Arial" w:cs="Arial" w:eastAsia="Arial" w:hAnsi="Arial"/>
                <w:sz w:val="18"/>
                <w:szCs w:val="18"/>
                <w:color w:val="auto"/>
              </w:rPr>
              <w:t>Is the subscriber an insurance company?</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o YES</w:t>
            </w:r>
          </w:p>
        </w:tc>
        <w:tc>
          <w:tcPr>
            <w:tcW w:w="420" w:type="dxa"/>
            <w:vAlign w:val="bottom"/>
          </w:tcPr>
          <w:p>
            <w:pPr>
              <w:ind w:left="20"/>
              <w:spacing w:after="0"/>
              <w:rPr>
                <w:sz w:val="20"/>
                <w:szCs w:val="20"/>
                <w:color w:val="auto"/>
              </w:rPr>
            </w:pPr>
            <w:r>
              <w:rPr>
                <w:rFonts w:ascii="Arial" w:cs="Arial" w:eastAsia="Arial" w:hAnsi="Arial"/>
                <w:sz w:val="18"/>
                <w:szCs w:val="18"/>
                <w:color w:val="auto"/>
                <w:w w:val="90"/>
              </w:rPr>
              <w:t>o NO</w:t>
            </w:r>
          </w:p>
        </w:tc>
      </w:tr>
      <w:tr>
        <w:trPr>
          <w:trHeight w:val="432"/>
        </w:trPr>
        <w:tc>
          <w:tcPr>
            <w:tcW w:w="280" w:type="dxa"/>
            <w:vAlign w:val="bottom"/>
          </w:tcPr>
          <w:p>
            <w:pPr>
              <w:spacing w:after="0"/>
              <w:rPr>
                <w:sz w:val="24"/>
                <w:szCs w:val="24"/>
                <w:color w:val="auto"/>
              </w:rPr>
            </w:pPr>
          </w:p>
        </w:tc>
        <w:tc>
          <w:tcPr>
            <w:tcW w:w="5040" w:type="dxa"/>
            <w:vAlign w:val="bottom"/>
            <w:gridSpan w:val="5"/>
          </w:tcPr>
          <w:p>
            <w:pPr>
              <w:ind w:left="60"/>
              <w:spacing w:after="0"/>
              <w:rPr>
                <w:sz w:val="20"/>
                <w:szCs w:val="20"/>
                <w:color w:val="auto"/>
              </w:rPr>
            </w:pPr>
            <w:r>
              <w:rPr>
                <w:rFonts w:ascii="Arial" w:cs="Arial" w:eastAsia="Arial" w:hAnsi="Arial"/>
                <w:sz w:val="18"/>
                <w:szCs w:val="18"/>
                <w:color w:val="auto"/>
                <w:w w:val="93"/>
              </w:rPr>
              <w:t>(If YES, go to the next question) (If NO, go to Section VI(C) below)</w:t>
            </w: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18"/>
        </w:trPr>
        <w:tc>
          <w:tcPr>
            <w:tcW w:w="280" w:type="dxa"/>
            <w:vAlign w:val="bottom"/>
          </w:tcPr>
          <w:p>
            <w:pPr>
              <w:spacing w:after="0"/>
              <w:rPr>
                <w:sz w:val="24"/>
                <w:szCs w:val="24"/>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9520" w:type="dxa"/>
            <w:vAlign w:val="bottom"/>
            <w:gridSpan w:val="7"/>
          </w:tcPr>
          <w:p>
            <w:pPr>
              <w:spacing w:after="0"/>
              <w:rPr>
                <w:sz w:val="20"/>
                <w:szCs w:val="20"/>
                <w:color w:val="auto"/>
              </w:rPr>
            </w:pPr>
            <w:r>
              <w:rPr>
                <w:rFonts w:ascii="Arial" w:cs="Arial" w:eastAsia="Arial" w:hAnsi="Arial"/>
                <w:sz w:val="18"/>
                <w:szCs w:val="18"/>
                <w:color w:val="auto"/>
                <w:w w:val="90"/>
              </w:rPr>
              <w:t>Is the subscriber an insurance company investing the assets of its general account (or the assets of a wholly owned subsidiary of its</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o YES</w:t>
            </w:r>
          </w:p>
        </w:tc>
        <w:tc>
          <w:tcPr>
            <w:tcW w:w="420" w:type="dxa"/>
            <w:vAlign w:val="bottom"/>
          </w:tcPr>
          <w:p>
            <w:pPr>
              <w:ind w:left="20"/>
              <w:spacing w:after="0"/>
              <w:rPr>
                <w:sz w:val="20"/>
                <w:szCs w:val="20"/>
                <w:color w:val="auto"/>
              </w:rPr>
            </w:pPr>
            <w:r>
              <w:rPr>
                <w:rFonts w:ascii="Arial" w:cs="Arial" w:eastAsia="Arial" w:hAnsi="Arial"/>
                <w:sz w:val="18"/>
                <w:szCs w:val="18"/>
                <w:color w:val="auto"/>
                <w:w w:val="90"/>
              </w:rPr>
              <w:t>o NO</w:t>
            </w:r>
          </w:p>
        </w:tc>
      </w:tr>
      <w:tr>
        <w:trPr>
          <w:trHeight w:val="230"/>
        </w:trPr>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general account) in the Company?</w:t>
            </w:r>
          </w:p>
        </w:tc>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YES, go to the next question) (If NO, go to Section VI(C) below)</w:t>
      </w:r>
    </w:p>
    <w:p>
      <w:pPr>
        <w:spacing w:after="0" w:line="225" w:lineRule="exact"/>
        <w:rPr>
          <w:sz w:val="20"/>
          <w:szCs w:val="20"/>
          <w:color w:val="auto"/>
        </w:rPr>
      </w:pPr>
    </w:p>
    <w:p>
      <w:pPr>
        <w:ind w:left="1180" w:hanging="299"/>
        <w:spacing w:after="0" w:line="277" w:lineRule="auto"/>
        <w:tabs>
          <w:tab w:leader="none" w:pos="1160" w:val="left"/>
        </w:tabs>
        <w:rPr>
          <w:sz w:val="20"/>
          <w:szCs w:val="20"/>
          <w:color w:val="auto"/>
        </w:rPr>
      </w:pPr>
      <w:r>
        <w:rPr>
          <w:rFonts w:ascii="Arial" w:cs="Arial" w:eastAsia="Arial" w:hAnsi="Arial"/>
          <w:sz w:val="18"/>
          <w:szCs w:val="18"/>
          <w:color w:val="auto"/>
        </w:rPr>
        <w:t>(a)</w:t>
        <w:tab/>
        <w:t>Do the underlying assets of the subscriber’s general account constitute “plan assets” within the meaning of Section 401(c) of o YES o NO ERISA?</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(If YES, go to the next question) (If NO, go to Section VI(C) below)</w:t>
      </w:r>
    </w:p>
    <w:p>
      <w:pPr>
        <w:spacing w:after="0" w:line="225" w:lineRule="exact"/>
        <w:rPr>
          <w:sz w:val="20"/>
          <w:szCs w:val="20"/>
          <w:color w:val="auto"/>
        </w:rPr>
      </w:pPr>
    </w:p>
    <w:p>
      <w:pPr>
        <w:ind w:left="1680" w:right="1360" w:hanging="272"/>
        <w:spacing w:after="0" w:line="308" w:lineRule="auto"/>
        <w:tabs>
          <w:tab w:leader="none" w:pos="175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Indicate that the percentage of the underlying assets of the subscriber’s general account deemed to be “plan assets” within the meaning of Section 401(c) of ERISA is not more than (please check an applicable box):</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o</w:t>
            </w:r>
          </w:p>
        </w:tc>
        <w:tc>
          <w:tcPr>
            <w:tcW w:w="1340" w:type="dxa"/>
            <w:vAlign w:val="bottom"/>
          </w:tcPr>
          <w:p>
            <w:pPr>
              <w:ind w:left="120"/>
              <w:spacing w:after="0"/>
              <w:rPr>
                <w:sz w:val="20"/>
                <w:szCs w:val="20"/>
                <w:color w:val="auto"/>
              </w:rPr>
            </w:pPr>
            <w:r>
              <w:rPr>
                <w:rFonts w:ascii="Arial" w:cs="Arial" w:eastAsia="Arial" w:hAnsi="Arial"/>
                <w:sz w:val="18"/>
                <w:szCs w:val="18"/>
                <w:color w:val="auto"/>
              </w:rPr>
              <w:t>10%</w:t>
            </w:r>
          </w:p>
        </w:tc>
        <w:tc>
          <w:tcPr>
            <w:tcW w:w="1080" w:type="dxa"/>
            <w:vAlign w:val="bottom"/>
          </w:tcPr>
          <w:p>
            <w:pPr>
              <w:ind w:left="880"/>
              <w:spacing w:after="0"/>
              <w:rPr>
                <w:sz w:val="20"/>
                <w:szCs w:val="20"/>
                <w:color w:val="auto"/>
              </w:rPr>
            </w:pPr>
            <w:r>
              <w:rPr>
                <w:rFonts w:ascii="Arial" w:cs="Arial" w:eastAsia="Arial" w:hAnsi="Arial"/>
                <w:sz w:val="18"/>
                <w:szCs w:val="18"/>
                <w:color w:val="auto"/>
              </w:rPr>
              <w:t>o</w:t>
            </w:r>
          </w:p>
        </w:tc>
        <w:tc>
          <w:tcPr>
            <w:tcW w:w="1440" w:type="dxa"/>
            <w:vAlign w:val="bottom"/>
          </w:tcPr>
          <w:p>
            <w:pPr>
              <w:jc w:val="right"/>
              <w:ind w:right="890"/>
              <w:spacing w:after="0"/>
              <w:rPr>
                <w:sz w:val="20"/>
                <w:szCs w:val="20"/>
                <w:color w:val="auto"/>
              </w:rPr>
            </w:pPr>
            <w:r>
              <w:rPr>
                <w:rFonts w:ascii="Arial" w:cs="Arial" w:eastAsia="Arial" w:hAnsi="Arial"/>
                <w:sz w:val="18"/>
                <w:szCs w:val="18"/>
                <w:color w:val="auto"/>
              </w:rPr>
              <w:t>20%</w:t>
            </w:r>
          </w:p>
        </w:tc>
        <w:tc>
          <w:tcPr>
            <w:tcW w:w="1180" w:type="dxa"/>
            <w:vAlign w:val="bottom"/>
          </w:tcPr>
          <w:p>
            <w:pPr>
              <w:ind w:left="980"/>
              <w:spacing w:after="0"/>
              <w:rPr>
                <w:sz w:val="20"/>
                <w:szCs w:val="20"/>
                <w:color w:val="auto"/>
              </w:rPr>
            </w:pPr>
            <w:r>
              <w:rPr>
                <w:rFonts w:ascii="Arial" w:cs="Arial" w:eastAsia="Arial" w:hAnsi="Arial"/>
                <w:sz w:val="18"/>
                <w:szCs w:val="18"/>
                <w:color w:val="auto"/>
              </w:rPr>
              <w:t>o</w:t>
            </w:r>
          </w:p>
        </w:tc>
        <w:tc>
          <w:tcPr>
            <w:tcW w:w="1440" w:type="dxa"/>
            <w:vAlign w:val="bottom"/>
          </w:tcPr>
          <w:p>
            <w:pPr>
              <w:jc w:val="right"/>
              <w:ind w:right="890"/>
              <w:spacing w:after="0"/>
              <w:rPr>
                <w:sz w:val="20"/>
                <w:szCs w:val="20"/>
                <w:color w:val="auto"/>
              </w:rPr>
            </w:pPr>
            <w:r>
              <w:rPr>
                <w:rFonts w:ascii="Arial" w:cs="Arial" w:eastAsia="Arial" w:hAnsi="Arial"/>
                <w:sz w:val="18"/>
                <w:szCs w:val="18"/>
                <w:color w:val="auto"/>
              </w:rPr>
              <w:t>30%</w:t>
            </w:r>
          </w:p>
        </w:tc>
        <w:tc>
          <w:tcPr>
            <w:tcW w:w="1180" w:type="dxa"/>
            <w:vAlign w:val="bottom"/>
          </w:tcPr>
          <w:p>
            <w:pPr>
              <w:ind w:left="980"/>
              <w:spacing w:after="0"/>
              <w:rPr>
                <w:sz w:val="20"/>
                <w:szCs w:val="20"/>
                <w:color w:val="auto"/>
              </w:rPr>
            </w:pPr>
            <w:r>
              <w:rPr>
                <w:rFonts w:ascii="Arial" w:cs="Arial" w:eastAsia="Arial" w:hAnsi="Arial"/>
                <w:sz w:val="18"/>
                <w:szCs w:val="18"/>
                <w:color w:val="auto"/>
              </w:rPr>
              <w:t>o</w:t>
            </w:r>
          </w:p>
        </w:tc>
        <w:tc>
          <w:tcPr>
            <w:tcW w:w="2120" w:type="dxa"/>
            <w:vAlign w:val="bottom"/>
          </w:tcPr>
          <w:p>
            <w:pPr>
              <w:jc w:val="right"/>
              <w:ind w:right="1570"/>
              <w:spacing w:after="0"/>
              <w:rPr>
                <w:sz w:val="20"/>
                <w:szCs w:val="20"/>
                <w:color w:val="auto"/>
              </w:rPr>
            </w:pPr>
            <w:r>
              <w:rPr>
                <w:rFonts w:ascii="Arial" w:cs="Arial" w:eastAsia="Arial" w:hAnsi="Arial"/>
                <w:sz w:val="18"/>
                <w:szCs w:val="18"/>
                <w:color w:val="auto"/>
              </w:rPr>
              <w:t>40%</w:t>
            </w:r>
          </w:p>
        </w:tc>
        <w:tc>
          <w:tcPr>
            <w:tcW w:w="500" w:type="dxa"/>
            <w:vAlign w:val="bottom"/>
          </w:tcPr>
          <w:p>
            <w:pPr>
              <w:ind w:left="300"/>
              <w:spacing w:after="0"/>
              <w:rPr>
                <w:sz w:val="20"/>
                <w:szCs w:val="20"/>
                <w:color w:val="auto"/>
              </w:rPr>
            </w:pPr>
            <w:r>
              <w:rPr>
                <w:rFonts w:ascii="Arial" w:cs="Arial" w:eastAsia="Arial" w:hAnsi="Arial"/>
                <w:sz w:val="18"/>
                <w:szCs w:val="18"/>
                <w:color w:val="auto"/>
              </w:rPr>
              <w:t>o</w:t>
            </w:r>
          </w:p>
        </w:tc>
        <w:tc>
          <w:tcPr>
            <w:tcW w:w="900" w:type="dxa"/>
            <w:vAlign w:val="bottom"/>
          </w:tcPr>
          <w:p>
            <w:pPr>
              <w:ind w:left="120"/>
              <w:spacing w:after="0"/>
              <w:rPr>
                <w:sz w:val="20"/>
                <w:szCs w:val="20"/>
                <w:color w:val="auto"/>
              </w:rPr>
            </w:pPr>
            <w:r>
              <w:rPr>
                <w:rFonts w:ascii="Arial" w:cs="Arial" w:eastAsia="Arial" w:hAnsi="Arial"/>
                <w:sz w:val="18"/>
                <w:szCs w:val="18"/>
                <w:color w:val="auto"/>
              </w:rPr>
              <w:t>50%</w:t>
            </w: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o</w:t>
            </w:r>
          </w:p>
        </w:tc>
        <w:tc>
          <w:tcPr>
            <w:tcW w:w="1340" w:type="dxa"/>
            <w:vAlign w:val="bottom"/>
          </w:tcPr>
          <w:p>
            <w:pPr>
              <w:ind w:left="120"/>
              <w:spacing w:after="0"/>
              <w:rPr>
                <w:sz w:val="20"/>
                <w:szCs w:val="20"/>
                <w:color w:val="auto"/>
              </w:rPr>
            </w:pPr>
            <w:r>
              <w:rPr>
                <w:rFonts w:ascii="Arial" w:cs="Arial" w:eastAsia="Arial" w:hAnsi="Arial"/>
                <w:sz w:val="18"/>
                <w:szCs w:val="18"/>
                <w:color w:val="auto"/>
              </w:rPr>
              <w:t>60%</w:t>
            </w:r>
          </w:p>
        </w:tc>
        <w:tc>
          <w:tcPr>
            <w:tcW w:w="1080" w:type="dxa"/>
            <w:vAlign w:val="bottom"/>
          </w:tcPr>
          <w:p>
            <w:pPr>
              <w:ind w:left="880"/>
              <w:spacing w:after="0"/>
              <w:rPr>
                <w:sz w:val="20"/>
                <w:szCs w:val="20"/>
                <w:color w:val="auto"/>
              </w:rPr>
            </w:pPr>
            <w:r>
              <w:rPr>
                <w:rFonts w:ascii="Arial" w:cs="Arial" w:eastAsia="Arial" w:hAnsi="Arial"/>
                <w:sz w:val="18"/>
                <w:szCs w:val="18"/>
                <w:color w:val="auto"/>
              </w:rPr>
              <w:t>o</w:t>
            </w:r>
          </w:p>
        </w:tc>
        <w:tc>
          <w:tcPr>
            <w:tcW w:w="1440" w:type="dxa"/>
            <w:vAlign w:val="bottom"/>
          </w:tcPr>
          <w:p>
            <w:pPr>
              <w:jc w:val="right"/>
              <w:ind w:right="890"/>
              <w:spacing w:after="0"/>
              <w:rPr>
                <w:sz w:val="20"/>
                <w:szCs w:val="20"/>
                <w:color w:val="auto"/>
              </w:rPr>
            </w:pPr>
            <w:r>
              <w:rPr>
                <w:rFonts w:ascii="Arial" w:cs="Arial" w:eastAsia="Arial" w:hAnsi="Arial"/>
                <w:sz w:val="18"/>
                <w:szCs w:val="18"/>
                <w:color w:val="auto"/>
              </w:rPr>
              <w:t>70%</w:t>
            </w:r>
          </w:p>
        </w:tc>
        <w:tc>
          <w:tcPr>
            <w:tcW w:w="1180" w:type="dxa"/>
            <w:vAlign w:val="bottom"/>
          </w:tcPr>
          <w:p>
            <w:pPr>
              <w:ind w:left="980"/>
              <w:spacing w:after="0"/>
              <w:rPr>
                <w:sz w:val="20"/>
                <w:szCs w:val="20"/>
                <w:color w:val="auto"/>
              </w:rPr>
            </w:pPr>
            <w:r>
              <w:rPr>
                <w:rFonts w:ascii="Arial" w:cs="Arial" w:eastAsia="Arial" w:hAnsi="Arial"/>
                <w:sz w:val="18"/>
                <w:szCs w:val="18"/>
                <w:color w:val="auto"/>
              </w:rPr>
              <w:t>o</w:t>
            </w:r>
          </w:p>
        </w:tc>
        <w:tc>
          <w:tcPr>
            <w:tcW w:w="1440" w:type="dxa"/>
            <w:vAlign w:val="bottom"/>
          </w:tcPr>
          <w:p>
            <w:pPr>
              <w:jc w:val="right"/>
              <w:ind w:right="890"/>
              <w:spacing w:after="0"/>
              <w:rPr>
                <w:sz w:val="20"/>
                <w:szCs w:val="20"/>
                <w:color w:val="auto"/>
              </w:rPr>
            </w:pPr>
            <w:r>
              <w:rPr>
                <w:rFonts w:ascii="Arial" w:cs="Arial" w:eastAsia="Arial" w:hAnsi="Arial"/>
                <w:sz w:val="18"/>
                <w:szCs w:val="18"/>
                <w:color w:val="auto"/>
              </w:rPr>
              <w:t>80%</w:t>
            </w:r>
          </w:p>
        </w:tc>
        <w:tc>
          <w:tcPr>
            <w:tcW w:w="1180" w:type="dxa"/>
            <w:vAlign w:val="bottom"/>
          </w:tcPr>
          <w:p>
            <w:pPr>
              <w:ind w:left="980"/>
              <w:spacing w:after="0"/>
              <w:rPr>
                <w:sz w:val="20"/>
                <w:szCs w:val="20"/>
                <w:color w:val="auto"/>
              </w:rPr>
            </w:pPr>
            <w:r>
              <w:rPr>
                <w:rFonts w:ascii="Arial" w:cs="Arial" w:eastAsia="Arial" w:hAnsi="Arial"/>
                <w:sz w:val="18"/>
                <w:szCs w:val="18"/>
                <w:color w:val="auto"/>
              </w:rPr>
              <w:t>o</w:t>
            </w:r>
          </w:p>
        </w:tc>
        <w:tc>
          <w:tcPr>
            <w:tcW w:w="2120" w:type="dxa"/>
            <w:vAlign w:val="bottom"/>
          </w:tcPr>
          <w:p>
            <w:pPr>
              <w:jc w:val="right"/>
              <w:ind w:right="1570"/>
              <w:spacing w:after="0"/>
              <w:rPr>
                <w:sz w:val="20"/>
                <w:szCs w:val="20"/>
                <w:color w:val="auto"/>
              </w:rPr>
            </w:pPr>
            <w:r>
              <w:rPr>
                <w:rFonts w:ascii="Arial" w:cs="Arial" w:eastAsia="Arial" w:hAnsi="Arial"/>
                <w:sz w:val="18"/>
                <w:szCs w:val="18"/>
                <w:color w:val="auto"/>
              </w:rPr>
              <w:t>90%</w:t>
            </w:r>
          </w:p>
        </w:tc>
        <w:tc>
          <w:tcPr>
            <w:tcW w:w="500" w:type="dxa"/>
            <w:vAlign w:val="bottom"/>
          </w:tcPr>
          <w:p>
            <w:pPr>
              <w:ind w:left="300"/>
              <w:spacing w:after="0"/>
              <w:rPr>
                <w:sz w:val="20"/>
                <w:szCs w:val="20"/>
                <w:color w:val="auto"/>
              </w:rPr>
            </w:pPr>
            <w:r>
              <w:rPr>
                <w:rFonts w:ascii="Arial" w:cs="Arial" w:eastAsia="Arial" w:hAnsi="Arial"/>
                <w:sz w:val="18"/>
                <w:szCs w:val="18"/>
                <w:color w:val="auto"/>
              </w:rPr>
              <w:t>o</w:t>
            </w:r>
          </w:p>
        </w:tc>
        <w:tc>
          <w:tcPr>
            <w:tcW w:w="900" w:type="dxa"/>
            <w:vAlign w:val="bottom"/>
          </w:tcPr>
          <w:p>
            <w:pPr>
              <w:ind w:left="120"/>
              <w:spacing w:after="0"/>
              <w:rPr>
                <w:sz w:val="20"/>
                <w:szCs w:val="20"/>
                <w:color w:val="auto"/>
              </w:rPr>
            </w:pPr>
            <w:r>
              <w:rPr>
                <w:rFonts w:ascii="Arial" w:cs="Arial" w:eastAsia="Arial" w:hAnsi="Arial"/>
                <w:sz w:val="18"/>
                <w:szCs w:val="18"/>
                <w:color w:val="auto"/>
              </w:rPr>
              <w:t>100%</w:t>
            </w:r>
          </w:p>
        </w:tc>
      </w:tr>
      <w:tr>
        <w:trPr>
          <w:trHeight w:val="418"/>
        </w:trPr>
        <w:tc>
          <w:tcPr>
            <w:tcW w:w="9980" w:type="dxa"/>
            <w:vAlign w:val="bottom"/>
            <w:gridSpan w:val="8"/>
          </w:tcPr>
          <w:p>
            <w:pPr>
              <w:spacing w:after="0"/>
              <w:rPr>
                <w:sz w:val="20"/>
                <w:szCs w:val="20"/>
                <w:color w:val="auto"/>
              </w:rPr>
            </w:pPr>
            <w:r>
              <w:rPr>
                <w:rFonts w:ascii="Arial" w:cs="Arial" w:eastAsia="Arial" w:hAnsi="Arial"/>
                <w:sz w:val="18"/>
                <w:szCs w:val="18"/>
                <w:color w:val="auto"/>
                <w:w w:val="95"/>
              </w:rPr>
              <w:t>(C) Is the subscriber either (i) an “employee benefit plan” within the meaning of Section 3(3) of ERISA that is not subject to Title I of</w:t>
            </w: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w w:val="96"/>
              </w:rPr>
              <w:t>o YES  o NO</w:t>
            </w:r>
          </w:p>
        </w:tc>
      </w:tr>
      <w:tr>
        <w:trPr>
          <w:trHeight w:val="230"/>
        </w:trPr>
        <w:tc>
          <w:tcPr>
            <w:tcW w:w="200" w:type="dxa"/>
            <w:vAlign w:val="bottom"/>
          </w:tcPr>
          <w:p>
            <w:pPr>
              <w:spacing w:after="0"/>
              <w:rPr>
                <w:sz w:val="20"/>
                <w:szCs w:val="20"/>
                <w:color w:val="auto"/>
              </w:rPr>
            </w:pPr>
          </w:p>
        </w:tc>
        <w:tc>
          <w:tcPr>
            <w:tcW w:w="9780" w:type="dxa"/>
            <w:vAlign w:val="bottom"/>
            <w:gridSpan w:val="7"/>
          </w:tcPr>
          <w:p>
            <w:pPr>
              <w:ind w:left="100"/>
              <w:spacing w:after="0"/>
              <w:rPr>
                <w:sz w:val="20"/>
                <w:szCs w:val="20"/>
                <w:color w:val="auto"/>
              </w:rPr>
            </w:pPr>
            <w:r>
              <w:rPr>
                <w:rFonts w:ascii="Arial" w:cs="Arial" w:eastAsia="Arial" w:hAnsi="Arial"/>
                <w:sz w:val="18"/>
                <w:szCs w:val="18"/>
                <w:color w:val="auto"/>
              </w:rPr>
              <w:t>ERISA or Section 4975 of the Code or (ii) a “governmental plan” within the meaning of Section 3(32) of ERISA?</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YES, proceed to the next question) (If NO, proceed to Section VII below)</w:t>
      </w:r>
    </w:p>
    <w:p>
      <w:pPr>
        <w:spacing w:after="0" w:line="225" w:lineRule="exact"/>
        <w:rPr>
          <w:sz w:val="20"/>
          <w:szCs w:val="20"/>
          <w:color w:val="auto"/>
        </w:rPr>
      </w:pPr>
    </w:p>
    <w:p>
      <w:pPr>
        <w:ind w:left="240"/>
        <w:spacing w:after="0"/>
        <w:tabs>
          <w:tab w:leader="none" w:pos="10340" w:val="left"/>
        </w:tabs>
        <w:rPr>
          <w:sz w:val="20"/>
          <w:szCs w:val="20"/>
          <w:color w:val="auto"/>
        </w:rPr>
      </w:pPr>
      <w:r>
        <w:rPr>
          <w:rFonts w:ascii="Arial" w:cs="Arial" w:eastAsia="Arial" w:hAnsi="Arial"/>
          <w:sz w:val="18"/>
          <w:szCs w:val="18"/>
          <w:color w:val="auto"/>
        </w:rPr>
        <w:t>(1) Is the subscriber in compliance with all rules and regulations that constitute the body of law by which it is governed?</w:t>
      </w:r>
      <w:r>
        <w:rPr>
          <w:sz w:val="20"/>
          <w:szCs w:val="20"/>
          <w:color w:val="auto"/>
        </w:rPr>
        <w:tab/>
      </w:r>
      <w:r>
        <w:rPr>
          <w:rFonts w:ascii="Arial" w:cs="Arial" w:eastAsia="Arial" w:hAnsi="Arial"/>
          <w:sz w:val="17"/>
          <w:szCs w:val="17"/>
          <w:color w:val="auto"/>
        </w:rPr>
        <w:t>o YES  o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5620" w:right="2880" w:hanging="5612"/>
        <w:spacing w:after="0" w:line="481" w:lineRule="auto"/>
        <w:tabs>
          <w:tab w:leader="none" w:pos="463" w:val="left"/>
        </w:tabs>
        <w:numPr>
          <w:ilvl w:val="0"/>
          <w:numId w:val="153"/>
        </w:numPr>
        <w:rPr>
          <w:rFonts w:ascii="Arial" w:cs="Arial" w:eastAsia="Arial" w:hAnsi="Arial"/>
          <w:sz w:val="15"/>
          <w:szCs w:val="15"/>
          <w:color w:val="auto"/>
        </w:rPr>
      </w:pPr>
      <w:r>
        <w:rPr>
          <w:rFonts w:ascii="Arial" w:cs="Arial" w:eastAsia="Arial" w:hAnsi="Arial"/>
          <w:sz w:val="18"/>
          <w:szCs w:val="18"/>
          <w:color w:val="auto"/>
        </w:rPr>
        <w:t>Applicable to entities with multiple classes, one of which exceeds the 25% threshold for Benefit Plan Investors.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52" w:right="2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VII. Background Information Relating to Certain Tax Matters</w:t>
      </w:r>
    </w:p>
    <w:p>
      <w:pPr>
        <w:spacing w:after="0" w:line="121" w:lineRule="exact"/>
        <w:rPr>
          <w:sz w:val="20"/>
          <w:szCs w:val="20"/>
          <w:color w:val="auto"/>
        </w:rPr>
      </w:pPr>
    </w:p>
    <w:p>
      <w:pPr>
        <w:ind w:left="380" w:hanging="372"/>
        <w:spacing w:after="0"/>
        <w:tabs>
          <w:tab w:leader="none" w:pos="3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Social Security (for individuals) or Tax Identification Number (for entities, trustees and custodians (including for Individual Retirement Accounts)):</w:t>
      </w:r>
    </w:p>
    <w:p>
      <w:pPr>
        <w:spacing w:after="0" w:line="385" w:lineRule="exact"/>
        <w:rPr>
          <w:rFonts w:ascii="Arial" w:cs="Arial" w:eastAsia="Arial" w:hAnsi="Arial"/>
          <w:sz w:val="17"/>
          <w:szCs w:val="17"/>
          <w:color w:val="auto"/>
        </w:rPr>
      </w:pPr>
    </w:p>
    <w:p>
      <w:pPr>
        <w:ind w:left="340" w:hanging="332"/>
        <w:spacing w:after="0"/>
        <w:tabs>
          <w:tab w:leader="none" w:pos="3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Please indicate whether the subscriber, for income tax purposes, files now or has ever filed a tax or information return,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-267335</wp:posOffset>
            </wp:positionV>
            <wp:extent cx="701484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205"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6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8440" w:type="dxa"/>
            <w:vAlign w:val="bottom"/>
          </w:tcPr>
          <w:p>
            <w:pPr>
              <w:ind w:left="40"/>
              <w:spacing w:after="0"/>
              <w:rPr>
                <w:sz w:val="20"/>
                <w:szCs w:val="20"/>
                <w:color w:val="auto"/>
              </w:rPr>
            </w:pPr>
            <w:r>
              <w:rPr>
                <w:rFonts w:ascii="Arial" w:cs="Arial" w:eastAsia="Arial" w:hAnsi="Arial"/>
                <w:sz w:val="18"/>
                <w:szCs w:val="18"/>
                <w:color w:val="auto"/>
              </w:rPr>
              <w:t>A partnership;</w:t>
            </w:r>
          </w:p>
        </w:tc>
        <w:tc>
          <w:tcPr>
            <w:tcW w:w="1840" w:type="dxa"/>
            <w:vAlign w:val="bottom"/>
          </w:tcPr>
          <w:p>
            <w:pPr>
              <w:ind w:left="130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432"/>
        </w:trPr>
        <w:tc>
          <w:tcPr>
            <w:tcW w:w="26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8440" w:type="dxa"/>
            <w:vAlign w:val="bottom"/>
          </w:tcPr>
          <w:p>
            <w:pPr>
              <w:ind w:left="40"/>
              <w:spacing w:after="0"/>
              <w:rPr>
                <w:sz w:val="20"/>
                <w:szCs w:val="20"/>
                <w:color w:val="auto"/>
              </w:rPr>
            </w:pPr>
            <w:r>
              <w:rPr>
                <w:rFonts w:ascii="Arial" w:cs="Arial" w:eastAsia="Arial" w:hAnsi="Arial"/>
                <w:sz w:val="18"/>
                <w:szCs w:val="18"/>
                <w:color w:val="auto"/>
              </w:rPr>
              <w:t>A “grantor” trust; or</w:t>
            </w:r>
          </w:p>
        </w:tc>
        <w:tc>
          <w:tcPr>
            <w:tcW w:w="1840" w:type="dxa"/>
            <w:vAlign w:val="bottom"/>
          </w:tcPr>
          <w:p>
            <w:pPr>
              <w:ind w:left="130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432"/>
        </w:trPr>
        <w:tc>
          <w:tcPr>
            <w:tcW w:w="260" w:type="dxa"/>
            <w:vAlign w:val="bottom"/>
          </w:tcPr>
          <w:p>
            <w:pPr>
              <w:jc w:val="right"/>
              <w:spacing w:after="0"/>
              <w:rPr>
                <w:sz w:val="20"/>
                <w:szCs w:val="20"/>
                <w:color w:val="auto"/>
              </w:rPr>
            </w:pPr>
            <w:r>
              <w:rPr>
                <w:rFonts w:ascii="Arial" w:cs="Arial" w:eastAsia="Arial" w:hAnsi="Arial"/>
                <w:sz w:val="18"/>
                <w:szCs w:val="18"/>
                <w:color w:val="auto"/>
                <w:w w:val="81"/>
              </w:rPr>
              <w:t>(3)</w:t>
            </w:r>
          </w:p>
        </w:tc>
        <w:tc>
          <w:tcPr>
            <w:tcW w:w="8440" w:type="dxa"/>
            <w:vAlign w:val="bottom"/>
          </w:tcPr>
          <w:p>
            <w:pPr>
              <w:ind w:left="40"/>
              <w:spacing w:after="0"/>
              <w:rPr>
                <w:sz w:val="20"/>
                <w:szCs w:val="20"/>
                <w:color w:val="auto"/>
              </w:rPr>
            </w:pPr>
            <w:r>
              <w:rPr>
                <w:rFonts w:ascii="Arial" w:cs="Arial" w:eastAsia="Arial" w:hAnsi="Arial"/>
                <w:sz w:val="18"/>
                <w:szCs w:val="18"/>
                <w:color w:val="auto"/>
              </w:rPr>
              <w:t>An “S corporation” under Sections 1361-1379 of the Code (if the subscriber is a U.S. corporation)</w:t>
            </w:r>
          </w:p>
        </w:tc>
        <w:tc>
          <w:tcPr>
            <w:tcW w:w="1840" w:type="dxa"/>
            <w:vAlign w:val="bottom"/>
          </w:tcPr>
          <w:p>
            <w:pPr>
              <w:ind w:left="130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bl>
    <w:p>
      <w:pPr>
        <w:spacing w:after="0" w:line="202" w:lineRule="exact"/>
        <w:rPr>
          <w:sz w:val="20"/>
          <w:szCs w:val="20"/>
          <w:color w:val="auto"/>
        </w:rPr>
      </w:pPr>
    </w:p>
    <w:p>
      <w:pPr>
        <w:ind w:left="360" w:right="2140" w:hanging="352"/>
        <w:spacing w:after="0" w:line="291" w:lineRule="auto"/>
        <w:tabs>
          <w:tab w:leader="none" w:pos="3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Please indicate the total number of shareholders, partners or other holders of equity or beneficial interests or other securities (including any debt securities other than short-term paper) of the subscriber (if the number is more than 100, it is sufficient</w:t>
      </w:r>
    </w:p>
    <w:p>
      <w:pPr>
        <w:sectPr>
          <w:pgSz w:w="11900" w:h="16838" w:orient="portrait"/>
          <w:cols w:equalWidth="0" w:num="1">
            <w:col w:w="11420"/>
          </w:cols>
          <w:pgMar w:left="240" w:top="931" w:right="239" w:bottom="1440" w:gutter="0" w:footer="0" w:header="0"/>
        </w:sectPr>
      </w:pPr>
    </w:p>
    <w:p>
      <w:pPr>
        <w:ind w:left="360"/>
        <w:spacing w:after="0"/>
        <w:rPr>
          <w:sz w:val="20"/>
          <w:szCs w:val="20"/>
          <w:color w:val="auto"/>
        </w:rPr>
      </w:pPr>
      <w:r>
        <w:rPr>
          <w:rFonts w:ascii="Arial" w:cs="Arial" w:eastAsia="Arial" w:hAnsi="Arial"/>
          <w:sz w:val="16"/>
          <w:szCs w:val="16"/>
          <w:color w:val="auto"/>
        </w:rPr>
        <w:t>to respond “more than 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8720" w:space="720"/>
            <w:col w:w="1980"/>
          </w:cols>
          <w:pgMar w:left="240" w:top="931"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 Does the subscriber have, or is it deemed to have, only a single owner for U.S. federal income tax purposes?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o YES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 NO</w:t>
      </w:r>
    </w:p>
    <w:p>
      <w:pPr>
        <w:spacing w:after="0" w:line="200" w:lineRule="exact"/>
        <w:rPr>
          <w:sz w:val="20"/>
          <w:szCs w:val="20"/>
          <w:color w:val="auto"/>
        </w:rPr>
      </w:pPr>
    </w:p>
    <w:p>
      <w:pPr>
        <w:sectPr>
          <w:pgSz w:w="11900" w:h="16838" w:orient="portrait"/>
          <w:cols w:equalWidth="0" w:num="3">
            <w:col w:w="8720" w:space="720"/>
            <w:col w:w="460" w:space="140"/>
            <w:col w:w="1380"/>
          </w:cols>
          <w:pgMar w:left="240" w:top="931" w:right="239" w:bottom="1440" w:gutter="0" w:footer="0" w:header="0"/>
          <w:type w:val="continuous"/>
        </w:sectPr>
      </w:pP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YES, proceed to the next question) (If NO, go to Section VII(E) below)</w:t>
      </w:r>
    </w:p>
    <w:p>
      <w:pPr>
        <w:sectPr>
          <w:pgSz w:w="11900" w:h="16838" w:orient="portrait"/>
          <w:cols w:equalWidth="0" w:num="1">
            <w:col w:w="11420"/>
          </w:cols>
          <w:pgMar w:left="240" w:top="931" w:right="239" w:bottom="1440" w:gutter="0" w:footer="0" w:header="0"/>
          <w:type w:val="continuous"/>
        </w:sectPr>
      </w:pPr>
    </w:p>
    <w:p>
      <w:pPr>
        <w:spacing w:after="0" w:line="248"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(1) Has the subscriber elected, or is it deemed, to be an entity that is disregarded from its owner for U.S. federal income tax</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 YES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o NO</w:t>
      </w:r>
    </w:p>
    <w:p>
      <w:pPr>
        <w:spacing w:after="0" w:line="35" w:lineRule="exact"/>
        <w:rPr>
          <w:sz w:val="20"/>
          <w:szCs w:val="20"/>
          <w:color w:val="auto"/>
        </w:rPr>
      </w:pPr>
    </w:p>
    <w:p>
      <w:pPr>
        <w:sectPr>
          <w:pgSz w:w="11900" w:h="16838" w:orient="portrait"/>
          <w:cols w:equalWidth="0" w:num="3">
            <w:col w:w="9640" w:space="720"/>
            <w:col w:w="480" w:space="120"/>
            <w:col w:w="460"/>
          </w:cols>
          <w:pgMar w:left="240" w:top="931" w:right="239" w:bottom="1440" w:gutter="0" w:footer="0" w:header="0"/>
          <w:type w:val="continuous"/>
        </w:sectPr>
      </w:pPr>
    </w:p>
    <w:p>
      <w:pPr>
        <w:ind w:left="1000"/>
        <w:spacing w:after="0"/>
        <w:rPr>
          <w:sz w:val="20"/>
          <w:szCs w:val="20"/>
          <w:color w:val="auto"/>
        </w:rPr>
      </w:pPr>
      <w:r>
        <w:rPr>
          <w:rFonts w:ascii="Arial" w:cs="Arial" w:eastAsia="Arial" w:hAnsi="Arial"/>
          <w:sz w:val="15"/>
          <w:szCs w:val="15"/>
          <w:color w:val="auto"/>
        </w:rPr>
        <w:t>purposes?</w:t>
      </w:r>
    </w:p>
    <w:p>
      <w:pPr>
        <w:sectPr>
          <w:pgSz w:w="11900" w:h="16838" w:orient="portrait"/>
          <w:cols w:equalWidth="0" w:num="1">
            <w:col w:w="11420"/>
          </w:cols>
          <w:pgMar w:left="240" w:top="931" w:right="2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(E) Is the subscriber (i) an individual, (ii) an entity treated as an individual (including, without limitation, an organization described in</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 YES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 NO</w:t>
      </w:r>
    </w:p>
    <w:p>
      <w:pPr>
        <w:spacing w:after="0" w:line="35" w:lineRule="exact"/>
        <w:rPr>
          <w:sz w:val="20"/>
          <w:szCs w:val="20"/>
          <w:color w:val="auto"/>
        </w:rPr>
      </w:pPr>
    </w:p>
    <w:p>
      <w:pPr>
        <w:sectPr>
          <w:pgSz w:w="11900" w:h="16838" w:orient="portrait"/>
          <w:cols w:equalWidth="0" w:num="3">
            <w:col w:w="9720" w:space="640"/>
            <w:col w:w="480" w:space="120"/>
            <w:col w:w="460"/>
          </w:cols>
          <w:pgMar w:left="240" w:top="931" w:right="239" w:bottom="1440" w:gutter="0" w:footer="0" w:header="0"/>
          <w:type w:val="continuous"/>
        </w:sectPr>
      </w:pPr>
    </w:p>
    <w:p>
      <w:pPr>
        <w:ind w:left="340" w:right="1380"/>
        <w:spacing w:after="0" w:line="255" w:lineRule="auto"/>
        <w:rPr>
          <w:sz w:val="20"/>
          <w:szCs w:val="20"/>
          <w:color w:val="auto"/>
        </w:rPr>
      </w:pPr>
      <w:r>
        <w:rPr>
          <w:rFonts w:ascii="Arial" w:cs="Arial" w:eastAsia="Arial" w:hAnsi="Arial"/>
          <w:sz w:val="18"/>
          <w:szCs w:val="18"/>
          <w:color w:val="auto"/>
        </w:rPr>
        <w:t>Sections 401(a), 501(c)(17) or 509(a) of the Code) for purposes of Section 542(a)(2) of the Code, or (iii) an entity disregarded from its owner for U.S. federal income tax purposes whose owner is an individual or an entity treated as an individual for purposes of Section 542(a)(2) of the Code?</w:t>
      </w:r>
    </w:p>
    <w:p>
      <w:pPr>
        <w:sectPr>
          <w:pgSz w:w="11900" w:h="16838" w:orient="portrait"/>
          <w:cols w:equalWidth="0" w:num="1">
            <w:col w:w="11420"/>
          </w:cols>
          <w:pgMar w:left="240" w:top="931" w:right="239" w:bottom="1440" w:gutter="0" w:footer="0" w:header="0"/>
          <w:type w:val="continuous"/>
        </w:sectPr>
      </w:pPr>
    </w:p>
    <w:p>
      <w:pPr>
        <w:spacing w:after="0" w:line="78" w:lineRule="exact"/>
        <w:rPr>
          <w:sz w:val="20"/>
          <w:szCs w:val="20"/>
          <w:color w:val="auto"/>
        </w:rPr>
      </w:pPr>
    </w:p>
    <w:p>
      <w:pPr>
        <w:ind w:left="220" w:right="20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If the answer to VII(E) above is YES, please contact [ • ] at Cleary Gottlieb Steen &amp; Hamilton LLP (212-225-2000; [ • ]@cgsh.com), counsel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immediately for certain additional requirements that could apply to the subscriber’s investment in the Company.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8"/>
          <w:szCs w:val="18"/>
          <w:i w:val="1"/>
          <w:iCs w:val="1"/>
          <w:color w:val="auto"/>
        </w:rPr>
        <w:t>For U.S. Investors:</w:t>
      </w:r>
    </w:p>
    <w:p>
      <w:pPr>
        <w:spacing w:after="0" w:line="225"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(F)  Is the subscriber a domestic tax-exempt investor (a “</w:t>
      </w:r>
      <w:r>
        <w:rPr>
          <w:rFonts w:ascii="Arial" w:cs="Arial" w:eastAsia="Arial" w:hAnsi="Arial"/>
          <w:sz w:val="18"/>
          <w:szCs w:val="18"/>
          <w:u w:val="single" w:color="auto"/>
          <w:color w:val="auto"/>
        </w:rPr>
        <w:t>Domestic Tax Exempt Investor</w:t>
      </w:r>
      <w:r>
        <w:rPr>
          <w:rFonts w:ascii="Arial" w:cs="Arial" w:eastAsia="Arial" w:hAnsi="Arial"/>
          <w:sz w:val="18"/>
          <w:szCs w:val="18"/>
          <w:color w:val="auto"/>
        </w:rPr>
        <w:t>”)?</w:t>
      </w:r>
      <w:r>
        <w:rPr>
          <w:rFonts w:ascii="Arial" w:cs="Arial" w:eastAsia="Arial" w:hAnsi="Arial"/>
          <w:sz w:val="15"/>
          <w:szCs w:val="15"/>
          <w:color w:val="auto"/>
        </w:rPr>
        <w:t>17</w:t>
      </w:r>
      <w:r>
        <w:rPr>
          <w:sz w:val="20"/>
          <w:szCs w:val="20"/>
          <w:color w:val="auto"/>
        </w:rPr>
        <w:tab/>
      </w:r>
      <w:r>
        <w:rPr>
          <w:rFonts w:ascii="Arial" w:cs="Arial" w:eastAsia="Arial" w:hAnsi="Arial"/>
          <w:sz w:val="17"/>
          <w:szCs w:val="17"/>
          <w:color w:val="auto"/>
        </w:rPr>
        <w:t>o YES  o NO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YES, please answer the following questions)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 Under which of Section of the Code is the subscriber exempt?</w:t>
      </w:r>
    </w:p>
    <w:p>
      <w:pPr>
        <w:sectPr>
          <w:pgSz w:w="11900" w:h="16838" w:orient="portrait"/>
          <w:cols w:equalWidth="0" w:num="1">
            <w:col w:w="11420"/>
          </w:cols>
          <w:pgMar w:left="240" w:top="936" w:right="239" w:bottom="1440" w:gutter="0" w:footer="0" w:header="0"/>
        </w:sectPr>
      </w:pP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o § 115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 § 501</w:t>
      </w:r>
    </w:p>
    <w:p>
      <w:pPr>
        <w:spacing w:after="0" w:line="200" w:lineRule="exact"/>
        <w:rPr>
          <w:sz w:val="20"/>
          <w:szCs w:val="20"/>
          <w:color w:val="auto"/>
        </w:rPr>
      </w:pPr>
    </w:p>
    <w:p>
      <w:pPr>
        <w:sectPr>
          <w:pgSz w:w="11900" w:h="16838" w:orient="portrait"/>
          <w:cols w:equalWidth="0" w:num="2">
            <w:col w:w="2100" w:space="460"/>
            <w:col w:w="8860"/>
          </w:cols>
          <w:pgMar w:left="240" w:top="936" w:right="239" w:bottom="1440" w:gutter="0" w:footer="0" w:header="0"/>
          <w:type w:val="continuous"/>
        </w:sectPr>
      </w:pPr>
    </w:p>
    <w:p>
      <w:pPr>
        <w:spacing w:after="0" w:line="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 Is the subscriber subject to taxation on “unrelated business taxable income” under Sections 511 and 512 of the Code?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 YES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 NO</w:t>
      </w:r>
    </w:p>
    <w:p>
      <w:pPr>
        <w:spacing w:after="0" w:line="200" w:lineRule="exact"/>
        <w:rPr>
          <w:sz w:val="20"/>
          <w:szCs w:val="20"/>
          <w:color w:val="auto"/>
        </w:rPr>
      </w:pPr>
    </w:p>
    <w:p>
      <w:pPr>
        <w:sectPr>
          <w:pgSz w:w="11900" w:h="16838" w:orient="portrait"/>
          <w:cols w:equalWidth="0" w:num="3">
            <w:col w:w="9700" w:space="720"/>
            <w:col w:w="460" w:space="140"/>
            <w:col w:w="400"/>
          </w:cols>
          <w:pgMar w:left="240" w:top="936" w:right="239" w:bottom="1440" w:gutter="0" w:footer="0" w:header="0"/>
          <w:type w:val="continuous"/>
        </w:sectPr>
      </w:pPr>
    </w:p>
    <w:p>
      <w:pPr>
        <w:spacing w:after="0" w:line="37" w:lineRule="exact"/>
        <w:rPr>
          <w:sz w:val="20"/>
          <w:szCs w:val="20"/>
          <w:color w:val="auto"/>
        </w:rPr>
      </w:pPr>
    </w:p>
    <w:p>
      <w:pPr>
        <w:ind w:left="360" w:hanging="352"/>
        <w:spacing w:after="0"/>
        <w:tabs>
          <w:tab w:leader="none" w:pos="3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the subscriber is a pass-through entity for U.S. federal tax purposes, please list as an attachment the following:</w:t>
      </w:r>
    </w:p>
    <w:p>
      <w:pPr>
        <w:spacing w:after="0" w:line="225" w:lineRule="exact"/>
        <w:rPr>
          <w:rFonts w:ascii="Arial" w:cs="Arial" w:eastAsia="Arial" w:hAnsi="Arial"/>
          <w:sz w:val="18"/>
          <w:szCs w:val="18"/>
          <w:color w:val="auto"/>
        </w:rPr>
      </w:pPr>
    </w:p>
    <w:p>
      <w:pPr>
        <w:ind w:left="600" w:hanging="241"/>
        <w:spacing w:after="0"/>
        <w:tabs>
          <w:tab w:leader="none" w:pos="6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legal forms of entity of the owners of the subscriber (by percentage interest);</w:t>
      </w:r>
    </w:p>
    <w:p>
      <w:pPr>
        <w:spacing w:after="0" w:line="225" w:lineRule="exact"/>
        <w:rPr>
          <w:rFonts w:ascii="Arial" w:cs="Arial" w:eastAsia="Arial" w:hAnsi="Arial"/>
          <w:sz w:val="18"/>
          <w:szCs w:val="18"/>
          <w:color w:val="auto"/>
        </w:rPr>
      </w:pPr>
    </w:p>
    <w:p>
      <w:pPr>
        <w:ind w:left="620" w:hanging="261"/>
        <w:spacing w:after="0"/>
        <w:tabs>
          <w:tab w:leader="none" w:pos="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residence, for tax purposes, of the owners of the subscriber (by percentage interest);</w:t>
      </w:r>
    </w:p>
    <w:p>
      <w:pPr>
        <w:spacing w:after="0" w:line="225" w:lineRule="exact"/>
        <w:rPr>
          <w:rFonts w:ascii="Arial" w:cs="Arial" w:eastAsia="Arial" w:hAnsi="Arial"/>
          <w:sz w:val="18"/>
          <w:szCs w:val="18"/>
          <w:color w:val="auto"/>
        </w:rPr>
      </w:pPr>
    </w:p>
    <w:p>
      <w:pPr>
        <w:ind w:left="360" w:right="1140" w:hanging="1"/>
        <w:spacing w:after="0" w:line="277" w:lineRule="auto"/>
        <w:tabs>
          <w:tab w:leader="none" w:pos="60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entity classification (e.g., corporation, partnership, disregarded entity, trust or estate) for U.S. federal tax purposes of the owners of the subscriber;</w:t>
      </w:r>
    </w:p>
    <w:p>
      <w:pPr>
        <w:spacing w:after="0" w:line="170" w:lineRule="exact"/>
        <w:rPr>
          <w:rFonts w:ascii="Arial" w:cs="Arial" w:eastAsia="Arial" w:hAnsi="Arial"/>
          <w:sz w:val="18"/>
          <w:szCs w:val="18"/>
          <w:color w:val="auto"/>
        </w:rPr>
      </w:pPr>
    </w:p>
    <w:p>
      <w:pPr>
        <w:ind w:left="360" w:right="1200" w:hanging="1"/>
        <w:spacing w:after="0" w:line="277" w:lineRule="auto"/>
        <w:tabs>
          <w:tab w:leader="none" w:pos="61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aggregate percentage interest of owners of the subscriber that are exempt from federal income taxation (Please separately indicate what percentage of such owners are exempt from tax under Sections 115 or 892 of the Code); and</w:t>
      </w:r>
    </w:p>
    <w:p>
      <w:pPr>
        <w:spacing w:after="0" w:line="170" w:lineRule="exact"/>
        <w:rPr>
          <w:rFonts w:ascii="Arial" w:cs="Arial" w:eastAsia="Arial" w:hAnsi="Arial"/>
          <w:sz w:val="18"/>
          <w:szCs w:val="18"/>
          <w:color w:val="auto"/>
        </w:rPr>
      </w:pPr>
    </w:p>
    <w:p>
      <w:pPr>
        <w:ind w:left="360" w:right="1140" w:hanging="1"/>
        <w:spacing w:after="0" w:line="277" w:lineRule="auto"/>
        <w:tabs>
          <w:tab w:leader="none" w:pos="60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for each owner of the subscriber that is a pass-through entity for U.S. federal tax purposes, the information specified in this subsection VII(G)(a)-(d), to the extent such information is known, or reasonably available, to the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3" w:lineRule="exact"/>
        <w:rPr>
          <w:sz w:val="20"/>
          <w:szCs w:val="20"/>
          <w:color w:val="auto"/>
        </w:rPr>
      </w:pPr>
    </w:p>
    <w:p>
      <w:pPr>
        <w:ind w:left="460" w:right="400" w:hanging="452"/>
        <w:spacing w:after="0" w:line="308" w:lineRule="auto"/>
        <w:tabs>
          <w:tab w:leader="none" w:pos="460" w:val="left"/>
        </w:tabs>
        <w:numPr>
          <w:ilvl w:val="0"/>
          <w:numId w:val="157"/>
        </w:numPr>
        <w:rPr>
          <w:rFonts w:ascii="Arial" w:cs="Arial" w:eastAsia="Arial" w:hAnsi="Arial"/>
          <w:sz w:val="14"/>
          <w:szCs w:val="14"/>
          <w:color w:val="auto"/>
        </w:rPr>
      </w:pPr>
      <w:r>
        <w:rPr>
          <w:rFonts w:ascii="Arial" w:cs="Arial" w:eastAsia="Arial" w:hAnsi="Arial"/>
          <w:sz w:val="17"/>
          <w:szCs w:val="17"/>
          <w:color w:val="auto"/>
        </w:rPr>
        <w:t>A Domestic Tax-Exempt Investor is one that is exempt from U.S. Federal Income Taxation under Sections 115 or 501 of the Code (very generally, states and municipalities and certain domestic organizations that have applied for and received an exemption from U.S. tax).</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VIII. Tax Status of Non-U.S. 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questions are relevant to proposed purchasers that are (or are acting for) a Beneficial Owner that is a non-U.S. person.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(A)</w:t>
            </w:r>
          </w:p>
        </w:tc>
        <w:tc>
          <w:tcPr>
            <w:tcW w:w="9580" w:type="dxa"/>
            <w:vAlign w:val="bottom"/>
            <w:gridSpan w:val="3"/>
          </w:tcPr>
          <w:p>
            <w:pPr>
              <w:ind w:left="60"/>
              <w:spacing w:after="0"/>
              <w:rPr>
                <w:sz w:val="20"/>
                <w:szCs w:val="20"/>
                <w:color w:val="auto"/>
              </w:rPr>
            </w:pPr>
            <w:r>
              <w:rPr>
                <w:rFonts w:ascii="Arial" w:cs="Arial" w:eastAsia="Arial" w:hAnsi="Arial"/>
                <w:sz w:val="18"/>
                <w:szCs w:val="18"/>
                <w:color w:val="auto"/>
              </w:rPr>
              <w:t>Do you qualify as an integral part or a controlled entity of a foreign government for purposes of section 892 of the Code</w:t>
            </w:r>
          </w:p>
        </w:tc>
        <w:tc>
          <w:tcPr>
            <w:tcW w:w="1080" w:type="dxa"/>
            <w:vAlign w:val="bottom"/>
          </w:tcPr>
          <w:p>
            <w:pPr>
              <w:ind w:left="54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230"/>
        </w:trPr>
        <w:tc>
          <w:tcPr>
            <w:tcW w:w="300" w:type="dxa"/>
            <w:vAlign w:val="bottom"/>
          </w:tcPr>
          <w:p>
            <w:pPr>
              <w:spacing w:after="0"/>
              <w:rPr>
                <w:sz w:val="20"/>
                <w:szCs w:val="20"/>
                <w:color w:val="auto"/>
              </w:rPr>
            </w:pPr>
          </w:p>
        </w:tc>
        <w:tc>
          <w:tcPr>
            <w:tcW w:w="9580" w:type="dxa"/>
            <w:vAlign w:val="bottom"/>
            <w:gridSpan w:val="3"/>
          </w:tcPr>
          <w:p>
            <w:pPr>
              <w:ind w:left="60"/>
              <w:spacing w:after="0"/>
              <w:rPr>
                <w:sz w:val="20"/>
                <w:szCs w:val="20"/>
                <w:color w:val="auto"/>
              </w:rPr>
            </w:pPr>
            <w:r>
              <w:rPr>
                <w:rFonts w:ascii="Arial" w:cs="Arial" w:eastAsia="Arial" w:hAnsi="Arial"/>
                <w:sz w:val="18"/>
                <w:szCs w:val="18"/>
                <w:color w:val="auto"/>
              </w:rPr>
              <w:t>(for example, certain sovereign wealth funds)?</w:t>
            </w: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9580" w:type="dxa"/>
            <w:vAlign w:val="bottom"/>
            <w:gridSpan w:val="3"/>
          </w:tcPr>
          <w:p>
            <w:pPr>
              <w:ind w:left="60"/>
              <w:spacing w:after="0"/>
              <w:rPr>
                <w:sz w:val="20"/>
                <w:szCs w:val="20"/>
                <w:color w:val="auto"/>
              </w:rPr>
            </w:pPr>
            <w:r>
              <w:rPr>
                <w:rFonts w:ascii="Arial" w:cs="Arial" w:eastAsia="Arial" w:hAnsi="Arial"/>
                <w:sz w:val="18"/>
                <w:szCs w:val="18"/>
                <w:color w:val="auto"/>
              </w:rPr>
              <w:t>If YES, please furnish an executed copy of form W-8EXP.</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9580" w:type="dxa"/>
            <w:vAlign w:val="bottom"/>
            <w:gridSpan w:val="3"/>
          </w:tcPr>
          <w:p>
            <w:pPr>
              <w:ind w:left="60"/>
              <w:spacing w:after="0"/>
              <w:rPr>
                <w:sz w:val="20"/>
                <w:szCs w:val="20"/>
                <w:color w:val="auto"/>
              </w:rPr>
            </w:pPr>
            <w:r>
              <w:rPr>
                <w:rFonts w:ascii="Arial" w:cs="Arial" w:eastAsia="Arial" w:hAnsi="Arial"/>
                <w:sz w:val="18"/>
                <w:szCs w:val="18"/>
                <w:color w:val="auto"/>
                <w:w w:val="96"/>
              </w:rPr>
              <w:t>Do you qualify as a pension fund entitled to an exemption from withholding tax on dividends under an applicable tax treaty?</w:t>
            </w:r>
          </w:p>
        </w:tc>
        <w:tc>
          <w:tcPr>
            <w:tcW w:w="1080" w:type="dxa"/>
            <w:vAlign w:val="bottom"/>
          </w:tcPr>
          <w:p>
            <w:pPr>
              <w:ind w:left="54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432"/>
        </w:trPr>
        <w:tc>
          <w:tcPr>
            <w:tcW w:w="300" w:type="dxa"/>
            <w:vAlign w:val="bottom"/>
          </w:tcPr>
          <w:p>
            <w:pPr>
              <w:spacing w:after="0"/>
              <w:rPr>
                <w:sz w:val="24"/>
                <w:szCs w:val="24"/>
                <w:color w:val="auto"/>
              </w:rPr>
            </w:pPr>
          </w:p>
        </w:tc>
        <w:tc>
          <w:tcPr>
            <w:tcW w:w="9580" w:type="dxa"/>
            <w:vAlign w:val="bottom"/>
            <w:gridSpan w:val="3"/>
          </w:tcPr>
          <w:p>
            <w:pPr>
              <w:ind w:left="60"/>
              <w:spacing w:after="0"/>
              <w:rPr>
                <w:sz w:val="20"/>
                <w:szCs w:val="20"/>
                <w:color w:val="auto"/>
              </w:rPr>
            </w:pPr>
            <w:r>
              <w:rPr>
                <w:rFonts w:ascii="Arial" w:cs="Arial" w:eastAsia="Arial" w:hAnsi="Arial"/>
                <w:sz w:val="18"/>
                <w:szCs w:val="18"/>
                <w:color w:val="auto"/>
              </w:rPr>
              <w:t>If YES, please indicate the relevant treaty here and on an executed copy of form W-8BEN.</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1680" w:type="dxa"/>
            <w:vAlign w:val="bottom"/>
          </w:tcPr>
          <w:p>
            <w:pPr>
              <w:ind w:left="280"/>
              <w:spacing w:after="0"/>
              <w:rPr>
                <w:sz w:val="20"/>
                <w:szCs w:val="20"/>
                <w:color w:val="auto"/>
              </w:rPr>
            </w:pPr>
            <w:r>
              <w:rPr>
                <w:rFonts w:ascii="Arial" w:cs="Arial" w:eastAsia="Arial" w:hAnsi="Arial"/>
                <w:sz w:val="18"/>
                <w:szCs w:val="18"/>
                <w:i w:val="1"/>
                <w:iCs w:val="1"/>
                <w:color w:val="auto"/>
                <w:w w:val="95"/>
              </w:rPr>
              <w:t>Applicable Treaty</w:t>
            </w:r>
            <w:r>
              <w:rPr>
                <w:rFonts w:ascii="Arial" w:cs="Arial" w:eastAsia="Arial" w:hAnsi="Arial"/>
                <w:sz w:val="18"/>
                <w:szCs w:val="18"/>
                <w:color w:val="auto"/>
                <w:w w:val="95"/>
              </w:rPr>
              <w:t>:</w:t>
            </w:r>
          </w:p>
        </w:tc>
        <w:tc>
          <w:tcPr>
            <w:tcW w:w="69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628"/>
        </w:trPr>
        <w:tc>
          <w:tcPr>
            <w:tcW w:w="300" w:type="dxa"/>
            <w:vAlign w:val="bottom"/>
          </w:tcPr>
          <w:p>
            <w:pPr>
              <w:spacing w:after="0"/>
              <w:rPr>
                <w:sz w:val="20"/>
                <w:szCs w:val="20"/>
                <w:color w:val="auto"/>
              </w:rPr>
            </w:pPr>
            <w:r>
              <w:rPr>
                <w:rFonts w:ascii="Arial" w:cs="Arial" w:eastAsia="Arial" w:hAnsi="Arial"/>
                <w:sz w:val="18"/>
                <w:szCs w:val="18"/>
                <w:color w:val="auto"/>
              </w:rPr>
              <w:t>(C)</w:t>
            </w:r>
          </w:p>
        </w:tc>
        <w:tc>
          <w:tcPr>
            <w:tcW w:w="9580" w:type="dxa"/>
            <w:vAlign w:val="bottom"/>
            <w:gridSpan w:val="3"/>
          </w:tcPr>
          <w:p>
            <w:pPr>
              <w:ind w:left="60"/>
              <w:spacing w:after="0"/>
              <w:rPr>
                <w:sz w:val="20"/>
                <w:szCs w:val="20"/>
                <w:color w:val="auto"/>
              </w:rPr>
            </w:pPr>
            <w:r>
              <w:rPr>
                <w:rFonts w:ascii="Arial" w:cs="Arial" w:eastAsia="Arial" w:hAnsi="Arial"/>
                <w:sz w:val="18"/>
                <w:szCs w:val="18"/>
                <w:color w:val="auto"/>
              </w:rPr>
              <w:t>Do you qualify for a reduced rate of withholding tax on dividends under an applicable tax treaty?</w:t>
            </w:r>
          </w:p>
        </w:tc>
        <w:tc>
          <w:tcPr>
            <w:tcW w:w="1080" w:type="dxa"/>
            <w:vAlign w:val="bottom"/>
          </w:tcPr>
          <w:p>
            <w:pPr>
              <w:ind w:left="54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432"/>
        </w:trPr>
        <w:tc>
          <w:tcPr>
            <w:tcW w:w="300" w:type="dxa"/>
            <w:vAlign w:val="bottom"/>
          </w:tcPr>
          <w:p>
            <w:pPr>
              <w:spacing w:after="0"/>
              <w:rPr>
                <w:sz w:val="24"/>
                <w:szCs w:val="24"/>
                <w:color w:val="auto"/>
              </w:rPr>
            </w:pPr>
          </w:p>
        </w:tc>
        <w:tc>
          <w:tcPr>
            <w:tcW w:w="9580" w:type="dxa"/>
            <w:vAlign w:val="bottom"/>
            <w:gridSpan w:val="3"/>
          </w:tcPr>
          <w:p>
            <w:pPr>
              <w:ind w:left="280"/>
              <w:spacing w:after="0"/>
              <w:rPr>
                <w:sz w:val="20"/>
                <w:szCs w:val="20"/>
                <w:color w:val="auto"/>
              </w:rPr>
            </w:pPr>
            <w:r>
              <w:rPr>
                <w:rFonts w:ascii="Arial" w:cs="Arial" w:eastAsia="Arial" w:hAnsi="Arial"/>
                <w:sz w:val="18"/>
                <w:szCs w:val="18"/>
                <w:color w:val="auto"/>
              </w:rPr>
              <w:t>If YES, please indicate the relevant treaty here and on an executed copy of form W-8BEN.</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1680" w:type="dxa"/>
            <w:vAlign w:val="bottom"/>
          </w:tcPr>
          <w:p>
            <w:pPr>
              <w:ind w:left="280"/>
              <w:spacing w:after="0"/>
              <w:rPr>
                <w:sz w:val="20"/>
                <w:szCs w:val="20"/>
                <w:color w:val="auto"/>
              </w:rPr>
            </w:pPr>
            <w:r>
              <w:rPr>
                <w:rFonts w:ascii="Arial" w:cs="Arial" w:eastAsia="Arial" w:hAnsi="Arial"/>
                <w:sz w:val="18"/>
                <w:szCs w:val="18"/>
                <w:i w:val="1"/>
                <w:iCs w:val="1"/>
                <w:color w:val="auto"/>
                <w:w w:val="95"/>
              </w:rPr>
              <w:t>Applicable Treaty</w:t>
            </w:r>
            <w:r>
              <w:rPr>
                <w:rFonts w:ascii="Arial" w:cs="Arial" w:eastAsia="Arial" w:hAnsi="Arial"/>
                <w:sz w:val="18"/>
                <w:szCs w:val="18"/>
                <w:color w:val="auto"/>
                <w:w w:val="95"/>
              </w:rPr>
              <w:t>:</w:t>
            </w:r>
          </w:p>
        </w:tc>
        <w:tc>
          <w:tcPr>
            <w:tcW w:w="69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360" w:right="1160" w:hanging="352"/>
        <w:spacing w:after="0" w:line="259" w:lineRule="auto"/>
        <w:tabs>
          <w:tab w:leader="none" w:pos="3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you are acting as a custodian, nominee, or in another capacity other than as the sole beneficial owner, or if you are a partnership or other fiscally transparent entity for tax purposes in the United States, your country or organization or the country of residence of a partner or interest holder, please provide information regarding the tax status of the relevant beneficial owners, partners or other interest holders, including:</w:t>
      </w:r>
    </w:p>
    <w:p>
      <w:pPr>
        <w:spacing w:after="0" w:line="186" w:lineRule="exact"/>
        <w:rPr>
          <w:rFonts w:ascii="Arial" w:cs="Arial" w:eastAsia="Arial" w:hAnsi="Arial"/>
          <w:sz w:val="18"/>
          <w:szCs w:val="18"/>
          <w:color w:val="auto"/>
        </w:rPr>
      </w:pPr>
    </w:p>
    <w:p>
      <w:pPr>
        <w:ind w:left="600" w:hanging="241"/>
        <w:spacing w:after="0"/>
        <w:tabs>
          <w:tab w:leader="none" w:pos="6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legal forms of the relevant beneficial owners, partners or other interest holders (by percentage interest);</w:t>
      </w:r>
    </w:p>
    <w:p>
      <w:pPr>
        <w:spacing w:after="0" w:line="225" w:lineRule="exact"/>
        <w:rPr>
          <w:rFonts w:ascii="Arial" w:cs="Arial" w:eastAsia="Arial" w:hAnsi="Arial"/>
          <w:sz w:val="18"/>
          <w:szCs w:val="18"/>
          <w:color w:val="auto"/>
        </w:rPr>
      </w:pPr>
    </w:p>
    <w:p>
      <w:pPr>
        <w:ind w:left="620" w:hanging="261"/>
        <w:spacing w:after="0"/>
        <w:tabs>
          <w:tab w:leader="none" w:pos="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residence, for tax purposes, of the relevant beneficial owners, partners or other interest holders (by percentage interest);</w:t>
      </w:r>
    </w:p>
    <w:p>
      <w:pPr>
        <w:spacing w:after="0" w:line="225" w:lineRule="exact"/>
        <w:rPr>
          <w:rFonts w:ascii="Arial" w:cs="Arial" w:eastAsia="Arial" w:hAnsi="Arial"/>
          <w:sz w:val="18"/>
          <w:szCs w:val="18"/>
          <w:color w:val="auto"/>
        </w:rPr>
      </w:pPr>
    </w:p>
    <w:p>
      <w:pPr>
        <w:ind w:left="360" w:right="1280" w:hanging="1"/>
        <w:spacing w:after="0" w:line="277" w:lineRule="auto"/>
        <w:tabs>
          <w:tab w:leader="none" w:pos="605"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entity classification (e.g., corporation, partnership, disregarded entity, trust or estate) for U.S. federal tax purposes of the relevant beneficial owners, partners or other interest holders;</w:t>
      </w:r>
    </w:p>
    <w:p>
      <w:pPr>
        <w:spacing w:after="0" w:line="170" w:lineRule="exact"/>
        <w:rPr>
          <w:rFonts w:ascii="Arial" w:cs="Arial" w:eastAsia="Arial" w:hAnsi="Arial"/>
          <w:sz w:val="18"/>
          <w:szCs w:val="18"/>
          <w:color w:val="auto"/>
        </w:rPr>
      </w:pPr>
    </w:p>
    <w:p>
      <w:pPr>
        <w:ind w:left="360" w:right="1520" w:hanging="1"/>
        <w:spacing w:after="0" w:line="308" w:lineRule="auto"/>
        <w:tabs>
          <w:tab w:leader="none" w:pos="615"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aggregate percentage interest of the relevant beneficial owners, partners or other interest holders that are exempt from federal income taxation (Please separately indicate what percentage of such owners are exempt from tax under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1" w:name="page132"/>
    <w:bookmarkEnd w:id="131"/>
    <w:p>
      <w:pPr>
        <w:ind w:left="340"/>
        <w:spacing w:after="0"/>
        <w:rPr>
          <w:sz w:val="20"/>
          <w:szCs w:val="20"/>
          <w:color w:val="auto"/>
        </w:rPr>
      </w:pPr>
      <w:r>
        <w:rPr>
          <w:rFonts w:ascii="Arial" w:cs="Arial" w:eastAsia="Arial" w:hAnsi="Arial"/>
          <w:sz w:val="18"/>
          <w:szCs w:val="18"/>
          <w:color w:val="auto"/>
        </w:rPr>
        <w:t>Sections 892 of the Code); and</w:t>
      </w:r>
    </w:p>
    <w:p>
      <w:pPr>
        <w:spacing w:after="0" w:line="225" w:lineRule="exact"/>
        <w:rPr>
          <w:sz w:val="20"/>
          <w:szCs w:val="20"/>
          <w:color w:val="auto"/>
        </w:rPr>
      </w:pPr>
    </w:p>
    <w:p>
      <w:pPr>
        <w:ind w:left="340" w:right="1160" w:firstLine="6"/>
        <w:spacing w:after="0" w:line="277" w:lineRule="auto"/>
        <w:tabs>
          <w:tab w:leader="none" w:pos="58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each owner of the subscriber that is a pass-through entity for U.S. federal tax purposes, the information specified in this subsection VIIID)(a)-(d), to the extent such information is known, or reasonably available, to the subscriber.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40" w:type="dxa"/>
            <w:vAlign w:val="bottom"/>
          </w:tcPr>
          <w:p>
            <w:pPr>
              <w:jc w:val="right"/>
              <w:spacing w:after="0"/>
              <w:rPr>
                <w:sz w:val="20"/>
                <w:szCs w:val="20"/>
                <w:color w:val="auto"/>
              </w:rPr>
            </w:pPr>
            <w:r>
              <w:rPr>
                <w:rFonts w:ascii="Arial" w:cs="Arial" w:eastAsia="Arial" w:hAnsi="Arial"/>
                <w:sz w:val="18"/>
                <w:szCs w:val="18"/>
                <w:color w:val="auto"/>
                <w:w w:val="91"/>
              </w:rPr>
              <w:t>(E) Is the subscriber fiscally transparent in its jurisdiction of organization within the meaning of Section 894 of the Code and related Treasury</w:t>
            </w:r>
          </w:p>
        </w:tc>
        <w:tc>
          <w:tcPr>
            <w:tcW w:w="620" w:type="dxa"/>
            <w:vAlign w:val="bottom"/>
          </w:tcPr>
          <w:p>
            <w:pPr>
              <w:ind w:left="8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230"/>
        </w:trPr>
        <w:tc>
          <w:tcPr>
            <w:tcW w:w="10340" w:type="dxa"/>
            <w:vAlign w:val="bottom"/>
          </w:tcPr>
          <w:p>
            <w:pPr>
              <w:jc w:val="right"/>
              <w:ind w:right="6310"/>
              <w:spacing w:after="0"/>
              <w:rPr>
                <w:sz w:val="20"/>
                <w:szCs w:val="20"/>
                <w:color w:val="auto"/>
              </w:rPr>
            </w:pPr>
            <w:r>
              <w:rPr>
                <w:rFonts w:ascii="Arial" w:cs="Arial" w:eastAsia="Arial" w:hAnsi="Arial"/>
                <w:sz w:val="18"/>
                <w:szCs w:val="18"/>
                <w:color w:val="auto"/>
                <w:w w:val="98"/>
              </w:rPr>
              <w:t>Regulations, with respect to any items of income?</w:t>
            </w: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18"/>
        </w:trPr>
        <w:tc>
          <w:tcPr>
            <w:tcW w:w="10340" w:type="dxa"/>
            <w:vAlign w:val="bottom"/>
          </w:tcPr>
          <w:p>
            <w:pPr>
              <w:jc w:val="right"/>
              <w:ind w:right="130"/>
              <w:spacing w:after="0"/>
              <w:rPr>
                <w:sz w:val="20"/>
                <w:szCs w:val="20"/>
                <w:color w:val="auto"/>
              </w:rPr>
            </w:pPr>
            <w:r>
              <w:rPr>
                <w:rFonts w:ascii="Arial" w:cs="Arial" w:eastAsia="Arial" w:hAnsi="Arial"/>
                <w:sz w:val="18"/>
                <w:szCs w:val="18"/>
                <w:color w:val="auto"/>
                <w:w w:val="95"/>
              </w:rPr>
              <w:t>(1) If YES, will the items of income received by the subscriber from the Company be treated as derived by a resident of an applicable</w:t>
            </w:r>
          </w:p>
        </w:tc>
        <w:tc>
          <w:tcPr>
            <w:tcW w:w="620" w:type="dxa"/>
            <w:vAlign w:val="bottom"/>
          </w:tcPr>
          <w:p>
            <w:pPr>
              <w:ind w:left="8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230"/>
        </w:trPr>
        <w:tc>
          <w:tcPr>
            <w:tcW w:w="10340" w:type="dxa"/>
            <w:vAlign w:val="bottom"/>
          </w:tcPr>
          <w:p>
            <w:pPr>
              <w:jc w:val="right"/>
              <w:ind w:right="2270"/>
              <w:spacing w:after="0"/>
              <w:rPr>
                <w:sz w:val="20"/>
                <w:szCs w:val="20"/>
                <w:color w:val="auto"/>
              </w:rPr>
            </w:pPr>
            <w:r>
              <w:rPr>
                <w:rFonts w:ascii="Arial" w:cs="Arial" w:eastAsia="Arial" w:hAnsi="Arial"/>
                <w:sz w:val="18"/>
                <w:szCs w:val="18"/>
                <w:color w:val="auto"/>
              </w:rPr>
              <w:t>treaty jurisdiction, within the meaning of Section 894 of the Code and related Treasury Regulations?</w:t>
            </w: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05"/>
        </w:trPr>
        <w:tc>
          <w:tcPr>
            <w:tcW w:w="10340" w:type="dxa"/>
            <w:vAlign w:val="bottom"/>
          </w:tcPr>
          <w:p>
            <w:pPr>
              <w:jc w:val="right"/>
              <w:ind w:right="445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6"/>
        </w:trPr>
        <w:tc>
          <w:tcPr>
            <w:tcW w:w="103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IX. Anti-Money Laundering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Name of the bank from which your payments to the Company will be wired (the “</w:t>
      </w:r>
      <w:r>
        <w:rPr>
          <w:rFonts w:ascii="Arial" w:cs="Arial" w:eastAsia="Arial" w:hAnsi="Arial"/>
          <w:sz w:val="18"/>
          <w:szCs w:val="18"/>
          <w:u w:val="single" w:color="auto"/>
          <w:color w:val="auto"/>
        </w:rPr>
        <w:t>Wiring Bank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152400</wp:posOffset>
            </wp:positionV>
            <wp:extent cx="70237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10060" w:type="dxa"/>
            <w:vAlign w:val="bottom"/>
            <w:gridSpan w:val="5"/>
          </w:tcPr>
          <w:p>
            <w:pPr>
              <w:ind w:left="60"/>
              <w:spacing w:after="0"/>
              <w:rPr>
                <w:sz w:val="20"/>
                <w:szCs w:val="20"/>
                <w:color w:val="auto"/>
              </w:rPr>
            </w:pPr>
            <w:r>
              <w:rPr>
                <w:rFonts w:ascii="Arial" w:cs="Arial" w:eastAsia="Arial" w:hAnsi="Arial"/>
                <w:sz w:val="18"/>
                <w:szCs w:val="18"/>
                <w:color w:val="auto"/>
              </w:rPr>
              <w:t>Is the Wiring Bank located in the United States or another “FATF Country</w:t>
            </w:r>
            <w:r>
              <w:rPr>
                <w:rFonts w:ascii="Arial" w:cs="Arial" w:eastAsia="Arial" w:hAnsi="Arial"/>
                <w:sz w:val="15"/>
                <w:szCs w:val="15"/>
                <w:color w:val="auto"/>
              </w:rPr>
              <w:t>18</w:t>
            </w: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(C)</w:t>
            </w:r>
          </w:p>
        </w:tc>
        <w:tc>
          <w:tcPr>
            <w:tcW w:w="10060" w:type="dxa"/>
            <w:vAlign w:val="bottom"/>
            <w:gridSpan w:val="5"/>
          </w:tcPr>
          <w:p>
            <w:pPr>
              <w:ind w:left="60"/>
              <w:spacing w:after="0"/>
              <w:rPr>
                <w:sz w:val="20"/>
                <w:szCs w:val="20"/>
                <w:color w:val="auto"/>
              </w:rPr>
            </w:pPr>
            <w:r>
              <w:rPr>
                <w:rFonts w:ascii="Arial" w:cs="Arial" w:eastAsia="Arial" w:hAnsi="Arial"/>
                <w:sz w:val="18"/>
                <w:szCs w:val="18"/>
                <w:color w:val="auto"/>
              </w:rPr>
              <w:t>Are you a customer of the Wiring Bank?</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418"/>
        </w:trPr>
        <w:tc>
          <w:tcPr>
            <w:tcW w:w="300" w:type="dxa"/>
            <w:vAlign w:val="bottom"/>
          </w:tcPr>
          <w:p>
            <w:pPr>
              <w:spacing w:after="0"/>
              <w:rPr>
                <w:sz w:val="24"/>
                <w:szCs w:val="24"/>
                <w:color w:val="auto"/>
              </w:rPr>
            </w:pPr>
          </w:p>
        </w:tc>
        <w:tc>
          <w:tcPr>
            <w:tcW w:w="10060" w:type="dxa"/>
            <w:vAlign w:val="bottom"/>
            <w:gridSpan w:val="5"/>
          </w:tcPr>
          <w:p>
            <w:pPr>
              <w:ind w:left="60"/>
              <w:spacing w:after="0"/>
              <w:rPr>
                <w:sz w:val="20"/>
                <w:szCs w:val="20"/>
                <w:color w:val="auto"/>
              </w:rPr>
            </w:pPr>
            <w:r>
              <w:rPr>
                <w:rFonts w:ascii="Arial" w:cs="Arial" w:eastAsia="Arial" w:hAnsi="Arial"/>
                <w:sz w:val="18"/>
                <w:szCs w:val="18"/>
                <w:b w:val="1"/>
                <w:bCs w:val="1"/>
                <w:color w:val="auto"/>
                <w:w w:val="93"/>
              </w:rPr>
              <w:t xml:space="preserve">NOTE: </w:t>
            </w:r>
            <w:r>
              <w:rPr>
                <w:rFonts w:ascii="Arial" w:cs="Arial" w:eastAsia="Arial" w:hAnsi="Arial"/>
                <w:sz w:val="18"/>
                <w:szCs w:val="18"/>
                <w:color w:val="auto"/>
                <w:w w:val="93"/>
              </w:rPr>
              <w:t>If the answer to IX(B) or IX(C) above is NO, please contact the Company immediately for a list of additional documentation that</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300" w:type="dxa"/>
            <w:vAlign w:val="bottom"/>
          </w:tcPr>
          <w:p>
            <w:pPr>
              <w:spacing w:after="0"/>
              <w:rPr>
                <w:sz w:val="20"/>
                <w:szCs w:val="20"/>
                <w:color w:val="auto"/>
              </w:rPr>
            </w:pPr>
          </w:p>
        </w:tc>
        <w:tc>
          <w:tcPr>
            <w:tcW w:w="10060" w:type="dxa"/>
            <w:vAlign w:val="bottom"/>
            <w:gridSpan w:val="5"/>
          </w:tcPr>
          <w:p>
            <w:pPr>
              <w:ind w:left="60"/>
              <w:spacing w:after="0"/>
              <w:rPr>
                <w:sz w:val="20"/>
                <w:szCs w:val="20"/>
                <w:color w:val="auto"/>
              </w:rPr>
            </w:pPr>
            <w:r>
              <w:rPr>
                <w:rFonts w:ascii="Arial" w:cs="Arial" w:eastAsia="Arial" w:hAnsi="Arial"/>
                <w:sz w:val="18"/>
                <w:szCs w:val="18"/>
                <w:color w:val="auto"/>
              </w:rPr>
              <w:t>must be provided to the Company.</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10360" w:type="dxa"/>
            <w:vAlign w:val="bottom"/>
            <w:gridSpan w:val="6"/>
          </w:tcPr>
          <w:p>
            <w:pPr>
              <w:spacing w:after="0"/>
              <w:rPr>
                <w:sz w:val="20"/>
                <w:szCs w:val="20"/>
                <w:color w:val="auto"/>
              </w:rPr>
            </w:pPr>
            <w:r>
              <w:rPr>
                <w:rFonts w:ascii="Arial" w:cs="Arial" w:eastAsia="Arial" w:hAnsi="Arial"/>
                <w:sz w:val="18"/>
                <w:szCs w:val="18"/>
                <w:b w:val="1"/>
                <w:bCs w:val="1"/>
                <w:color w:val="auto"/>
              </w:rPr>
              <w:t>X. Subscriber Status Elections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0360" w:type="dxa"/>
            <w:vAlign w:val="bottom"/>
            <w:gridSpan w:val="6"/>
          </w:tcPr>
          <w:p>
            <w:pPr>
              <w:spacing w:after="0"/>
              <w:rPr>
                <w:sz w:val="20"/>
                <w:szCs w:val="20"/>
                <w:color w:val="auto"/>
              </w:rPr>
            </w:pPr>
            <w:r>
              <w:rPr>
                <w:rFonts w:ascii="Arial" w:cs="Arial" w:eastAsia="Arial" w:hAnsi="Arial"/>
                <w:sz w:val="18"/>
                <w:szCs w:val="18"/>
                <w:color w:val="auto"/>
              </w:rPr>
              <w:t>In each case below, specify whether the subscriber is claiming the indicated status.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10360" w:type="dxa"/>
            <w:vAlign w:val="bottom"/>
            <w:gridSpan w:val="6"/>
          </w:tcPr>
          <w:p>
            <w:pPr>
              <w:ind w:left="260"/>
              <w:spacing w:after="0"/>
              <w:rPr>
                <w:sz w:val="20"/>
                <w:szCs w:val="20"/>
                <w:color w:val="auto"/>
              </w:rPr>
            </w:pPr>
            <w:r>
              <w:rPr>
                <w:rFonts w:ascii="Arial" w:cs="Arial" w:eastAsia="Arial" w:hAnsi="Arial"/>
                <w:sz w:val="18"/>
                <w:szCs w:val="18"/>
                <w:color w:val="auto"/>
              </w:rPr>
              <w:t>Benefit Plan Investor (</w:t>
            </w:r>
            <w:r>
              <w:rPr>
                <w:rFonts w:ascii="Arial" w:cs="Arial" w:eastAsia="Arial" w:hAnsi="Arial"/>
                <w:sz w:val="18"/>
                <w:szCs w:val="18"/>
                <w:b w:val="1"/>
                <w:bCs w:val="1"/>
                <w:color w:val="auto"/>
              </w:rPr>
              <w:t>NOTE</w:t>
            </w:r>
            <w:r>
              <w:rPr>
                <w:rFonts w:ascii="Arial" w:cs="Arial" w:eastAsia="Arial" w:hAnsi="Arial"/>
                <w:sz w:val="18"/>
                <w:szCs w:val="18"/>
                <w:color w:val="auto"/>
              </w:rPr>
              <w:t>: must also check YES to VI(A) above)</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60" w:type="dxa"/>
            <w:vAlign w:val="bottom"/>
          </w:tcPr>
          <w:p>
            <w:pPr>
              <w:spacing w:after="0"/>
              <w:rPr>
                <w:sz w:val="24"/>
                <w:szCs w:val="24"/>
                <w:color w:val="auto"/>
              </w:rPr>
            </w:pPr>
          </w:p>
        </w:tc>
      </w:tr>
      <w:tr>
        <w:trPr>
          <w:trHeight w:val="432"/>
        </w:trPr>
        <w:tc>
          <w:tcPr>
            <w:tcW w:w="10360" w:type="dxa"/>
            <w:vAlign w:val="bottom"/>
            <w:gridSpan w:val="6"/>
          </w:tcPr>
          <w:p>
            <w:pPr>
              <w:ind w:left="260"/>
              <w:spacing w:after="0"/>
              <w:rPr>
                <w:sz w:val="20"/>
                <w:szCs w:val="20"/>
                <w:color w:val="auto"/>
              </w:rPr>
            </w:pPr>
            <w:r>
              <w:rPr>
                <w:rFonts w:ascii="Arial" w:cs="Arial" w:eastAsia="Arial" w:hAnsi="Arial"/>
                <w:sz w:val="18"/>
                <w:szCs w:val="18"/>
                <w:color w:val="auto"/>
              </w:rPr>
              <w:t>Governmental Plan Investor (</w:t>
            </w:r>
            <w:r>
              <w:rPr>
                <w:rFonts w:ascii="Arial" w:cs="Arial" w:eastAsia="Arial" w:hAnsi="Arial"/>
                <w:sz w:val="18"/>
                <w:szCs w:val="18"/>
                <w:b w:val="1"/>
                <w:bCs w:val="1"/>
                <w:color w:val="auto"/>
              </w:rPr>
              <w:t>NOTE</w:t>
            </w:r>
            <w:r>
              <w:rPr>
                <w:rFonts w:ascii="Arial" w:cs="Arial" w:eastAsia="Arial" w:hAnsi="Arial"/>
                <w:sz w:val="18"/>
                <w:szCs w:val="18"/>
                <w:color w:val="auto"/>
              </w:rPr>
              <w:t>: must also check YES to III(D) above)</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60" w:type="dxa"/>
            <w:vAlign w:val="bottom"/>
          </w:tcPr>
          <w:p>
            <w:pPr>
              <w:spacing w:after="0"/>
              <w:rPr>
                <w:sz w:val="24"/>
                <w:szCs w:val="24"/>
                <w:color w:val="auto"/>
              </w:rPr>
            </w:pPr>
          </w:p>
        </w:tc>
      </w:tr>
      <w:tr>
        <w:trPr>
          <w:trHeight w:val="432"/>
        </w:trPr>
        <w:tc>
          <w:tcPr>
            <w:tcW w:w="10360" w:type="dxa"/>
            <w:vAlign w:val="bottom"/>
            <w:gridSpan w:val="6"/>
          </w:tcPr>
          <w:p>
            <w:pPr>
              <w:ind w:left="260"/>
              <w:spacing w:after="0"/>
              <w:rPr>
                <w:sz w:val="20"/>
                <w:szCs w:val="20"/>
                <w:color w:val="auto"/>
              </w:rPr>
            </w:pPr>
            <w:r>
              <w:rPr>
                <w:rFonts w:ascii="Arial" w:cs="Arial" w:eastAsia="Arial" w:hAnsi="Arial"/>
                <w:sz w:val="18"/>
                <w:szCs w:val="18"/>
                <w:color w:val="auto"/>
              </w:rPr>
              <w:t>Foreign Investor</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60" w:type="dxa"/>
            <w:vAlign w:val="bottom"/>
          </w:tcPr>
          <w:p>
            <w:pPr>
              <w:spacing w:after="0"/>
              <w:rPr>
                <w:sz w:val="24"/>
                <w:szCs w:val="24"/>
                <w:color w:val="auto"/>
              </w:rPr>
            </w:pPr>
          </w:p>
        </w:tc>
      </w:tr>
      <w:tr>
        <w:trPr>
          <w:trHeight w:val="432"/>
        </w:trPr>
        <w:tc>
          <w:tcPr>
            <w:tcW w:w="10360" w:type="dxa"/>
            <w:vAlign w:val="bottom"/>
            <w:gridSpan w:val="6"/>
          </w:tcPr>
          <w:p>
            <w:pPr>
              <w:ind w:left="260"/>
              <w:spacing w:after="0"/>
              <w:rPr>
                <w:sz w:val="20"/>
                <w:szCs w:val="20"/>
                <w:color w:val="auto"/>
              </w:rPr>
            </w:pPr>
            <w:r>
              <w:rPr>
                <w:rFonts w:ascii="Arial" w:cs="Arial" w:eastAsia="Arial" w:hAnsi="Arial"/>
                <w:sz w:val="18"/>
                <w:szCs w:val="18"/>
                <w:color w:val="auto"/>
              </w:rPr>
              <w:t>Section 892 Investor</w:t>
            </w:r>
            <w:r>
              <w:rPr>
                <w:rFonts w:ascii="Arial" w:cs="Arial" w:eastAsia="Arial" w:hAnsi="Arial"/>
                <w:sz w:val="15"/>
                <w:szCs w:val="15"/>
                <w:color w:val="auto"/>
              </w:rPr>
              <w:t>19</w:t>
            </w:r>
            <w:r>
              <w:rPr>
                <w:rFonts w:ascii="Arial" w:cs="Arial" w:eastAsia="Arial" w:hAnsi="Arial"/>
                <w:sz w:val="18"/>
                <w:szCs w:val="18"/>
                <w:color w:val="auto"/>
              </w:rPr>
              <w:t xml:space="preserve"> (</w:t>
            </w:r>
            <w:r>
              <w:rPr>
                <w:rFonts w:ascii="Arial" w:cs="Arial" w:eastAsia="Arial" w:hAnsi="Arial"/>
                <w:sz w:val="18"/>
                <w:szCs w:val="18"/>
                <w:b w:val="1"/>
                <w:bCs w:val="1"/>
                <w:color w:val="auto"/>
              </w:rPr>
              <w:t>NOTE</w:t>
            </w:r>
            <w:r>
              <w:rPr>
                <w:rFonts w:ascii="Arial" w:cs="Arial" w:eastAsia="Arial" w:hAnsi="Arial"/>
                <w:sz w:val="18"/>
                <w:szCs w:val="18"/>
                <w:color w:val="auto"/>
              </w:rPr>
              <w:t>: must also check “Foreign Investor”)</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60" w:type="dxa"/>
            <w:vAlign w:val="bottom"/>
          </w:tcPr>
          <w:p>
            <w:pPr>
              <w:spacing w:after="0"/>
              <w:rPr>
                <w:sz w:val="24"/>
                <w:szCs w:val="24"/>
                <w:color w:val="auto"/>
              </w:rPr>
            </w:pPr>
          </w:p>
        </w:tc>
      </w:tr>
      <w:tr>
        <w:trPr>
          <w:trHeight w:val="432"/>
        </w:trPr>
        <w:tc>
          <w:tcPr>
            <w:tcW w:w="10360" w:type="dxa"/>
            <w:vAlign w:val="bottom"/>
            <w:gridSpan w:val="6"/>
          </w:tcPr>
          <w:p>
            <w:pPr>
              <w:ind w:left="260"/>
              <w:spacing w:after="0"/>
              <w:rPr>
                <w:sz w:val="20"/>
                <w:szCs w:val="20"/>
                <w:color w:val="auto"/>
              </w:rPr>
            </w:pPr>
            <w:r>
              <w:rPr>
                <w:rFonts w:ascii="Arial" w:cs="Arial" w:eastAsia="Arial" w:hAnsi="Arial"/>
                <w:sz w:val="18"/>
                <w:szCs w:val="18"/>
                <w:color w:val="auto"/>
              </w:rPr>
              <w:t>Domestic Tax Exempt Investor (</w:t>
            </w:r>
            <w:r>
              <w:rPr>
                <w:rFonts w:ascii="Arial" w:cs="Arial" w:eastAsia="Arial" w:hAnsi="Arial"/>
                <w:sz w:val="18"/>
                <w:szCs w:val="18"/>
                <w:b w:val="1"/>
                <w:bCs w:val="1"/>
                <w:color w:val="auto"/>
              </w:rPr>
              <w:t>NOTE</w:t>
            </w:r>
            <w:r>
              <w:rPr>
                <w:rFonts w:ascii="Arial" w:cs="Arial" w:eastAsia="Arial" w:hAnsi="Arial"/>
                <w:sz w:val="18"/>
                <w:szCs w:val="18"/>
                <w:color w:val="auto"/>
              </w:rPr>
              <w:t>: must also check YES to VII(F) above)</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60" w:type="dxa"/>
            <w:vAlign w:val="bottom"/>
          </w:tcPr>
          <w:p>
            <w:pPr>
              <w:spacing w:after="0"/>
              <w:rPr>
                <w:sz w:val="24"/>
                <w:szCs w:val="24"/>
                <w:color w:val="auto"/>
              </w:rPr>
            </w:pPr>
          </w:p>
        </w:tc>
      </w:tr>
      <w:tr>
        <w:trPr>
          <w:trHeight w:val="432"/>
        </w:trPr>
        <w:tc>
          <w:tcPr>
            <w:tcW w:w="10360" w:type="dxa"/>
            <w:vAlign w:val="bottom"/>
            <w:gridSpan w:val="6"/>
          </w:tcPr>
          <w:p>
            <w:pPr>
              <w:spacing w:after="0"/>
              <w:rPr>
                <w:sz w:val="20"/>
                <w:szCs w:val="20"/>
                <w:color w:val="auto"/>
              </w:rPr>
            </w:pPr>
            <w:r>
              <w:rPr>
                <w:rFonts w:ascii="Arial" w:cs="Arial" w:eastAsia="Arial" w:hAnsi="Arial"/>
                <w:sz w:val="18"/>
                <w:szCs w:val="18"/>
                <w:b w:val="1"/>
                <w:bCs w:val="1"/>
                <w:color w:val="auto"/>
              </w:rPr>
              <w:t>XII. Supplemental Data for Entities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4"/>
        </w:trPr>
        <w:tc>
          <w:tcPr>
            <w:tcW w:w="10360" w:type="dxa"/>
            <w:vAlign w:val="bottom"/>
            <w:gridSpan w:val="6"/>
          </w:tcPr>
          <w:p>
            <w:pPr>
              <w:spacing w:after="0"/>
              <w:rPr>
                <w:sz w:val="20"/>
                <w:szCs w:val="20"/>
                <w:color w:val="auto"/>
              </w:rPr>
            </w:pPr>
            <w:r>
              <w:rPr>
                <w:rFonts w:ascii="Arial" w:cs="Arial" w:eastAsia="Arial" w:hAnsi="Arial"/>
                <w:sz w:val="18"/>
                <w:szCs w:val="18"/>
                <w:color w:val="auto"/>
              </w:rPr>
              <w:t>If the subscriber is not a natural person, please furnish the following supplemental data:</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53"/>
        </w:trPr>
        <w:tc>
          <w:tcPr>
            <w:tcW w:w="300" w:type="dxa"/>
            <w:vAlign w:val="bottom"/>
          </w:tcPr>
          <w:p>
            <w:pPr>
              <w:spacing w:after="0"/>
              <w:rPr>
                <w:sz w:val="20"/>
                <w:szCs w:val="20"/>
                <w:color w:val="auto"/>
              </w:rPr>
            </w:pPr>
            <w:r>
              <w:rPr>
                <w:rFonts w:ascii="Arial" w:cs="Arial" w:eastAsia="Arial" w:hAnsi="Arial"/>
                <w:sz w:val="18"/>
                <w:szCs w:val="18"/>
                <w:color w:val="auto"/>
              </w:rPr>
              <w:t>(A)</w:t>
            </w:r>
          </w:p>
        </w:tc>
        <w:tc>
          <w:tcPr>
            <w:tcW w:w="2100" w:type="dxa"/>
            <w:vAlign w:val="bottom"/>
            <w:gridSpan w:val="3"/>
          </w:tcPr>
          <w:p>
            <w:pPr>
              <w:ind w:left="60"/>
              <w:spacing w:after="0"/>
              <w:rPr>
                <w:sz w:val="20"/>
                <w:szCs w:val="20"/>
                <w:color w:val="auto"/>
              </w:rPr>
            </w:pPr>
            <w:r>
              <w:rPr>
                <w:rFonts w:ascii="Arial" w:cs="Arial" w:eastAsia="Arial" w:hAnsi="Arial"/>
                <w:sz w:val="18"/>
                <w:szCs w:val="18"/>
                <w:color w:val="auto"/>
                <w:w w:val="92"/>
              </w:rPr>
              <w:t>Jurisdiction of organization:</w:t>
            </w:r>
          </w:p>
        </w:tc>
        <w:tc>
          <w:tcPr>
            <w:tcW w:w="796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439"/>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10060" w:type="dxa"/>
            <w:vAlign w:val="bottom"/>
            <w:gridSpan w:val="5"/>
          </w:tcPr>
          <w:p>
            <w:pPr>
              <w:ind w:left="60"/>
              <w:spacing w:after="0"/>
              <w:rPr>
                <w:sz w:val="20"/>
                <w:szCs w:val="20"/>
                <w:color w:val="auto"/>
              </w:rPr>
            </w:pPr>
            <w:r>
              <w:rPr>
                <w:rFonts w:ascii="Arial" w:cs="Arial" w:eastAsia="Arial" w:hAnsi="Arial"/>
                <w:sz w:val="18"/>
                <w:szCs w:val="18"/>
                <w:color w:val="auto"/>
              </w:rPr>
              <w:t>Location of principal place of business: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5"/>
          <w:szCs w:val="15"/>
          <w:color w:val="auto"/>
        </w:rPr>
      </w:pPr>
      <w:r>
        <w:rPr>
          <w:rFonts w:ascii="Arial" w:cs="Arial" w:eastAsia="Arial" w:hAnsi="Arial"/>
          <w:sz w:val="18"/>
          <w:szCs w:val="18"/>
          <w:u w:val="single" w:color="auto"/>
          <w:color w:val="auto"/>
        </w:rPr>
        <w:t>See http://www.fatf-gafi.org</w:t>
      </w:r>
      <w:r>
        <w:rPr>
          <w:rFonts w:ascii="Arial" w:cs="Arial" w:eastAsia="Arial" w:hAnsi="Arial"/>
          <w:sz w:val="18"/>
          <w:szCs w:val="18"/>
          <w:color w:val="auto"/>
        </w:rPr>
        <w:t xml:space="preserve"> for a current list of FATF member countries.</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160"/>
        </w:numPr>
        <w:rPr>
          <w:rFonts w:ascii="Arial" w:cs="Arial" w:eastAsia="Arial" w:hAnsi="Arial"/>
          <w:sz w:val="15"/>
          <w:szCs w:val="15"/>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Section 892 Investor</w:t>
      </w:r>
      <w:r>
        <w:rPr>
          <w:rFonts w:ascii="Arial" w:cs="Arial" w:eastAsia="Arial" w:hAnsi="Arial"/>
          <w:sz w:val="18"/>
          <w:szCs w:val="18"/>
          <w:color w:val="auto"/>
        </w:rPr>
        <w:t>” is a subscriber that has indicated that it is exempt from § 892 of the Code in VII(D)(1).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(C)</w:t>
            </w:r>
          </w:p>
        </w:tc>
        <w:tc>
          <w:tcPr>
            <w:tcW w:w="3720" w:type="dxa"/>
            <w:vAlign w:val="bottom"/>
          </w:tcPr>
          <w:p>
            <w:pPr>
              <w:ind w:left="60"/>
              <w:spacing w:after="0"/>
              <w:rPr>
                <w:sz w:val="20"/>
                <w:szCs w:val="20"/>
                <w:color w:val="auto"/>
              </w:rPr>
            </w:pPr>
            <w:r>
              <w:rPr>
                <w:rFonts w:ascii="Arial" w:cs="Arial" w:eastAsia="Arial" w:hAnsi="Arial"/>
                <w:sz w:val="18"/>
                <w:szCs w:val="18"/>
                <w:color w:val="auto"/>
                <w:w w:val="90"/>
              </w:rPr>
              <w:t>Briefly describe the subscriber’s primary business:</w:t>
            </w:r>
          </w:p>
        </w:tc>
        <w:tc>
          <w:tcPr>
            <w:tcW w:w="50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r>
      <w:tr>
        <w:trPr>
          <w:trHeight w:val="439"/>
        </w:trPr>
        <w:tc>
          <w:tcPr>
            <w:tcW w:w="300" w:type="dxa"/>
            <w:vAlign w:val="bottom"/>
          </w:tcPr>
          <w:p>
            <w:pPr>
              <w:spacing w:after="0"/>
              <w:rPr>
                <w:sz w:val="20"/>
                <w:szCs w:val="20"/>
                <w:color w:val="auto"/>
              </w:rPr>
            </w:pPr>
            <w:r>
              <w:rPr>
                <w:rFonts w:ascii="Arial" w:cs="Arial" w:eastAsia="Arial" w:hAnsi="Arial"/>
                <w:sz w:val="18"/>
                <w:szCs w:val="18"/>
                <w:color w:val="auto"/>
              </w:rPr>
              <w:t>(D)</w:t>
            </w: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Is the subscriber a wholly-owned or majority-owned subsidiary of another entity?</w:t>
            </w:r>
          </w:p>
        </w:tc>
        <w:tc>
          <w:tcPr>
            <w:tcW w:w="1920" w:type="dxa"/>
            <w:vAlign w:val="bottom"/>
          </w:tcPr>
          <w:p>
            <w:pPr>
              <w:ind w:left="138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(E)</w:t>
            </w: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Is the direct parent of the subscriber a wholly-owned or majority-owned subsidiary of another entity?</w:t>
            </w:r>
          </w:p>
        </w:tc>
        <w:tc>
          <w:tcPr>
            <w:tcW w:w="1920" w:type="dxa"/>
            <w:vAlign w:val="bottom"/>
          </w:tcPr>
          <w:p>
            <w:pPr>
              <w:ind w:left="138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bl>
    <w:p>
      <w:pPr>
        <w:spacing w:after="0" w:line="202" w:lineRule="exact"/>
        <w:rPr>
          <w:sz w:val="20"/>
          <w:szCs w:val="20"/>
          <w:color w:val="auto"/>
        </w:rPr>
      </w:pPr>
    </w:p>
    <w:p>
      <w:pPr>
        <w:ind w:left="360" w:hanging="352"/>
        <w:spacing w:after="0"/>
        <w:tabs>
          <w:tab w:leader="none" w:pos="3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what countries is the subscriber generally resident for tax purposes?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XIII. Supplemental Data for Japanese Investors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(A)</w:t>
            </w:r>
          </w:p>
        </w:tc>
        <w:tc>
          <w:tcPr>
            <w:tcW w:w="9740" w:type="dxa"/>
            <w:vAlign w:val="bottom"/>
          </w:tcPr>
          <w:p>
            <w:pPr>
              <w:ind w:left="60"/>
              <w:spacing w:after="0"/>
              <w:rPr>
                <w:sz w:val="20"/>
                <w:szCs w:val="20"/>
                <w:color w:val="auto"/>
              </w:rPr>
            </w:pPr>
            <w:r>
              <w:rPr>
                <w:rFonts w:ascii="Arial" w:cs="Arial" w:eastAsia="Arial" w:hAnsi="Arial"/>
                <w:sz w:val="18"/>
                <w:szCs w:val="18"/>
                <w:color w:val="auto"/>
              </w:rPr>
              <w:t>Is the subscriber a resident in Japan?</w:t>
            </w:r>
          </w:p>
        </w:tc>
        <w:tc>
          <w:tcPr>
            <w:tcW w:w="920" w:type="dxa"/>
            <w:vAlign w:val="bottom"/>
          </w:tcPr>
          <w:p>
            <w:pPr>
              <w:ind w:left="38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432"/>
        </w:trPr>
        <w:tc>
          <w:tcPr>
            <w:tcW w:w="300" w:type="dxa"/>
            <w:vAlign w:val="bottom"/>
          </w:tcPr>
          <w:p>
            <w:pPr>
              <w:spacing w:after="0"/>
              <w:rPr>
                <w:sz w:val="24"/>
                <w:szCs w:val="24"/>
                <w:color w:val="auto"/>
              </w:rPr>
            </w:pPr>
          </w:p>
        </w:tc>
        <w:tc>
          <w:tcPr>
            <w:tcW w:w="9740" w:type="dxa"/>
            <w:vAlign w:val="bottom"/>
          </w:tcPr>
          <w:p>
            <w:pPr>
              <w:ind w:left="60"/>
              <w:spacing w:after="0"/>
              <w:rPr>
                <w:sz w:val="20"/>
                <w:szCs w:val="20"/>
                <w:color w:val="auto"/>
              </w:rPr>
            </w:pPr>
            <w:r>
              <w:rPr>
                <w:rFonts w:ascii="Arial" w:cs="Arial" w:eastAsia="Arial" w:hAnsi="Arial"/>
                <w:sz w:val="18"/>
                <w:szCs w:val="18"/>
                <w:color w:val="auto"/>
              </w:rPr>
              <w:t>(If YES, proceed to the next question)</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8"/>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9740" w:type="dxa"/>
            <w:vAlign w:val="bottom"/>
          </w:tcPr>
          <w:p>
            <w:pPr>
              <w:ind w:left="60"/>
              <w:spacing w:after="0"/>
              <w:rPr>
                <w:sz w:val="20"/>
                <w:szCs w:val="20"/>
                <w:color w:val="auto"/>
              </w:rPr>
            </w:pPr>
            <w:r>
              <w:rPr>
                <w:rFonts w:ascii="Arial" w:cs="Arial" w:eastAsia="Arial" w:hAnsi="Arial"/>
                <w:sz w:val="18"/>
                <w:szCs w:val="18"/>
                <w:color w:val="auto"/>
                <w:w w:val="94"/>
              </w:rPr>
              <w:t>Is the subscriber a qualified institutional investor as defined under Article 2, Paragraph 3, Item 1 of the Financial Instruments and</w:t>
            </w:r>
          </w:p>
        </w:tc>
        <w:tc>
          <w:tcPr>
            <w:tcW w:w="920" w:type="dxa"/>
            <w:vAlign w:val="bottom"/>
          </w:tcPr>
          <w:p>
            <w:pPr>
              <w:ind w:left="380"/>
              <w:spacing w:after="0"/>
              <w:rPr>
                <w:sz w:val="20"/>
                <w:szCs w:val="20"/>
                <w:color w:val="auto"/>
              </w:rPr>
            </w:pPr>
            <w:r>
              <w:rPr>
                <w:rFonts w:ascii="Arial" w:cs="Arial" w:eastAsia="Arial" w:hAnsi="Arial"/>
                <w:sz w:val="18"/>
                <w:szCs w:val="18"/>
                <w:color w:val="auto"/>
              </w:rPr>
              <w:t>o YES</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o NO</w:t>
            </w:r>
          </w:p>
        </w:tc>
      </w:tr>
      <w:tr>
        <w:trPr>
          <w:trHeight w:val="216"/>
        </w:trPr>
        <w:tc>
          <w:tcPr>
            <w:tcW w:w="300" w:type="dxa"/>
            <w:vAlign w:val="bottom"/>
          </w:tcPr>
          <w:p>
            <w:pPr>
              <w:spacing w:after="0"/>
              <w:rPr>
                <w:sz w:val="18"/>
                <w:szCs w:val="18"/>
                <w:color w:val="auto"/>
              </w:rPr>
            </w:pPr>
          </w:p>
        </w:tc>
        <w:tc>
          <w:tcPr>
            <w:tcW w:w="9740" w:type="dxa"/>
            <w:vAlign w:val="bottom"/>
          </w:tcPr>
          <w:p>
            <w:pPr>
              <w:ind w:left="60"/>
              <w:spacing w:after="0"/>
              <w:rPr>
                <w:sz w:val="20"/>
                <w:szCs w:val="20"/>
                <w:color w:val="auto"/>
              </w:rPr>
            </w:pPr>
            <w:r>
              <w:rPr>
                <w:rFonts w:ascii="Arial" w:cs="Arial" w:eastAsia="Arial" w:hAnsi="Arial"/>
                <w:sz w:val="18"/>
                <w:szCs w:val="18"/>
                <w:color w:val="auto"/>
                <w:w w:val="96"/>
              </w:rPr>
              <w:t>Exchange Law of Japan (the “FIEL”) (excluding for these purposes any person falling under any of the sub-items of Article 63,</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9740" w:type="dxa"/>
            <w:vAlign w:val="bottom"/>
          </w:tcPr>
          <w:p>
            <w:pPr>
              <w:ind w:left="60"/>
              <w:spacing w:after="0"/>
              <w:rPr>
                <w:sz w:val="20"/>
                <w:szCs w:val="20"/>
                <w:color w:val="auto"/>
              </w:rPr>
            </w:pPr>
            <w:r>
              <w:rPr>
                <w:rFonts w:ascii="Arial" w:cs="Arial" w:eastAsia="Arial" w:hAnsi="Arial"/>
                <w:sz w:val="18"/>
                <w:szCs w:val="18"/>
                <w:color w:val="auto"/>
              </w:rPr>
              <w:t>Paragraph 1, Item (i) of the FIEL)?</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05"/>
        </w:trPr>
        <w:tc>
          <w:tcPr>
            <w:tcW w:w="300" w:type="dxa"/>
            <w:vAlign w:val="bottom"/>
          </w:tcPr>
          <w:p>
            <w:pPr>
              <w:spacing w:after="0"/>
              <w:rPr>
                <w:sz w:val="24"/>
                <w:szCs w:val="24"/>
                <w:color w:val="auto"/>
              </w:rPr>
            </w:pPr>
          </w:p>
        </w:tc>
        <w:tc>
          <w:tcPr>
            <w:tcW w:w="9740" w:type="dxa"/>
            <w:vAlign w:val="bottom"/>
          </w:tcPr>
          <w:p>
            <w:pPr>
              <w:ind w:left="5320"/>
              <w:spacing w:after="0"/>
              <w:rPr>
                <w:sz w:val="20"/>
                <w:szCs w:val="20"/>
                <w:color w:val="auto"/>
              </w:rPr>
            </w:pPr>
            <w:r>
              <w:rPr>
                <w:rFonts w:ascii="Arial" w:cs="Arial" w:eastAsia="Arial" w:hAnsi="Arial"/>
                <w:sz w:val="18"/>
                <w:szCs w:val="18"/>
                <w:color w:val="auto"/>
              </w:rPr>
              <w:t>18</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6"/>
        </w:trPr>
        <w:tc>
          <w:tcPr>
            <w:tcW w:w="300" w:type="dxa"/>
            <w:vAlign w:val="bottom"/>
            <w:tcBorders>
              <w:bottom w:val="single" w:sz="8" w:color="808080"/>
            </w:tcBorders>
          </w:tcPr>
          <w:p>
            <w:pPr>
              <w:spacing w:after="0"/>
              <w:rPr>
                <w:sz w:val="19"/>
                <w:szCs w:val="19"/>
                <w:color w:val="auto"/>
              </w:rPr>
            </w:pPr>
          </w:p>
        </w:tc>
        <w:tc>
          <w:tcPr>
            <w:tcW w:w="97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1"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Appendix B: Funding Notice</w:t>
      </w:r>
    </w:p>
    <w:p>
      <w:pPr>
        <w:spacing w:after="0" w:line="102"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301 Commerce Street • Suite 3300 • Fort Worth, Texas 76102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TEL 817/871-4000 • FAX 817/871-4001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TO:</w:t>
            </w:r>
          </w:p>
        </w:tc>
        <w:tc>
          <w:tcPr>
            <w:tcW w:w="30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«InvestorProperName»</w:t>
            </w:r>
          </w:p>
        </w:tc>
      </w:tr>
      <w:tr>
        <w:trPr>
          <w:trHeight w:val="432"/>
        </w:trPr>
        <w:tc>
          <w:tcPr>
            <w:tcW w:w="780" w:type="dxa"/>
            <w:vAlign w:val="bottom"/>
          </w:tcPr>
          <w:p>
            <w:pPr>
              <w:spacing w:after="0"/>
              <w:rPr>
                <w:sz w:val="20"/>
                <w:szCs w:val="20"/>
                <w:color w:val="auto"/>
              </w:rPr>
            </w:pPr>
            <w:r>
              <w:rPr>
                <w:rFonts w:ascii="Arial" w:cs="Arial" w:eastAsia="Arial" w:hAnsi="Arial"/>
                <w:sz w:val="18"/>
                <w:szCs w:val="18"/>
                <w:b w:val="1"/>
                <w:bCs w:val="1"/>
                <w:color w:val="auto"/>
              </w:rPr>
              <w:t>FROM:</w:t>
            </w:r>
          </w:p>
        </w:tc>
        <w:tc>
          <w:tcPr>
            <w:tcW w:w="308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r>
      <w:tr>
        <w:trPr>
          <w:trHeight w:val="392"/>
        </w:trPr>
        <w:tc>
          <w:tcPr>
            <w:tcW w:w="780" w:type="dxa"/>
            <w:vAlign w:val="bottom"/>
          </w:tcPr>
          <w:p>
            <w:pPr>
              <w:spacing w:after="0"/>
              <w:rPr>
                <w:sz w:val="20"/>
                <w:szCs w:val="20"/>
                <w:color w:val="auto"/>
              </w:rPr>
            </w:pPr>
            <w:r>
              <w:rPr>
                <w:rFonts w:ascii="Arial" w:cs="Arial" w:eastAsia="Arial" w:hAnsi="Arial"/>
                <w:sz w:val="18"/>
                <w:szCs w:val="18"/>
                <w:b w:val="1"/>
                <w:bCs w:val="1"/>
                <w:color w:val="auto"/>
              </w:rPr>
              <w:t>RE:</w:t>
            </w:r>
          </w:p>
        </w:tc>
        <w:tc>
          <w:tcPr>
            <w:tcW w:w="3080" w:type="dxa"/>
            <w:vAlign w:val="bottom"/>
            <w:gridSpan w:val="2"/>
          </w:tcPr>
          <w:p>
            <w:pPr>
              <w:ind w:left="180"/>
              <w:spacing w:after="0"/>
              <w:rPr>
                <w:sz w:val="20"/>
                <w:szCs w:val="20"/>
                <w:color w:val="auto"/>
              </w:rPr>
            </w:pPr>
            <w:r>
              <w:rPr>
                <w:rFonts w:ascii="Arial" w:cs="Arial" w:eastAsia="Arial" w:hAnsi="Arial"/>
                <w:sz w:val="18"/>
                <w:szCs w:val="18"/>
                <w:b w:val="1"/>
                <w:bCs w:val="1"/>
                <w:color w:val="auto"/>
                <w:w w:val="91"/>
              </w:rPr>
              <w:t>Notice of Capital Call — Due [•], 2011</w:t>
            </w:r>
          </w:p>
        </w:tc>
      </w:tr>
      <w:tr>
        <w:trPr>
          <w:trHeight w:val="453"/>
        </w:trPr>
        <w:tc>
          <w:tcPr>
            <w:tcW w:w="78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2100" w:type="dxa"/>
            <w:vAlign w:val="bottom"/>
          </w:tcPr>
          <w:p>
            <w:pPr>
              <w:ind w:left="180"/>
              <w:spacing w:after="0"/>
              <w:rPr>
                <w:sz w:val="20"/>
                <w:szCs w:val="20"/>
                <w:color w:val="auto"/>
              </w:rPr>
            </w:pPr>
            <w:r>
              <w:rPr>
                <w:rFonts w:ascii="Arial" w:cs="Arial" w:eastAsia="Arial" w:hAnsi="Arial"/>
                <w:sz w:val="18"/>
                <w:szCs w:val="18"/>
                <w:b w:val="1"/>
                <w:bCs w:val="1"/>
                <w:color w:val="auto"/>
              </w:rPr>
              <w:t>[•], 2011</w:t>
            </w:r>
          </w:p>
        </w:tc>
        <w:tc>
          <w:tcPr>
            <w:tcW w:w="980" w:type="dxa"/>
            <w:vAlign w:val="bottom"/>
            <w:tcBorders>
              <w:top w:val="single" w:sz="8" w:color="auto"/>
            </w:tcBorders>
          </w:tcPr>
          <w:p>
            <w:pPr>
              <w:spacing w:after="0"/>
              <w:rPr>
                <w:sz w:val="24"/>
                <w:szCs w:val="24"/>
                <w:color w:val="auto"/>
              </w:rPr>
            </w:pPr>
          </w:p>
        </w:tc>
      </w:tr>
    </w:tbl>
    <w:p>
      <w:pPr>
        <w:spacing w:after="0" w:line="9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accordance with Section 2.01(b) of the Subscription Agreement (the “Subscription Agreement”) of TPG Specialty Lending, Inc. (“TSL”), you are hereby given notice of a call for capital contribution. The purpose of this capital contribution is to fund your share of proposed investments to be made by TSL.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due from you is $&lt;&lt;Drawdown Purchase Price&gt;&gt;. Details of this capital call and your portion thereof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number of Shares to be sold to all Subscribers:</w:t>
            </w:r>
          </w:p>
        </w:tc>
        <w:tc>
          <w:tcPr>
            <w:tcW w:w="15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Aggregate purchase price for such Shares:</w:t>
            </w:r>
          </w:p>
        </w:tc>
        <w:tc>
          <w:tcPr>
            <w:tcW w:w="1560" w:type="dxa"/>
            <w:vAlign w:val="bottom"/>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1"/>
              </w:rPr>
              <w:t>Drawdown Share Amount:</w:t>
            </w:r>
          </w:p>
        </w:tc>
        <w:tc>
          <w:tcPr>
            <w:tcW w:w="7900" w:type="dxa"/>
            <w:vAlign w:val="bottom"/>
            <w:shd w:val="clear" w:color="auto" w:fill="CCEEFF"/>
          </w:tcPr>
          <w:p>
            <w:pPr>
              <w:spacing w:after="0"/>
              <w:rPr>
                <w:sz w:val="18"/>
                <w:szCs w:val="18"/>
                <w:color w:val="auto"/>
              </w:rPr>
            </w:pPr>
          </w:p>
        </w:tc>
        <w:tc>
          <w:tcPr>
            <w:tcW w:w="15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Drawdown Purchase Price:</w:t>
            </w:r>
          </w:p>
        </w:tc>
        <w:tc>
          <w:tcPr>
            <w:tcW w:w="1560" w:type="dxa"/>
            <w:vAlign w:val="bottom"/>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Per Share NAV</w:t>
            </w:r>
          </w:p>
        </w:tc>
        <w:tc>
          <w:tcPr>
            <w:tcW w:w="7900" w:type="dxa"/>
            <w:vAlign w:val="bottom"/>
            <w:shd w:val="clear" w:color="auto" w:fill="CCEEFF"/>
          </w:tcPr>
          <w:p>
            <w:pPr>
              <w:spacing w:after="0"/>
              <w:rPr>
                <w:sz w:val="18"/>
                <w:szCs w:val="18"/>
                <w:color w:val="auto"/>
              </w:rPr>
            </w:pPr>
          </w:p>
        </w:tc>
        <w:tc>
          <w:tcPr>
            <w:tcW w:w="15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9860" w:type="dxa"/>
            <w:vAlign w:val="bottom"/>
            <w:gridSpan w:val="3"/>
          </w:tcPr>
          <w:p>
            <w:pPr>
              <w:spacing w:after="0"/>
              <w:rPr>
                <w:sz w:val="20"/>
                <w:szCs w:val="20"/>
                <w:color w:val="auto"/>
              </w:rPr>
            </w:pPr>
            <w:r>
              <w:rPr>
                <w:rFonts w:ascii="Arial" w:cs="Arial" w:eastAsia="Arial" w:hAnsi="Arial"/>
                <w:sz w:val="18"/>
                <w:szCs w:val="18"/>
                <w:color w:val="auto"/>
              </w:rPr>
              <w:t>We request that you wire your total amount due on or before the due date in accordance with the following instructions:</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Bank:</w:t>
            </w: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ABA #:</w:t>
            </w:r>
          </w:p>
        </w:tc>
        <w:tc>
          <w:tcPr>
            <w:tcW w:w="7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Account Name:</w:t>
            </w: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TPG Specialty Lending, Inc.</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Account #:</w:t>
            </w:r>
          </w:p>
        </w:tc>
        <w:tc>
          <w:tcPr>
            <w:tcW w:w="7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Notation:</w:t>
            </w: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«InvestorProperName»</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contact [</w:t>
      </w:r>
      <w:r>
        <w:rPr>
          <w:rFonts w:ascii="Arial" w:cs="Arial" w:eastAsia="Arial" w:hAnsi="Arial"/>
          <w:sz w:val="18"/>
          <w:szCs w:val="18"/>
          <w:b w:val="1"/>
          <w:bCs w:val="1"/>
          <w:color w:val="auto"/>
        </w:rPr>
        <w:t>•</w:t>
      </w:r>
      <w:r>
        <w:rPr>
          <w:rFonts w:ascii="Arial" w:cs="Arial" w:eastAsia="Arial" w:hAnsi="Arial"/>
          <w:sz w:val="18"/>
          <w:szCs w:val="18"/>
          <w:color w:val="auto"/>
        </w:rPr>
        <w:t>] at [</w:t>
      </w:r>
      <w:r>
        <w:rPr>
          <w:rFonts w:ascii="Arial" w:cs="Arial" w:eastAsia="Arial" w:hAnsi="Arial"/>
          <w:sz w:val="18"/>
          <w:szCs w:val="18"/>
          <w:b w:val="1"/>
          <w:bCs w:val="1"/>
          <w:color w:val="auto"/>
        </w:rPr>
        <w:t>•</w:t>
      </w:r>
      <w:r>
        <w:rPr>
          <w:rFonts w:ascii="Arial" w:cs="Arial" w:eastAsia="Arial" w:hAnsi="Arial"/>
          <w:sz w:val="18"/>
          <w:szCs w:val="18"/>
          <w:color w:val="auto"/>
        </w:rPr>
        <w:t>]@tpg.com or by phone at (817) 871-4000.</w:t>
      </w:r>
    </w:p>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35" w:name="page136"/>
    <w:bookmarkEnd w:id="135"/>
    <w:p>
      <w:pPr>
        <w:jc w:val="center"/>
        <w:ind w:right="-119"/>
        <w:spacing w:after="0"/>
        <w:rPr>
          <w:sz w:val="20"/>
          <w:szCs w:val="20"/>
          <w:color w:val="auto"/>
        </w:rPr>
      </w:pPr>
      <w:r>
        <w:rPr>
          <w:rFonts w:ascii="Arial" w:cs="Arial" w:eastAsia="Arial" w:hAnsi="Arial"/>
          <w:sz w:val="18"/>
          <w:szCs w:val="18"/>
          <w:b w:val="1"/>
          <w:bCs w:val="1"/>
          <w:color w:val="auto"/>
        </w:rPr>
        <w:t>Appendix C: Form of Election Notice under Dividend Reinvestment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TSL Advisers,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Ronald Cami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(817) 871-4000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(817) 871-4001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Instructions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No action will be required on the part of an investor (a “Subscriber”) to have its cash distribution reinvested in shares of common stock of TPG Specialty Lending, Inc. (the “Company”). A Subscriber may elect to receive an entire distribution (and all future distributions, until further notice) in cash by remitting this form to TSL Advisers, LLC no later than the 10 days prior to the record date for the first distribution to which it relates. To elect to receive your full distributions in cash, mark the appropriate box in Part A below and fill out your contact information under Part B, below.</w:t>
      </w:r>
    </w:p>
    <w:p>
      <w:pPr>
        <w:sectPr>
          <w:pgSz w:w="11900" w:h="16838" w:orient="portrait"/>
          <w:cols w:equalWidth="0" w:num="1">
            <w:col w:w="11300"/>
          </w:cols>
          <w:pgMar w:left="240" w:top="958" w:right="359" w:bottom="1440" w:gutter="0" w:footer="0" w:header="0"/>
        </w:sectPr>
      </w:pPr>
    </w:p>
    <w:p>
      <w:pPr>
        <w:spacing w:after="0" w:line="171" w:lineRule="exact"/>
        <w:rPr>
          <w:sz w:val="20"/>
          <w:szCs w:val="20"/>
          <w:color w:val="auto"/>
        </w:rPr>
      </w:pPr>
    </w:p>
    <w:p>
      <w:pPr>
        <w:ind w:left="280" w:hanging="272"/>
        <w:spacing w:after="0" w:line="277" w:lineRule="auto"/>
        <w:tabs>
          <w:tab w:leader="none" w:pos="30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Until further notice, I would like to receive my full distributions in:</w:t>
      </w:r>
    </w:p>
    <w:p>
      <w:pPr>
        <w:spacing w:after="0" w:line="386" w:lineRule="exact"/>
        <w:rPr>
          <w:rFonts w:ascii="Arial" w:cs="Arial" w:eastAsia="Arial" w:hAnsi="Arial"/>
          <w:sz w:val="18"/>
          <w:szCs w:val="18"/>
          <w:color w:val="auto"/>
        </w:rPr>
      </w:pPr>
    </w:p>
    <w:p>
      <w:pPr>
        <w:ind w:left="280" w:right="560" w:hanging="272"/>
        <w:spacing w:after="0" w:line="277" w:lineRule="auto"/>
        <w:tabs>
          <w:tab w:leader="none" w:pos="2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Subscriber’s Legal Name, Address and Tax Identification Number: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27" w:hanging="127"/>
        <w:spacing w:after="0"/>
        <w:tabs>
          <w:tab w:leader="none" w:pos="12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27" w:hanging="127"/>
        <w:spacing w:after="0"/>
        <w:tabs>
          <w:tab w:leader="none" w:pos="12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ADDITIONAL SHARES OF THE COMPANY’S COMMON STOCK</w:t>
      </w:r>
    </w:p>
    <w:p>
      <w:pPr>
        <w:spacing w:after="0" w:line="200" w:lineRule="exact"/>
        <w:rPr>
          <w:sz w:val="20"/>
          <w:szCs w:val="20"/>
          <w:color w:val="auto"/>
        </w:rPr>
      </w:pPr>
    </w:p>
    <w:p>
      <w:pPr>
        <w:spacing w:after="0" w:line="268" w:lineRule="exact"/>
        <w:rPr>
          <w:sz w:val="20"/>
          <w:szCs w:val="20"/>
          <w:color w:val="auto"/>
        </w:rPr>
      </w:pPr>
    </w:p>
    <w:p>
      <w:pPr>
        <w:ind w:left="3207"/>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43478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32" w:lineRule="exact"/>
        <w:rPr>
          <w:sz w:val="20"/>
          <w:szCs w:val="20"/>
          <w:color w:val="auto"/>
        </w:rPr>
      </w:pPr>
    </w:p>
    <w:p>
      <w:pPr>
        <w:jc w:val="center"/>
        <w:ind w:right="-126"/>
        <w:spacing w:after="0"/>
        <w:rPr>
          <w:sz w:val="20"/>
          <w:szCs w:val="20"/>
          <w:color w:val="auto"/>
        </w:rPr>
      </w:pPr>
      <w:r>
        <w:rPr>
          <w:rFonts w:ascii="Arial" w:cs="Arial" w:eastAsia="Arial" w:hAnsi="Arial"/>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43478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32" w:lineRule="exact"/>
        <w:rPr>
          <w:sz w:val="20"/>
          <w:szCs w:val="20"/>
          <w:color w:val="auto"/>
        </w:rPr>
      </w:pPr>
    </w:p>
    <w:p>
      <w:pPr>
        <w:jc w:val="both"/>
        <w:ind w:left="1287"/>
        <w:spacing w:after="0"/>
        <w:tabs>
          <w:tab w:leader="none" w:pos="3287" w:val="left"/>
          <w:tab w:leader="none" w:pos="4867"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43478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32" w:lineRule="exact"/>
        <w:rPr>
          <w:sz w:val="20"/>
          <w:szCs w:val="20"/>
          <w:color w:val="auto"/>
        </w:rPr>
      </w:pPr>
    </w:p>
    <w:p>
      <w:pPr>
        <w:jc w:val="center"/>
        <w:ind w:right="-126"/>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43478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32" w:lineRule="exact"/>
        <w:rPr>
          <w:sz w:val="20"/>
          <w:szCs w:val="20"/>
          <w:color w:val="auto"/>
        </w:rPr>
      </w:pPr>
    </w:p>
    <w:p>
      <w:pPr>
        <w:ind w:left="2727"/>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43478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32" w:lineRule="exact"/>
        <w:rPr>
          <w:sz w:val="20"/>
          <w:szCs w:val="20"/>
          <w:color w:val="auto"/>
        </w:rPr>
      </w:pPr>
    </w:p>
    <w:p>
      <w:pPr>
        <w:jc w:val="center"/>
        <w:ind w:right="-126"/>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434784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32" w:lineRule="exact"/>
        <w:rPr>
          <w:sz w:val="20"/>
          <w:szCs w:val="20"/>
          <w:color w:val="auto"/>
        </w:rPr>
      </w:pPr>
    </w:p>
    <w:p>
      <w:pPr>
        <w:jc w:val="center"/>
        <w:ind w:right="-126"/>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434784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32" w:lineRule="exact"/>
        <w:rPr>
          <w:sz w:val="20"/>
          <w:szCs w:val="20"/>
          <w:color w:val="auto"/>
        </w:rPr>
      </w:pPr>
    </w:p>
    <w:p>
      <w:pPr>
        <w:ind w:left="1807"/>
        <w:spacing w:after="0"/>
        <w:rPr>
          <w:sz w:val="20"/>
          <w:szCs w:val="20"/>
          <w:color w:val="auto"/>
        </w:rPr>
      </w:pPr>
      <w:r>
        <w:rPr>
          <w:rFonts w:ascii="Arial" w:cs="Arial" w:eastAsia="Arial" w:hAnsi="Arial"/>
          <w:sz w:val="18"/>
          <w:szCs w:val="18"/>
          <w:color w:val="auto"/>
        </w:rPr>
        <w:t>Tax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434784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178" w:lineRule="exact"/>
        <w:rPr>
          <w:sz w:val="20"/>
          <w:szCs w:val="20"/>
          <w:color w:val="auto"/>
        </w:rPr>
      </w:pPr>
    </w:p>
    <w:p>
      <w:pPr>
        <w:ind w:left="1087"/>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980" w:space="593"/>
            <w:col w:w="6727"/>
          </w:cols>
          <w:pgMar w:left="240" w:top="958" w:right="359" w:bottom="1440" w:gutter="0" w:footer="0" w:header="0"/>
          <w:type w:val="continuous"/>
        </w:sectPr>
      </w:pPr>
    </w:p>
    <w:bookmarkStart w:id="136" w:name="page137"/>
    <w:bookmarkEnd w:id="136"/>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-116205</wp:posOffset>
            </wp:positionV>
            <wp:extent cx="2744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8" w:right="1440" w:bottom="1440" w:gutter="0" w:footer="0" w:header="0"/>
        </w:sectPr>
      </w:pPr>
    </w:p>
    <w:bookmarkStart w:id="137" w:name="page138"/>
    <w:bookmarkEnd w:id="137"/>
    <w:p>
      <w:pPr>
        <w:ind w:left="4380"/>
        <w:spacing w:after="0"/>
        <w:rPr>
          <w:sz w:val="20"/>
          <w:szCs w:val="20"/>
          <w:color w:val="auto"/>
        </w:rPr>
      </w:pPr>
      <w:r>
        <w:rPr>
          <w:rFonts w:ascii="Arial" w:cs="Arial" w:eastAsia="Arial" w:hAnsi="Arial"/>
          <w:sz w:val="18"/>
          <w:szCs w:val="18"/>
          <w:b w:val="1"/>
          <w:bCs w:val="1"/>
          <w:color w:val="auto"/>
        </w:rPr>
        <w:t>Appendix D: Transfer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Prior to a Qualified IPO, no Transfer of the Subscriber’s Capital Commitment or all or any fraction of the Subscriber’s Shares may be made without</w:t>
      </w:r>
    </w:p>
    <w:p>
      <w:pPr>
        <w:spacing w:after="0" w:line="35" w:lineRule="exact"/>
        <w:rPr>
          <w:sz w:val="20"/>
          <w:szCs w:val="20"/>
          <w:color w:val="auto"/>
        </w:rPr>
      </w:pPr>
    </w:p>
    <w:p>
      <w:pPr>
        <w:ind w:right="40" w:firstLine="8"/>
        <w:spacing w:after="0" w:line="254" w:lineRule="auto"/>
        <w:tabs>
          <w:tab w:leader="none" w:pos="21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registration of the Transfer on the Company books and (ii) the prior written consent of the Adviser. In any event, the consent of the Company may be withheld (x) if the creditworthiness of the proposed transferee, as determined by the Company in its sole discretion, is not sufficient to satisfy all obligations under the Subscription Agreement or (y) unless, in the opinion of counsel (who may be counsel for the Company or the Subscriber) satisfactory in form and substance to the Company:</w:t>
      </w:r>
    </w:p>
    <w:p>
      <w:pPr>
        <w:spacing w:after="0" w:line="82" w:lineRule="exact"/>
        <w:rPr>
          <w:sz w:val="20"/>
          <w:szCs w:val="20"/>
          <w:color w:val="auto"/>
        </w:rPr>
      </w:pPr>
    </w:p>
    <w:p>
      <w:pPr>
        <w:ind w:left="460" w:right="160" w:hanging="452"/>
        <w:spacing w:after="0" w:line="277" w:lineRule="auto"/>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such Transfer would not violate the Securities Act or any state (or other jurisdiction) securities or “Blue Sky” laws applicable to the Company or the Shares to be Transferred; and</w:t>
      </w:r>
    </w:p>
    <w:p>
      <w:pPr>
        <w:spacing w:after="0" w:line="75" w:lineRule="exact"/>
        <w:rPr>
          <w:rFonts w:ascii="Arial" w:cs="Arial" w:eastAsia="Arial" w:hAnsi="Arial"/>
          <w:sz w:val="18"/>
          <w:szCs w:val="18"/>
          <w:b w:val="1"/>
          <w:bCs w:val="1"/>
          <w:color w:val="auto"/>
        </w:rPr>
      </w:pPr>
    </w:p>
    <w:p>
      <w:pPr>
        <w:ind w:left="460" w:right="80" w:hanging="452"/>
        <w:spacing w:after="0" w:line="342" w:lineRule="auto"/>
        <w:tabs>
          <w:tab w:leader="none" w:pos="460" w:val="left"/>
        </w:tabs>
        <w:numPr>
          <w:ilvl w:val="0"/>
          <w:numId w:val="165"/>
        </w:numPr>
        <w:rPr>
          <w:rFonts w:ascii="Arial" w:cs="Arial" w:eastAsia="Arial" w:hAnsi="Arial"/>
          <w:sz w:val="16"/>
          <w:szCs w:val="16"/>
          <w:b w:val="1"/>
          <w:bCs w:val="1"/>
          <w:color w:val="auto"/>
        </w:rPr>
      </w:pPr>
      <w:r>
        <w:rPr>
          <w:rFonts w:ascii="Arial" w:cs="Arial" w:eastAsia="Arial" w:hAnsi="Arial"/>
          <w:sz w:val="16"/>
          <w:szCs w:val="16"/>
          <w:color w:val="auto"/>
        </w:rPr>
        <w:t>such Transfer would not be a “prohibited transaction” under ERISA or the Code or the regulations promulgated thereunder or cause all or any portion of the assets of the Partnership to constitute “plan assets” under ERISA, certain Department of Labor regulations or Section 4975 of the Code.</w:t>
      </w:r>
    </w:p>
    <w:p>
      <w:pPr>
        <w:spacing w:after="0" w:line="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Subscriber agrees that it will pay all reasonable expenses, including attorneys’ fees, incurred by the Company in connection with any Transfer of all or any fraction of its Shares, prior to the consummation of such Transfer.</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person that acquires all or any fraction of the Shares of the Subscriber in a Transfer permitted under this Appendix D shall be obligated to pay to the Company the appropriate portion of any amounts thereafter becoming due in respect of the Capital Commitment committed to be made by its predecessor in interest. The Subscriber agrees that, notwithstanding the Transfer of all or any fraction of its Shares, as between it and the Company it will remain liable for its Capital Commitment and for all payments of any Drawdown Purchase Price required to be made by it (without taking into account the Transfer of all or a fraction of such Shares) prior to the time, if any, when the purchaser, assignee or transferee of such Shares, or fraction thereof, becomes a holder of such Shares.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shall not recognize for any purpose any purported Transfer of all or any fraction of the Shares and shall be entitled to treat the transferor of Shares as the absolute owner thereof in all respects, and shall incur no liability for distributions or dividends made in good faith to it, unless the Company shall have given its prior written consent thereto and there shall have been filed with the Company a dated notice of such Transfer, in form satisfactory to the Company, executed and acknowledged by both the seller, assignor or transferor and the purchaser, assignee or transferee, and such notice (i) contains the acceptance by the purchaser, assignee or transferee of all of the terms and provisions of this Agreement and its agreement to be bound thereby, and (ii) represents that such Transfer was made in accordance with this Agreement, the provisions of the Memorandum and all applicable laws and regulations applicable to the transferee and the transferor.</w:t>
      </w:r>
    </w:p>
    <w:p>
      <w:pPr>
        <w:sectPr>
          <w:pgSz w:w="11900" w:h="16838" w:orient="portrait"/>
          <w:cols w:equalWidth="0" w:num="1">
            <w:col w:w="11300"/>
          </w:cols>
          <w:pgMar w:left="240" w:top="958" w:right="35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ADVISORY AGREEMENT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ADVISORY AND MANAGEMENT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TSL ADVISERS, LLC</w:t>
      </w:r>
    </w:p>
    <w:p>
      <w:pPr>
        <w:spacing w:after="0" w:line="117" w:lineRule="exact"/>
        <w:rPr>
          <w:sz w:val="20"/>
          <w:szCs w:val="20"/>
          <w:color w:val="auto"/>
        </w:rPr>
      </w:pPr>
    </w:p>
    <w:p>
      <w:pPr>
        <w:ind w:right="120" w:firstLine="222"/>
        <w:spacing w:after="0" w:line="282" w:lineRule="auto"/>
        <w:rPr>
          <w:sz w:val="20"/>
          <w:szCs w:val="20"/>
          <w:color w:val="auto"/>
        </w:rPr>
      </w:pPr>
      <w:r>
        <w:rPr>
          <w:rFonts w:ascii="Arial" w:cs="Arial" w:eastAsia="Arial" w:hAnsi="Arial"/>
          <w:sz w:val="18"/>
          <w:szCs w:val="18"/>
          <w:color w:val="auto"/>
        </w:rPr>
        <w:t xml:space="preserve">This Agreement (the “Agreement”) is made as of </w:t>
      </w:r>
      <w:r>
        <w:rPr>
          <w:rFonts w:ascii="Arial" w:cs="Arial" w:eastAsia="Arial" w:hAnsi="Arial"/>
          <w:sz w:val="18"/>
          <w:szCs w:val="18"/>
          <w:b w:val="1"/>
          <w:bCs w:val="1"/>
          <w:color w:val="auto"/>
        </w:rPr>
        <w:t>[MONTH]</w:t>
      </w:r>
      <w:r>
        <w:rPr>
          <w:rFonts w:ascii="Arial" w:cs="Arial" w:eastAsia="Arial" w:hAnsi="Arial"/>
          <w:sz w:val="18"/>
          <w:szCs w:val="18"/>
          <w:color w:val="auto"/>
        </w:rPr>
        <w:t xml:space="preserve"> __, 2011, by and between TPG SPECIALTY LENDING,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TSL ADVISERS, LLC, a Delaware limited liability company (the “</w:t>
      </w:r>
      <w:r>
        <w:rPr>
          <w:rFonts w:ascii="Arial" w:cs="Arial" w:eastAsia="Arial" w:hAnsi="Arial"/>
          <w:sz w:val="18"/>
          <w:szCs w:val="18"/>
          <w:u w:val="single" w:color="auto"/>
          <w:color w:val="auto"/>
        </w:rPr>
        <w:t>Adviser</w:t>
      </w:r>
      <w:r>
        <w:rPr>
          <w:rFonts w:ascii="Arial" w:cs="Arial" w:eastAsia="Arial" w:hAnsi="Arial"/>
          <w:sz w:val="18"/>
          <w:szCs w:val="18"/>
          <w:color w:val="auto"/>
        </w:rPr>
        <w:t>”).</w:t>
      </w:r>
    </w:p>
    <w:p>
      <w:pPr>
        <w:spacing w:after="0" w:line="58"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WHEREAS, the Company is a closed-end management investment company that intends to elect to be treated as a business development company (“</w:t>
      </w:r>
      <w:r>
        <w:rPr>
          <w:rFonts w:ascii="Arial" w:cs="Arial" w:eastAsia="Arial" w:hAnsi="Arial"/>
          <w:sz w:val="18"/>
          <w:szCs w:val="18"/>
          <w:u w:val="single" w:color="auto"/>
          <w:color w:val="auto"/>
        </w:rPr>
        <w:t>BDC</w:t>
      </w:r>
      <w:r>
        <w:rPr>
          <w:rFonts w:ascii="Arial" w:cs="Arial" w:eastAsia="Arial" w:hAnsi="Arial"/>
          <w:sz w:val="18"/>
          <w:szCs w:val="18"/>
          <w:color w:val="auto"/>
        </w:rPr>
        <w:t>”) under the Investment Company Act of 1940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Adviser is an investment adviser that is registered under the Investment Advisers Act of 1940 (the “</w:t>
      </w:r>
      <w:r>
        <w:rPr>
          <w:rFonts w:ascii="Arial" w:cs="Arial" w:eastAsia="Arial" w:hAnsi="Arial"/>
          <w:sz w:val="18"/>
          <w:szCs w:val="18"/>
          <w:u w:val="single" w:color="auto"/>
          <w:color w:val="auto"/>
        </w:rPr>
        <w:t>Advisers Act</w:t>
      </w:r>
      <w:r>
        <w:rPr>
          <w:rFonts w:ascii="Arial" w:cs="Arial" w:eastAsia="Arial" w:hAnsi="Arial"/>
          <w:sz w:val="18"/>
          <w:szCs w:val="18"/>
          <w:color w:val="auto"/>
        </w:rPr>
        <w:t>”); and</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WHEREAS, the Company desires to retain the Adviser to furnish investment advisory services to the Company on the terms and conditions hereinafter set forth, and the Adviser desires to be retained to provide such services.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parties hereby agree as follows:</w:t>
      </w:r>
    </w:p>
    <w:p>
      <w:pPr>
        <w:spacing w:after="0" w:line="221" w:lineRule="exact"/>
        <w:rPr>
          <w:sz w:val="20"/>
          <w:szCs w:val="20"/>
          <w:color w:val="auto"/>
        </w:rPr>
      </w:pPr>
    </w:p>
    <w:p>
      <w:pPr>
        <w:ind w:left="180" w:hanging="172"/>
        <w:spacing w:after="0"/>
        <w:tabs>
          <w:tab w:leader="none" w:pos="18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of the Adviser</w:t>
      </w:r>
    </w:p>
    <w:p>
      <w:pPr>
        <w:spacing w:after="0" w:line="121" w:lineRule="exact"/>
        <w:rPr>
          <w:rFonts w:ascii="Arial" w:cs="Arial" w:eastAsia="Arial" w:hAnsi="Arial"/>
          <w:sz w:val="18"/>
          <w:szCs w:val="18"/>
          <w:b w:val="1"/>
          <w:bCs w:val="1"/>
          <w:color w:val="auto"/>
        </w:rPr>
      </w:pPr>
    </w:p>
    <w:p>
      <w:pPr>
        <w:ind w:right="120" w:firstLine="233"/>
        <w:spacing w:after="0" w:line="291" w:lineRule="auto"/>
        <w:tabs>
          <w:tab w:leader="none" w:pos="467"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Company hereby employs the Adviser to act as the investment adviser to the Company and to manage the investment and reinvestment of the assets of the Company, subject to the supervision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for the period and upon the terms herein set forth,</w:t>
      </w:r>
    </w:p>
    <w:p>
      <w:pPr>
        <w:ind w:right="40"/>
        <w:spacing w:after="0" w:line="290" w:lineRule="auto"/>
        <w:rPr>
          <w:rFonts w:ascii="Arial" w:cs="Arial" w:eastAsia="Arial" w:hAnsi="Arial"/>
          <w:sz w:val="16"/>
          <w:szCs w:val="16"/>
          <w:color w:val="auto"/>
        </w:rPr>
      </w:pPr>
      <w:r>
        <w:rPr>
          <w:rFonts w:ascii="Arial" w:cs="Arial" w:eastAsia="Arial" w:hAnsi="Arial"/>
          <w:sz w:val="16"/>
          <w:szCs w:val="16"/>
          <w:color w:val="auto"/>
        </w:rPr>
        <w:t>(i) in accordance with the investment objective, policies and restrictions that are set forth in the Company’s registration statement on Form 10 (File No. 333-</w:t>
      </w:r>
      <w:r>
        <w:rPr>
          <w:rFonts w:ascii="Arial" w:cs="Arial" w:eastAsia="Arial" w:hAnsi="Arial"/>
          <w:sz w:val="16"/>
          <w:szCs w:val="16"/>
          <w:b w:val="1"/>
          <w:bCs w:val="1"/>
          <w:color w:val="auto"/>
        </w:rPr>
        <w:t>XXXXXX</w:t>
      </w:r>
      <w:r>
        <w:rPr>
          <w:rFonts w:ascii="Arial" w:cs="Arial" w:eastAsia="Arial" w:hAnsi="Arial"/>
          <w:sz w:val="16"/>
          <w:szCs w:val="16"/>
          <w:color w:val="auto"/>
        </w:rPr>
        <w:t>) initially filed on _______, 2011 (and as the same shall be amended from time to time,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prior to the filing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Company’s Registration Statement, in accordance with the investment objective, policies and restrictions that are set forth in the Company’s private placement memorandum dated </w:t>
      </w:r>
      <w:r>
        <w:rPr>
          <w:rFonts w:ascii="Arial" w:cs="Arial" w:eastAsia="Arial" w:hAnsi="Arial"/>
          <w:sz w:val="16"/>
          <w:szCs w:val="16"/>
          <w:b w:val="1"/>
          <w:bCs w:val="1"/>
          <w:color w:val="auto"/>
        </w:rPr>
        <w:t>[DATE]</w:t>
      </w:r>
      <w:r>
        <w:rPr>
          <w:rFonts w:ascii="Arial" w:cs="Arial" w:eastAsia="Arial" w:hAnsi="Arial"/>
          <w:sz w:val="16"/>
          <w:szCs w:val="16"/>
          <w:color w:val="auto"/>
        </w:rPr>
        <w:t>; (ii) in accordance with all other applicable federal and state laws, rules and regulations, and the Company’s charter and by-laws as the same shall be amended from time to time; and (iii) in accordance with the Investment Company Act. Without limiting the generality of the foregoing, the Adviser shall, during the term and subject to the provisions of this Agreement: (i) determine the composition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9" w:name="page140"/>
    <w:bookmarkEnd w:id="139"/>
    <w:p>
      <w:pPr>
        <w:ind w:right="20"/>
        <w:spacing w:after="0" w:line="268" w:lineRule="auto"/>
        <w:rPr>
          <w:sz w:val="20"/>
          <w:szCs w:val="20"/>
          <w:color w:val="auto"/>
        </w:rPr>
      </w:pPr>
      <w:r>
        <w:rPr>
          <w:rFonts w:ascii="Arial" w:cs="Arial" w:eastAsia="Arial" w:hAnsi="Arial"/>
          <w:sz w:val="17"/>
          <w:szCs w:val="17"/>
          <w:color w:val="auto"/>
        </w:rPr>
        <w:t>portfolio of the Company, the nature and timing of the changes therein and the manner of implementing such changes; (ii) identify/source, research, evaluate and negotiate the structure of the investments made by the Company; (iii) close and monitor the Company’s investments; (iv) determine the securities and other assets that the Company will purchase, retain, or sell; (v) use reasonable endeavors to ensure that the Company’s investments consist mainly of shares, securities or currencies (or derivative contracts relating thereto), which for the avoidance of doubt may include loans, notes and other evidences of indebtedness; (vi) perform due diligence on prospective portfolio companies; and (vii) provide the Company with such other investment advisory, research, and related services as the Company may, from time to time, reasonably require for the investment of its funds, including providing operating and managerial assistance to the Company and its portfolio companies as required. Subject to the supervision of the Board, the Adviser shall have the power and authority on behalf of the Company to effectuate its investment decisions for the Company, including the execution and delivery of all documents relating to the Company’s investments and the placing of orders for other purchase or sale transactions on behalf of the Company. In the event that the Company determines to acquire debt financing, the Adviser will arrange for such financing on the Company’s behalf, subject to the oversight and approval of the Board. If it is necessary or appropriate for the Adviser to make investments on behalf of the Company through a special purpose vehicle, the Adviser shall have authority to create or arrange for the creation of such special purpose vehicle and to make such investments through such special purpose vehicle (in accordance with the Investment Company Act).</w:t>
      </w:r>
    </w:p>
    <w:p>
      <w:pPr>
        <w:spacing w:after="0" w:line="80" w:lineRule="exact"/>
        <w:rPr>
          <w:sz w:val="20"/>
          <w:szCs w:val="20"/>
          <w:color w:val="auto"/>
        </w:rPr>
      </w:pPr>
    </w:p>
    <w:p>
      <w:pPr>
        <w:ind w:right="60" w:firstLine="233"/>
        <w:spacing w:after="0" w:line="277" w:lineRule="auto"/>
        <w:tabs>
          <w:tab w:leader="none" w:pos="47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Adviser hereby accepts such employment and agrees during the term hereof to render the services described herein for the compensation provided herein.</w:t>
      </w:r>
    </w:p>
    <w:p>
      <w:pPr>
        <w:spacing w:after="0" w:line="62" w:lineRule="exact"/>
        <w:rPr>
          <w:rFonts w:ascii="Arial" w:cs="Arial" w:eastAsia="Arial" w:hAnsi="Arial"/>
          <w:sz w:val="18"/>
          <w:szCs w:val="18"/>
          <w:color w:val="auto"/>
        </w:rPr>
      </w:pPr>
    </w:p>
    <w:p>
      <w:pPr>
        <w:ind w:firstLine="233"/>
        <w:spacing w:after="0" w:line="255" w:lineRule="auto"/>
        <w:tabs>
          <w:tab w:leader="none" w:pos="46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Adviser is hereby authorized to enter into one or more sub-advisory agreements with other investment advisers (each, a “</w:t>
      </w:r>
      <w:r>
        <w:rPr>
          <w:rFonts w:ascii="Arial" w:cs="Arial" w:eastAsia="Arial" w:hAnsi="Arial"/>
          <w:sz w:val="18"/>
          <w:szCs w:val="18"/>
          <w:u w:val="single" w:color="auto"/>
          <w:color w:val="auto"/>
        </w:rPr>
        <w:t>Sub-Adviser</w:t>
      </w:r>
      <w:r>
        <w:rPr>
          <w:rFonts w:ascii="Arial" w:cs="Arial" w:eastAsia="Arial" w:hAnsi="Arial"/>
          <w:sz w:val="18"/>
          <w:szCs w:val="18"/>
          <w:color w:val="auto"/>
        </w:rPr>
        <w:t>”) pursuant to which the Adviser may obtain the services of the Sub-Adviser(s) to assist the Adviser in fulfilling its responsibilities hereunder. Specifically, the Adviser may retain a Sub-Adviser to recommend specific securities or other investments based upon the Company’s investment objective and policies, and work, along with the Adviser, in structuring, negotiating, arranging or effecting the acquisition or disposition of such investments and monitoring investments on behalf of the Company, subject to the oversight of the Adviser and the Company. The Company shall be responsible for any compensation payable to any Sub-Adviser. Any sub-advisory agreement entered into by the Adviser shall be in accordance with the requirements of the Investment Company Act and other applicable federal and state law.</w:t>
      </w:r>
    </w:p>
    <w:p>
      <w:pPr>
        <w:spacing w:after="0" w:line="81" w:lineRule="exact"/>
        <w:rPr>
          <w:rFonts w:ascii="Arial" w:cs="Arial" w:eastAsia="Arial" w:hAnsi="Arial"/>
          <w:sz w:val="18"/>
          <w:szCs w:val="18"/>
          <w:color w:val="auto"/>
        </w:rPr>
      </w:pPr>
    </w:p>
    <w:p>
      <w:pPr>
        <w:ind w:right="140" w:firstLine="233"/>
        <w:spacing w:after="0" w:line="277" w:lineRule="auto"/>
        <w:tabs>
          <w:tab w:leader="none" w:pos="47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Adviser shall for all purposes herein provided be deemed to be an independent contractor and, except as expressly provided or authorized herein, shall have no authority to act for or represent the Company in any way or otherwise be deemed an agent of the Company.</w:t>
      </w:r>
    </w:p>
    <w:p>
      <w:pPr>
        <w:spacing w:after="0" w:line="62" w:lineRule="exact"/>
        <w:rPr>
          <w:rFonts w:ascii="Arial" w:cs="Arial" w:eastAsia="Arial" w:hAnsi="Arial"/>
          <w:sz w:val="18"/>
          <w:szCs w:val="18"/>
          <w:color w:val="auto"/>
        </w:rPr>
      </w:pPr>
    </w:p>
    <w:p>
      <w:pPr>
        <w:ind w:right="380" w:firstLine="233"/>
        <w:spacing w:after="0" w:line="277" w:lineRule="auto"/>
        <w:tabs>
          <w:tab w:leader="none" w:pos="46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Adviser shall keep and preserve for the period required by the Investment Company Act any books and records relevant to the provision of its investment advisory services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0" w:name="page141"/>
    <w:bookmarkEnd w:id="140"/>
    <w:p>
      <w:pPr>
        <w:jc w:val="both"/>
        <w:ind w:right="300"/>
        <w:spacing w:after="0" w:line="279" w:lineRule="auto"/>
        <w:rPr>
          <w:sz w:val="20"/>
          <w:szCs w:val="20"/>
          <w:color w:val="auto"/>
        </w:rPr>
      </w:pPr>
      <w:r>
        <w:rPr>
          <w:rFonts w:ascii="Arial" w:cs="Arial" w:eastAsia="Arial" w:hAnsi="Arial"/>
          <w:sz w:val="17"/>
          <w:szCs w:val="17"/>
          <w:color w:val="auto"/>
        </w:rPr>
        <w:t>to the Company and shall specifically maintain all books and records in accordance with Section 31(a) of the Investment Company Act with respect to the Company’s portfolio transactions and shall render to the Board such periodic and special reports as the Board may reasonably request. The Adviser agrees that all records that it maintains for the Company are the property of the Company and will surrender promptly to the Company any such records upon the Company’s request, provided that the Adviser may retain a copy of such records.</w:t>
      </w:r>
    </w:p>
    <w:p>
      <w:pPr>
        <w:spacing w:after="0" w:line="63" w:lineRule="exact"/>
        <w:rPr>
          <w:sz w:val="20"/>
          <w:szCs w:val="20"/>
          <w:color w:val="auto"/>
        </w:rPr>
      </w:pPr>
    </w:p>
    <w:p>
      <w:pPr>
        <w:ind w:right="360" w:firstLine="233"/>
        <w:spacing w:after="0" w:line="277" w:lineRule="auto"/>
        <w:tabs>
          <w:tab w:leader="none" w:pos="44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Adviser shall be primarily responsible for the execution of any trades in securities in the Company’s portfolio and the Company’s allocation of brokerage commissions.</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Company’s Responsibilities and Expenses Payable by the Company</w:t>
      </w:r>
    </w:p>
    <w:p>
      <w:pPr>
        <w:spacing w:after="0" w:line="121" w:lineRule="exact"/>
        <w:rPr>
          <w:rFonts w:ascii="Arial" w:cs="Arial" w:eastAsia="Arial" w:hAnsi="Arial"/>
          <w:sz w:val="18"/>
          <w:szCs w:val="18"/>
          <w:b w:val="1"/>
          <w:bCs w:val="1"/>
          <w:color w:val="auto"/>
        </w:rPr>
      </w:pPr>
    </w:p>
    <w:p>
      <w:pPr>
        <w:ind w:firstLine="233"/>
        <w:spacing w:after="0" w:line="267" w:lineRule="auto"/>
        <w:tabs>
          <w:tab w:leader="none" w:pos="47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Except as otherwise provided herein or in the Administration Agreement, the Adviser shall be solely responsible for the compensation of its investment professionals and employees and all overhead expenses of the Adviser (including rent, office equipment and utilities). The Company will bear all other costs and expenses of its operations, administration and transactions, including (without limitation) those relating to: organizational expenses (up to an aggregate of $1,500,000, it being understood and agreed that the Adviser shall bear all organizational expenses of the Company in excess of such amount); calculating the Company’s net asset value (including the cost and expenses of any independent valuation firm); expenses, including travel expense, incurred by the Adviser or payable to third parties performing due diligence on prospective portfolio companies and, if necessary, enforcing the Company’s rights; sales and purchases of the Company’s common stock and other securities; fees paid to the Adviser under this Agreement; distributions on the Company’s shares; administration fees, if any, payable under the Administration Agreement between the Company and TSL Advisers, LLC (the “</w:t>
      </w:r>
      <w:r>
        <w:rPr>
          <w:rFonts w:ascii="Arial" w:cs="Arial" w:eastAsia="Arial" w:hAnsi="Arial"/>
          <w:sz w:val="17"/>
          <w:szCs w:val="17"/>
          <w:u w:val="single" w:color="auto"/>
          <w:color w:val="auto"/>
        </w:rPr>
        <w:t>Administrator</w:t>
      </w:r>
      <w:r>
        <w:rPr>
          <w:rFonts w:ascii="Arial" w:cs="Arial" w:eastAsia="Arial" w:hAnsi="Arial"/>
          <w:sz w:val="17"/>
          <w:szCs w:val="17"/>
          <w:color w:val="auto"/>
        </w:rPr>
        <w:t>”); debt service and other costs of borrowings or other financing arrangements; the allocated costs incurred by the Adviser in providing managerial assistance to those portfolio companies that request it; amounts payable to third parties relating to, or associated with, making or holding investments; transfer agent and custodial fees; costs of hedging; commissions and other compensation payable to brokers or dealers; registration fees; listing fees; federal, state and local taxes; independent director fees and expenses; costs of preparing and filing reports or other documents required by the Securities and Exchange Commission and other reporting and compliance costs; the costs of any reports, proxy statements or other notices to the Company’s stockholders, including printing and mailing costs, and the costs of any stockholders’ meetings, as well as the compensation of an investor relations professional responsible for the coordination and administration of the foregoing; the Company’s fidelity bond; directors and officers/errors and omissions liability insurance, and any other insurance premiums; indemnification payments; direct costs and expenses of administration, including audit and legal costs; and all other expenses reasonably incurred by the Company in connection with making investments and administering the Company’s business. Notwithstanding anything to the contrary contained herein, the Company shall reimburse the Adviser (or its affiliates) for an allocable portion of the compensation paid by the Adviser (or its affiliates) to the Company’s Chief Compliance Officer and Chief Financial Officer (based on a percentage of time such individuals devote, on an estimated basis, to the business affairs of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1" w:name="page142"/>
    <w:bookmarkEnd w:id="141"/>
    <w:p>
      <w:pPr>
        <w:ind w:right="160"/>
        <w:spacing w:after="0" w:line="277" w:lineRule="auto"/>
        <w:rPr>
          <w:sz w:val="20"/>
          <w:szCs w:val="20"/>
          <w:color w:val="auto"/>
        </w:rPr>
      </w:pPr>
      <w:r>
        <w:rPr>
          <w:rFonts w:ascii="Arial" w:cs="Arial" w:eastAsia="Arial" w:hAnsi="Arial"/>
          <w:sz w:val="18"/>
          <w:szCs w:val="18"/>
          <w:color w:val="auto"/>
        </w:rPr>
        <w:t>Company). For the avoidance of doubt, the Adviser shall be solely responsible for any placement or “finder’s” fees payable to placement agents engaged by the Company or its affiliates in connection with the offering of securities by the Company.</w:t>
      </w:r>
    </w:p>
    <w:p>
      <w:pPr>
        <w:spacing w:after="0" w:line="166" w:lineRule="exact"/>
        <w:rPr>
          <w:sz w:val="20"/>
          <w:szCs w:val="20"/>
          <w:color w:val="auto"/>
        </w:rPr>
      </w:pPr>
    </w:p>
    <w:p>
      <w:pPr>
        <w:ind w:left="180" w:hanging="172"/>
        <w:spacing w:after="0"/>
        <w:tabs>
          <w:tab w:leader="none" w:pos="1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of the Adviser</w:t>
      </w:r>
    </w:p>
    <w:p>
      <w:pPr>
        <w:spacing w:after="0" w:line="121"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Company agrees to pay, and the Adviser agrees to accept, as compensation for the services provided by the Adviser hereunder, a base management fee (the “</w:t>
      </w:r>
      <w:r>
        <w:rPr>
          <w:rFonts w:ascii="Arial" w:cs="Arial" w:eastAsia="Arial" w:hAnsi="Arial"/>
          <w:sz w:val="16"/>
          <w:szCs w:val="16"/>
          <w:u w:val="single" w:color="auto"/>
          <w:color w:val="auto"/>
        </w:rPr>
        <w:t>Management Fee</w:t>
      </w:r>
      <w:r>
        <w:rPr>
          <w:rFonts w:ascii="Arial" w:cs="Arial" w:eastAsia="Arial" w:hAnsi="Arial"/>
          <w:sz w:val="16"/>
          <w:szCs w:val="16"/>
          <w:color w:val="auto"/>
        </w:rPr>
        <w:t>”) and an incentive fee (the “</w:t>
      </w:r>
      <w:r>
        <w:rPr>
          <w:rFonts w:ascii="Arial" w:cs="Arial" w:eastAsia="Arial" w:hAnsi="Arial"/>
          <w:sz w:val="16"/>
          <w:szCs w:val="16"/>
          <w:u w:val="single" w:color="auto"/>
          <w:color w:val="auto"/>
        </w:rPr>
        <w:t>Incentive Fee</w:t>
      </w:r>
      <w:r>
        <w:rPr>
          <w:rFonts w:ascii="Arial" w:cs="Arial" w:eastAsia="Arial" w:hAnsi="Arial"/>
          <w:sz w:val="16"/>
          <w:szCs w:val="16"/>
          <w:color w:val="auto"/>
        </w:rPr>
        <w:t>”) as hereinafter set forth. The Company shall make any payments due hereunder to the Adviser or to the Adviser’s designee as the Adviser may otherwise direct. To the extent permitted by applicable law, the Adviser may elect, or the Company may adopt, a deferred compensation plan pursuant to which the Adviser may elect to defer all or a portion of its fees hereunder for a specified period of time.</w:t>
      </w:r>
    </w:p>
    <w:p>
      <w:pPr>
        <w:spacing w:after="0" w:line="46" w:lineRule="exact"/>
        <w:rPr>
          <w:sz w:val="20"/>
          <w:szCs w:val="20"/>
          <w:color w:val="auto"/>
        </w:rPr>
      </w:pPr>
    </w:p>
    <w:p>
      <w:pPr>
        <w:ind w:right="220" w:firstLine="233"/>
        <w:spacing w:after="0" w:line="279" w:lineRule="auto"/>
        <w:tabs>
          <w:tab w:leader="none" w:pos="46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Management Fee shall be calculated at an annual rate of 1.5% of the Company’s gross assets. For services rendered under this Agreement, the Management Fee will be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w:t>
      </w:r>
      <w:r>
        <w:rPr>
          <w:rFonts w:ascii="Arial" w:cs="Arial" w:eastAsia="Arial" w:hAnsi="Arial"/>
          <w:sz w:val="14"/>
          <w:szCs w:val="14"/>
          <w:color w:val="auto"/>
        </w:rPr>
        <w:t>1</w:t>
      </w:r>
      <w:r>
        <w:rPr>
          <w:rFonts w:ascii="Arial" w:cs="Arial" w:eastAsia="Arial" w:hAnsi="Arial"/>
          <w:sz w:val="17"/>
          <w:szCs w:val="17"/>
          <w:color w:val="auto"/>
        </w:rPr>
        <w:t xml:space="preserve"> Management Fees for any partial month or quarter will be appropriately prorated.</w:t>
      </w:r>
    </w:p>
    <w:p>
      <w:pPr>
        <w:spacing w:after="0" w:line="63" w:lineRule="exact"/>
        <w:rPr>
          <w:rFonts w:ascii="Arial" w:cs="Arial" w:eastAsia="Arial" w:hAnsi="Arial"/>
          <w:sz w:val="17"/>
          <w:szCs w:val="17"/>
          <w:color w:val="auto"/>
        </w:rPr>
      </w:pPr>
    </w:p>
    <w:p>
      <w:pPr>
        <w:ind w:left="480" w:hanging="247"/>
        <w:spacing w:after="0"/>
        <w:tabs>
          <w:tab w:leader="none" w:pos="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Incentive Fee shall consist of two parts, as follows:</w:t>
      </w:r>
    </w:p>
    <w:p>
      <w:pPr>
        <w:spacing w:after="0" w:line="117" w:lineRule="exact"/>
        <w:rPr>
          <w:rFonts w:ascii="Arial" w:cs="Arial" w:eastAsia="Arial" w:hAnsi="Arial"/>
          <w:sz w:val="18"/>
          <w:szCs w:val="18"/>
          <w:color w:val="auto"/>
        </w:rPr>
      </w:pPr>
    </w:p>
    <w:p>
      <w:pPr>
        <w:ind w:left="900" w:hanging="446"/>
        <w:spacing w:after="0" w:line="271" w:lineRule="auto"/>
        <w:tabs>
          <w:tab w:leader="none" w:pos="90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One part will be calculated and payable quarterly in arrears based on the pre-Incentive Fee net investment income for the immediately preceding calendar quarter. For this purpose, 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 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3036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1" w:lineRule="exact"/>
        <w:rPr>
          <w:sz w:val="20"/>
          <w:szCs w:val="20"/>
          <w:color w:val="auto"/>
        </w:rPr>
      </w:pPr>
    </w:p>
    <w:p>
      <w:pPr>
        <w:ind w:left="460" w:right="120" w:hanging="452"/>
        <w:spacing w:after="0" w:line="342" w:lineRule="auto"/>
        <w:tabs>
          <w:tab w:leader="none" w:pos="460" w:val="left"/>
        </w:tabs>
        <w:numPr>
          <w:ilvl w:val="0"/>
          <w:numId w:val="172"/>
        </w:numPr>
        <w:rPr>
          <w:rFonts w:ascii="Arial" w:cs="Arial" w:eastAsia="Arial" w:hAnsi="Arial"/>
          <w:sz w:val="14"/>
          <w:szCs w:val="14"/>
          <w:color w:val="auto"/>
        </w:rPr>
      </w:pPr>
      <w:r>
        <w:rPr>
          <w:rFonts w:ascii="Arial" w:cs="Arial" w:eastAsia="Arial" w:hAnsi="Arial"/>
          <w:sz w:val="16"/>
          <w:szCs w:val="16"/>
          <w:color w:val="auto"/>
        </w:rPr>
        <w:t>For each of the first two calendar quarters of the Company’s operations, the Management Fee shall be calculated based on the Company’s gross assets at the end of such calendar quarter, and appropriately adjusted for any share issuances or repurchases during such calendar quarter.</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42" w:name="page143"/>
    <w:bookmarkEnd w:id="142"/>
    <w:p>
      <w:pPr>
        <w:ind w:right="40"/>
        <w:spacing w:after="0" w:line="286" w:lineRule="auto"/>
        <w:rPr>
          <w:sz w:val="20"/>
          <w:szCs w:val="20"/>
          <w:color w:val="auto"/>
        </w:rPr>
      </w:pPr>
      <w:r>
        <w:rPr>
          <w:rFonts w:ascii="Arial" w:cs="Arial" w:eastAsia="Arial" w:hAnsi="Arial"/>
          <w:sz w:val="17"/>
          <w:szCs w:val="17"/>
          <w:color w:val="auto"/>
        </w:rPr>
        <w:t>Incentive Fee net investment income, expressed as a rate of return on the value of the Company’s net assets at the end of the immediately preceding calendar quarter, will be compared to a “hurdle rate” of 1.5% per quarter (6% annualized). The Company’s net investment income used to calculate this part of the Incentive Fee is also included in the amount of its gross assets used to calculate the 1.5% Management Fee.</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pay the Adviser an Incentive Fee with respect to the Company’s pre-Incentive Fee net investment income in each calendar quarter as follows:</w:t>
      </w:r>
    </w:p>
    <w:p>
      <w:pPr>
        <w:spacing w:after="0" w:line="62" w:lineRule="exact"/>
        <w:rPr>
          <w:sz w:val="20"/>
          <w:szCs w:val="20"/>
          <w:color w:val="auto"/>
        </w:rPr>
      </w:pPr>
    </w:p>
    <w:p>
      <w:pPr>
        <w:ind w:left="660" w:right="220" w:hanging="437"/>
        <w:spacing w:after="0" w:line="264" w:lineRule="auto"/>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With the exception of the Capital Gains Fee (as defined and discussed in greater detail below), no Incentive Fee is payable to the Adviser in any calendar quarter in which the Company’s pre-Incentive Fee net investment income does not exceed the hurdle rate of 1.5% for such quarter.</w:t>
      </w:r>
    </w:p>
    <w:p>
      <w:pPr>
        <w:spacing w:after="0" w:line="86" w:lineRule="exact"/>
        <w:rPr>
          <w:rFonts w:ascii="Arial" w:cs="Arial" w:eastAsia="Arial" w:hAnsi="Arial"/>
          <w:sz w:val="18"/>
          <w:szCs w:val="18"/>
          <w:b w:val="1"/>
          <w:bCs w:val="1"/>
          <w:color w:val="auto"/>
        </w:rPr>
      </w:pPr>
    </w:p>
    <w:p>
      <w:pPr>
        <w:jc w:val="both"/>
        <w:ind w:left="660" w:right="60" w:hanging="437"/>
        <w:spacing w:after="0" w:line="279" w:lineRule="auto"/>
        <w:tabs>
          <w:tab w:leader="none" w:pos="660" w:val="left"/>
        </w:tabs>
        <w:numPr>
          <w:ilvl w:val="0"/>
          <w:numId w:val="173"/>
        </w:numPr>
        <w:rPr>
          <w:rFonts w:ascii="Arial" w:cs="Arial" w:eastAsia="Arial" w:hAnsi="Arial"/>
          <w:sz w:val="17"/>
          <w:szCs w:val="17"/>
          <w:b w:val="1"/>
          <w:bCs w:val="1"/>
          <w:color w:val="auto"/>
        </w:rPr>
      </w:pPr>
      <w:r>
        <w:rPr>
          <w:rFonts w:ascii="Arial" w:cs="Arial" w:eastAsia="Arial" w:hAnsi="Arial"/>
          <w:sz w:val="17"/>
          <w:szCs w:val="17"/>
          <w:color w:val="auto"/>
        </w:rPr>
        <w:t>Following any initial public offering (“</w:t>
      </w:r>
      <w:r>
        <w:rPr>
          <w:rFonts w:ascii="Arial" w:cs="Arial" w:eastAsia="Arial" w:hAnsi="Arial"/>
          <w:sz w:val="17"/>
          <w:szCs w:val="17"/>
          <w:u w:val="single" w:color="auto"/>
          <w:color w:val="auto"/>
        </w:rPr>
        <w:t>IPO</w:t>
      </w:r>
      <w:r>
        <w:rPr>
          <w:rFonts w:ascii="Arial" w:cs="Arial" w:eastAsia="Arial" w:hAnsi="Arial"/>
          <w:sz w:val="17"/>
          <w:szCs w:val="17"/>
          <w:color w:val="auto"/>
        </w:rPr>
        <w:t>”) of the Company’s common stock that may occur, 100% of the Company’s pre-Incentive Fee net investment income with respect to that portion of such pre-Incentive Fee net investment income, if any, that exceeds the hurdle rate is payable to the Adviser until the Adviser has received 17.5% of the total pre-Incentive Fee net investment income for that fiscal quarter. The Company refers to this portion of the Company’s Pre-Incentive Fee Net Investment Income as the “catch-up.”</w:t>
      </w:r>
    </w:p>
    <w:p>
      <w:pPr>
        <w:spacing w:after="0" w:line="76" w:lineRule="exact"/>
        <w:rPr>
          <w:rFonts w:ascii="Arial" w:cs="Arial" w:eastAsia="Arial" w:hAnsi="Arial"/>
          <w:sz w:val="17"/>
          <w:szCs w:val="17"/>
          <w:b w:val="1"/>
          <w:bCs w:val="1"/>
          <w:color w:val="auto"/>
        </w:rPr>
      </w:pPr>
    </w:p>
    <w:p>
      <w:pPr>
        <w:ind w:left="660" w:right="14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Prior to any IPO of the Company’s common stock that may occur, 100% of the Company’s pre-Incentive Fee net investment income with respect to that portion of such pre-Incentive Fee net investment income, if any, that exceeds the hurdle rate is payable to the Adviser until the Adviser has received 15% of the total pre-Incentive Fee net investment income for that fiscal quarter.</w:t>
      </w:r>
    </w:p>
    <w:p>
      <w:pPr>
        <w:spacing w:after="0" w:line="70" w:lineRule="exact"/>
        <w:rPr>
          <w:rFonts w:ascii="Arial" w:cs="Arial" w:eastAsia="Arial" w:hAnsi="Arial"/>
          <w:sz w:val="17"/>
          <w:szCs w:val="17"/>
          <w:b w:val="1"/>
          <w:bCs w:val="1"/>
          <w:color w:val="auto"/>
        </w:rPr>
      </w:pPr>
    </w:p>
    <w:p>
      <w:pPr>
        <w:ind w:left="660" w:right="360" w:hanging="437"/>
        <w:spacing w:after="0" w:line="277" w:lineRule="auto"/>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Following any IPO of the Company’s common stock that may occur, once the hurdle is reached and the catch-up is achieved, 17.5% of all remaining pre-Incentive Fee net investment income for that fiscal quarter is payable to the Adviser.</w:t>
      </w:r>
    </w:p>
    <w:p>
      <w:pPr>
        <w:spacing w:after="0" w:line="75" w:lineRule="exact"/>
        <w:rPr>
          <w:rFonts w:ascii="Arial" w:cs="Arial" w:eastAsia="Arial" w:hAnsi="Arial"/>
          <w:sz w:val="18"/>
          <w:szCs w:val="18"/>
          <w:b w:val="1"/>
          <w:bCs w:val="1"/>
          <w:color w:val="auto"/>
        </w:rPr>
      </w:pPr>
    </w:p>
    <w:p>
      <w:pPr>
        <w:ind w:left="660"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Prior to any IPO of the Company’s common stock that may occur, once the hurdle is reached and the catch-up is achieved, 15% of all remaining pre-Incentive Fee net investment income for that fiscal quarter is payable to the Adviser.</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143" w:name="page144"/>
    <w:bookmarkEnd w:id="143"/>
    <w:p>
      <w:pPr>
        <w:ind w:left="660" w:right="40" w:hanging="437"/>
        <w:spacing w:after="0" w:line="277" w:lineRule="auto"/>
        <w:tabs>
          <w:tab w:leader="none" w:pos="660"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These calculations will be appropriately prorated for any period of less than three months and adjusted for any share issuances or repurchases during the relevant quarter.</w:t>
      </w:r>
    </w:p>
    <w:p>
      <w:pPr>
        <w:spacing w:after="0" w:line="62" w:lineRule="exact"/>
        <w:rPr>
          <w:rFonts w:ascii="Arial" w:cs="Arial" w:eastAsia="Arial" w:hAnsi="Arial"/>
          <w:sz w:val="18"/>
          <w:szCs w:val="18"/>
          <w:b w:val="1"/>
          <w:bCs w:val="1"/>
          <w:color w:val="auto"/>
        </w:rPr>
      </w:pPr>
    </w:p>
    <w:p>
      <w:pPr>
        <w:ind w:firstLine="4"/>
        <w:spacing w:after="0" w:line="271" w:lineRule="auto"/>
        <w:tabs>
          <w:tab w:leader="none" w:pos="26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Following any IPO of the Company’s common stock that may occur, the second part of the Incentive Fee (the “</w:t>
      </w:r>
      <w:r>
        <w:rPr>
          <w:rFonts w:ascii="Arial" w:cs="Arial" w:eastAsia="Arial" w:hAnsi="Arial"/>
          <w:sz w:val="17"/>
          <w:szCs w:val="17"/>
          <w:u w:val="single" w:color="auto"/>
          <w:color w:val="auto"/>
        </w:rPr>
        <w:t>Capital Gains Fee</w:t>
      </w:r>
      <w:r>
        <w:rPr>
          <w:rFonts w:ascii="Arial" w:cs="Arial" w:eastAsia="Arial" w:hAnsi="Arial"/>
          <w:sz w:val="17"/>
          <w:szCs w:val="17"/>
          <w:color w:val="auto"/>
        </w:rPr>
        <w:t>”) will be determined and payable in arrears as of the end of each fiscal year of the Company (or upon termination of this Agreement as set forth below), and will equal the Weighted Percentage (as defined below) of the Company’s realized capital gains, if any, on a cumulative basis from the inception of the Company to the end of such fiscal year, computed net of all realized capital losses and unrealized capital depreciation on a cumulative basis, minus the aggregate amount of any previously paid capital gain incentive fees for prior periods. The Weighted Percentage is intended to ensure that, for each fiscal year following an IPO of the Company’s common stock, the portion of the Company’s realized capital gains that accrued prior to an IPO will be subject to an incentive fee rate of 15% and the portion of the Company’s realized capital gains that accrued following an IPO will be subject to an incentive fee rate of 17.5%, and is determined as follows: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Percentage</w:t>
      </w:r>
      <w:r>
        <w:rPr>
          <w:rFonts w:ascii="Arial" w:cs="Arial" w:eastAsia="Arial" w:hAnsi="Arial"/>
          <w:sz w:val="18"/>
          <w:szCs w:val="18"/>
          <w:color w:val="auto"/>
        </w:rPr>
        <w:t>” means a percentage equal to the Pre-IPO Percentage plus the Post-IPO Percentage.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Percentage</w:t>
      </w:r>
      <w:r>
        <w:rPr>
          <w:rFonts w:ascii="Arial" w:cs="Arial" w:eastAsia="Arial" w:hAnsi="Arial"/>
          <w:sz w:val="18"/>
          <w:szCs w:val="18"/>
          <w:color w:val="auto"/>
        </w:rPr>
        <w:t>” means a percentage determined by multiplying 15% by a fraction, the numerator of which is the Pre-IPO Gain Amount and the denominator of which is the Total Gain Amount, rounded to the nearest one hundredth percent.</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Post-IPO Percentage</w:t>
      </w:r>
      <w:r>
        <w:rPr>
          <w:rFonts w:ascii="Arial" w:cs="Arial" w:eastAsia="Arial" w:hAnsi="Arial"/>
          <w:sz w:val="18"/>
          <w:szCs w:val="18"/>
          <w:color w:val="auto"/>
        </w:rPr>
        <w:t>” means a percentage determined by multiplying 17.5% by a fraction, the numerator of which is the Post-IPO Gain Amount and the denominator of which is the Total Gain Amount, rounded to the nearest one hundredth percent.</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Gain Amount</w:t>
      </w:r>
      <w:r>
        <w:rPr>
          <w:rFonts w:ascii="Arial" w:cs="Arial" w:eastAsia="Arial" w:hAnsi="Arial"/>
          <w:sz w:val="18"/>
          <w:szCs w:val="18"/>
          <w:color w:val="auto"/>
        </w:rPr>
        <w:t>” means, for any fiscal year, the aggregate dollar amount of the Company’s realized capital gains on a cumulative basis from the inception of the Company to the end of such fiscal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Gain Amount</w:t>
      </w:r>
      <w:r>
        <w:rPr>
          <w:rFonts w:ascii="Arial" w:cs="Arial" w:eastAsia="Arial" w:hAnsi="Arial"/>
          <w:sz w:val="18"/>
          <w:szCs w:val="18"/>
          <w:color w:val="auto"/>
        </w:rPr>
        <w:t>” means the aggregate dollar amount equal to sum of the following:</w:t>
      </w:r>
    </w:p>
    <w:p>
      <w:pPr>
        <w:spacing w:after="0" w:line="117" w:lineRule="exact"/>
        <w:rPr>
          <w:sz w:val="20"/>
          <w:szCs w:val="20"/>
          <w:color w:val="auto"/>
        </w:rPr>
      </w:pPr>
    </w:p>
    <w:p>
      <w:pPr>
        <w:ind w:left="520" w:hanging="287"/>
        <w:spacing w:after="0"/>
        <w:tabs>
          <w:tab w:leader="none" w:pos="5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 respect of each capital gain of the Company realized prior to the occurrence of any IPO, a dollar amount equal to 100% of such capital gain;</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520" w:hanging="287"/>
        <w:spacing w:after="0"/>
        <w:tabs>
          <w:tab w:leader="none" w:pos="5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respect of each capital gain of the Company realized following the occurrence of an IPO:</w:t>
      </w:r>
    </w:p>
    <w:p>
      <w:pPr>
        <w:spacing w:after="0" w:line="1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00" w:top="936" w:right="299" w:bottom="1440" w:gutter="0" w:footer="0" w:header="0"/>
        </w:sectPr>
      </w:pPr>
    </w:p>
    <w:bookmarkStart w:id="144" w:name="page145"/>
    <w:bookmarkEnd w:id="144"/>
    <w:p>
      <w:pPr>
        <w:ind w:left="460" w:firstLine="1"/>
        <w:spacing w:after="0" w:line="257" w:lineRule="auto"/>
        <w:tabs>
          <w:tab w:leader="none" w:pos="68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event that the investment giving rise to such capital gain was made by the Company prior to the occurrence of an IPO, a dollar amount equal to the portion of such capital gain, if any, that had accrued on the books of the Company as of the date of any IPO (the “</w:t>
      </w:r>
      <w:r>
        <w:rPr>
          <w:rFonts w:ascii="Arial" w:cs="Arial" w:eastAsia="Arial" w:hAnsi="Arial"/>
          <w:sz w:val="18"/>
          <w:szCs w:val="18"/>
          <w:u w:val="single" w:color="auto"/>
          <w:color w:val="auto"/>
        </w:rPr>
        <w:t>Marked Amount</w:t>
      </w:r>
      <w:r>
        <w:rPr>
          <w:rFonts w:ascii="Arial" w:cs="Arial" w:eastAsia="Arial" w:hAnsi="Arial"/>
          <w:sz w:val="18"/>
          <w:szCs w:val="18"/>
          <w:color w:val="auto"/>
        </w:rPr>
        <w:t>”); provided, however, if the Marked Amount for such capital gain exceeds the disposition proceeds realized in respect of the such capital gain, the dollar amount to be included in this paragraph (B)(I) in respect of such capital gain shall equal (x) the disposition proceeds realized in respect of such capital gain minus (y) the cost basis of such capital gain; or</w:t>
      </w:r>
    </w:p>
    <w:p>
      <w:pPr>
        <w:spacing w:after="0" w:line="80" w:lineRule="exact"/>
        <w:rPr>
          <w:sz w:val="20"/>
          <w:szCs w:val="20"/>
          <w:color w:val="auto"/>
        </w:rPr>
      </w:pPr>
    </w:p>
    <w:p>
      <w:pPr>
        <w:ind w:right="640" w:firstLine="461"/>
        <w:spacing w:after="0" w:line="375" w:lineRule="auto"/>
        <w:tabs>
          <w:tab w:leader="none" w:pos="74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 the event that the investment giving rise to such capital gain was made by the Company following the occurrence of an IPO, zero. “</w:t>
      </w:r>
      <w:r>
        <w:rPr>
          <w:rFonts w:ascii="Arial" w:cs="Arial" w:eastAsia="Arial" w:hAnsi="Arial"/>
          <w:sz w:val="18"/>
          <w:szCs w:val="18"/>
          <w:u w:val="single" w:color="auto"/>
          <w:color w:val="auto"/>
        </w:rPr>
        <w:t>Post-IPO Gain Amount</w:t>
      </w:r>
      <w:r>
        <w:rPr>
          <w:rFonts w:ascii="Arial" w:cs="Arial" w:eastAsia="Arial" w:hAnsi="Arial"/>
          <w:sz w:val="18"/>
          <w:szCs w:val="18"/>
          <w:color w:val="auto"/>
        </w:rPr>
        <w:t>” means the aggregate dollar amount equal to the sum of the following:</w:t>
      </w:r>
    </w:p>
    <w:p>
      <w:pPr>
        <w:spacing w:after="0" w:line="1" w:lineRule="exact"/>
        <w:rPr>
          <w:rFonts w:ascii="Arial" w:cs="Arial" w:eastAsia="Arial" w:hAnsi="Arial"/>
          <w:sz w:val="18"/>
          <w:szCs w:val="18"/>
          <w:color w:val="auto"/>
        </w:rPr>
      </w:pPr>
    </w:p>
    <w:p>
      <w:pPr>
        <w:ind w:left="520" w:hanging="287"/>
        <w:spacing w:after="0"/>
        <w:tabs>
          <w:tab w:leader="none" w:pos="5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respect of each capital gain of the Company realized prior to the occurrence of an IPO, zero; and</w:t>
      </w:r>
    </w:p>
    <w:p>
      <w:pPr>
        <w:spacing w:after="0" w:line="117" w:lineRule="exact"/>
        <w:rPr>
          <w:rFonts w:ascii="Arial" w:cs="Arial" w:eastAsia="Arial" w:hAnsi="Arial"/>
          <w:sz w:val="18"/>
          <w:szCs w:val="18"/>
          <w:color w:val="auto"/>
        </w:rPr>
      </w:pPr>
    </w:p>
    <w:p>
      <w:pPr>
        <w:ind w:left="520" w:hanging="287"/>
        <w:spacing w:after="0"/>
        <w:tabs>
          <w:tab w:leader="none" w:pos="5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respect of each capital gain of the Company realized following the occurrence of an IPO:</w:t>
      </w:r>
    </w:p>
    <w:p>
      <w:pPr>
        <w:spacing w:after="0" w:line="117" w:lineRule="exact"/>
        <w:rPr>
          <w:rFonts w:ascii="Arial" w:cs="Arial" w:eastAsia="Arial" w:hAnsi="Arial"/>
          <w:sz w:val="18"/>
          <w:szCs w:val="18"/>
          <w:color w:val="auto"/>
        </w:rPr>
      </w:pPr>
    </w:p>
    <w:p>
      <w:pPr>
        <w:ind w:left="460" w:right="80" w:firstLine="1"/>
        <w:spacing w:after="0" w:line="273" w:lineRule="auto"/>
        <w:tabs>
          <w:tab w:leader="none" w:pos="685" w:val="left"/>
        </w:tabs>
        <w:numPr>
          <w:ilvl w:val="1"/>
          <w:numId w:val="178"/>
        </w:numPr>
        <w:rPr>
          <w:rFonts w:ascii="Arial" w:cs="Arial" w:eastAsia="Arial" w:hAnsi="Arial"/>
          <w:sz w:val="17"/>
          <w:szCs w:val="17"/>
          <w:color w:val="auto"/>
        </w:rPr>
      </w:pPr>
      <w:r>
        <w:rPr>
          <w:rFonts w:ascii="Arial" w:cs="Arial" w:eastAsia="Arial" w:hAnsi="Arial"/>
          <w:sz w:val="17"/>
          <w:szCs w:val="17"/>
          <w:color w:val="auto"/>
        </w:rPr>
        <w:t>In the event that the investment giving rise to such capital gain was made by the Company prior to the occurrence of an IPO, a dollar amount equal to (x) disposition proceeds realized in respect of such capital gain minus (y) the Marked Amount in respect of such capital gain; provided, however, if the Marked Amount for such capital gain exceeds the disposition proceeds realized in respect of such capital gain, the amount to be included in this paragraph (B)(I) in respect of such capital gain shall be zero; provided, further, if the investment giving rise to such capital gain was reflected as an unrealized capital loss on the books of the Company as of the date of an IPO, the dollar amount to be included in this paragraph (B)(I) shall equal 100% of such capital gain; or</w:t>
      </w:r>
    </w:p>
    <w:p>
      <w:pPr>
        <w:spacing w:after="0" w:line="70" w:lineRule="exact"/>
        <w:rPr>
          <w:sz w:val="20"/>
          <w:szCs w:val="20"/>
          <w:color w:val="auto"/>
        </w:rPr>
      </w:pPr>
    </w:p>
    <w:p>
      <w:pPr>
        <w:ind w:left="460" w:right="440" w:firstLine="1"/>
        <w:spacing w:after="0" w:line="277" w:lineRule="auto"/>
        <w:tabs>
          <w:tab w:leader="none" w:pos="74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event that the investment giving rise to such capital gain was made by the Company following the occurrence of an IPO, a dollar amount equal to 100% of such capital gain.</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any IPO of the Company’s common stock that may occur, the Capital Gains Fee will equal 15% of the Company’s realized capital gains, if any, on a cumulative basis from the inception of the Company to the end of such fiscal</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00" w:top="935" w:right="279" w:bottom="1440" w:gutter="0" w:footer="0" w:header="0"/>
        </w:sectPr>
      </w:pPr>
    </w:p>
    <w:bookmarkStart w:id="145" w:name="page146"/>
    <w:bookmarkEnd w:id="145"/>
    <w:p>
      <w:pPr>
        <w:ind w:left="460"/>
        <w:spacing w:after="0" w:line="276" w:lineRule="auto"/>
        <w:rPr>
          <w:sz w:val="20"/>
          <w:szCs w:val="20"/>
          <w:color w:val="auto"/>
        </w:rPr>
      </w:pPr>
      <w:r>
        <w:rPr>
          <w:rFonts w:ascii="Arial" w:cs="Arial" w:eastAsia="Arial" w:hAnsi="Arial"/>
          <w:sz w:val="17"/>
          <w:szCs w:val="17"/>
          <w:color w:val="auto"/>
        </w:rPr>
        <w:t xml:space="preserve">year, computed net of all realized capital losses and unrealized capital depreciation on a cumulative basis, minus the aggregate amount of any previously paid capital gain incentive fees for prior period; provided that the Capital Gains Fee determined as of </w:t>
      </w:r>
      <w:r>
        <w:rPr>
          <w:rFonts w:ascii="Arial" w:cs="Arial" w:eastAsia="Arial" w:hAnsi="Arial"/>
          <w:sz w:val="17"/>
          <w:szCs w:val="17"/>
          <w:b w:val="1"/>
          <w:bCs w:val="1"/>
          <w:color w:val="auto"/>
        </w:rPr>
        <w:t>[DATE]</w:t>
      </w:r>
      <w:r>
        <w:rPr>
          <w:rFonts w:ascii="Arial" w:cs="Arial" w:eastAsia="Arial" w:hAnsi="Arial"/>
          <w:sz w:val="17"/>
          <w:szCs w:val="17"/>
          <w:color w:val="auto"/>
        </w:rPr>
        <w:t xml:space="preserve"> will be calculated for a period of shorter than twelve calendar months to take into account any realized capital gains computed net of all realized capital losses and unrealized capital depreciation from inception. In the event that this Agreement shall terminate as of a date that is not a fiscal year end, the termination date shall be treated as though it were a fiscal year end for purposes of calculating and paying a Capital Gains Fee.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 (management fee + other expenses)) = 1.425%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Pre-incentive net investment income does not exceed hurdle rate, therefore there is no Incentive Fee.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640" w:hanging="155"/>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640" w:hanging="155"/>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360" w:right="386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=0.32%</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0.32% + (17.5% × 1.105%)</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6" w:name="page147"/>
    <w:bookmarkEnd w:id="146"/>
    <w:p>
      <w:pPr>
        <w:ind w:left="640" w:hanging="155"/>
        <w:spacing w:after="0"/>
        <w:tabs>
          <w:tab w:leader="none" w:pos="6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0.32% + 0.193%</w:t>
      </w:r>
    </w:p>
    <w:p>
      <w:pPr>
        <w:spacing w:after="0" w:line="23" w:lineRule="exact"/>
        <w:rPr>
          <w:rFonts w:ascii="Arial" w:cs="Arial" w:eastAsia="Arial" w:hAnsi="Arial"/>
          <w:sz w:val="18"/>
          <w:szCs w:val="18"/>
          <w:color w:val="auto"/>
        </w:rPr>
      </w:pPr>
    </w:p>
    <w:p>
      <w:pPr>
        <w:ind w:left="640" w:hanging="155"/>
        <w:spacing w:after="0"/>
        <w:tabs>
          <w:tab w:leader="none" w:pos="6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0.513%</w:t>
      </w:r>
    </w:p>
    <w:p>
      <w:pPr>
        <w:spacing w:after="0" w:line="372" w:lineRule="exact"/>
        <w:rPr>
          <w:rFonts w:ascii="Arial" w:cs="Arial" w:eastAsia="Arial" w:hAnsi="Arial"/>
          <w:sz w:val="18"/>
          <w:szCs w:val="18"/>
          <w:color w:val="auto"/>
        </w:rPr>
      </w:pPr>
    </w:p>
    <w:p>
      <w:pPr>
        <w:ind w:left="460" w:hanging="452"/>
        <w:spacing w:after="0"/>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Represents 6.0% annualized hurdle rate.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Represents 1.5% annualized management fee.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Excludes organizational and offering expenses.</w:t>
      </w:r>
    </w:p>
    <w:p>
      <w:pPr>
        <w:spacing w:after="0" w:line="76" w:lineRule="exact"/>
        <w:rPr>
          <w:rFonts w:ascii="Arial" w:cs="Arial" w:eastAsia="Arial" w:hAnsi="Arial"/>
          <w:sz w:val="18"/>
          <w:szCs w:val="18"/>
          <w:color w:val="auto"/>
        </w:rPr>
      </w:pPr>
    </w:p>
    <w:p>
      <w:pPr>
        <w:ind w:left="460" w:hanging="452"/>
        <w:spacing w:after="0" w:line="279" w:lineRule="auto"/>
        <w:tabs>
          <w:tab w:leader="none" w:pos="460"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The “catch-up” provision is intended to provide the Adviser with an Incentive Fee of 17.5% on all of the Company’s pre-Incentive Fee net investment income as if a hurdle rate did not apply when the Company’s net investment income exceeds 17.5% in any calendar quarter and is not applied once the Adviser has received 17.5% of investment income in a quarter. The “catch-up” portion of the Company’s pre-Incentive Fee Net Investment Income is the portion that exceeds the 1.5% hurdle rate but is less than or equal to 1.82% in any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-1158875</wp:posOffset>
            </wp:positionV>
            <wp:extent cx="13036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This example assumes that an IPO of the Company’s common stock has occurred.</w:t>
      </w:r>
    </w:p>
    <w:p>
      <w:pPr>
        <w:spacing w:after="0" w:line="77"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The hypothetical amount of pre-Incentive Fee net investment income shown is based on a percentage of total net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20" w:right="280" w:hanging="212"/>
        <w:spacing w:after="0" w:line="264" w:lineRule="auto"/>
        <w:tabs>
          <w:tab w:leader="none" w:pos="22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Year 1: $10 million investment made in Company A (“</w:t>
      </w:r>
      <w:r>
        <w:rPr>
          <w:rFonts w:ascii="Arial" w:cs="Arial" w:eastAsia="Arial" w:hAnsi="Arial"/>
          <w:sz w:val="18"/>
          <w:szCs w:val="18"/>
          <w:u w:val="single" w:color="auto"/>
          <w:color w:val="auto"/>
        </w:rPr>
        <w:t>Investment A</w:t>
      </w:r>
      <w:r>
        <w:rPr>
          <w:rFonts w:ascii="Arial" w:cs="Arial" w:eastAsia="Arial" w:hAnsi="Arial"/>
          <w:sz w:val="18"/>
          <w:szCs w:val="18"/>
          <w:color w:val="auto"/>
        </w:rPr>
        <w:t>”), $10 million investment made in Company B (“</w:t>
      </w:r>
      <w:r>
        <w:rPr>
          <w:rFonts w:ascii="Arial" w:cs="Arial" w:eastAsia="Arial" w:hAnsi="Arial"/>
          <w:sz w:val="18"/>
          <w:szCs w:val="18"/>
          <w:u w:val="single" w:color="auto"/>
          <w:color w:val="auto"/>
        </w:rPr>
        <w:t>Investment B</w:t>
      </w:r>
      <w:r>
        <w:rPr>
          <w:rFonts w:ascii="Arial" w:cs="Arial" w:eastAsia="Arial" w:hAnsi="Arial"/>
          <w:sz w:val="18"/>
          <w:szCs w:val="18"/>
          <w:color w:val="auto"/>
        </w:rPr>
        <w:t>”), $10 million investment made in Company C (“</w:t>
      </w:r>
      <w:r>
        <w:rPr>
          <w:rFonts w:ascii="Arial" w:cs="Arial" w:eastAsia="Arial" w:hAnsi="Arial"/>
          <w:sz w:val="18"/>
          <w:szCs w:val="18"/>
          <w:u w:val="single" w:color="auto"/>
          <w:color w:val="auto"/>
        </w:rPr>
        <w:t>Investment C</w:t>
      </w:r>
      <w:r>
        <w:rPr>
          <w:rFonts w:ascii="Arial" w:cs="Arial" w:eastAsia="Arial" w:hAnsi="Arial"/>
          <w:sz w:val="18"/>
          <w:szCs w:val="18"/>
          <w:color w:val="auto"/>
        </w:rPr>
        <w:t>”), $10 million investment made in Company D (“</w:t>
      </w:r>
      <w:r>
        <w:rPr>
          <w:rFonts w:ascii="Arial" w:cs="Arial" w:eastAsia="Arial" w:hAnsi="Arial"/>
          <w:sz w:val="18"/>
          <w:szCs w:val="18"/>
          <w:u w:val="single" w:color="auto"/>
          <w:color w:val="auto"/>
        </w:rPr>
        <w:t>Investment D</w:t>
      </w:r>
      <w:r>
        <w:rPr>
          <w:rFonts w:ascii="Arial" w:cs="Arial" w:eastAsia="Arial" w:hAnsi="Arial"/>
          <w:sz w:val="18"/>
          <w:szCs w:val="18"/>
          <w:color w:val="auto"/>
        </w:rPr>
        <w:t>”) and $10 million investment made in Company E (“</w:t>
      </w:r>
      <w:r>
        <w:rPr>
          <w:rFonts w:ascii="Arial" w:cs="Arial" w:eastAsia="Arial" w:hAnsi="Arial"/>
          <w:sz w:val="18"/>
          <w:szCs w:val="18"/>
          <w:u w:val="single" w:color="auto"/>
          <w:color w:val="auto"/>
        </w:rPr>
        <w:t>Investment E</w:t>
      </w:r>
      <w:r>
        <w:rPr>
          <w:rFonts w:ascii="Arial" w:cs="Arial" w:eastAsia="Arial" w:hAnsi="Arial"/>
          <w:sz w:val="18"/>
          <w:szCs w:val="18"/>
          <w:color w:val="auto"/>
        </w:rPr>
        <w:t>”).</w:t>
      </w:r>
    </w:p>
    <w:p>
      <w:pPr>
        <w:spacing w:after="0" w:line="86" w:lineRule="exact"/>
        <w:rPr>
          <w:rFonts w:ascii="Arial" w:cs="Arial" w:eastAsia="Arial" w:hAnsi="Arial"/>
          <w:sz w:val="18"/>
          <w:szCs w:val="18"/>
          <w:b w:val="1"/>
          <w:bCs w:val="1"/>
          <w:color w:val="auto"/>
        </w:rPr>
      </w:pPr>
    </w:p>
    <w:p>
      <w:pPr>
        <w:ind w:left="220" w:right="120" w:hanging="212"/>
        <w:spacing w:after="0" w:line="277" w:lineRule="auto"/>
        <w:tabs>
          <w:tab w:leader="none" w:pos="22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75" w:lineRule="exact"/>
        <w:rPr>
          <w:rFonts w:ascii="Arial" w:cs="Arial" w:eastAsia="Arial" w:hAnsi="Arial"/>
          <w:sz w:val="18"/>
          <w:szCs w:val="18"/>
          <w:b w:val="1"/>
          <w:bCs w:val="1"/>
          <w:color w:val="auto"/>
        </w:rPr>
      </w:pPr>
    </w:p>
    <w:p>
      <w:pPr>
        <w:ind w:left="220" w:right="180" w:hanging="212"/>
        <w:spacing w:after="0" w:line="277" w:lineRule="auto"/>
        <w:tabs>
          <w:tab w:leader="none" w:pos="22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75" w:lineRule="exact"/>
        <w:rPr>
          <w:rFonts w:ascii="Arial" w:cs="Arial" w:eastAsia="Arial" w:hAnsi="Arial"/>
          <w:sz w:val="18"/>
          <w:szCs w:val="18"/>
          <w:b w:val="1"/>
          <w:bCs w:val="1"/>
          <w:color w:val="auto"/>
        </w:rPr>
      </w:pPr>
    </w:p>
    <w:p>
      <w:pPr>
        <w:ind w:left="220" w:right="640" w:hanging="212"/>
        <w:spacing w:after="0" w:line="308" w:lineRule="auto"/>
        <w:tabs>
          <w:tab w:leader="none" w:pos="220" w:val="left"/>
        </w:tabs>
        <w:numPr>
          <w:ilvl w:val="0"/>
          <w:numId w:val="184"/>
        </w:numPr>
        <w:rPr>
          <w:rFonts w:ascii="Arial" w:cs="Arial" w:eastAsia="Arial" w:hAnsi="Arial"/>
          <w:sz w:val="17"/>
          <w:szCs w:val="17"/>
          <w:b w:val="1"/>
          <w:bCs w:val="1"/>
          <w:color w:val="auto"/>
        </w:rPr>
      </w:pPr>
      <w:r>
        <w:rPr>
          <w:rFonts w:ascii="Arial" w:cs="Arial" w:eastAsia="Arial" w:hAnsi="Arial"/>
          <w:sz w:val="17"/>
          <w:szCs w:val="17"/>
          <w:color w:val="auto"/>
        </w:rPr>
        <w:t>Year 4: $10 million investment made in Company F (“</w:t>
      </w:r>
      <w:r>
        <w:rPr>
          <w:rFonts w:ascii="Arial" w:cs="Arial" w:eastAsia="Arial" w:hAnsi="Arial"/>
          <w:sz w:val="17"/>
          <w:szCs w:val="17"/>
          <w:u w:val="single" w:color="auto"/>
          <w:color w:val="auto"/>
        </w:rPr>
        <w:t>Investment F</w:t>
      </w:r>
      <w:r>
        <w:rPr>
          <w:rFonts w:ascii="Arial" w:cs="Arial" w:eastAsia="Arial" w:hAnsi="Arial"/>
          <w:sz w:val="17"/>
          <w:szCs w:val="17"/>
          <w:color w:val="auto"/>
        </w:rPr>
        <w:t>”), Investment D sold for $12 million, FMV of Investment B determined to be $10 million, FMV of Investment C determined to be $16 million and FMV of Investment E determined to be $14 million.</w:t>
      </w:r>
    </w:p>
    <w:p>
      <w:pPr>
        <w:spacing w:after="0" w:line="51" w:lineRule="exact"/>
        <w:rPr>
          <w:rFonts w:ascii="Arial" w:cs="Arial" w:eastAsia="Arial" w:hAnsi="Arial"/>
          <w:sz w:val="17"/>
          <w:szCs w:val="17"/>
          <w:b w:val="1"/>
          <w:bCs w:val="1"/>
          <w:color w:val="auto"/>
        </w:rPr>
      </w:pPr>
    </w:p>
    <w:p>
      <w:pPr>
        <w:ind w:left="220" w:right="200" w:hanging="212"/>
        <w:spacing w:after="0" w:line="277" w:lineRule="auto"/>
        <w:tabs>
          <w:tab w:leader="none" w:pos="22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184"/>
        </w:numPr>
        <w:rPr>
          <w:rFonts w:ascii="Arial" w:cs="Arial" w:eastAsia="Arial" w:hAnsi="Arial"/>
          <w:sz w:val="17"/>
          <w:szCs w:val="17"/>
          <w:b w:val="1"/>
          <w:bCs w:val="1"/>
          <w:color w:val="auto"/>
        </w:rPr>
      </w:pPr>
      <w:r>
        <w:rPr>
          <w:rFonts w:ascii="Arial" w:cs="Arial" w:eastAsia="Arial" w:hAnsi="Arial"/>
          <w:sz w:val="17"/>
          <w:szCs w:val="17"/>
          <w:color w:val="auto"/>
        </w:rPr>
        <w:t>Year 6: Investment B sold for $16 million, FMV of Investment E determined to be $8 million and FMV of Investment F determined to be $15 million.</w:t>
      </w:r>
    </w:p>
    <w:p>
      <w:pPr>
        <w:spacing w:after="0" w:line="142" w:lineRule="exact"/>
        <w:rPr>
          <w:rFonts w:ascii="Arial" w:cs="Arial" w:eastAsia="Arial" w:hAnsi="Arial"/>
          <w:sz w:val="17"/>
          <w:szCs w:val="17"/>
          <w:b w:val="1"/>
          <w:bCs w:val="1"/>
          <w:color w:val="auto"/>
        </w:rPr>
      </w:pPr>
    </w:p>
    <w:p>
      <w:pPr>
        <w:ind w:left="220" w:hanging="212"/>
        <w:spacing w:after="0"/>
        <w:tabs>
          <w:tab w:leader="none" w:pos="22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Year 7: Investment E sold for $8 million and FMV of Investment F determined to be $17 million.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Year 8: Investment F sold for $18 million.</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47" w:name="page148"/>
    <w:bookmarkEnd w:id="147"/>
    <w:p>
      <w:pPr>
        <w:ind w:left="22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Cumulative</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7"/>
              </w:rPr>
              <w:t>Cumulative</w:t>
            </w:r>
          </w:p>
        </w:tc>
        <w:tc>
          <w:tcPr>
            <w:tcW w:w="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2"/>
              </w:rPr>
              <w:t>Unrealized</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Realized</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5"/>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ind w:left="20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2"/>
                <w:szCs w:val="12"/>
                <w:color w:val="auto"/>
              </w:rPr>
            </w:pPr>
          </w:p>
        </w:tc>
        <w:tc>
          <w:tcPr>
            <w:tcW w:w="1080" w:type="dxa"/>
            <w:vAlign w:val="bottom"/>
          </w:tcPr>
          <w:p>
            <w:pPr>
              <w:ind w:left="220"/>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3"/>
              </w:rPr>
              <w:t>Investment</w:t>
            </w:r>
          </w:p>
        </w:tc>
        <w:tc>
          <w:tcPr>
            <w:tcW w:w="200" w:type="dxa"/>
            <w:vAlign w:val="bottom"/>
          </w:tcPr>
          <w:p>
            <w:pPr>
              <w:spacing w:after="0"/>
              <w:rPr>
                <w:sz w:val="12"/>
                <w:szCs w:val="12"/>
                <w:color w:val="auto"/>
              </w:rPr>
            </w:pPr>
          </w:p>
        </w:tc>
        <w:tc>
          <w:tcPr>
            <w:tcW w:w="1080" w:type="dxa"/>
            <w:vAlign w:val="bottom"/>
          </w:tcPr>
          <w:p>
            <w:pPr>
              <w:ind w:left="220"/>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3"/>
              </w:rPr>
              <w:t>Investment</w:t>
            </w:r>
          </w:p>
        </w:tc>
        <w:tc>
          <w:tcPr>
            <w:tcW w:w="180" w:type="dxa"/>
            <w:vAlign w:val="bottom"/>
          </w:tcPr>
          <w:p>
            <w:pPr>
              <w:spacing w:after="0"/>
              <w:rPr>
                <w:sz w:val="12"/>
                <w:szCs w:val="12"/>
                <w:color w:val="auto"/>
              </w:rPr>
            </w:pPr>
          </w:p>
        </w:tc>
        <w:tc>
          <w:tcPr>
            <w:tcW w:w="1100" w:type="dxa"/>
            <w:vAlign w:val="bottom"/>
          </w:tcPr>
          <w:p>
            <w:pPr>
              <w:ind w:left="240"/>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6"/>
              </w:rPr>
              <w:t>Capital</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Capital</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0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B</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8"/>
              </w:rPr>
              <w:t>C</w:t>
            </w:r>
          </w:p>
        </w:tc>
        <w:tc>
          <w:tcPr>
            <w:tcW w:w="200" w:type="dxa"/>
            <w:vAlign w:val="bottom"/>
          </w:tcPr>
          <w:p>
            <w:pPr>
              <w:spacing w:after="0"/>
              <w:rPr>
                <w:sz w:val="14"/>
                <w:szCs w:val="14"/>
                <w:color w:val="auto"/>
              </w:rPr>
            </w:pPr>
          </w:p>
        </w:tc>
        <w:tc>
          <w:tcPr>
            <w:tcW w:w="10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D</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E</w:t>
            </w:r>
          </w:p>
        </w:tc>
        <w:tc>
          <w:tcPr>
            <w:tcW w:w="180" w:type="dxa"/>
            <w:vAlign w:val="bottom"/>
          </w:tcPr>
          <w:p>
            <w:pPr>
              <w:spacing w:after="0"/>
              <w:rPr>
                <w:sz w:val="14"/>
                <w:szCs w:val="14"/>
                <w:color w:val="auto"/>
              </w:rPr>
            </w:pP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F</w:t>
            </w: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Losses</w:t>
            </w: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Gains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Year</w:t>
            </w:r>
          </w:p>
        </w:tc>
        <w:tc>
          <w:tcPr>
            <w:tcW w:w="1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$10 million</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$10 million</w:t>
            </w:r>
          </w:p>
        </w:tc>
        <w:tc>
          <w:tcPr>
            <w:tcW w:w="126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rPr>
              <w:t>$10 million</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$10 million</w:t>
            </w:r>
          </w:p>
        </w:tc>
        <w:tc>
          <w:tcPr>
            <w:tcW w:w="126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rPr>
              <w:t>$10 million</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200"/>
              <w:spacing w:after="0" w:line="195"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6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(cost basis)</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(cost basis)</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basis)</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(cost basis)</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basis)</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 w:type="dxa"/>
            <w:vAlign w:val="bottom"/>
            <w:gridSpan w:val="2"/>
          </w:tcPr>
          <w:p>
            <w:pPr>
              <w:spacing w:after="0"/>
              <w:rPr>
                <w:sz w:val="20"/>
                <w:szCs w:val="20"/>
                <w:color w:val="auto"/>
              </w:rPr>
            </w:pPr>
            <w:r>
              <w:rPr>
                <w:rFonts w:ascii="Arial" w:cs="Arial" w:eastAsia="Arial" w:hAnsi="Arial"/>
                <w:sz w:val="18"/>
                <w:szCs w:val="18"/>
                <w:color w:val="auto"/>
              </w:rPr>
              <w:t>Year</w:t>
            </w:r>
          </w:p>
        </w:tc>
        <w:tc>
          <w:tcPr>
            <w:tcW w:w="1060" w:type="dxa"/>
            <w:vAlign w:val="bottom"/>
          </w:tcPr>
          <w:p>
            <w:pPr>
              <w:spacing w:after="0"/>
              <w:rPr>
                <w:sz w:val="20"/>
                <w:szCs w:val="20"/>
                <w:color w:val="auto"/>
              </w:rPr>
            </w:pPr>
            <w:r>
              <w:rPr>
                <w:rFonts w:ascii="Arial" w:cs="Arial" w:eastAsia="Arial" w:hAnsi="Arial"/>
                <w:sz w:val="18"/>
                <w:szCs w:val="18"/>
                <w:color w:val="auto"/>
              </w:rPr>
              <w:t>$20 million</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$8 million</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$12 million</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$10 million</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$10 million</w:t>
            </w:r>
          </w:p>
        </w:tc>
        <w:tc>
          <w:tcPr>
            <w:tcW w:w="1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$2 million</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7"/>
              </w:rPr>
              <w:t>$10 million</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2</w:t>
            </w:r>
          </w:p>
        </w:tc>
        <w:tc>
          <w:tcPr>
            <w:tcW w:w="1060" w:type="dxa"/>
            <w:vAlign w:val="bottom"/>
          </w:tcPr>
          <w:p>
            <w:pPr>
              <w:spacing w:after="0"/>
              <w:rPr>
                <w:sz w:val="20"/>
                <w:szCs w:val="20"/>
                <w:color w:val="auto"/>
              </w:rPr>
            </w:pPr>
            <w:r>
              <w:rPr>
                <w:rFonts w:ascii="Arial" w:cs="Arial" w:eastAsia="Arial" w:hAnsi="Arial"/>
                <w:sz w:val="18"/>
                <w:szCs w:val="18"/>
                <w:color w:val="auto"/>
              </w:rPr>
              <w:t>(sale price)</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FMV</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FMV</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FMV</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FMV</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Year</w:t>
            </w: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$8 million</w:t>
            </w:r>
          </w:p>
        </w:tc>
        <w:tc>
          <w:tcPr>
            <w:tcW w:w="1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$14 million</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 million</w:t>
            </w:r>
          </w:p>
        </w:tc>
        <w:tc>
          <w:tcPr>
            <w:tcW w:w="1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$16 million</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$2 million</w:t>
            </w:r>
          </w:p>
        </w:tc>
        <w:tc>
          <w:tcPr>
            <w:tcW w:w="12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$10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FMV at IPO</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FMV at IPO</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FMV at IPO</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FMV at IPO</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(IPO)</w:t>
            </w: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 w:type="dxa"/>
            <w:vAlign w:val="bottom"/>
            <w:gridSpan w:val="2"/>
          </w:tcPr>
          <w:p>
            <w:pPr>
              <w:spacing w:after="0"/>
              <w:rPr>
                <w:sz w:val="20"/>
                <w:szCs w:val="20"/>
                <w:color w:val="auto"/>
              </w:rPr>
            </w:pPr>
            <w:r>
              <w:rPr>
                <w:rFonts w:ascii="Arial" w:cs="Arial" w:eastAsia="Arial" w:hAnsi="Arial"/>
                <w:sz w:val="18"/>
                <w:szCs w:val="18"/>
                <w:color w:val="auto"/>
              </w:rPr>
              <w:t>Year</w:t>
            </w:r>
          </w:p>
        </w:tc>
        <w:tc>
          <w:tcPr>
            <w:tcW w:w="10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$10 million</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$16 million</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$12 million</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$14 million</w:t>
            </w:r>
          </w:p>
        </w:tc>
        <w:tc>
          <w:tcPr>
            <w:tcW w:w="1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$10 million</w:t>
            </w: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7"/>
              </w:rPr>
              <w:t>$12 million</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4</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FMV</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FMV</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(sale price)</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FMV</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(cost basis)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Year</w:t>
            </w: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 million</w:t>
            </w:r>
          </w:p>
        </w:tc>
        <w:tc>
          <w:tcPr>
            <w:tcW w:w="1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$20 million</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$10 million</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$12 million</w:t>
            </w:r>
          </w:p>
        </w:tc>
        <w:tc>
          <w:tcPr>
            <w:tcW w:w="12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$22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 price)</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FMV</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 w:type="dxa"/>
            <w:vAlign w:val="bottom"/>
            <w:gridSpan w:val="2"/>
          </w:tcPr>
          <w:p>
            <w:pPr>
              <w:spacing w:after="0"/>
              <w:rPr>
                <w:sz w:val="20"/>
                <w:szCs w:val="20"/>
                <w:color w:val="auto"/>
              </w:rPr>
            </w:pPr>
            <w:r>
              <w:rPr>
                <w:rFonts w:ascii="Arial" w:cs="Arial" w:eastAsia="Arial" w:hAnsi="Arial"/>
                <w:sz w:val="18"/>
                <w:szCs w:val="18"/>
                <w:color w:val="auto"/>
              </w:rPr>
              <w:t>Year</w:t>
            </w:r>
          </w:p>
        </w:tc>
        <w:tc>
          <w:tcPr>
            <w:tcW w:w="10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$16 million</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$8 million</w:t>
            </w:r>
          </w:p>
        </w:tc>
        <w:tc>
          <w:tcPr>
            <w:tcW w:w="1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$15 million</w:t>
            </w: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$2 million</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7"/>
              </w:rPr>
              <w:t>$28 million</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6</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(sale price)</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FMV</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FMV</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Year</w:t>
            </w: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$8 million</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$17 million</w:t>
            </w:r>
          </w:p>
        </w:tc>
        <w:tc>
          <w:tcPr>
            <w:tcW w:w="12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$2 million</w:t>
            </w:r>
          </w:p>
        </w:tc>
        <w:tc>
          <w:tcPr>
            <w:tcW w:w="9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$28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 price)</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 w:type="dxa"/>
            <w:vAlign w:val="bottom"/>
            <w:gridSpan w:val="2"/>
          </w:tcPr>
          <w:p>
            <w:pPr>
              <w:spacing w:after="0"/>
              <w:rPr>
                <w:sz w:val="20"/>
                <w:szCs w:val="20"/>
                <w:color w:val="auto"/>
              </w:rPr>
            </w:pPr>
            <w:r>
              <w:rPr>
                <w:rFonts w:ascii="Arial" w:cs="Arial" w:eastAsia="Arial" w:hAnsi="Arial"/>
                <w:sz w:val="18"/>
                <w:szCs w:val="18"/>
                <w:color w:val="auto"/>
              </w:rPr>
              <w:t>Year</w:t>
            </w:r>
          </w:p>
        </w:tc>
        <w:tc>
          <w:tcPr>
            <w:tcW w:w="10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$18 million</w:t>
            </w: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$2 million</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7"/>
              </w:rPr>
              <w:t>$36 million</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8</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 price)</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660" w:hanging="436"/>
        <w:spacing w:after="0"/>
        <w:tabs>
          <w:tab w:leader="none" w:pos="66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Year 2:</w:t>
      </w:r>
    </w:p>
    <w:p>
      <w:pPr>
        <w:spacing w:after="0" w:line="130" w:lineRule="exact"/>
        <w:rPr>
          <w:rFonts w:ascii="Arial" w:cs="Arial" w:eastAsia="Arial" w:hAnsi="Arial"/>
          <w:sz w:val="18"/>
          <w:szCs w:val="18"/>
          <w:b w:val="1"/>
          <w:bCs w:val="1"/>
          <w:color w:val="auto"/>
        </w:rPr>
      </w:pPr>
    </w:p>
    <w:p>
      <w:pPr>
        <w:ind w:left="66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Capital gains Incentive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Year 3:</w:t>
      </w:r>
    </w:p>
    <w:p>
      <w:pPr>
        <w:spacing w:after="0" w:line="130" w:lineRule="exact"/>
        <w:rPr>
          <w:rFonts w:ascii="Arial" w:cs="Arial" w:eastAsia="Arial" w:hAnsi="Arial"/>
          <w:sz w:val="18"/>
          <w:szCs w:val="18"/>
          <w:b w:val="1"/>
          <w:bCs w:val="1"/>
          <w:color w:val="auto"/>
        </w:rPr>
      </w:pPr>
    </w:p>
    <w:p>
      <w:pPr>
        <w:ind w:left="660" w:right="1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xml:space="preserve">Capital Gains Incentive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51" w:lineRule="exact"/>
        <w:rPr>
          <w:rFonts w:ascii="Arial" w:cs="Arial" w:eastAsia="Arial" w:hAnsi="Arial"/>
          <w:sz w:val="18"/>
          <w:szCs w:val="18"/>
          <w:b w:val="1"/>
          <w:bCs w:val="1"/>
          <w:color w:val="auto"/>
        </w:rPr>
      </w:pPr>
    </w:p>
    <w:p>
      <w:pPr>
        <w:ind w:left="6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Weighted Percentage = (15% multiplied by ($10 million Pre-IPO Gain Amount divided by $10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Year 4:</w:t>
      </w:r>
    </w:p>
    <w:p>
      <w:pPr>
        <w:spacing w:after="0" w:line="130" w:lineRule="exact"/>
        <w:rPr>
          <w:rFonts w:ascii="Arial" w:cs="Arial" w:eastAsia="Arial" w:hAnsi="Arial"/>
          <w:sz w:val="18"/>
          <w:szCs w:val="18"/>
          <w:b w:val="1"/>
          <w:bCs w:val="1"/>
          <w:color w:val="auto"/>
        </w:rPr>
      </w:pPr>
    </w:p>
    <w:p>
      <w:pPr>
        <w:ind w:left="6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Weighted Percentage = (15% multiplied by ($12 million Pre-IPO Gain Amount divided by $12 million Total Gain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148" w:name="page149"/>
    <w:bookmarkEnd w:id="148"/>
    <w:p>
      <w:pPr>
        <w:ind w:left="620"/>
        <w:spacing w:after="0"/>
        <w:rPr>
          <w:sz w:val="20"/>
          <w:szCs w:val="20"/>
          <w:color w:val="auto"/>
        </w:rPr>
      </w:pPr>
      <w:r>
        <w:rPr>
          <w:rFonts w:ascii="Arial" w:cs="Arial" w:eastAsia="Arial" w:hAnsi="Arial"/>
          <w:sz w:val="18"/>
          <w:szCs w:val="18"/>
          <w:color w:val="auto"/>
        </w:rPr>
        <w:t xml:space="preserve">Amount)) plus (17.5% multiplied by ($0 Post-IPO Gain Amount divided by $10 million Total Gain Amount)) = </w:t>
      </w:r>
      <w:r>
        <w:rPr>
          <w:rFonts w:ascii="Arial" w:cs="Arial" w:eastAsia="Arial" w:hAnsi="Arial"/>
          <w:sz w:val="18"/>
          <w:szCs w:val="18"/>
          <w:b w:val="1"/>
          <w:bCs w:val="1"/>
          <w:color w:val="auto"/>
        </w:rPr>
        <w:t>15%</w:t>
      </w:r>
    </w:p>
    <w:p>
      <w:pPr>
        <w:spacing w:after="0" w:line="135" w:lineRule="exact"/>
        <w:rPr>
          <w:sz w:val="20"/>
          <w:szCs w:val="20"/>
          <w:color w:val="auto"/>
        </w:rPr>
      </w:pPr>
    </w:p>
    <w:p>
      <w:pPr>
        <w:ind w:left="620" w:hanging="436"/>
        <w:spacing w:after="0"/>
        <w:tabs>
          <w:tab w:leader="none" w:pos="620"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Year 5:</w:t>
      </w:r>
    </w:p>
    <w:p>
      <w:pPr>
        <w:spacing w:after="0" w:line="130" w:lineRule="exact"/>
        <w:rPr>
          <w:rFonts w:ascii="Arial" w:cs="Arial" w:eastAsia="Arial" w:hAnsi="Arial"/>
          <w:sz w:val="18"/>
          <w:szCs w:val="18"/>
          <w:b w:val="1"/>
          <w:bCs w:val="1"/>
          <w:color w:val="auto"/>
        </w:rPr>
      </w:pPr>
    </w:p>
    <w:p>
      <w:pPr>
        <w:ind w:left="62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75" w:lineRule="exact"/>
        <w:rPr>
          <w:rFonts w:ascii="Arial" w:cs="Arial" w:eastAsia="Arial" w:hAnsi="Arial"/>
          <w:sz w:val="18"/>
          <w:szCs w:val="18"/>
          <w:b w:val="1"/>
          <w:bCs w:val="1"/>
          <w:color w:val="auto"/>
        </w:rPr>
      </w:pPr>
    </w:p>
    <w:p>
      <w:pPr>
        <w:ind w:left="62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Post-IPO Gain Amount divided by $22 million Total Gain Amount)) = </w:t>
      </w:r>
      <w:r>
        <w:rPr>
          <w:rFonts w:ascii="Arial" w:cs="Arial" w:eastAsia="Arial" w:hAnsi="Arial"/>
          <w:sz w:val="18"/>
          <w:szCs w:val="18"/>
          <w:b w:val="1"/>
          <w:bCs w:val="1"/>
          <w:color w:val="auto"/>
        </w:rPr>
        <w:t>15.68%</w:t>
      </w:r>
    </w:p>
    <w:p>
      <w:pPr>
        <w:spacing w:after="0" w:line="75" w:lineRule="exact"/>
        <w:rPr>
          <w:rFonts w:ascii="Arial" w:cs="Arial" w:eastAsia="Arial" w:hAnsi="Arial"/>
          <w:sz w:val="18"/>
          <w:szCs w:val="18"/>
          <w:b w:val="1"/>
          <w:bCs w:val="1"/>
          <w:color w:val="auto"/>
        </w:rPr>
      </w:pPr>
    </w:p>
    <w:p>
      <w:pPr>
        <w:ind w:left="620" w:hanging="436"/>
        <w:spacing w:after="0"/>
        <w:tabs>
          <w:tab w:leader="none" w:pos="620"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Year 6:</w:t>
      </w:r>
    </w:p>
    <w:p>
      <w:pPr>
        <w:spacing w:after="0" w:line="130" w:lineRule="exact"/>
        <w:rPr>
          <w:rFonts w:ascii="Arial" w:cs="Arial" w:eastAsia="Arial" w:hAnsi="Arial"/>
          <w:sz w:val="18"/>
          <w:szCs w:val="18"/>
          <w:b w:val="1"/>
          <w:bCs w:val="1"/>
          <w:color w:val="auto"/>
        </w:rPr>
      </w:pPr>
    </w:p>
    <w:p>
      <w:pPr>
        <w:ind w:left="620" w:right="8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29" w:lineRule="exact"/>
        <w:rPr>
          <w:rFonts w:ascii="Arial" w:cs="Arial" w:eastAsia="Arial" w:hAnsi="Arial"/>
          <w:sz w:val="18"/>
          <w:szCs w:val="18"/>
          <w:b w:val="1"/>
          <w:bCs w:val="1"/>
          <w:color w:val="auto"/>
        </w:rPr>
      </w:pPr>
    </w:p>
    <w:p>
      <w:pPr>
        <w:ind w:left="62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Post-IPO Gain Amount divided by $28 million Total Gain Amount)) = </w:t>
      </w:r>
      <w:r>
        <w:rPr>
          <w:rFonts w:ascii="Arial" w:cs="Arial" w:eastAsia="Arial" w:hAnsi="Arial"/>
          <w:sz w:val="18"/>
          <w:szCs w:val="18"/>
          <w:b w:val="1"/>
          <w:bCs w:val="1"/>
          <w:color w:val="auto"/>
        </w:rPr>
        <w:t>16.07%</w:t>
      </w:r>
    </w:p>
    <w:p>
      <w:pPr>
        <w:spacing w:after="0" w:line="75" w:lineRule="exact"/>
        <w:rPr>
          <w:rFonts w:ascii="Arial" w:cs="Arial" w:eastAsia="Arial" w:hAnsi="Arial"/>
          <w:sz w:val="18"/>
          <w:szCs w:val="18"/>
          <w:b w:val="1"/>
          <w:bCs w:val="1"/>
          <w:color w:val="auto"/>
        </w:rPr>
      </w:pPr>
    </w:p>
    <w:p>
      <w:pPr>
        <w:ind w:left="620" w:hanging="436"/>
        <w:spacing w:after="0"/>
        <w:tabs>
          <w:tab w:leader="none" w:pos="620"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Year 7:</w:t>
      </w:r>
    </w:p>
    <w:p>
      <w:pPr>
        <w:spacing w:after="0" w:line="130" w:lineRule="exact"/>
        <w:rPr>
          <w:rFonts w:ascii="Arial" w:cs="Arial" w:eastAsia="Arial" w:hAnsi="Arial"/>
          <w:sz w:val="18"/>
          <w:szCs w:val="18"/>
          <w:b w:val="1"/>
          <w:bCs w:val="1"/>
          <w:color w:val="auto"/>
        </w:rPr>
      </w:pPr>
    </w:p>
    <w:p>
      <w:pPr>
        <w:ind w:left="62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8"/>
          <w:szCs w:val="18"/>
          <w:b w:val="1"/>
          <w:bCs w:val="1"/>
          <w:color w:val="auto"/>
        </w:rPr>
        <w:t>$0.00</w:t>
      </w:r>
    </w:p>
    <w:p>
      <w:pPr>
        <w:spacing w:after="0" w:line="75" w:lineRule="exact"/>
        <w:rPr>
          <w:rFonts w:ascii="Arial" w:cs="Arial" w:eastAsia="Arial" w:hAnsi="Arial"/>
          <w:sz w:val="18"/>
          <w:szCs w:val="18"/>
          <w:b w:val="1"/>
          <w:bCs w:val="1"/>
          <w:color w:val="auto"/>
        </w:rPr>
      </w:pPr>
    </w:p>
    <w:p>
      <w:pPr>
        <w:ind w:left="62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Post-IPO Gain Amount divided by $28 million Total Gain Amount)) = </w:t>
      </w:r>
      <w:r>
        <w:rPr>
          <w:rFonts w:ascii="Arial" w:cs="Arial" w:eastAsia="Arial" w:hAnsi="Arial"/>
          <w:sz w:val="18"/>
          <w:szCs w:val="18"/>
          <w:b w:val="1"/>
          <w:bCs w:val="1"/>
          <w:color w:val="auto"/>
        </w:rPr>
        <w:t>16.07%</w:t>
      </w:r>
    </w:p>
    <w:p>
      <w:pPr>
        <w:spacing w:after="0" w:line="75" w:lineRule="exact"/>
        <w:rPr>
          <w:rFonts w:ascii="Arial" w:cs="Arial" w:eastAsia="Arial" w:hAnsi="Arial"/>
          <w:sz w:val="18"/>
          <w:szCs w:val="18"/>
          <w:b w:val="1"/>
          <w:bCs w:val="1"/>
          <w:color w:val="auto"/>
        </w:rPr>
      </w:pPr>
    </w:p>
    <w:p>
      <w:pPr>
        <w:ind w:left="620" w:hanging="436"/>
        <w:spacing w:after="0"/>
        <w:tabs>
          <w:tab w:leader="none" w:pos="620"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Year 8:</w:t>
      </w:r>
    </w:p>
    <w:p>
      <w:pPr>
        <w:spacing w:after="0" w:line="130" w:lineRule="exact"/>
        <w:rPr>
          <w:rFonts w:ascii="Arial" w:cs="Arial" w:eastAsia="Arial" w:hAnsi="Arial"/>
          <w:sz w:val="18"/>
          <w:szCs w:val="18"/>
          <w:b w:val="1"/>
          <w:bCs w:val="1"/>
          <w:color w:val="auto"/>
        </w:rPr>
      </w:pPr>
    </w:p>
    <w:p>
      <w:pPr>
        <w:ind w:left="620" w:right="2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7"/>
          <w:szCs w:val="17"/>
          <w:b w:val="1"/>
          <w:bCs w:val="1"/>
          <w:color w:val="auto"/>
        </w:rPr>
        <w:t>$1.39 million</w:t>
      </w:r>
    </w:p>
    <w:p>
      <w:pPr>
        <w:spacing w:after="0" w:line="51" w:lineRule="exact"/>
        <w:rPr>
          <w:rFonts w:ascii="Arial" w:cs="Arial" w:eastAsia="Arial" w:hAnsi="Arial"/>
          <w:sz w:val="18"/>
          <w:szCs w:val="18"/>
          <w:b w:val="1"/>
          <w:bCs w:val="1"/>
          <w:color w:val="auto"/>
        </w:rPr>
      </w:pPr>
    </w:p>
    <w:p>
      <w:pPr>
        <w:ind w:left="62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Post-IPO Gain Amount divided by $36 million Total Gain Amount)) = </w:t>
      </w:r>
      <w:r>
        <w:rPr>
          <w:rFonts w:ascii="Arial" w:cs="Arial" w:eastAsia="Arial" w:hAnsi="Arial"/>
          <w:sz w:val="18"/>
          <w:szCs w:val="18"/>
          <w:b w:val="1"/>
          <w:bCs w:val="1"/>
          <w:color w:val="auto"/>
        </w:rPr>
        <w:t>16.39%</w:t>
      </w:r>
    </w:p>
    <w:p>
      <w:pPr>
        <w:spacing w:after="0" w:line="62" w:lineRule="exact"/>
        <w:rPr>
          <w:rFonts w:ascii="Arial" w:cs="Arial" w:eastAsia="Arial" w:hAnsi="Arial"/>
          <w:sz w:val="18"/>
          <w:szCs w:val="18"/>
          <w:b w:val="1"/>
          <w:bCs w:val="1"/>
          <w:color w:val="auto"/>
        </w:rPr>
      </w:pPr>
    </w:p>
    <w:p>
      <w:pPr>
        <w:ind w:left="-40" w:firstLine="233"/>
        <w:spacing w:after="0" w:line="264" w:lineRule="auto"/>
        <w:tabs>
          <w:tab w:leader="none" w:pos="43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Prior to any IPO of the Company’s common stock that may occur, the Adviser shall waive its right to receive the Management Fee in excess of the sum of (i) 0.25% of aggregate committed but undrawn capital and (ii) 0.75% of aggregate drawn capital (including capital drawn to pay Company expenses) during any period. The fee waiver shall terminate if and when the Company makes an IPO of its common stock.</w:t>
      </w:r>
    </w:p>
    <w:p>
      <w:pPr>
        <w:spacing w:after="0" w:line="73" w:lineRule="exact"/>
        <w:rPr>
          <w:rFonts w:ascii="Arial" w:cs="Arial" w:eastAsia="Arial" w:hAnsi="Arial"/>
          <w:sz w:val="18"/>
          <w:szCs w:val="18"/>
          <w:color w:val="auto"/>
        </w:rPr>
      </w:pPr>
    </w:p>
    <w:p>
      <w:pPr>
        <w:ind w:left="-40" w:right="120" w:firstLine="233"/>
        <w:spacing w:after="0" w:line="312" w:lineRule="auto"/>
        <w:tabs>
          <w:tab w:leader="none" w:pos="43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Any transaction, loan origination, advisory or similar fees (“</w:t>
      </w:r>
      <w:r>
        <w:rPr>
          <w:rFonts w:ascii="Arial" w:cs="Arial" w:eastAsia="Arial" w:hAnsi="Arial"/>
          <w:sz w:val="16"/>
          <w:szCs w:val="16"/>
          <w:u w:val="single" w:color="auto"/>
          <w:color w:val="auto"/>
        </w:rPr>
        <w:t>Transaction Fees</w:t>
      </w:r>
      <w:r>
        <w:rPr>
          <w:rFonts w:ascii="Arial" w:cs="Arial" w:eastAsia="Arial" w:hAnsi="Arial"/>
          <w:sz w:val="16"/>
          <w:szCs w:val="16"/>
          <w:color w:val="auto"/>
        </w:rPr>
        <w:t>”) received in connection with the Company’s activities or the Adviser’s activities as they relate to the Company shall be the property of the Company. The parties agree that any Transaction Fees paid to the members, managers, partners or employees of the Company, the Adviser or their respective affiliates in connection with the Company’s activities or the Adviser’s activities as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040" w:right="279" w:bottom="1440" w:gutter="0" w:footer="0" w:header="0"/>
        </w:sectPr>
      </w:pPr>
    </w:p>
    <w:bookmarkStart w:id="149" w:name="page150"/>
    <w:bookmarkEnd w:id="149"/>
    <w:p>
      <w:pPr>
        <w:jc w:val="both"/>
        <w:spacing w:after="0" w:line="286" w:lineRule="auto"/>
        <w:rPr>
          <w:sz w:val="20"/>
          <w:szCs w:val="20"/>
          <w:color w:val="auto"/>
        </w:rPr>
      </w:pPr>
      <w:r>
        <w:rPr>
          <w:rFonts w:ascii="Arial" w:cs="Arial" w:eastAsia="Arial" w:hAnsi="Arial"/>
          <w:sz w:val="17"/>
          <w:szCs w:val="17"/>
          <w:color w:val="auto"/>
        </w:rPr>
        <w:t xml:space="preserve">they relate to the Company shall be promptly remitted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Transaction Fees received in respect of an investment opportunity in which the Company and one or more entities (including affiliates of the Adviser) participate shall be allocated to each of the Company and such entities </w:t>
      </w:r>
      <w:r>
        <w:rPr>
          <w:rFonts w:ascii="Arial" w:cs="Arial" w:eastAsia="Arial" w:hAnsi="Arial"/>
          <w:sz w:val="17"/>
          <w:szCs w:val="17"/>
          <w:u w:val="single" w:color="auto"/>
          <w:color w:val="auto"/>
        </w:rPr>
        <w:t>pro</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rata</w:t>
      </w:r>
      <w:r>
        <w:rPr>
          <w:rFonts w:ascii="Arial" w:cs="Arial" w:eastAsia="Arial" w:hAnsi="Arial"/>
          <w:sz w:val="17"/>
          <w:szCs w:val="17"/>
          <w:color w:val="auto"/>
        </w:rPr>
        <w:t xml:space="preserve"> in accordance with their respective investments or proposed investments in such investment opportunity.</w:t>
      </w:r>
    </w:p>
    <w:p>
      <w:pPr>
        <w:spacing w:after="0" w:line="162" w:lineRule="exact"/>
        <w:rPr>
          <w:sz w:val="20"/>
          <w:szCs w:val="20"/>
          <w:color w:val="auto"/>
        </w:rPr>
      </w:pPr>
    </w:p>
    <w:p>
      <w:pPr>
        <w:ind w:left="180" w:hanging="172"/>
        <w:spacing w:after="0"/>
        <w:tabs>
          <w:tab w:leader="none" w:pos="18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the Adviser</w:t>
      </w:r>
    </w:p>
    <w:p>
      <w:pPr>
        <w:spacing w:after="0" w:line="121"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Adviser agrees that its activities will at all times be in compliance in all material respects with all applicable federal and state laws governing its operations and investments.</w:t>
      </w:r>
    </w:p>
    <w:p>
      <w:pPr>
        <w:spacing w:after="0" w:line="166" w:lineRule="exact"/>
        <w:rPr>
          <w:sz w:val="20"/>
          <w:szCs w:val="20"/>
          <w:color w:val="auto"/>
        </w:rPr>
      </w:pPr>
    </w:p>
    <w:p>
      <w:pPr>
        <w:ind w:left="180" w:hanging="172"/>
        <w:spacing w:after="0"/>
        <w:tabs>
          <w:tab w:leader="none" w:pos="1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Excess Brokerage Commissions</w:t>
      </w:r>
    </w:p>
    <w:p>
      <w:pPr>
        <w:spacing w:after="0" w:line="121"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The Adviser is hereby authorized, to the fullest extent now or hereafter permitted by law, to cause the Company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Company’s portfolio, and constitutes the best net results for the Company.</w:t>
      </w:r>
    </w:p>
    <w:p>
      <w:pPr>
        <w:spacing w:after="0" w:line="174" w:lineRule="exact"/>
        <w:rPr>
          <w:sz w:val="20"/>
          <w:szCs w:val="20"/>
          <w:color w:val="auto"/>
        </w:rPr>
      </w:pPr>
    </w:p>
    <w:p>
      <w:pPr>
        <w:ind w:left="180" w:hanging="172"/>
        <w:spacing w:after="0"/>
        <w:tabs>
          <w:tab w:leader="none" w:pos="1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Team</w:t>
      </w:r>
    </w:p>
    <w:p>
      <w:pPr>
        <w:spacing w:after="0" w:line="121" w:lineRule="exact"/>
        <w:rPr>
          <w:sz w:val="20"/>
          <w:szCs w:val="20"/>
          <w:color w:val="auto"/>
        </w:rPr>
      </w:pPr>
    </w:p>
    <w:p>
      <w:pPr>
        <w:ind w:right="260" w:firstLine="222"/>
        <w:spacing w:after="0" w:line="312" w:lineRule="auto"/>
        <w:rPr>
          <w:sz w:val="20"/>
          <w:szCs w:val="20"/>
          <w:color w:val="auto"/>
        </w:rPr>
      </w:pPr>
      <w:r>
        <w:rPr>
          <w:rFonts w:ascii="Arial" w:cs="Arial" w:eastAsia="Arial" w:hAnsi="Arial"/>
          <w:sz w:val="16"/>
          <w:szCs w:val="16"/>
          <w:color w:val="auto"/>
        </w:rPr>
        <w:t>The Adviser shall manage the Company’s portfolio through a team of investment professionals (the “</w:t>
      </w:r>
      <w:r>
        <w:rPr>
          <w:rFonts w:ascii="Arial" w:cs="Arial" w:eastAsia="Arial" w:hAnsi="Arial"/>
          <w:sz w:val="16"/>
          <w:szCs w:val="16"/>
          <w:u w:val="single" w:color="auto"/>
          <w:color w:val="auto"/>
        </w:rPr>
        <w:t>Investment Team</w:t>
      </w:r>
      <w:r>
        <w:rPr>
          <w:rFonts w:ascii="Arial" w:cs="Arial" w:eastAsia="Arial" w:hAnsi="Arial"/>
          <w:sz w:val="16"/>
          <w:szCs w:val="16"/>
          <w:color w:val="auto"/>
        </w:rPr>
        <w:t>”) dedicated primarily to the Company’s business, in cooperation with the Company’s Chief Executive Officer. The Investment Team shall be comprised of senior personnel of the Adviser, supported by and with access to the investment professionals, analytical capabilities and support personnel of the Company and TPG Capital, L.P.</w:t>
      </w:r>
    </w:p>
    <w:p>
      <w:pPr>
        <w:spacing w:after="0" w:line="143" w:lineRule="exact"/>
        <w:rPr>
          <w:sz w:val="20"/>
          <w:szCs w:val="20"/>
          <w:color w:val="auto"/>
        </w:rPr>
      </w:pPr>
    </w:p>
    <w:p>
      <w:pPr>
        <w:ind w:left="180" w:hanging="172"/>
        <w:spacing w:after="0"/>
        <w:tabs>
          <w:tab w:leader="none" w:pos="18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the Employment of the Adviser</w:t>
      </w:r>
    </w:p>
    <w:p>
      <w:pPr>
        <w:spacing w:after="0" w:line="121"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services of the Adviser to the Company are not exclusive, and the Adviser may engage in any other business or render similar or different services to others including, without limitation, the direct or indirect sponsorship or management of other investment-based accounts or commingled pools of capital, however structured, having investment objectives similar to those of the Company, so long as its services to the Company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0" w:name="page151"/>
    <w:bookmarkEnd w:id="150"/>
    <w:p>
      <w:pPr>
        <w:ind w:right="60"/>
        <w:spacing w:after="0" w:line="293" w:lineRule="auto"/>
        <w:rPr>
          <w:sz w:val="20"/>
          <w:szCs w:val="20"/>
          <w:color w:val="auto"/>
        </w:rPr>
      </w:pPr>
      <w:r>
        <w:rPr>
          <w:rFonts w:ascii="Arial" w:cs="Arial" w:eastAsia="Arial" w:hAnsi="Arial"/>
          <w:sz w:val="16"/>
          <w:szCs w:val="16"/>
          <w:color w:val="auto"/>
        </w:rPr>
        <w:t>providing consulting services to, one or more of the Company’s portfolio companies, subject to applicable law). So long as this Agreement or any extension, renewal or amendment remains in effect, the Adviser shall be the only investment adviser for the Company, subject to the Adviser’s right to enter into sub-advisory agreements at set forth herein. The Adviser assumes no responsibility under this Agreement other than to render the services called for hereunder. It is understood that directors, officers, employees and stockholders of the Company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Company as stockholders or otherwise.</w:t>
      </w:r>
    </w:p>
    <w:p>
      <w:pPr>
        <w:spacing w:after="0" w:line="161" w:lineRule="exact"/>
        <w:rPr>
          <w:sz w:val="20"/>
          <w:szCs w:val="20"/>
          <w:color w:val="auto"/>
        </w:rPr>
      </w:pPr>
    </w:p>
    <w:p>
      <w:pPr>
        <w:ind w:left="180" w:hanging="172"/>
        <w:spacing w:after="0"/>
        <w:tabs>
          <w:tab w:leader="none" w:pos="18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of Dual Directors, Officers and/or Employees</w:t>
      </w:r>
    </w:p>
    <w:p>
      <w:pPr>
        <w:spacing w:after="0" w:line="121" w:lineRule="exact"/>
        <w:rPr>
          <w:sz w:val="20"/>
          <w:szCs w:val="20"/>
          <w:color w:val="auto"/>
        </w:rPr>
      </w:pPr>
    </w:p>
    <w:p>
      <w:pPr>
        <w:jc w:val="both"/>
        <w:ind w:right="60" w:firstLine="225"/>
        <w:spacing w:after="0" w:line="279" w:lineRule="auto"/>
        <w:rPr>
          <w:sz w:val="20"/>
          <w:szCs w:val="20"/>
          <w:color w:val="auto"/>
        </w:rPr>
      </w:pPr>
      <w:r>
        <w:rPr>
          <w:rFonts w:ascii="Arial" w:cs="Arial" w:eastAsia="Arial" w:hAnsi="Arial"/>
          <w:sz w:val="17"/>
          <w:szCs w:val="17"/>
          <w:color w:val="auto"/>
        </w:rPr>
        <w:t>If any person who is a manager, partner, officer or employee of the Adviser or the Administrator is or becomes a director, officer and/or employee of the Company and acts as such in any business of the Company, then such manager, partner, officer and/or employee of the Adviser or the Administrator shall be deemed to be acting in such capacity solely for the Company, and not as a manager, partner, officer or employee of the Adviser or the Administrator or under the control or direction of the Adviser or the Administrator, even if paid by the Adviser or the Administrator.</w:t>
      </w:r>
    </w:p>
    <w:p>
      <w:pPr>
        <w:spacing w:after="0" w:line="167" w:lineRule="exact"/>
        <w:rPr>
          <w:sz w:val="20"/>
          <w:szCs w:val="20"/>
          <w:color w:val="auto"/>
        </w:rPr>
      </w:pPr>
    </w:p>
    <w:p>
      <w:pPr>
        <w:ind w:left="180" w:hanging="172"/>
        <w:spacing w:after="0"/>
        <w:tabs>
          <w:tab w:leader="none" w:pos="18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of Interest</w:t>
      </w:r>
    </w:p>
    <w:p>
      <w:pPr>
        <w:spacing w:after="0" w:line="121"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 xml:space="preserve">The Adviser agrees that it shall submit to the Board a description of any potential or actual conflict of interest that the Adviser determines to be material in any transaction or relationship between the Company and any entity controlled by it, on the one hand, and the Adviser or any of its affiliates or their respective employees, partners, members, officers or directors, on the other hand;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transaction that is (i) conducted on an arm’s length basis and generates Transaction Fees one hundred percent (100%) of which are paid or remitted to the Company in accordance with Section 3(d) or</w:t>
      </w:r>
    </w:p>
    <w:p>
      <w:pPr>
        <w:spacing w:after="0" w:line="2" w:lineRule="exact"/>
        <w:rPr>
          <w:sz w:val="20"/>
          <w:szCs w:val="20"/>
          <w:color w:val="auto"/>
        </w:rPr>
      </w:pPr>
    </w:p>
    <w:p>
      <w:pPr>
        <w:ind w:right="120" w:firstLine="8"/>
        <w:spacing w:after="0" w:line="254" w:lineRule="auto"/>
        <w:tabs>
          <w:tab w:leader="none" w:pos="26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made pursuant to an exemptive order obtained by the Company or the Adviser under the Investment Company Act shall not, in either case, constitute a conflict of interest for the purposes of this Section 9. Any transaction or relationship required to be submitted to the Board pursuant to the previous sentence shall promptly be reviewed and approved or disapproved by the Board, and the Adviser shall supply the Board with all information and data reasonably requested by the Board to enable it to reach an informed decision with respect thereto.</w:t>
      </w:r>
    </w:p>
    <w:p>
      <w:pPr>
        <w:spacing w:after="0" w:line="186" w:lineRule="exact"/>
        <w:rPr>
          <w:sz w:val="20"/>
          <w:szCs w:val="20"/>
          <w:color w:val="auto"/>
        </w:rPr>
      </w:pPr>
    </w:p>
    <w:p>
      <w:pPr>
        <w:ind w:left="280" w:hanging="272"/>
        <w:spacing w:after="0"/>
        <w:tabs>
          <w:tab w:leader="none" w:pos="28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 of the Adviser; Indemnification</w:t>
      </w:r>
    </w:p>
    <w:p>
      <w:pPr>
        <w:spacing w:after="0" w:line="121"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Adviser (and its members, managers, officers, employees, agents, controlling persons and any other person or entity affiliated with it) shall not be liable to the Company for any action taken or omitted to be taken by the Adviser in connection with the performance of any of its duties or obligations under this Agreement or otherwise as an investment adviser of the Company (except to the extent specified in Section 36(b) of the Investment Company Act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51" w:name="page152"/>
    <w:bookmarkEnd w:id="151"/>
    <w:p>
      <w:pPr>
        <w:spacing w:after="0" w:line="254" w:lineRule="auto"/>
        <w:rPr>
          <w:sz w:val="20"/>
          <w:szCs w:val="20"/>
          <w:color w:val="auto"/>
        </w:rPr>
      </w:pPr>
      <w:r>
        <w:rPr>
          <w:rFonts w:ascii="Arial" w:cs="Arial" w:eastAsia="Arial" w:hAnsi="Arial"/>
          <w:sz w:val="18"/>
          <w:szCs w:val="18"/>
          <w:color w:val="auto"/>
        </w:rPr>
        <w:t>concerning loss resulting from a breach of fiduciary duty (as the same is finally determined by judicial proceedings) with respect to the receipt of compensation for services). As permitted by Article VIII of the Certificate of Incorporation,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or any other person or entity affiliated with the Adviser, including without limitation the Administrator, or is or was a member of the Adviser’s Investment Review Committee (each such person hereinafter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on the same general terms set forth in Article VIII of the Certificate of Incorporation, the terms of which are incorporated herein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 </w:t>
      </w:r>
      <w:r>
        <w:rPr>
          <w:rFonts w:ascii="Arial" w:cs="Arial" w:eastAsia="Arial" w:hAnsi="Arial"/>
          <w:sz w:val="18"/>
          <w:szCs w:val="18"/>
          <w:color w:val="auto"/>
        </w:rPr>
        <w:t>as applied to the Indemnitees.</w:t>
      </w:r>
    </w:p>
    <w:p>
      <w:pPr>
        <w:spacing w:after="0" w:line="188" w:lineRule="exact"/>
        <w:rPr>
          <w:sz w:val="20"/>
          <w:szCs w:val="20"/>
          <w:color w:val="auto"/>
        </w:rPr>
      </w:pPr>
    </w:p>
    <w:p>
      <w:pPr>
        <w:ind w:left="260" w:hanging="252"/>
        <w:spacing w:after="0"/>
        <w:tabs>
          <w:tab w:leader="none" w:pos="2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Duration and Termination of Agreement</w:t>
      </w:r>
    </w:p>
    <w:p>
      <w:pPr>
        <w:spacing w:after="0" w:line="121" w:lineRule="exact"/>
        <w:rPr>
          <w:rFonts w:ascii="Arial" w:cs="Arial" w:eastAsia="Arial" w:hAnsi="Arial"/>
          <w:sz w:val="18"/>
          <w:szCs w:val="18"/>
          <w:b w:val="1"/>
          <w:bCs w:val="1"/>
          <w:color w:val="auto"/>
        </w:rPr>
      </w:pPr>
    </w:p>
    <w:p>
      <w:pPr>
        <w:ind w:firstLine="233"/>
        <w:spacing w:after="0" w:line="273" w:lineRule="auto"/>
        <w:tabs>
          <w:tab w:leader="none" w:pos="467"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This Agreement shall become effective as of the first date above written. This Agreement may be terminated at any time, without the payment of any penalty, upon not more than 60 days’ written notice, by the vote of a majority of the outstanding voting securities of the Company or by the vote of the Company’s directors or by the Adviser. The provisions of Section 10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10 shall continue in force and effect and apply to the Adviser and its representatives as and to the extent applicable.</w:t>
      </w:r>
    </w:p>
    <w:p>
      <w:pPr>
        <w:spacing w:after="0" w:line="70" w:lineRule="exact"/>
        <w:rPr>
          <w:rFonts w:ascii="Arial" w:cs="Arial" w:eastAsia="Arial" w:hAnsi="Arial"/>
          <w:sz w:val="17"/>
          <w:szCs w:val="17"/>
          <w:color w:val="auto"/>
        </w:rPr>
      </w:pPr>
    </w:p>
    <w:p>
      <w:pPr>
        <w:ind w:right="120" w:firstLine="233"/>
        <w:spacing w:after="0" w:line="255" w:lineRule="auto"/>
        <w:tabs>
          <w:tab w:leader="none" w:pos="47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This Agreement shall continue in effect for two years from the date hereof, or to the extent consistent with the requirements of the Investment Company Act, from the date of the Company’s election to be regulated as a BDC under the Investment Company Act, and thereafter shall continue automatically for successive annual periods, provided that such continuance is specifically approved at least annually by (A) the vote of the Board, or by the vote of a majority of the outstanding voting securities of the Company and (B) the vote of a majority of the Company’s directors who are not parties to this Agreement or “interested persons” (as such term is defined in Section 2(a)(19) of the Investment Company Act) of any such party, in accordance with the requirements of the Investment Company Act.</w:t>
      </w:r>
    </w:p>
    <w:p>
      <w:pPr>
        <w:spacing w:after="0" w:line="85" w:lineRule="exact"/>
        <w:rPr>
          <w:rFonts w:ascii="Arial" w:cs="Arial" w:eastAsia="Arial" w:hAnsi="Arial"/>
          <w:sz w:val="18"/>
          <w:szCs w:val="18"/>
          <w:color w:val="auto"/>
        </w:rPr>
      </w:pPr>
    </w:p>
    <w:p>
      <w:pPr>
        <w:ind w:right="780" w:firstLine="233"/>
        <w:spacing w:after="0" w:line="277" w:lineRule="auto"/>
        <w:tabs>
          <w:tab w:leader="none" w:pos="46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This Agreement will automatically terminate in the event of its “assignment” (as such term is defined for purposes of Section 15(a)(4) of the Investment Company Act).</w:t>
      </w:r>
    </w:p>
    <w:p>
      <w:pPr>
        <w:spacing w:after="0" w:line="166" w:lineRule="exact"/>
        <w:rPr>
          <w:rFonts w:ascii="Arial" w:cs="Arial" w:eastAsia="Arial" w:hAnsi="Arial"/>
          <w:sz w:val="18"/>
          <w:szCs w:val="18"/>
          <w:color w:val="auto"/>
        </w:rPr>
      </w:pPr>
    </w:p>
    <w:p>
      <w:pPr>
        <w:ind w:left="280" w:hanging="272"/>
        <w:spacing w:after="0"/>
        <w:tabs>
          <w:tab w:leader="none" w:pos="28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Any notice under this Agreement shall be given in writing, addressed and delivered or mailed, postage prepaid, to the other party at its principal office.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52" w:name="page153"/>
    <w:bookmarkEnd w:id="152"/>
    <w:p>
      <w:pPr>
        <w:ind w:left="280" w:hanging="272"/>
        <w:spacing w:after="0"/>
        <w:tabs>
          <w:tab w:leader="none" w:pos="28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121"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This Agreement may be amended by mutual consent, but the consent of the Company must be obtained in conformity with the requirements of the Investment Company Act.</w:t>
      </w:r>
    </w:p>
    <w:p>
      <w:pPr>
        <w:spacing w:after="0" w:line="166" w:lineRule="exact"/>
        <w:rPr>
          <w:sz w:val="20"/>
          <w:szCs w:val="20"/>
          <w:color w:val="auto"/>
        </w:rPr>
      </w:pPr>
    </w:p>
    <w:p>
      <w:pPr>
        <w:ind w:left="280" w:hanging="272"/>
        <w:spacing w:after="0"/>
        <w:tabs>
          <w:tab w:leader="none" w:pos="2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Governing Law</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This Agreement contains the entire agreement of the parties and supersedes all prior agreements, understandings and arrangements with respect to the subject matter hereof. This Agreement shall be construed in accordance with the laws of the State of Delaware and in accordance with the applicable provisions of the Investment Company Act. In such case, to the extent the applicable laws of the State of Delaware, or any of the provisions herein, conflict with the provisions of the Investment Company Act, the latter shall control.</w:t>
      </w:r>
    </w:p>
    <w:p>
      <w:pPr>
        <w:spacing w:after="0" w:line="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153" w:name="page154"/>
    <w:bookmarkEnd w:id="153"/>
    <w:p>
      <w:pPr>
        <w:ind w:left="5300"/>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duly executed on the date above written.</w:t>
      </w:r>
    </w:p>
    <w:p>
      <w:pPr>
        <w:spacing w:after="0" w:line="24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98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TSL ADVISERS, LLC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98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979"/>
          </w:cols>
          <w:pgMar w:left="480" w:top="963"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ADMINISTRATION AGREEMENT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TSL ADVISERS, LLC</w:t>
      </w:r>
    </w:p>
    <w:p>
      <w:pPr>
        <w:spacing w:after="0" w:line="117" w:lineRule="exact"/>
        <w:rPr>
          <w:sz w:val="20"/>
          <w:szCs w:val="20"/>
          <w:color w:val="auto"/>
        </w:rPr>
      </w:pPr>
    </w:p>
    <w:p>
      <w:pPr>
        <w:ind w:right="480" w:firstLine="222"/>
        <w:spacing w:after="0" w:line="282"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made as of </w:t>
      </w:r>
      <w:r>
        <w:rPr>
          <w:rFonts w:ascii="Arial" w:cs="Arial" w:eastAsia="Arial" w:hAnsi="Arial"/>
          <w:sz w:val="18"/>
          <w:szCs w:val="18"/>
          <w:b w:val="1"/>
          <w:bCs w:val="1"/>
          <w:color w:val="auto"/>
        </w:rPr>
        <w:t>[MONTH]</w:t>
      </w:r>
      <w:r>
        <w:rPr>
          <w:rFonts w:ascii="Arial" w:cs="Arial" w:eastAsia="Arial" w:hAnsi="Arial"/>
          <w:sz w:val="18"/>
          <w:szCs w:val="18"/>
          <w:color w:val="auto"/>
        </w:rPr>
        <w:t xml:space="preserve"> __, 2011 by and between TPG SPECIALTY LENDING,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TSL ADVISERS, LLC, a Delaware limited liability company (the “</w:t>
      </w:r>
      <w:r>
        <w:rPr>
          <w:rFonts w:ascii="Arial" w:cs="Arial" w:eastAsia="Arial" w:hAnsi="Arial"/>
          <w:sz w:val="18"/>
          <w:szCs w:val="18"/>
          <w:u w:val="single" w:color="auto"/>
          <w:color w:val="auto"/>
        </w:rPr>
        <w:t>Administrator</w:t>
      </w:r>
      <w:r>
        <w:rPr>
          <w:rFonts w:ascii="Arial" w:cs="Arial" w:eastAsia="Arial" w:hAnsi="Arial"/>
          <w:sz w:val="18"/>
          <w:szCs w:val="18"/>
          <w:color w:val="auto"/>
        </w:rPr>
        <w:t>”).</w:t>
      </w:r>
    </w:p>
    <w:p>
      <w:pPr>
        <w:spacing w:after="0" w:line="58"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WHEREAS, the Company is a closed-end management investment fund that intends to elect to be treated as a business development company (“</w:t>
      </w:r>
      <w:r>
        <w:rPr>
          <w:rFonts w:ascii="Arial" w:cs="Arial" w:eastAsia="Arial" w:hAnsi="Arial"/>
          <w:sz w:val="18"/>
          <w:szCs w:val="18"/>
          <w:u w:val="single" w:color="auto"/>
          <w:color w:val="auto"/>
        </w:rPr>
        <w:t>BDC</w:t>
      </w:r>
      <w:r>
        <w:rPr>
          <w:rFonts w:ascii="Arial" w:cs="Arial" w:eastAsia="Arial" w:hAnsi="Arial"/>
          <w:sz w:val="18"/>
          <w:szCs w:val="18"/>
          <w:color w:val="auto"/>
        </w:rPr>
        <w:t>”) under the Investment Company Act of 1940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62" w:lineRule="exact"/>
        <w:rPr>
          <w:sz w:val="20"/>
          <w:szCs w:val="20"/>
          <w:color w:val="auto"/>
        </w:rPr>
      </w:pPr>
    </w:p>
    <w:p>
      <w:pPr>
        <w:ind w:right="820" w:firstLine="222"/>
        <w:spacing w:after="0" w:line="277" w:lineRule="auto"/>
        <w:rPr>
          <w:sz w:val="20"/>
          <w:szCs w:val="20"/>
          <w:color w:val="auto"/>
        </w:rPr>
      </w:pPr>
      <w:r>
        <w:rPr>
          <w:rFonts w:ascii="Arial" w:cs="Arial" w:eastAsia="Arial" w:hAnsi="Arial"/>
          <w:sz w:val="18"/>
          <w:szCs w:val="18"/>
          <w:color w:val="auto"/>
        </w:rPr>
        <w:t>WHEREAS, the Company desires to retain the Administrator to provide administrative services to the Company in the manner and on the terms hereinafter set forth; and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Administrator is willing to provide administrative services to the Company on the terms and conditions hereafter set forth;</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NOW, THEREFORE, in consideration of the premises and the covenants hereinafter contained and for other good and valuable consideration, the receipt and adequacy of which is hereby acknowledged, the Company and the Administrator hereby agree as follows:</w:t>
      </w:r>
    </w:p>
    <w:p>
      <w:pPr>
        <w:spacing w:after="0" w:line="166" w:lineRule="exact"/>
        <w:rPr>
          <w:sz w:val="20"/>
          <w:szCs w:val="20"/>
          <w:color w:val="auto"/>
        </w:rPr>
      </w:pPr>
    </w:p>
    <w:p>
      <w:pPr>
        <w:ind w:left="180" w:hanging="172"/>
        <w:spacing w:after="0"/>
        <w:tabs>
          <w:tab w:leader="none" w:pos="18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of the Administrator</w:t>
      </w:r>
    </w:p>
    <w:p>
      <w:pPr>
        <w:spacing w:after="0" w:line="121" w:lineRule="exact"/>
        <w:rPr>
          <w:rFonts w:ascii="Arial" w:cs="Arial" w:eastAsia="Arial" w:hAnsi="Arial"/>
          <w:sz w:val="18"/>
          <w:szCs w:val="18"/>
          <w:b w:val="1"/>
          <w:bCs w:val="1"/>
          <w:color w:val="auto"/>
        </w:rPr>
      </w:pPr>
    </w:p>
    <w:p>
      <w:pPr>
        <w:ind w:firstLine="458"/>
        <w:spacing w:after="0" w:line="255" w:lineRule="auto"/>
        <w:tabs>
          <w:tab w:leader="none" w:pos="695"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Employment of Administrator.</w:t>
      </w:r>
      <w:r>
        <w:rPr>
          <w:rFonts w:ascii="Arial" w:cs="Arial" w:eastAsia="Arial" w:hAnsi="Arial"/>
          <w:sz w:val="18"/>
          <w:szCs w:val="18"/>
          <w:color w:val="auto"/>
        </w:rPr>
        <w:t xml:space="preserve"> The Company hereby employs the Administrator to act as administrator of the Company, and to furnish, or arrange for others to furnish, the administrative services, personnel and facilities described below, subject to review by and the overall control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Company in any way or otherwise be deemed agents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5" w:name="page156"/>
    <w:bookmarkEnd w:id="155"/>
    <w:p>
      <w:pPr>
        <w:ind w:firstLine="458"/>
        <w:spacing w:after="0" w:line="286" w:lineRule="auto"/>
        <w:tabs>
          <w:tab w:leader="none" w:pos="705"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The Administrator shall perform (or oversee, or arrange for, the performance of) the administrative services necessary for the operation of the Company. Without limiting the generality of the foregoing, the Administrator shall provide the Company with office facilities, equipment, clerical, bookkeeping and record keeping services at such facilities and such other services as the Administrator, subject to review by the Board, shall from time to time determine to be necessary or useful to perform its obligations under this Agreement. The Administrator shall also, on behalf of the Company,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Board of its performance of obligations hereunder and furnish advice and recommendations with respect to such other aspects of the business and affairs of the Company as it shall determine to be desirable; provided that nothing herein shall be construed to require the Administrator to, and the Administrator shall not, in its capacity as Administrator pursuant to this Agreement, provide any advice or recommendation relating to the securities and other assets that the Company should purchase, retain or sell or any other investment advisory services to the Company. The Administrator shall be responsible for the financial and other records that the Company is required to maintain and shall prepare, print and disseminate reports to stockholders, and reports and other materials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The Administrator will provide on the Company’s behalf significant managerial assistance to those portfolio companies to which the Company is required to provide such assistance. In addition, the Administrator will assist the Company in determining and publishing (as necessary or appropriate) the Company’s net asset value, overseeing the preparation and filing of the Company’s tax returns, and generally overseeing the payment of the Company’s expenses and the performance of administrative and professional services rendered to the Company by others.</w:t>
      </w:r>
    </w:p>
    <w:p>
      <w:pPr>
        <w:spacing w:after="0" w:line="380" w:lineRule="exact"/>
        <w:rPr>
          <w:rFonts w:ascii="Arial" w:cs="Arial" w:eastAsia="Arial" w:hAnsi="Arial"/>
          <w:sz w:val="16"/>
          <w:szCs w:val="16"/>
          <w:color w:val="auto"/>
        </w:rPr>
      </w:pPr>
    </w:p>
    <w:p>
      <w:pPr>
        <w:ind w:left="180" w:hanging="172"/>
        <w:spacing w:after="0"/>
        <w:tabs>
          <w:tab w:leader="none" w:pos="1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Records</w:t>
      </w:r>
    </w:p>
    <w:p>
      <w:pPr>
        <w:spacing w:after="0" w:line="121"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The Administrator agrees to maintain and keep all books, accounts and other records of the Company that relate to activities performed by the Administrator hereunder and will maintain and keep such books, accounts and records in accordance with the Investment Company Act. In compliance with the requirements of Rule 31a-3 under the Investment Company Act, the Administrator agrees that all records which it maintains for the Company shall at all times remain the property of the Company, shall be readily accessible during normal business hours, and shall be promptly surrendered upon the termination of the Agreement or otherwise on written request. The Administrator further agrees that all records which it maintains for the Company pursuant to Rule 31a-1 under the Investment Company Act will be preserved for the periods prescribed by Rule 31a-2 under the Investment Company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175" w:lineRule="exact"/>
        <w:rPr>
          <w:sz w:val="20"/>
          <w:szCs w:val="20"/>
          <w:color w:val="auto"/>
        </w:rPr>
      </w:pPr>
    </w:p>
    <w:p>
      <w:pPr>
        <w:ind w:left="180" w:hanging="172"/>
        <w:spacing w:after="0"/>
        <w:tabs>
          <w:tab w:leader="none" w:pos="18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parties hereto agree that each shall treat confidentially the terms and conditions of this Agreement and all information provided by each party to the other regarding its business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6" w:name="page157"/>
    <w:bookmarkEnd w:id="156"/>
    <w:p>
      <w:pPr>
        <w:ind w:right="80"/>
        <w:spacing w:after="0" w:line="255" w:lineRule="auto"/>
        <w:rPr>
          <w:sz w:val="20"/>
          <w:szCs w:val="20"/>
          <w:color w:val="auto"/>
        </w:rPr>
      </w:pPr>
      <w:r>
        <w:rPr>
          <w:rFonts w:ascii="Arial" w:cs="Arial" w:eastAsia="Arial" w:hAnsi="Arial"/>
          <w:sz w:val="18"/>
          <w:szCs w:val="18"/>
          <w:color w:val="auto"/>
        </w:rPr>
        <w:t>operations. All confidential information provided by a party hereto, including nonpublic personal information (regulated pursuant to Regulation S-P of the SEC), shall be used by any 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spacing w:after="0" w:line="189" w:lineRule="exact"/>
        <w:rPr>
          <w:sz w:val="20"/>
          <w:szCs w:val="20"/>
          <w:color w:val="auto"/>
        </w:rPr>
      </w:pPr>
    </w:p>
    <w:p>
      <w:pPr>
        <w:ind w:left="180" w:hanging="172"/>
        <w:spacing w:after="0"/>
        <w:tabs>
          <w:tab w:leader="none" w:pos="18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Allocation of Costs and Expenses</w:t>
      </w:r>
    </w:p>
    <w:p>
      <w:pPr>
        <w:spacing w:after="0" w:line="121"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In full consideration of the provision of the services of the Administrator, the Company shall reimburse the Administrator for the costs and expenses incurred by the Administrator in performing its obligations and providing personnel and facilities hereunder, it being understood and agreed that, except as otherwise provided herein or in that certain Investment Advisory Management Agreement, dated as of [ ], 2011 by and between the Company and the Adviser (the “</w:t>
      </w:r>
      <w:r>
        <w:rPr>
          <w:rFonts w:ascii="Arial" w:cs="Arial" w:eastAsia="Arial" w:hAnsi="Arial"/>
          <w:sz w:val="16"/>
          <w:szCs w:val="16"/>
          <w:u w:val="single" w:color="auto"/>
          <w:color w:val="auto"/>
        </w:rPr>
        <w:t>Advisory Agreement</w:t>
      </w:r>
      <w:r>
        <w:rPr>
          <w:rFonts w:ascii="Arial" w:cs="Arial" w:eastAsia="Arial" w:hAnsi="Arial"/>
          <w:sz w:val="16"/>
          <w:szCs w:val="16"/>
          <w:color w:val="auto"/>
        </w:rPr>
        <w:t>”), the Administrator shall be solely responsible for the compensation of its investment professionals and employees and all overhead expenses of the Administrator (including rent, office equipment and utilities). The Company will bear all costs and expenses that are incurred in its operation, administration and transactions and not specifically assumed by the Adviser pursuant to the Advisory Agreement. Costs and expenses to be borne by the Company include, but are not limited to, those relating to: organizational expenses (up to an aggregate of $1,500,000, it being understood and agreed that the Adviser shall bear all organizational expenses of the Company in excess of such amount); calculating the Company’s net asset value (including the cost and expenses of any independent valuation firm); expenses incurred by the Adviser payable to third parties, including agents, consultants or other advisors, in monitoring financial and legal affairs for the Company and in providing administrative services, monitoring the Company’s investments and performing due diligence on its prospective portfolio companies; interest payable on debt, if any, incurred to finance the Company’s investments; sales and purchases of the Company’s common stock and other securities; investment advisory and management fees; administration fees, if any, payable under this Agreement; fees payable to third parties, including agents, consultants or other advisors, relating to, or associated with, evaluating and making investments; transfer agent and custodial fees; federal and state registration fees; all costs of registration and listing the Company’s shares on any securities exchange; federal, state and local taxes; independent directors’ fees and expenses; costs of preparing and filing reports or other documents required by the SEC; costs of any reports, proxy statements or other notices to stockholders, including printing and mailing costs and the costs of any stockholders’ meetings, as well as the compensation of an investor relations professional responsible for the coordination and administration of the foregoing; the Company’s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compensation of other professionals (including employees of the Administrator) devoted to preparing the Company’s financial statements or tax returns or providing similar “back office” financial services to the Company; and all other expenses incurred by the Company or the Administrator in connection with administering the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7" w:name="page158"/>
    <w:bookmarkEnd w:id="157"/>
    <w:p>
      <w:pPr>
        <w:ind w:right="140"/>
        <w:spacing w:after="0" w:line="257" w:lineRule="auto"/>
        <w:rPr>
          <w:sz w:val="20"/>
          <w:szCs w:val="20"/>
          <w:color w:val="auto"/>
        </w:rPr>
      </w:pPr>
      <w:r>
        <w:rPr>
          <w:rFonts w:ascii="Arial" w:cs="Arial" w:eastAsia="Arial" w:hAnsi="Arial"/>
          <w:sz w:val="18"/>
          <w:szCs w:val="18"/>
          <w:color w:val="auto"/>
        </w:rPr>
        <w:t>Company’s business. Notwithstanding anything to the contrary contained herein, the Company shall reimburse the Adviser (or its affiliates) for an allocable portion of the compensation paid by the Adviser (or its affiliates) to the Company’s Chief Compliance Officer and Chief Financial Officer (based on a percentage of time such individuals devote, on an estimated basis, to the business and affairs of the Company). For the avoidance of doubt, the Adviser shall be solely responsible for any placement or “finder’s” fees payable to placement agents engaged by the Company or its affiliates in connection with the offering of securities by the Company.</w:t>
      </w:r>
    </w:p>
    <w:p>
      <w:pPr>
        <w:spacing w:after="0" w:line="184" w:lineRule="exact"/>
        <w:rPr>
          <w:sz w:val="20"/>
          <w:szCs w:val="20"/>
          <w:color w:val="auto"/>
        </w:rPr>
      </w:pPr>
    </w:p>
    <w:p>
      <w:pPr>
        <w:ind w:left="180" w:hanging="172"/>
        <w:spacing w:after="0"/>
        <w:tabs>
          <w:tab w:leader="none" w:pos="1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 of the Administrator; Indemnification</w:t>
      </w:r>
    </w:p>
    <w:p>
      <w:pPr>
        <w:spacing w:after="0" w:line="121" w:lineRule="exact"/>
        <w:rPr>
          <w:sz w:val="20"/>
          <w:szCs w:val="20"/>
          <w:color w:val="auto"/>
        </w:rPr>
      </w:pPr>
    </w:p>
    <w:p>
      <w:pPr>
        <w:ind w:right="140" w:firstLine="222"/>
        <w:spacing w:after="0" w:line="290" w:lineRule="auto"/>
        <w:rPr>
          <w:sz w:val="20"/>
          <w:szCs w:val="20"/>
          <w:color w:val="auto"/>
        </w:rPr>
      </w:pPr>
      <w:r>
        <w:rPr>
          <w:rFonts w:ascii="Arial" w:cs="Arial" w:eastAsia="Arial" w:hAnsi="Arial"/>
          <w:sz w:val="16"/>
          <w:szCs w:val="16"/>
          <w:color w:val="auto"/>
        </w:rPr>
        <w:t>The Administrator (and its members, managers, officers, employees, agents, controlling persons and any other person or entity affiliated with it) shall not be liable to the Company for any action taken or omitted to be taken by the Administrator in connection with the performance of any of its duties or obligations under this Agreement or otherwise as administrator for the Company. As permitted by Article VIII of the Certificate of Incorporation,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or any other person or entity affiliated with the Administrator (each such person hereinafter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on the same general terms set forth in Article VIII of the Certificate of Incorporation, the terms of which are incorporated herein </w:t>
      </w:r>
      <w:r>
        <w:rPr>
          <w:rFonts w:ascii="Arial" w:cs="Arial" w:eastAsia="Arial" w:hAnsi="Arial"/>
          <w:sz w:val="16"/>
          <w:szCs w:val="16"/>
          <w:i w:val="1"/>
          <w:iCs w:val="1"/>
          <w:color w:val="auto"/>
        </w:rPr>
        <w:t>mutatis mutandi</w:t>
      </w:r>
      <w:r>
        <w:rPr>
          <w:rFonts w:ascii="Arial" w:cs="Arial" w:eastAsia="Arial" w:hAnsi="Arial"/>
          <w:sz w:val="16"/>
          <w:szCs w:val="16"/>
          <w:color w:val="auto"/>
        </w:rPr>
        <w:t xml:space="preserve"> as applied to the Indemnitees.</w:t>
      </w:r>
    </w:p>
    <w:p>
      <w:pPr>
        <w:spacing w:after="0" w:line="162" w:lineRule="exact"/>
        <w:rPr>
          <w:sz w:val="20"/>
          <w:szCs w:val="20"/>
          <w:color w:val="auto"/>
        </w:rPr>
      </w:pPr>
    </w:p>
    <w:p>
      <w:pPr>
        <w:ind w:left="180" w:hanging="172"/>
        <w:spacing w:after="0"/>
        <w:tabs>
          <w:tab w:leader="none" w:pos="1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Activities of the Administrator</w:t>
      </w:r>
    </w:p>
    <w:p>
      <w:pPr>
        <w:spacing w:after="0" w:line="121"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services of the Administrator to the Company are not to be deemed to be exclusive, and the Administrator and each affiliate is free to render services to others. It is understood that directors, officers, employees and stockholders of the Company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Company as stockholders or otherwise.</w:t>
      </w:r>
    </w:p>
    <w:p>
      <w:pPr>
        <w:spacing w:after="0" w:line="184" w:lineRule="exact"/>
        <w:rPr>
          <w:sz w:val="20"/>
          <w:szCs w:val="20"/>
          <w:color w:val="auto"/>
        </w:rPr>
      </w:pPr>
    </w:p>
    <w:p>
      <w:pPr>
        <w:ind w:left="180" w:hanging="172"/>
        <w:spacing w:after="0"/>
        <w:tabs>
          <w:tab w:leader="none" w:pos="18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 and Termination of this Agreement</w:t>
      </w:r>
    </w:p>
    <w:p>
      <w:pPr>
        <w:spacing w:after="0" w:line="121" w:lineRule="exact"/>
        <w:rPr>
          <w:rFonts w:ascii="Arial" w:cs="Arial" w:eastAsia="Arial" w:hAnsi="Arial"/>
          <w:sz w:val="18"/>
          <w:szCs w:val="18"/>
          <w:b w:val="1"/>
          <w:bCs w:val="1"/>
          <w:color w:val="auto"/>
        </w:rPr>
      </w:pPr>
    </w:p>
    <w:p>
      <w:pPr>
        <w:ind w:firstLine="458"/>
        <w:spacing w:after="0" w:line="277" w:lineRule="auto"/>
        <w:tabs>
          <w:tab w:leader="none" w:pos="69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This Agreement shall continue in effect for two years from the date hereof, and thereafter shall continue automatically for successive annual periods, provided that such continuance is specifically approved at least annually by:</w:t>
      </w:r>
    </w:p>
    <w:p>
      <w:pPr>
        <w:spacing w:after="0" w:line="62" w:lineRule="exact"/>
        <w:rPr>
          <w:rFonts w:ascii="Arial" w:cs="Arial" w:eastAsia="Arial" w:hAnsi="Arial"/>
          <w:sz w:val="18"/>
          <w:szCs w:val="18"/>
          <w:color w:val="auto"/>
        </w:rPr>
      </w:pPr>
    </w:p>
    <w:p>
      <w:pPr>
        <w:ind w:left="900" w:hanging="217"/>
        <w:spacing w:after="0"/>
        <w:tabs>
          <w:tab w:leader="none" w:pos="90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the vote of the Board, or by the vote of a majority of the outstanding voting securities of the Company; and</w:t>
      </w:r>
    </w:p>
    <w:p>
      <w:pPr>
        <w:spacing w:after="0" w:line="117" w:lineRule="exact"/>
        <w:rPr>
          <w:rFonts w:ascii="Arial" w:cs="Arial" w:eastAsia="Arial" w:hAnsi="Arial"/>
          <w:sz w:val="18"/>
          <w:szCs w:val="18"/>
          <w:color w:val="auto"/>
        </w:rPr>
      </w:pPr>
    </w:p>
    <w:p>
      <w:pPr>
        <w:ind w:right="540" w:firstLine="683"/>
        <w:spacing w:after="0" w:line="342" w:lineRule="auto"/>
        <w:tabs>
          <w:tab w:leader="none" w:pos="940" w:val="left"/>
        </w:tabs>
        <w:numPr>
          <w:ilvl w:val="2"/>
          <w:numId w:val="205"/>
        </w:numPr>
        <w:rPr>
          <w:rFonts w:ascii="Arial" w:cs="Arial" w:eastAsia="Arial" w:hAnsi="Arial"/>
          <w:sz w:val="16"/>
          <w:szCs w:val="16"/>
          <w:color w:val="auto"/>
        </w:rPr>
      </w:pPr>
      <w:r>
        <w:rPr>
          <w:rFonts w:ascii="Arial" w:cs="Arial" w:eastAsia="Arial" w:hAnsi="Arial"/>
          <w:sz w:val="16"/>
          <w:szCs w:val="16"/>
          <w:color w:val="auto"/>
        </w:rPr>
        <w:t>the vote of a majority of the Company’s directors who are not parties to this Agreement or “interested persons” (as such term is defined in Section 2(a)(19) of the Investment Company Act) of any such party, in accordance with the requirements of the Investment Company Act.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8" w:name="page159"/>
    <w:bookmarkEnd w:id="158"/>
    <w:p>
      <w:pPr>
        <w:ind w:right="200" w:firstLine="458"/>
        <w:spacing w:after="0" w:line="277" w:lineRule="auto"/>
        <w:tabs>
          <w:tab w:leader="none" w:pos="70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Agreement may be terminated at any time, without the payment of any penalty, upon not more than 60 days’ written notice, by the vote of a majority of the outstanding voting securities of the Company, or by the vote of the Board or by the Administrator.</w:t>
      </w:r>
    </w:p>
    <w:p>
      <w:pPr>
        <w:spacing w:after="0" w:line="62" w:lineRule="exact"/>
        <w:rPr>
          <w:rFonts w:ascii="Arial" w:cs="Arial" w:eastAsia="Arial" w:hAnsi="Arial"/>
          <w:sz w:val="18"/>
          <w:szCs w:val="18"/>
          <w:color w:val="auto"/>
        </w:rPr>
      </w:pPr>
    </w:p>
    <w:p>
      <w:pPr>
        <w:ind w:firstLine="458"/>
        <w:spacing w:after="0" w:line="297" w:lineRule="auto"/>
        <w:tabs>
          <w:tab w:leader="none" w:pos="69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This Agreement may not be assigned by a party without the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rights and obligations of the Company under this Agreement shall not be deemed to be assigned to a newly formed entity in the event of the merger of the Company into, or conveyance of all of the assets of the Company to, such newly formed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sole purpose of that merger or conveyance is to effect a mere change in the Company’s legal form into another limited liability entity. The provisions of Section 5 of this Agreement shall remain in full force and effect, and the Administrator shall remain entitled to the benefits thereof, notwithstanding any termination of this Agreement.</w:t>
      </w:r>
    </w:p>
    <w:p>
      <w:pPr>
        <w:spacing w:after="0" w:line="154" w:lineRule="exact"/>
        <w:rPr>
          <w:sz w:val="20"/>
          <w:szCs w:val="20"/>
          <w:color w:val="auto"/>
        </w:rPr>
      </w:pPr>
    </w:p>
    <w:p>
      <w:pPr>
        <w:ind w:left="180" w:hanging="172"/>
        <w:spacing w:after="0"/>
        <w:tabs>
          <w:tab w:leader="none" w:pos="18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of this Agreement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Agreement may be amended pursuant to a written instrument by mutual consent of the parties.</w:t>
      </w:r>
    </w:p>
    <w:p>
      <w:pPr>
        <w:spacing w:after="0" w:line="221" w:lineRule="exact"/>
        <w:rPr>
          <w:sz w:val="20"/>
          <w:szCs w:val="20"/>
          <w:color w:val="auto"/>
        </w:rPr>
      </w:pPr>
    </w:p>
    <w:p>
      <w:pPr>
        <w:ind w:left="180" w:hanging="172"/>
        <w:spacing w:after="0"/>
        <w:tabs>
          <w:tab w:leader="none" w:pos="1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2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This Agreement shall be construed in accordance with the laws of the State of Delaware and the applicable provisions of the Investment Company Act, if any. In such case, to the extent the applicable laws of the State of Delaware, or any of the provisions herein, conflict with the provisions of the Investment Company Act, the latter shall control.</w:t>
      </w:r>
    </w:p>
    <w:p>
      <w:pPr>
        <w:spacing w:after="0" w:line="177" w:lineRule="exact"/>
        <w:rPr>
          <w:sz w:val="20"/>
          <w:szCs w:val="20"/>
          <w:color w:val="auto"/>
        </w:rPr>
      </w:pPr>
    </w:p>
    <w:p>
      <w:pPr>
        <w:ind w:left="280" w:hanging="272"/>
        <w:spacing w:after="0"/>
        <w:tabs>
          <w:tab w:leader="none" w:pos="28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This Agreement contains the entire agreement of the parties and supercedes all prior agreements, understandings and arrangements with respect to the subject matter hereof.</w:t>
      </w:r>
    </w:p>
    <w:p>
      <w:pPr>
        <w:spacing w:after="0" w:line="166" w:lineRule="exact"/>
        <w:rPr>
          <w:sz w:val="20"/>
          <w:szCs w:val="20"/>
          <w:color w:val="auto"/>
        </w:rPr>
      </w:pPr>
    </w:p>
    <w:p>
      <w:pPr>
        <w:ind w:left="260" w:hanging="252"/>
        <w:spacing w:after="0"/>
        <w:tabs>
          <w:tab w:leader="none" w:pos="2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Any notice under this Agreement shall be given in writing, addressed and delivered or mailed, postage prepaid, to the other party at its principal office.</w:t>
      </w: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color w:val="auto"/>
        </w:rPr>
        <w:t>IN WITNESS WHEREOF, the parties hereto have executed and delivered this Agreement as of the date first above written.</w:t>
      </w:r>
    </w:p>
    <w:p>
      <w:pPr>
        <w:spacing w:after="0" w:line="24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98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TSL ADVISERS, LLC</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-130810</wp:posOffset>
            </wp:positionV>
            <wp:extent cx="2744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w:t>
      </w:r>
    </w:p>
    <w:sectPr>
      <w:pgSz w:w="11900" w:h="16838" w:orient="portrait"/>
      <w:cols w:equalWidth="0" w:num="1">
        <w:col w:w="9979"/>
      </w:cols>
      <w:pgMar w:left="480" w:top="9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1)"/>
      <w:numFmt w:val="lowerLetter"/>
      <w:start w:val="1"/>
    </w:lvl>
  </w:abstractNum>
  <w:abstractNum w:abstractNumId="2">
    <w:nsid w:val="5092CA79"/>
    <w:multiLevelType w:val="hybridMultilevel"/>
    <w:lvl w:ilvl="0">
      <w:lvlJc w:val="left"/>
      <w:lvlText w:val="(%1)"/>
      <w:numFmt w:val="lowerLetter"/>
      <w:start w:val="2"/>
    </w:lvl>
  </w:abstractNum>
  <w:abstractNum w:abstractNumId="3">
    <w:nsid w:val="1D545C4D"/>
    <w:multiLevelType w:val="hybridMultilevel"/>
    <w:lvl w:ilvl="0">
      <w:lvlJc w:val="left"/>
      <w:lvlText w:val="(%1)"/>
      <w:numFmt w:val="lowerLetter"/>
      <w:start w:val="3"/>
    </w:lvl>
  </w:abstractNum>
  <w:abstractNum w:abstractNumId="4">
    <w:nsid w:val="59ADEA3D"/>
    <w:multiLevelType w:val="hybridMultilevel"/>
    <w:lvl w:ilvl="0">
      <w:lvlJc w:val="left"/>
      <w:lvlText w:val="•"/>
      <w:numFmt w:val="bullet"/>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1)"/>
      <w:numFmt w:val="lowerRoman"/>
      <w:start w:val="1"/>
    </w:lvl>
  </w:abstractNum>
  <w:abstractNum w:abstractNumId="7">
    <w:nsid w:val="1D9F6E5F"/>
    <w:multiLevelType w:val="hybridMultilevel"/>
    <w:lvl w:ilvl="0">
      <w:lvlJc w:val="left"/>
      <w:lvlText w:val="(%1)"/>
      <w:numFmt w:val="lowerRoman"/>
      <w:start w:val="2"/>
    </w:lvl>
  </w:abstractNum>
  <w:abstractNum w:abstractNumId="8">
    <w:nsid w:val="97E1B4E"/>
    <w:multiLevelType w:val="hybridMultilevel"/>
    <w:lvl w:ilvl="0">
      <w:lvlJc w:val="left"/>
      <w:lvlText w:val="•"/>
      <w:numFmt w:val="bullet"/>
      <w:start w:val="1"/>
    </w:lvl>
  </w:abstractNum>
  <w:abstractNum w:abstractNumId="9">
    <w:nsid w:val="51088277"/>
    <w:multiLevelType w:val="hybridMultilevel"/>
    <w:lvl w:ilvl="0">
      <w:lvlJc w:val="left"/>
      <w:lvlText w:val="•"/>
      <w:numFmt w:val="bullet"/>
      <w:start w:val="1"/>
    </w:lvl>
  </w:abstractNum>
  <w:abstractNum w:abstractNumId="10">
    <w:nsid w:val="1CA0C5FA"/>
    <w:multiLevelType w:val="hybridMultilevel"/>
    <w:lvl w:ilvl="0">
      <w:lvlJc w:val="left"/>
      <w:lvlText w:val="•"/>
      <w:numFmt w:val="bullet"/>
      <w:start w:val="1"/>
    </w:lvl>
    <w:lvl w:ilvl="1">
      <w:lvlJc w:val="left"/>
      <w:lvlText w:val="§"/>
      <w:numFmt w:val="bullet"/>
      <w:start w:val="1"/>
    </w:lvl>
  </w:abstractNum>
  <w:abstractNum w:abstractNumId="11">
    <w:nsid w:val="53584BCB"/>
    <w:multiLevelType w:val="hybridMultilevel"/>
    <w:lvl w:ilvl="0">
      <w:lvlJc w:val="left"/>
      <w:lvlText w:val="•"/>
      <w:numFmt w:val="bullet"/>
      <w:start w:val="1"/>
    </w:lvl>
  </w:abstractNum>
  <w:abstractNum w:abstractNumId="12">
    <w:nsid w:val="415E286C"/>
    <w:multiLevelType w:val="hybridMultilevel"/>
    <w:lvl w:ilvl="0">
      <w:lvlJc w:val="left"/>
      <w:lvlText w:val="•"/>
      <w:numFmt w:val="bullet"/>
      <w:start w:val="1"/>
    </w:lvl>
  </w:abstractNum>
  <w:abstractNum w:abstractNumId="13">
    <w:nsid w:val="7C58FD05"/>
    <w:multiLevelType w:val="hybridMultilevel"/>
    <w:lvl w:ilvl="0">
      <w:lvlJc w:val="left"/>
      <w:lvlText w:val="•"/>
      <w:numFmt w:val="bullet"/>
      <w:start w:val="1"/>
    </w:lvl>
  </w:abstractNum>
  <w:abstractNum w:abstractNumId="14">
    <w:nsid w:val="23D86AAC"/>
    <w:multiLevelType w:val="hybridMultilevel"/>
    <w:lvl w:ilvl="0">
      <w:lvlJc w:val="left"/>
      <w:lvlText w:val="•"/>
      <w:numFmt w:val="bullet"/>
      <w:start w:val="1"/>
    </w:lvl>
  </w:abstractNum>
  <w:abstractNum w:abstractNumId="15">
    <w:nsid w:val="45E6D486"/>
    <w:multiLevelType w:val="hybridMultilevel"/>
    <w:lvl w:ilvl="0">
      <w:lvlJc w:val="left"/>
      <w:lvlText w:val="(%1)"/>
      <w:numFmt w:val="lowerRoman"/>
      <w:start w:val="2"/>
    </w:lvl>
  </w:abstractNum>
  <w:abstractNum w:abstractNumId="16">
    <w:nsid w:val="5C10FE21"/>
    <w:multiLevelType w:val="hybridMultilevel"/>
    <w:lvl w:ilvl="0">
      <w:lvlJc w:val="left"/>
      <w:lvlText w:val="•"/>
      <w:numFmt w:val="bullet"/>
      <w:start w:val="1"/>
    </w:lvl>
  </w:abstractNum>
  <w:abstractNum w:abstractNumId="17">
    <w:nsid w:val="E7FFA2B"/>
    <w:multiLevelType w:val="hybridMultilevel"/>
    <w:lvl w:ilvl="0">
      <w:lvlJc w:val="left"/>
      <w:lvlText w:val="•"/>
      <w:numFmt w:val="bullet"/>
      <w:start w:val="1"/>
    </w:lvl>
  </w:abstractNum>
  <w:abstractNum w:abstractNumId="18">
    <w:nsid w:val="3C5991AA"/>
    <w:multiLevelType w:val="hybridMultilevel"/>
    <w:lvl w:ilvl="0">
      <w:lvlJc w:val="left"/>
      <w:lvlText w:val="(%1)"/>
      <w:numFmt w:val="lowerRoman"/>
      <w:start w:val="2"/>
    </w:lvl>
  </w:abstractNum>
  <w:abstractNum w:abstractNumId="19">
    <w:nsid w:val="4BD8591A"/>
    <w:multiLevelType w:val="hybridMultilevel"/>
    <w:lvl w:ilvl="0">
      <w:lvlJc w:val="left"/>
      <w:lvlText w:val="•"/>
      <w:numFmt w:val="bullet"/>
      <w:start w:val="1"/>
    </w:lvl>
  </w:abstractNum>
  <w:abstractNum w:abstractNumId="20">
    <w:nsid w:val="78DF6A55"/>
    <w:multiLevelType w:val="hybridMultilevel"/>
    <w:lvl w:ilvl="0">
      <w:lvlJc w:val="left"/>
      <w:lvlText w:val="•"/>
      <w:numFmt w:val="bullet"/>
      <w:start w:val="1"/>
    </w:lvl>
  </w:abstractNum>
  <w:abstractNum w:abstractNumId="21">
    <w:nsid w:val="39B7AAA2"/>
    <w:multiLevelType w:val="hybridMultilevel"/>
    <w:lvl w:ilvl="0">
      <w:lvlJc w:val="left"/>
      <w:lvlText w:val="•"/>
      <w:numFmt w:val="bullet"/>
      <w:start w:val="1"/>
    </w:lvl>
  </w:abstractNum>
  <w:abstractNum w:abstractNumId="22">
    <w:nsid w:val="2B0D8DBE"/>
    <w:multiLevelType w:val="hybridMultilevel"/>
    <w:lvl w:ilvl="0">
      <w:lvlJc w:val="left"/>
      <w:lvlText w:val="•"/>
      <w:numFmt w:val="bullet"/>
      <w:start w:val="1"/>
    </w:lvl>
  </w:abstractNum>
  <w:abstractNum w:abstractNumId="23">
    <w:nsid w:val="6C80EC70"/>
    <w:multiLevelType w:val="hybridMultilevel"/>
    <w:lvl w:ilvl="0">
      <w:lvlJc w:val="left"/>
      <w:lvlText w:val="•"/>
      <w:numFmt w:val="bullet"/>
      <w:start w:val="1"/>
    </w:lvl>
  </w:abstractNum>
  <w:abstractNum w:abstractNumId="24">
    <w:nsid w:val="379E21B5"/>
    <w:multiLevelType w:val="hybridMultilevel"/>
    <w:lvl w:ilvl="0">
      <w:lvlJc w:val="left"/>
      <w:lvlText w:val="(%1)"/>
      <w:numFmt w:val="decimal"/>
      <w:start w:val="1"/>
    </w:lvl>
  </w:abstractNum>
  <w:abstractNum w:abstractNumId="25">
    <w:nsid w:val="69E373"/>
    <w:multiLevelType w:val="hybridMultilevel"/>
    <w:lvl w:ilvl="0">
      <w:lvlJc w:val="left"/>
      <w:lvlText w:val="•"/>
      <w:numFmt w:val="bullet"/>
      <w:start w:val="1"/>
    </w:lvl>
  </w:abstractNum>
  <w:abstractNum w:abstractNumId="26">
    <w:nsid w:val="2C27173B"/>
    <w:multiLevelType w:val="hybridMultilevel"/>
    <w:lvl w:ilvl="0">
      <w:lvlJc w:val="left"/>
      <w:lvlText w:val="(%1)"/>
      <w:numFmt w:val="lowerLetter"/>
      <w:start w:val="1"/>
    </w:lvl>
  </w:abstractNum>
  <w:abstractNum w:abstractNumId="27">
    <w:nsid w:val="4C9B0904"/>
    <w:multiLevelType w:val="hybridMultilevel"/>
    <w:lvl w:ilvl="0">
      <w:lvlJc w:val="left"/>
      <w:lvlText w:val="(%1)"/>
      <w:numFmt w:val="lowerLetter"/>
      <w:start w:val="2"/>
    </w:lvl>
  </w:abstractNum>
  <w:abstractNum w:abstractNumId="28">
    <w:nsid w:val="6AA7B75C"/>
    <w:multiLevelType w:val="hybridMultilevel"/>
    <w:lvl w:ilvl="0">
      <w:lvlJc w:val="left"/>
      <w:lvlText w:val="(%1)"/>
      <w:numFmt w:val="lowerRoman"/>
      <w:start w:val="2"/>
    </w:lvl>
  </w:abstractNum>
  <w:abstractNum w:abstractNumId="29">
    <w:nsid w:val="1DF029D3"/>
    <w:multiLevelType w:val="hybridMultilevel"/>
    <w:lvl w:ilvl="0">
      <w:lvlJc w:val="left"/>
      <w:lvlText w:val="(%1)"/>
      <w:numFmt w:val="lowerLetter"/>
      <w:start w:val="1"/>
    </w:lvl>
  </w:abstractNum>
  <w:abstractNum w:abstractNumId="30">
    <w:nsid w:val="5675FF36"/>
    <w:multiLevelType w:val="hybridMultilevel"/>
    <w:lvl w:ilvl="0">
      <w:lvlJc w:val="left"/>
      <w:lvlText w:val="(%1)"/>
      <w:numFmt w:val="lowerLetter"/>
      <w:start w:val="2"/>
    </w:lvl>
  </w:abstractNum>
  <w:abstractNum w:abstractNumId="31">
    <w:nsid w:val="3DD15094"/>
    <w:multiLevelType w:val="hybridMultilevel"/>
    <w:lvl w:ilvl="0">
      <w:lvlJc w:val="left"/>
      <w:lvlText w:val="•"/>
      <w:numFmt w:val="bullet"/>
      <w:start w:val="1"/>
    </w:lvl>
  </w:abstractNum>
  <w:abstractNum w:abstractNumId="32">
    <w:nsid w:val="3DB012B3"/>
    <w:multiLevelType w:val="hybridMultilevel"/>
    <w:lvl w:ilvl="0">
      <w:lvlJc w:val="left"/>
      <w:lvlText w:val="•"/>
      <w:numFmt w:val="bullet"/>
      <w:start w:val="1"/>
    </w:lvl>
  </w:abstractNum>
  <w:abstractNum w:abstractNumId="33">
    <w:nsid w:val="2708C9AF"/>
    <w:multiLevelType w:val="hybridMultilevel"/>
    <w:lvl w:ilvl="0">
      <w:lvlJc w:val="left"/>
      <w:lvlText w:val="•"/>
      <w:numFmt w:val="bullet"/>
      <w:start w:val="1"/>
    </w:lvl>
  </w:abstractNum>
  <w:abstractNum w:abstractNumId="34">
    <w:nsid w:val="5B25ACE2"/>
    <w:multiLevelType w:val="hybridMultilevel"/>
    <w:lvl w:ilvl="0">
      <w:lvlJc w:val="left"/>
      <w:lvlText w:val="•"/>
      <w:numFmt w:val="bullet"/>
      <w:start w:val="1"/>
    </w:lvl>
  </w:abstractNum>
  <w:abstractNum w:abstractNumId="35">
    <w:nsid w:val="175DFCF0"/>
    <w:multiLevelType w:val="hybridMultilevel"/>
    <w:lvl w:ilvl="0">
      <w:lvlJc w:val="left"/>
      <w:lvlText w:val="(%1)"/>
      <w:numFmt w:val="lowerRoman"/>
      <w:start w:val="1"/>
    </w:lvl>
  </w:abstractNum>
  <w:abstractNum w:abstractNumId="36">
    <w:nsid w:val="4F97E3E4"/>
    <w:multiLevelType w:val="hybridMultilevel"/>
    <w:lvl w:ilvl="0">
      <w:lvlJc w:val="left"/>
      <w:lvlText w:val="•"/>
      <w:numFmt w:val="bullet"/>
      <w:start w:val="1"/>
    </w:lvl>
  </w:abstractNum>
  <w:abstractNum w:abstractNumId="37">
    <w:nsid w:val="53B0A9E"/>
    <w:multiLevelType w:val="hybridMultilevel"/>
    <w:lvl w:ilvl="0">
      <w:lvlJc w:val="left"/>
      <w:lvlText w:val="•"/>
      <w:numFmt w:val="bullet"/>
      <w:start w:val="1"/>
    </w:lvl>
  </w:abstractNum>
  <w:abstractNum w:abstractNumId="38">
    <w:nsid w:val="34FD6B4F"/>
    <w:multiLevelType w:val="hybridMultilevel"/>
    <w:lvl w:ilvl="0">
      <w:lvlJc w:val="left"/>
      <w:lvlText w:val="(%1)"/>
      <w:numFmt w:val="lowerLetter"/>
      <w:start w:val="1"/>
    </w:lvl>
  </w:abstractNum>
  <w:abstractNum w:abstractNumId="39">
    <w:nsid w:val="5915FF32"/>
    <w:multiLevelType w:val="hybridMultilevel"/>
    <w:lvl w:ilvl="0">
      <w:lvlJc w:val="left"/>
      <w:lvlText w:val="(%1)"/>
      <w:numFmt w:val="lowerLetter"/>
      <w:start w:val="2"/>
    </w:lvl>
  </w:abstractNum>
  <w:abstractNum w:abstractNumId="40">
    <w:nsid w:val="56438D15"/>
    <w:multiLevelType w:val="hybridMultilevel"/>
    <w:lvl w:ilvl="0">
      <w:lvlJc w:val="left"/>
      <w:lvlText w:val="(%1)"/>
      <w:numFmt w:val="upperLetter"/>
      <w:start w:val="1"/>
    </w:lvl>
    <w:lvl w:ilvl="1">
      <w:lvlJc w:val="left"/>
      <w:lvlText w:val="(%2)"/>
      <w:numFmt w:val="decimal"/>
      <w:start w:val="1"/>
    </w:lvl>
  </w:abstractNum>
  <w:abstractNum w:abstractNumId="41">
    <w:nsid w:val="519E3149"/>
    <w:multiLevelType w:val="hybridMultilevel"/>
    <w:lvl w:ilvl="0">
      <w:lvlJc w:val="left"/>
      <w:lvlText w:val="(%1)"/>
      <w:numFmt w:val="upperLetter"/>
      <w:start w:val="2"/>
    </w:lvl>
  </w:abstractNum>
  <w:abstractNum w:abstractNumId="42">
    <w:nsid w:val="2C6E4AFD"/>
    <w:multiLevelType w:val="hybridMultilevel"/>
    <w:lvl w:ilvl="0">
      <w:lvlJc w:val="left"/>
      <w:lvlText w:val="(%1)"/>
      <w:numFmt w:val="upperLetter"/>
      <w:start w:val="1"/>
    </w:lvl>
  </w:abstractNum>
  <w:abstractNum w:abstractNumId="43">
    <w:nsid w:val="17A1B582"/>
    <w:multiLevelType w:val="hybridMultilevel"/>
    <w:lvl w:ilvl="0">
      <w:lvlJc w:val="left"/>
      <w:lvlText w:val="(%1)"/>
      <w:numFmt w:val="upperLetter"/>
      <w:start w:val="3"/>
    </w:lvl>
  </w:abstractNum>
  <w:abstractNum w:abstractNumId="44">
    <w:nsid w:val="4DF72E4E"/>
    <w:multiLevelType w:val="hybridMultilevel"/>
    <w:lvl w:ilvl="0">
      <w:lvlJc w:val="left"/>
      <w:lvlText w:val="(%1)"/>
      <w:numFmt w:val="upperLetter"/>
      <w:start w:val="8"/>
    </w:lvl>
  </w:abstractNum>
  <w:abstractNum w:abstractNumId="45">
    <w:nsid w:val="5046B5A9"/>
    <w:multiLevelType w:val="hybridMultilevel"/>
    <w:lvl w:ilvl="0">
      <w:lvlJc w:val="left"/>
      <w:lvlText w:val="(%1)"/>
      <w:numFmt w:val="lowerRoman"/>
      <w:start w:val="1"/>
    </w:lvl>
  </w:abstractNum>
  <w:abstractNum w:abstractNumId="46">
    <w:nsid w:val="5D888A08"/>
    <w:multiLevelType w:val="hybridMultilevel"/>
    <w:lvl w:ilvl="0">
      <w:lvlJc w:val="left"/>
      <w:lvlText w:val="(%1)"/>
      <w:numFmt w:val="lowerRoman"/>
      <w:start w:val="2"/>
    </w:lvl>
  </w:abstractNum>
  <w:abstractNum w:abstractNumId="47">
    <w:nsid w:val="2A082C70"/>
    <w:multiLevelType w:val="hybridMultilevel"/>
    <w:lvl w:ilvl="0">
      <w:lvlJc w:val="left"/>
      <w:lvlText w:val="(%1)"/>
      <w:numFmt w:val="lowerRoman"/>
      <w:start w:val="1"/>
    </w:lvl>
  </w:abstractNum>
  <w:abstractNum w:abstractNumId="48">
    <w:nsid w:val="5EC6AFD4"/>
    <w:multiLevelType w:val="hybridMultilevel"/>
    <w:lvl w:ilvl="0">
      <w:lvlJc w:val="left"/>
      <w:lvlText w:val="(%1)"/>
      <w:numFmt w:val="upperLetter"/>
      <w:start w:val="1"/>
    </w:lvl>
  </w:abstractNum>
  <w:abstractNum w:abstractNumId="49">
    <w:nsid w:val="19E21BB2"/>
    <w:multiLevelType w:val="hybridMultilevel"/>
    <w:lvl w:ilvl="0">
      <w:lvlJc w:val="left"/>
      <w:lvlText w:val="(%1)"/>
      <w:numFmt w:val="upperLetter"/>
      <w:start w:val="4"/>
    </w:lvl>
  </w:abstractNum>
  <w:abstractNum w:abstractNumId="50">
    <w:nsid w:val="75E0858A"/>
    <w:multiLevelType w:val="hybridMultilevel"/>
    <w:lvl w:ilvl="0">
      <w:lvlJc w:val="left"/>
      <w:lvlText w:val="(%1)"/>
      <w:numFmt w:val="upperLetter"/>
      <w:start w:val="5"/>
    </w:lvl>
  </w:abstractNum>
  <w:abstractNum w:abstractNumId="51">
    <w:nsid w:val="57A61A29"/>
    <w:multiLevelType w:val="hybridMultilevel"/>
    <w:lvl w:ilvl="0">
      <w:lvlJc w:val="left"/>
      <w:lvlText w:val="(%1)"/>
      <w:numFmt w:val="upperLetter"/>
      <w:start w:val="7"/>
    </w:lvl>
  </w:abstractNum>
  <w:abstractNum w:abstractNumId="52">
    <w:nsid w:val="5399C654"/>
    <w:multiLevelType w:val="hybridMultilevel"/>
    <w:lvl w:ilvl="0">
      <w:lvlJc w:val="left"/>
      <w:lvlText w:val="(%1)"/>
      <w:numFmt w:val="upperLetter"/>
      <w:start w:val="1"/>
    </w:lvl>
  </w:abstractNum>
  <w:abstractNum w:abstractNumId="53">
    <w:nsid w:val="20EE1348"/>
    <w:multiLevelType w:val="hybridMultilevel"/>
    <w:lvl w:ilvl="0">
      <w:lvlJc w:val="left"/>
      <w:lvlText w:val="(%1)"/>
      <w:numFmt w:val="upperLetter"/>
      <w:start w:val="3"/>
    </w:lvl>
    <w:lvl w:ilvl="1">
      <w:lvlJc w:val="left"/>
      <w:lvlText w:val="(%2)"/>
      <w:numFmt w:val="lowerRoman"/>
      <w:start w:val="1"/>
    </w:lvl>
  </w:abstractNum>
  <w:abstractNum w:abstractNumId="54">
    <w:nsid w:val="4427069A"/>
    <w:multiLevelType w:val="hybridMultilevel"/>
    <w:lvl w:ilvl="0">
      <w:lvlJc w:val="left"/>
      <w:lvlText w:val="%1"/>
      <w:numFmt w:val="lowerRoman"/>
      <w:start w:val="1"/>
    </w:lvl>
    <w:lvl w:ilvl="1">
      <w:lvlJc w:val="left"/>
      <w:lvlText w:val="(%2)"/>
      <w:numFmt w:val="upperLetter"/>
      <w:start w:val="5"/>
    </w:lvl>
  </w:abstractNum>
  <w:abstractNum w:abstractNumId="55">
    <w:nsid w:val="B37E80A"/>
    <w:multiLevelType w:val="hybridMultilevel"/>
    <w:lvl w:ilvl="0">
      <w:lvlJc w:val="left"/>
      <w:lvlText w:val="(%1)"/>
      <w:numFmt w:val="lowerRoman"/>
      <w:start w:val="2"/>
    </w:lvl>
    <w:lvl w:ilvl="1">
      <w:lvlJc w:val="left"/>
      <w:lvlText w:val="%2"/>
      <w:numFmt w:val="upperLetter"/>
      <w:start w:val="1"/>
    </w:lvl>
  </w:abstractNum>
  <w:abstractNum w:abstractNumId="56">
    <w:nsid w:val="2157F6BC"/>
    <w:multiLevelType w:val="hybridMultilevel"/>
    <w:lvl w:ilvl="0">
      <w:lvlJc w:val="left"/>
      <w:lvlText w:val="(%1)"/>
      <w:numFmt w:val="lowerRoman"/>
      <w:start w:val="2"/>
    </w:lvl>
  </w:abstractNum>
  <w:abstractNum w:abstractNumId="57">
    <w:nsid w:val="704E1DD5"/>
    <w:multiLevelType w:val="hybridMultilevel"/>
    <w:lvl w:ilvl="0">
      <w:lvlJc w:val="left"/>
      <w:lvlText w:val="(%1)"/>
      <w:numFmt w:val="lowerRoman"/>
      <w:start w:val="1"/>
    </w:lvl>
  </w:abstractNum>
  <w:abstractNum w:abstractNumId="58">
    <w:nsid w:val="57D2F10E"/>
    <w:multiLevelType w:val="hybridMultilevel"/>
    <w:lvl w:ilvl="0">
      <w:lvlJc w:val="left"/>
      <w:lvlText w:val="(%1)"/>
      <w:numFmt w:val="decimal"/>
      <w:start w:val="6"/>
    </w:lvl>
  </w:abstractNum>
  <w:abstractNum w:abstractNumId="59">
    <w:nsid w:val="BFFAE18"/>
    <w:multiLevelType w:val="hybridMultilevel"/>
    <w:lvl w:ilvl="0">
      <w:lvlJc w:val="left"/>
      <w:lvlText w:val="(%1)"/>
      <w:numFmt w:val="upperLetter"/>
      <w:start w:val="1"/>
    </w:lvl>
  </w:abstractNum>
  <w:abstractNum w:abstractNumId="60">
    <w:nsid w:val="E3E47A8"/>
    <w:multiLevelType w:val="hybridMultilevel"/>
    <w:lvl w:ilvl="0">
      <w:lvlJc w:val="left"/>
      <w:lvlText w:val="(%1)"/>
      <w:numFmt w:val="upperLetter"/>
      <w:start w:val="1"/>
    </w:lvl>
  </w:abstractNum>
  <w:abstractNum w:abstractNumId="61">
    <w:nsid w:val="2E48F044"/>
    <w:multiLevelType w:val="hybridMultilevel"/>
    <w:lvl w:ilvl="0">
      <w:lvlJc w:val="left"/>
      <w:lvlText w:val="(%1)"/>
      <w:numFmt w:val="upperLetter"/>
      <w:start w:val="4"/>
    </w:lvl>
  </w:abstractNum>
  <w:abstractNum w:abstractNumId="62">
    <w:nsid w:val="49D0FEAC"/>
    <w:multiLevelType w:val="hybridMultilevel"/>
    <w:lvl w:ilvl="0">
      <w:lvlJc w:val="left"/>
      <w:lvlText w:val="(%1)"/>
      <w:numFmt w:val="upperLetter"/>
      <w:start w:val="9"/>
    </w:lvl>
  </w:abstractNum>
  <w:abstractNum w:abstractNumId="63">
    <w:nsid w:val="4BEE5A5B"/>
    <w:multiLevelType w:val="hybridMultilevel"/>
    <w:lvl w:ilvl="0">
      <w:lvlJc w:val="left"/>
      <w:lvlText w:val="(%1)"/>
      <w:numFmt w:val="upperLetter"/>
      <w:start w:val="10"/>
    </w:lvl>
  </w:abstractNum>
  <w:abstractNum w:abstractNumId="64">
    <w:nsid w:val="5551B9F3"/>
    <w:multiLevelType w:val="hybridMultilevel"/>
    <w:lvl w:ilvl="0">
      <w:lvlJc w:val="left"/>
      <w:lvlText w:val="(%1)"/>
      <w:numFmt w:val="upperLetter"/>
      <w:start w:val="11"/>
    </w:lvl>
  </w:abstractNum>
  <w:abstractNum w:abstractNumId="65">
    <w:nsid w:val="24F6AB8E"/>
    <w:multiLevelType w:val="hybridMultilevel"/>
    <w:lvl w:ilvl="0">
      <w:lvlJc w:val="left"/>
      <w:lvlText w:val="(%1)"/>
      <w:numFmt w:val="lowerRoman"/>
      <w:start w:val="3"/>
    </w:lvl>
  </w:abstractNum>
  <w:abstractNum w:abstractNumId="66">
    <w:nsid w:val="634C574C"/>
    <w:multiLevelType w:val="hybridMultilevel"/>
    <w:lvl w:ilvl="0">
      <w:lvlJc w:val="left"/>
      <w:lvlText w:val="(%1)"/>
      <w:numFmt w:val="lowerRoman"/>
      <w:start w:val="4"/>
    </w:lvl>
  </w:abstractNum>
  <w:abstractNum w:abstractNumId="67">
    <w:nsid w:val="24E99DD7"/>
    <w:multiLevelType w:val="hybridMultilevel"/>
    <w:lvl w:ilvl="0">
      <w:lvlJc w:val="left"/>
      <w:lvlText w:val="(%1)"/>
      <w:numFmt w:val="upperLetter"/>
      <w:start w:val="12"/>
    </w:lvl>
  </w:abstractNum>
  <w:abstractNum w:abstractNumId="68">
    <w:nsid w:val="2A31B62D"/>
    <w:multiLevelType w:val="hybridMultilevel"/>
    <w:lvl w:ilvl="0">
      <w:lvlJc w:val="left"/>
      <w:lvlText w:val="(%1)"/>
      <w:numFmt w:val="upperLetter"/>
      <w:start w:val="1"/>
    </w:lvl>
  </w:abstractNum>
  <w:abstractNum w:abstractNumId="69">
    <w:nsid w:val="1849C29B"/>
    <w:multiLevelType w:val="hybridMultilevel"/>
    <w:lvl w:ilvl="0">
      <w:lvlJc w:val="left"/>
      <w:lvlText w:val="(%1)"/>
      <w:numFmt w:val="upperLetter"/>
      <w:start w:val="6"/>
    </w:lvl>
  </w:abstractNum>
  <w:abstractNum w:abstractNumId="70">
    <w:nsid w:val="7DFF9D09"/>
    <w:multiLevelType w:val="hybridMultilevel"/>
    <w:lvl w:ilvl="0">
      <w:lvlJc w:val="left"/>
      <w:lvlText w:val="(%1)"/>
      <w:numFmt w:val="upperLetter"/>
      <w:start w:val="11"/>
    </w:lvl>
  </w:abstractNum>
  <w:abstractNum w:abstractNumId="71">
    <w:nsid w:val="754342"/>
    <w:multiLevelType w:val="hybridMultilevel"/>
    <w:lvl w:ilvl="0">
      <w:lvlJc w:val="left"/>
      <w:lvlText w:val="(%1)"/>
      <w:numFmt w:val="upperLetter"/>
      <w:start w:val="1"/>
    </w:lvl>
    <w:lvl w:ilvl="1">
      <w:lvlJc w:val="left"/>
      <w:lvlText w:val="(%2)"/>
      <w:numFmt w:val="decimal"/>
      <w:start w:val="1"/>
    </w:lvl>
  </w:abstractNum>
  <w:abstractNum w:abstractNumId="72">
    <w:nsid w:val="69E7F3E5"/>
    <w:multiLevelType w:val="hybridMultilevel"/>
    <w:lvl w:ilvl="0">
      <w:lvlJc w:val="left"/>
      <w:lvlText w:val="(%1)"/>
      <w:numFmt w:val="decimal"/>
      <w:start w:val="2"/>
    </w:lvl>
  </w:abstractNum>
  <w:abstractNum w:abstractNumId="73">
    <w:nsid w:val="2A6DE806"/>
    <w:multiLevelType w:val="hybridMultilevel"/>
    <w:lvl w:ilvl="0">
      <w:lvlJc w:val="left"/>
      <w:lvlText w:val="%1"/>
      <w:numFmt w:val="upperLetter"/>
      <w:start w:val="1"/>
    </w:lvl>
    <w:lvl w:ilvl="1">
      <w:lvlJc w:val="left"/>
      <w:lvlText w:val="(%2)"/>
      <w:numFmt w:val="decimal"/>
      <w:start w:val="3"/>
    </w:lvl>
  </w:abstractNum>
  <w:abstractNum w:abstractNumId="74">
    <w:nsid w:val="1816F8C4"/>
    <w:multiLevelType w:val="hybridMultilevel"/>
    <w:lvl w:ilvl="0">
      <w:lvlJc w:val="left"/>
      <w:lvlText w:val="(%1)"/>
      <w:numFmt w:val="upperLetter"/>
      <w:start w:val="2"/>
    </w:lvl>
    <w:lvl w:ilvl="1">
      <w:lvlJc w:val="left"/>
      <w:lvlText w:val="%2"/>
      <w:numFmt w:val="decimal"/>
      <w:start w:val="1"/>
    </w:lvl>
  </w:abstractNum>
  <w:abstractNum w:abstractNumId="75">
    <w:nsid w:val="37DF2233"/>
    <w:multiLevelType w:val="hybridMultilevel"/>
    <w:lvl w:ilvl="0">
      <w:lvlJc w:val="left"/>
      <w:lvlText w:val="(%1)"/>
      <w:numFmt w:val="upperLetter"/>
      <w:start w:val="1"/>
    </w:lvl>
  </w:abstractNum>
  <w:abstractNum w:abstractNumId="76">
    <w:nsid w:val="7AB49DAF"/>
    <w:multiLevelType w:val="hybridMultilevel"/>
    <w:lvl w:ilvl="0">
      <w:lvlJc w:val="left"/>
      <w:lvlText w:val="(%1)"/>
      <w:numFmt w:val="upperLetter"/>
      <w:start w:val="2"/>
    </w:lvl>
  </w:abstractNum>
  <w:abstractNum w:abstractNumId="77">
    <w:nsid w:val="759F82CD"/>
    <w:multiLevelType w:val="hybridMultilevel"/>
    <w:lvl w:ilvl="0">
      <w:lvlJc w:val="left"/>
      <w:lvlText w:val="(%1)"/>
      <w:numFmt w:val="upperLetter"/>
      <w:start w:val="8"/>
    </w:lvl>
    <w:lvl w:ilvl="1">
      <w:lvlJc w:val="left"/>
      <w:lvlText w:val="(%2)"/>
      <w:numFmt w:val="decimal"/>
      <w:start w:val="1"/>
    </w:lvl>
  </w:abstractNum>
  <w:abstractNum w:abstractNumId="78">
    <w:nsid w:val="61E74EA3"/>
    <w:multiLevelType w:val="hybridMultilevel"/>
    <w:lvl w:ilvl="0">
      <w:lvlJc w:val="left"/>
      <w:lvlText w:val="(%1)"/>
      <w:numFmt w:val="upperLetter"/>
      <w:start w:val="9"/>
    </w:lvl>
    <w:lvl w:ilvl="1">
      <w:lvlJc w:val="left"/>
      <w:lvlText w:val="(%2)"/>
      <w:numFmt w:val="decimal"/>
      <w:start w:val="1"/>
    </w:lvl>
  </w:abstractNum>
  <w:abstractNum w:abstractNumId="79">
    <w:nsid w:val="597B4D84"/>
    <w:multiLevelType w:val="hybridMultilevel"/>
    <w:lvl w:ilvl="0">
      <w:lvlJc w:val="left"/>
      <w:lvlText w:val="%1"/>
      <w:numFmt w:val="upperLetter"/>
      <w:start w:val="1"/>
    </w:lvl>
    <w:lvl w:ilvl="1">
      <w:lvlJc w:val="left"/>
      <w:lvlText w:val="(%2)"/>
      <w:numFmt w:val="decimal"/>
      <w:start w:val="4"/>
    </w:lvl>
  </w:abstractNum>
  <w:abstractNum w:abstractNumId="80">
    <w:nsid w:val="F819E7F"/>
    <w:multiLevelType w:val="hybridMultilevel"/>
    <w:lvl w:ilvl="0">
      <w:lvlJc w:val="left"/>
      <w:lvlText w:val="(%1)"/>
      <w:numFmt w:val="upperLetter"/>
      <w:start w:val="10"/>
    </w:lvl>
    <w:lvl w:ilvl="1">
      <w:lvlJc w:val="left"/>
      <w:lvlText w:val="%2"/>
      <w:numFmt w:val="decimal"/>
      <w:start w:val="1"/>
    </w:lvl>
  </w:abstractNum>
  <w:abstractNum w:abstractNumId="81">
    <w:nsid w:val="57C7D42D"/>
    <w:multiLevelType w:val="hybridMultilevel"/>
    <w:lvl w:ilvl="0">
      <w:lvlJc w:val="left"/>
      <w:lvlText w:val="(%1)"/>
      <w:numFmt w:val="upperLetter"/>
      <w:start w:val="1"/>
    </w:lvl>
  </w:abstractNum>
  <w:abstractNum w:abstractNumId="82">
    <w:nsid w:val="312167AD"/>
    <w:multiLevelType w:val="hybridMultilevel"/>
    <w:lvl w:ilvl="0">
      <w:lvlJc w:val="left"/>
      <w:lvlText w:val="(%1)"/>
      <w:numFmt w:val="lowerRoman"/>
      <w:start w:val="1"/>
    </w:lvl>
  </w:abstractNum>
  <w:abstractNum w:abstractNumId="83">
    <w:nsid w:val="631B64D4"/>
    <w:multiLevelType w:val="hybridMultilevel"/>
    <w:lvl w:ilvl="0">
      <w:lvlJc w:val="left"/>
      <w:lvlText w:val="(%1)"/>
      <w:numFmt w:val="lowerRoman"/>
      <w:start w:val="2"/>
    </w:lvl>
  </w:abstractNum>
  <w:abstractNum w:abstractNumId="84">
    <w:nsid w:val="78B5E776"/>
    <w:multiLevelType w:val="hybridMultilevel"/>
    <w:lvl w:ilvl="0">
      <w:lvlJc w:val="left"/>
      <w:lvlText w:val="(%1)"/>
      <w:numFmt w:val="upperLetter"/>
      <w:start w:val="2"/>
    </w:lvl>
  </w:abstractNum>
  <w:abstractNum w:abstractNumId="85">
    <w:nsid w:val="75486E47"/>
    <w:multiLevelType w:val="hybridMultilevel"/>
    <w:lvl w:ilvl="0">
      <w:lvlJc w:val="left"/>
      <w:lvlText w:val="(%1)"/>
      <w:numFmt w:val="upperLetter"/>
      <w:start w:val="1"/>
    </w:lvl>
  </w:abstractNum>
  <w:abstractNum w:abstractNumId="86">
    <w:nsid w:val="6E534CDE"/>
    <w:multiLevelType w:val="hybridMultilevel"/>
    <w:lvl w:ilvl="0">
      <w:lvlJc w:val="left"/>
      <w:lvlText w:val="(%1)"/>
      <w:numFmt w:val="upperLetter"/>
      <w:start w:val="2"/>
    </w:lvl>
  </w:abstractNum>
  <w:abstractNum w:abstractNumId="87">
    <w:nsid w:val="1A0DDE32"/>
    <w:multiLevelType w:val="hybridMultilevel"/>
    <w:lvl w:ilvl="0">
      <w:lvlJc w:val="left"/>
      <w:lvlText w:val="(%1)"/>
      <w:numFmt w:val="upperLetter"/>
      <w:start w:val="8"/>
    </w:lvl>
  </w:abstractNum>
  <w:abstractNum w:abstractNumId="88">
    <w:nsid w:val="65968C1C"/>
    <w:multiLevelType w:val="hybridMultilevel"/>
    <w:lvl w:ilvl="0">
      <w:lvlJc w:val="left"/>
      <w:lvlText w:val="(%1)"/>
      <w:numFmt w:val="upperLetter"/>
      <w:start w:val="1"/>
    </w:lvl>
  </w:abstractNum>
  <w:abstractNum w:abstractNumId="89">
    <w:nsid w:val="46263DEC"/>
    <w:multiLevelType w:val="hybridMultilevel"/>
    <w:lvl w:ilvl="0">
      <w:lvlJc w:val="left"/>
      <w:lvlText w:val="(%1)"/>
      <w:numFmt w:val="upperLetter"/>
      <w:start w:val="7"/>
    </w:lvl>
  </w:abstractNum>
  <w:abstractNum w:abstractNumId="90">
    <w:nsid w:val="260D8C4A"/>
    <w:multiLevelType w:val="hybridMultilevel"/>
    <w:lvl w:ilvl="0">
      <w:lvlJc w:val="left"/>
      <w:lvlText w:val="(%1)"/>
      <w:numFmt w:val="lowerLetter"/>
      <w:start w:val="1"/>
    </w:lvl>
  </w:abstractNum>
  <w:abstractNum w:abstractNumId="91">
    <w:nsid w:val="73D4D3C4"/>
    <w:multiLevelType w:val="hybridMultilevel"/>
    <w:lvl w:ilvl="0">
      <w:lvlJc w:val="left"/>
      <w:lvlText w:val="(%1)"/>
      <w:numFmt w:val="lowerLetter"/>
      <w:start w:val="1"/>
    </w:lvl>
  </w:abstractNum>
  <w:abstractNum w:abstractNumId="92">
    <w:nsid w:val="746F2E30"/>
    <w:multiLevelType w:val="hybridMultilevel"/>
    <w:lvl w:ilvl="0">
      <w:lvlJc w:val="left"/>
      <w:lvlText w:val="(%1)"/>
      <w:numFmt w:val="lowerLetter"/>
      <w:start w:val="35"/>
    </w:lvl>
    <w:lvl w:ilvl="1">
      <w:lvlJc w:val="left"/>
      <w:lvlText w:val="(%2)"/>
      <w:numFmt w:val="lowerLetter"/>
      <w:start w:val="3"/>
    </w:lvl>
  </w:abstractNum>
  <w:abstractNum w:abstractNumId="93">
    <w:nsid w:val="6FDE8AF6"/>
    <w:multiLevelType w:val="hybridMultilevel"/>
    <w:lvl w:ilvl="0">
      <w:lvlJc w:val="left"/>
      <w:lvlText w:val="(%1)"/>
      <w:numFmt w:val="lowerLetter"/>
      <w:start w:val="1"/>
    </w:lvl>
  </w:abstractNum>
  <w:abstractNum w:abstractNumId="94">
    <w:nsid w:val="3FC32E20"/>
    <w:multiLevelType w:val="hybridMultilevel"/>
    <w:lvl w:ilvl="0">
      <w:lvlJc w:val="left"/>
      <w:lvlText w:val="(%1)"/>
      <w:numFmt w:val="lowerLetter"/>
      <w:start w:val="3"/>
    </w:lvl>
  </w:abstractNum>
  <w:abstractNum w:abstractNumId="95">
    <w:nsid w:val="49C0E823"/>
    <w:multiLevelType w:val="hybridMultilevel"/>
    <w:lvl w:ilvl="0">
      <w:lvlJc w:val="left"/>
      <w:lvlText w:val="(%1)"/>
      <w:numFmt w:val="lowerLetter"/>
      <w:start w:val="2"/>
    </w:lvl>
  </w:abstractNum>
  <w:abstractNum w:abstractNumId="96">
    <w:nsid w:val="14D53685"/>
    <w:multiLevelType w:val="hybridMultilevel"/>
    <w:lvl w:ilvl="0">
      <w:lvlJc w:val="left"/>
      <w:lvlText w:val="(%1)"/>
      <w:numFmt w:val="lowerLetter"/>
      <w:start w:val="1"/>
    </w:lvl>
  </w:abstractNum>
  <w:abstractNum w:abstractNumId="97">
    <w:nsid w:val="230F856C"/>
    <w:multiLevelType w:val="hybridMultilevel"/>
    <w:lvl w:ilvl="0">
      <w:lvlJc w:val="left"/>
      <w:lvlText w:val="%1"/>
      <w:numFmt w:val="lowerLetter"/>
      <w:start w:val="1"/>
    </w:lvl>
    <w:lvl w:ilvl="1">
      <w:lvlJc w:val="left"/>
      <w:lvlText w:val="(%2)"/>
      <w:numFmt w:val="lowerLetter"/>
      <w:start w:val="2"/>
    </w:lvl>
  </w:abstractNum>
  <w:abstractNum w:abstractNumId="98">
    <w:nsid w:val="6EAA85FB"/>
    <w:multiLevelType w:val="hybridMultilevel"/>
    <w:lvl w:ilvl="0">
      <w:lvlJc w:val="left"/>
      <w:lvlText w:val="(%1)"/>
      <w:numFmt w:val="lowerLetter"/>
      <w:start w:val="9"/>
    </w:lvl>
    <w:lvl w:ilvl="1">
      <w:lvlJc w:val="left"/>
      <w:lvlText w:val="(%2)"/>
      <w:numFmt w:val="lowerLetter"/>
      <w:start w:val="3"/>
    </w:lvl>
  </w:abstractNum>
  <w:abstractNum w:abstractNumId="99">
    <w:nsid w:val="3F06ECB2"/>
    <w:multiLevelType w:val="hybridMultilevel"/>
    <w:lvl w:ilvl="0">
      <w:lvlJc w:val="left"/>
      <w:lvlText w:val="(%1)"/>
      <w:numFmt w:val="lowerLetter"/>
      <w:start w:val="1"/>
    </w:lvl>
  </w:abstractNum>
  <w:abstractNum w:abstractNumId="100">
    <w:nsid w:val="3B594807"/>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101">
    <w:nsid w:val="6CAA2304"/>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02">
    <w:nsid w:val="3F7C2FF4"/>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103">
    <w:nsid w:val="25413BEC"/>
    <w:multiLevelType w:val="hybridMultilevel"/>
    <w:lvl w:ilvl="0">
      <w:lvlJc w:val="left"/>
      <w:lvlText w:val="(%1)"/>
      <w:numFmt w:val="lowerLetter"/>
      <w:start w:val="35"/>
    </w:lvl>
    <w:lvl w:ilvl="1">
      <w:lvlJc w:val="left"/>
      <w:lvlText w:val="(%2)"/>
      <w:numFmt w:val="lowerLetter"/>
      <w:start w:val="7"/>
    </w:lvl>
    <w:lvl w:ilvl="2">
      <w:lvlJc w:val="left"/>
      <w:lvlText w:val="%3"/>
      <w:numFmt w:val="lowerLetter"/>
      <w:start w:val="1"/>
    </w:lvl>
  </w:abstractNum>
  <w:abstractNum w:abstractNumId="104">
    <w:nsid w:val="17180B0B"/>
    <w:multiLevelType w:val="hybridMultilevel"/>
    <w:lvl w:ilvl="0">
      <w:lvlJc w:val="left"/>
      <w:lvlText w:val="(%1)"/>
      <w:numFmt w:val="lowerLetter"/>
      <w:start w:val="9"/>
    </w:lvl>
  </w:abstractNum>
  <w:abstractNum w:abstractNumId="105">
    <w:nsid w:val="579328B9"/>
    <w:multiLevelType w:val="hybridMultilevel"/>
    <w:lvl w:ilvl="0">
      <w:lvlJc w:val="left"/>
      <w:lvlText w:val="(%1)"/>
      <w:numFmt w:val="lowerLetter"/>
      <w:start w:val="15"/>
    </w:lvl>
  </w:abstractNum>
  <w:abstractNum w:abstractNumId="106">
    <w:nsid w:val="5D205E20"/>
    <w:multiLevelType w:val="hybridMultilevel"/>
    <w:lvl w:ilvl="0">
      <w:lvlJc w:val="left"/>
      <w:lvlText w:val="(%1)"/>
      <w:numFmt w:val="lowerLetter"/>
      <w:start w:val="9"/>
    </w:lvl>
    <w:lvl w:ilvl="1">
      <w:lvlJc w:val="left"/>
      <w:lvlText w:val="%2"/>
      <w:numFmt w:val="lowerRoman"/>
      <w:start w:val="1"/>
    </w:lvl>
  </w:abstractNum>
  <w:abstractNum w:abstractNumId="107">
    <w:nsid w:val="11CCA8BA"/>
    <w:multiLevelType w:val="hybridMultilevel"/>
    <w:lvl w:ilvl="0">
      <w:lvlJc w:val="left"/>
      <w:lvlText w:val="(%1)"/>
      <w:numFmt w:val="lowerLetter"/>
      <w:start w:val="35"/>
    </w:lvl>
    <w:lvl w:ilvl="1">
      <w:lvlJc w:val="left"/>
      <w:lvlText w:val="%2"/>
      <w:numFmt w:val="lowerRoman"/>
      <w:start w:val="1"/>
    </w:lvl>
  </w:abstractNum>
  <w:abstractNum w:abstractNumId="108">
    <w:nsid w:val="4D32AB86"/>
    <w:multiLevelType w:val="hybridMultilevel"/>
    <w:lvl w:ilvl="0">
      <w:lvlJc w:val="left"/>
      <w:lvlText w:val="(%1)"/>
      <w:numFmt w:val="lowerLetter"/>
      <w:start w:val="61"/>
    </w:lvl>
    <w:lvl w:ilvl="1">
      <w:lvlJc w:val="left"/>
      <w:lvlText w:val="(%2)"/>
      <w:numFmt w:val="lowerRoman"/>
      <w:start w:val="4"/>
    </w:lvl>
  </w:abstractNum>
  <w:abstractNum w:abstractNumId="109">
    <w:nsid w:val="3F07ACC3"/>
    <w:multiLevelType w:val="hybridMultilevel"/>
    <w:lvl w:ilvl="0">
      <w:lvlJc w:val="left"/>
      <w:lvlText w:val="(%1)"/>
      <w:numFmt w:val="lowerLetter"/>
      <w:start w:val="17"/>
    </w:lvl>
    <w:lvl w:ilvl="1">
      <w:lvlJc w:val="left"/>
      <w:lvlText w:val="%2"/>
      <w:numFmt w:val="lowerRoman"/>
      <w:start w:val="1"/>
    </w:lvl>
  </w:abstractNum>
  <w:abstractNum w:abstractNumId="110">
    <w:nsid w:val="6B47F63E"/>
    <w:multiLevelType w:val="hybridMultilevel"/>
    <w:lvl w:ilvl="0">
      <w:lvlJc w:val="left"/>
      <w:lvlText w:val="%1"/>
      <w:numFmt w:val="lowerLetter"/>
      <w:start w:val="1"/>
    </w:lvl>
    <w:lvl w:ilvl="1">
      <w:lvlJc w:val="left"/>
      <w:lvlText w:val="(%2)"/>
      <w:numFmt w:val="lowerLetter"/>
      <w:start w:val="19"/>
    </w:lvl>
  </w:abstractNum>
  <w:abstractNum w:abstractNumId="111">
    <w:nsid w:val="5CB44A05"/>
    <w:multiLevelType w:val="hybridMultilevel"/>
    <w:lvl w:ilvl="0">
      <w:lvlJc w:val="left"/>
      <w:lvlText w:val="(%1)"/>
      <w:numFmt w:val="lowerLetter"/>
      <w:start w:val="35"/>
    </w:lvl>
    <w:lvl w:ilvl="1">
      <w:lvlJc w:val="left"/>
      <w:lvlText w:val="(%2)"/>
      <w:numFmt w:val="lowerLetter"/>
      <w:start w:val="21"/>
    </w:lvl>
  </w:abstractNum>
  <w:abstractNum w:abstractNumId="112">
    <w:nsid w:val="16CF80F1"/>
    <w:multiLevelType w:val="hybridMultilevel"/>
    <w:lvl w:ilvl="0">
      <w:lvlJc w:val="left"/>
      <w:lvlText w:val="%1"/>
      <w:numFmt w:val="lowerLetter"/>
      <w:start w:val="1"/>
    </w:lvl>
    <w:lvl w:ilvl="1">
      <w:lvlJc w:val="left"/>
      <w:lvlText w:val="(%2)"/>
      <w:numFmt w:val="upperLetter"/>
      <w:start w:val="1"/>
    </w:lvl>
  </w:abstractNum>
  <w:abstractNum w:abstractNumId="113">
    <w:nsid w:val="1C695DEC"/>
    <w:multiLevelType w:val="hybridMultilevel"/>
    <w:lvl w:ilvl="0">
      <w:lvlJc w:val="left"/>
      <w:lvlText w:val="(%1)"/>
      <w:numFmt w:val="lowerLetter"/>
      <w:start w:val="23"/>
    </w:lvl>
    <w:lvl w:ilvl="1">
      <w:lvlJc w:val="left"/>
      <w:lvlText w:val="%2"/>
      <w:numFmt w:val="upperLetter"/>
      <w:start w:val="1"/>
    </w:lvl>
  </w:abstractNum>
  <w:abstractNum w:abstractNumId="114">
    <w:nsid w:val="3FCFAED9"/>
    <w:multiLevelType w:val="hybridMultilevel"/>
    <w:lvl w:ilvl="0">
      <w:lvlJc w:val="left"/>
      <w:lvlText w:val="1"/>
      <w:numFmt w:val="bullet"/>
      <w:start w:val="1"/>
    </w:lvl>
  </w:abstractNum>
  <w:abstractNum w:abstractNumId="115">
    <w:nsid w:val="F856867"/>
    <w:multiLevelType w:val="hybridMultilevel"/>
    <w:lvl w:ilvl="0">
      <w:lvlJc w:val="left"/>
      <w:lvlText w:val="2"/>
      <w:numFmt w:val="bullet"/>
      <w:start w:val="1"/>
    </w:lvl>
  </w:abstractNum>
  <w:abstractNum w:abstractNumId="116">
    <w:nsid w:val="11B1CC33"/>
    <w:multiLevelType w:val="hybridMultilevel"/>
    <w:lvl w:ilvl="0">
      <w:lvlJc w:val="left"/>
      <w:lvlText w:val="3"/>
      <w:numFmt w:val="bullet"/>
      <w:start w:val="1"/>
    </w:lvl>
  </w:abstractNum>
  <w:abstractNum w:abstractNumId="117">
    <w:nsid w:val="2E22FBB7"/>
    <w:multiLevelType w:val="hybridMultilevel"/>
    <w:lvl w:ilvl="0">
      <w:lvlJc w:val="left"/>
      <w:lvlText w:val="4"/>
      <w:numFmt w:val="bullet"/>
      <w:start w:val="1"/>
    </w:lvl>
  </w:abstractNum>
  <w:abstractNum w:abstractNumId="118">
    <w:nsid w:val="29934699"/>
    <w:multiLevelType w:val="hybridMultilevel"/>
    <w:lvl w:ilvl="0">
      <w:lvlJc w:val="left"/>
      <w:lvlText w:val="5"/>
      <w:numFmt w:val="bullet"/>
      <w:start w:val="1"/>
    </w:lvl>
  </w:abstractNum>
  <w:abstractNum w:abstractNumId="119">
    <w:nsid w:val="77485850"/>
    <w:multiLevelType w:val="hybridMultilevel"/>
    <w:lvl w:ilvl="0">
      <w:lvlJc w:val="left"/>
      <w:lvlText w:val="6"/>
      <w:numFmt w:val="bullet"/>
      <w:start w:val="1"/>
    </w:lvl>
  </w:abstractNum>
  <w:abstractNum w:abstractNumId="120">
    <w:nsid w:val="744939A3"/>
    <w:multiLevelType w:val="hybridMultilevel"/>
    <w:lvl w:ilvl="0">
      <w:lvlJc w:val="left"/>
      <w:lvlText w:val="(%1)"/>
      <w:numFmt w:val="lowerLetter"/>
      <w:start w:val="24"/>
    </w:lvl>
  </w:abstractNum>
  <w:abstractNum w:abstractNumId="121">
    <w:nsid w:val="4FA0D2E3"/>
    <w:multiLevelType w:val="hybridMultilevel"/>
    <w:lvl w:ilvl="0">
      <w:lvlJc w:val="left"/>
      <w:lvlText w:val="(%1)"/>
      <w:numFmt w:val="lowerLetter"/>
      <w:start w:val="27"/>
    </w:lvl>
  </w:abstractNum>
  <w:abstractNum w:abstractNumId="122">
    <w:nsid w:val="6B1D2C14"/>
    <w:multiLevelType w:val="hybridMultilevel"/>
    <w:lvl w:ilvl="0">
      <w:lvlJc w:val="left"/>
      <w:lvlText w:val="(%1)"/>
      <w:numFmt w:val="lowerLetter"/>
      <w:start w:val="30"/>
    </w:lvl>
  </w:abstractNum>
  <w:abstractNum w:abstractNumId="123">
    <w:nsid w:val="68B867D3"/>
    <w:multiLevelType w:val="hybridMultilevel"/>
    <w:lvl w:ilvl="0">
      <w:lvlJc w:val="left"/>
      <w:lvlText w:val="(%1)"/>
      <w:numFmt w:val="lowerLetter"/>
      <w:start w:val="1"/>
    </w:lvl>
  </w:abstractNum>
  <w:abstractNum w:abstractNumId="124">
    <w:nsid w:val="3F7F5DD9"/>
    <w:multiLevelType w:val="hybridMultilevel"/>
    <w:lvl w:ilvl="0">
      <w:lvlJc w:val="left"/>
      <w:lvlText w:val="(%1)"/>
      <w:numFmt w:val="lowerLetter"/>
      <w:start w:val="4"/>
    </w:lvl>
  </w:abstractNum>
  <w:abstractNum w:abstractNumId="125">
    <w:nsid w:val="2AE05A34"/>
    <w:multiLevelType w:val="hybridMultilevel"/>
    <w:lvl w:ilvl="0">
      <w:lvlJc w:val="left"/>
      <w:lvlText w:val="(%1)"/>
      <w:numFmt w:val="lowerLetter"/>
      <w:start w:val="1"/>
    </w:lvl>
  </w:abstractNum>
  <w:abstractNum w:abstractNumId="126">
    <w:nsid w:val="32794FF7"/>
    <w:multiLevelType w:val="hybridMultilevel"/>
    <w:lvl w:ilvl="0">
      <w:lvlJc w:val="left"/>
      <w:lvlText w:val="(%1)"/>
      <w:numFmt w:val="lowerLetter"/>
      <w:start w:val="4"/>
    </w:lvl>
  </w:abstractNum>
  <w:abstractNum w:abstractNumId="127">
    <w:nsid w:val="5454945E"/>
    <w:multiLevelType w:val="hybridMultilevel"/>
    <w:lvl w:ilvl="0">
      <w:lvlJc w:val="left"/>
      <w:lvlText w:val="(%1)"/>
      <w:numFmt w:val="lowerRoman"/>
      <w:start w:val="1"/>
    </w:lvl>
  </w:abstractNum>
  <w:abstractNum w:abstractNumId="128">
    <w:nsid w:val="4DEFDFA0"/>
    <w:multiLevelType w:val="hybridMultilevel"/>
    <w:lvl w:ilvl="0">
      <w:lvlJc w:val="left"/>
      <w:lvlText w:val="(%1)"/>
      <w:numFmt w:val="lowerLetter"/>
      <w:start w:val="35"/>
    </w:lvl>
    <w:lvl w:ilvl="1">
      <w:lvlJc w:val="left"/>
      <w:lvlText w:val="%2"/>
      <w:numFmt w:val="lowerRoman"/>
      <w:start w:val="1"/>
    </w:lvl>
  </w:abstractNum>
  <w:abstractNum w:abstractNumId="129">
    <w:nsid w:val="2123D5F2"/>
    <w:multiLevelType w:val="hybridMultilevel"/>
    <w:lvl w:ilvl="0">
      <w:lvlJc w:val="left"/>
      <w:lvlText w:val="(%1)"/>
      <w:numFmt w:val="lowerLetter"/>
      <w:start w:val="61"/>
    </w:lvl>
    <w:lvl w:ilvl="1">
      <w:lvlJc w:val="left"/>
      <w:lvlText w:val="(%2)"/>
      <w:numFmt w:val="lowerRoman"/>
      <w:start w:val="4"/>
    </w:lvl>
  </w:abstractNum>
  <w:abstractNum w:abstractNumId="130">
    <w:nsid w:val="135B8110"/>
    <w:multiLevelType w:val="hybridMultilevel"/>
    <w:lvl w:ilvl="0">
      <w:lvlJc w:val="left"/>
      <w:lvlText w:val="(%1)"/>
      <w:numFmt w:val="lowerLetter"/>
      <w:start w:val="2"/>
    </w:lvl>
    <w:lvl w:ilvl="1">
      <w:lvlJc w:val="left"/>
      <w:lvlText w:val="%2"/>
      <w:numFmt w:val="lowerRoman"/>
      <w:start w:val="1"/>
    </w:lvl>
  </w:abstractNum>
  <w:abstractNum w:abstractNumId="131">
    <w:nsid w:val="94927A8"/>
    <w:multiLevelType w:val="hybridMultilevel"/>
    <w:lvl w:ilvl="0">
      <w:lvlJc w:val="left"/>
      <w:lvlText w:val="(%1)"/>
      <w:numFmt w:val="lowerLetter"/>
      <w:start w:val="9"/>
    </w:lvl>
    <w:lvl w:ilvl="1">
      <w:lvlJc w:val="left"/>
      <w:lvlText w:val="%2"/>
      <w:numFmt w:val="lowerRoman"/>
      <w:start w:val="1"/>
    </w:lvl>
  </w:abstractNum>
  <w:abstractNum w:abstractNumId="132">
    <w:nsid w:val="DCDF8F6"/>
    <w:multiLevelType w:val="hybridMultilevel"/>
    <w:lvl w:ilvl="0">
      <w:lvlJc w:val="left"/>
      <w:lvlText w:val="(%1)"/>
      <w:numFmt w:val="lowerLetter"/>
      <w:start w:val="35"/>
    </w:lvl>
    <w:lvl w:ilvl="1">
      <w:lvlJc w:val="left"/>
      <w:lvlText w:val="%2"/>
      <w:numFmt w:val="lowerRoman"/>
      <w:start w:val="1"/>
    </w:lvl>
  </w:abstractNum>
  <w:abstractNum w:abstractNumId="133">
    <w:nsid w:val="52D7B105"/>
    <w:multiLevelType w:val="hybridMultilevel"/>
    <w:lvl w:ilvl="0">
      <w:lvlJc w:val="left"/>
      <w:lvlText w:val="(%1)"/>
      <w:numFmt w:val="lowerLetter"/>
      <w:start w:val="61"/>
    </w:lvl>
    <w:lvl w:ilvl="1">
      <w:lvlJc w:val="left"/>
      <w:lvlText w:val="(%2)"/>
      <w:numFmt w:val="lowerRoman"/>
      <w:start w:val="4"/>
    </w:lvl>
  </w:abstractNum>
  <w:abstractNum w:abstractNumId="134">
    <w:nsid w:val="2E8A6394"/>
    <w:multiLevelType w:val="hybridMultilevel"/>
    <w:lvl w:ilvl="0">
      <w:lvlJc w:val="left"/>
      <w:lvlText w:val="(%1)"/>
      <w:numFmt w:val="lowerLetter"/>
      <w:start w:val="2"/>
    </w:lvl>
  </w:abstractNum>
  <w:abstractNum w:abstractNumId="135">
    <w:nsid w:val="24E60401"/>
    <w:multiLevelType w:val="hybridMultilevel"/>
    <w:lvl w:ilvl="0">
      <w:lvlJc w:val="left"/>
      <w:lvlText w:val="(%1)"/>
      <w:numFmt w:val="lowerLetter"/>
      <w:start w:val="2"/>
    </w:lvl>
  </w:abstractNum>
  <w:abstractNum w:abstractNumId="136">
    <w:nsid w:val="2A6AD9BE"/>
    <w:multiLevelType w:val="hybridMultilevel"/>
    <w:lvl w:ilvl="0">
      <w:lvlJc w:val="left"/>
      <w:lvlText w:val="(%1)"/>
      <w:numFmt w:val="upperLetter"/>
      <w:start w:val="1"/>
    </w:lvl>
  </w:abstractNum>
  <w:abstractNum w:abstractNumId="137">
    <w:nsid w:val="BAAC1B4"/>
    <w:multiLevelType w:val="hybridMultilevel"/>
    <w:lvl w:ilvl="0">
      <w:lvlJc w:val="left"/>
      <w:lvlText w:val="(%1)"/>
      <w:numFmt w:val="upperLetter"/>
      <w:start w:val="2"/>
    </w:lvl>
  </w:abstractNum>
  <w:abstractNum w:abstractNumId="138">
    <w:nsid w:val="36B2ACBC"/>
    <w:multiLevelType w:val="hybridMultilevel"/>
    <w:lvl w:ilvl="0">
      <w:lvlJc w:val="left"/>
      <w:lvlText w:val="o"/>
      <w:numFmt w:val="bullet"/>
      <w:start w:val="1"/>
    </w:lvl>
  </w:abstractNum>
  <w:abstractNum w:abstractNumId="139">
    <w:nsid w:val="779D8544"/>
    <w:multiLevelType w:val="hybridMultilevel"/>
    <w:lvl w:ilvl="0">
      <w:lvlJc w:val="left"/>
      <w:lvlText w:val="(%1)"/>
      <w:numFmt w:val="upperLetter"/>
      <w:start w:val="4"/>
    </w:lvl>
  </w:abstractNum>
  <w:abstractNum w:abstractNumId="140">
    <w:nsid w:val="4AB26E78"/>
    <w:multiLevelType w:val="hybridMultilevel"/>
    <w:lvl w:ilvl="0">
      <w:lvlJc w:val="left"/>
      <w:lvlText w:val="7"/>
      <w:numFmt w:val="bullet"/>
      <w:start w:val="1"/>
    </w:lvl>
  </w:abstractNum>
  <w:abstractNum w:abstractNumId="141">
    <w:nsid w:val="21FAA2FA"/>
    <w:multiLevelType w:val="hybridMultilevel"/>
    <w:lvl w:ilvl="0">
      <w:lvlJc w:val="left"/>
      <w:lvlText w:val="8"/>
      <w:numFmt w:val="bullet"/>
      <w:start w:val="1"/>
    </w:lvl>
  </w:abstractNum>
  <w:abstractNum w:abstractNumId="142">
    <w:nsid w:val="5451CF49"/>
    <w:multiLevelType w:val="hybridMultilevel"/>
    <w:lvl w:ilvl="0">
      <w:lvlJc w:val="left"/>
      <w:lvlText w:val="9"/>
      <w:numFmt w:val="bullet"/>
      <w:start w:val="1"/>
    </w:lvl>
  </w:abstractNum>
  <w:abstractNum w:abstractNumId="143">
    <w:nsid w:val="6181EF69"/>
    <w:multiLevelType w:val="hybridMultilevel"/>
    <w:lvl w:ilvl="0">
      <w:lvlJc w:val="left"/>
      <w:lvlText w:val="(%1)"/>
      <w:numFmt w:val="upperLetter"/>
      <w:start w:val="2"/>
    </w:lvl>
  </w:abstractNum>
  <w:abstractNum w:abstractNumId="144">
    <w:nsid w:val="3E6400E6"/>
    <w:multiLevelType w:val="hybridMultilevel"/>
    <w:lvl w:ilvl="0">
      <w:lvlJc w:val="left"/>
      <w:lvlText w:val="%1"/>
      <w:numFmt w:val="decimal"/>
      <w:start w:val="10"/>
    </w:lvl>
  </w:abstractNum>
  <w:abstractNum w:abstractNumId="145">
    <w:nsid w:val="14217E23"/>
    <w:multiLevelType w:val="hybridMultilevel"/>
    <w:lvl w:ilvl="0">
      <w:lvlJc w:val="left"/>
      <w:lvlText w:val="%1"/>
      <w:numFmt w:val="decimal"/>
      <w:start w:val="12"/>
    </w:lvl>
  </w:abstractNum>
  <w:abstractNum w:abstractNumId="146">
    <w:nsid w:val="710757D0"/>
    <w:multiLevelType w:val="hybridMultilevel"/>
    <w:lvl w:ilvl="0">
      <w:lvlJc w:val="left"/>
      <w:lvlText w:val="(%1)"/>
      <w:numFmt w:val="upperLetter"/>
      <w:start w:val="8"/>
    </w:lvl>
  </w:abstractNum>
  <w:abstractNum w:abstractNumId="147">
    <w:nsid w:val="5015CD1A"/>
    <w:multiLevelType w:val="hybridMultilevel"/>
    <w:lvl w:ilvl="0">
      <w:lvlJc w:val="left"/>
      <w:lvlText w:val="%1"/>
      <w:numFmt w:val="decimal"/>
      <w:start w:val="14"/>
    </w:lvl>
  </w:abstractNum>
  <w:abstractNum w:abstractNumId="148">
    <w:nsid w:val="424479DA"/>
    <w:multiLevelType w:val="hybridMultilevel"/>
    <w:lvl w:ilvl="0">
      <w:lvlJc w:val="left"/>
      <w:lvlText w:val="(%1)"/>
      <w:numFmt w:val="decimal"/>
      <w:start w:val="1"/>
    </w:lvl>
  </w:abstractNum>
  <w:abstractNum w:abstractNumId="149">
    <w:nsid w:val="1A9A9E69"/>
    <w:multiLevelType w:val="hybridMultilevel"/>
    <w:lvl w:ilvl="0">
      <w:lvlJc w:val="left"/>
      <w:lvlText w:val="%1"/>
      <w:numFmt w:val="decimal"/>
      <w:start w:val="15"/>
    </w:lvl>
  </w:abstractNum>
  <w:abstractNum w:abstractNumId="150">
    <w:nsid w:val="475E256A"/>
    <w:multiLevelType w:val="hybridMultilevel"/>
    <w:lvl w:ilvl="0">
      <w:lvlJc w:val="left"/>
      <w:lvlText w:val="(%1)"/>
      <w:numFmt w:val="lowerLetter"/>
      <w:start w:val="1"/>
    </w:lvl>
  </w:abstractNum>
  <w:abstractNum w:abstractNumId="151">
    <w:nsid w:val="368DB37E"/>
    <w:multiLevelType w:val="hybridMultilevel"/>
    <w:lvl w:ilvl="0">
      <w:lvlJc w:val="left"/>
      <w:lvlText w:val="(%1)"/>
      <w:numFmt w:val="lowerRoman"/>
      <w:start w:val="1"/>
    </w:lvl>
  </w:abstractNum>
  <w:abstractNum w:abstractNumId="152">
    <w:nsid w:val="6A3B714C"/>
    <w:multiLevelType w:val="hybridMultilevel"/>
    <w:lvl w:ilvl="0">
      <w:lvlJc w:val="left"/>
      <w:lvlText w:val="%1"/>
      <w:numFmt w:val="decimal"/>
      <w:start w:val="16"/>
    </w:lvl>
  </w:abstractNum>
  <w:abstractNum w:abstractNumId="153">
    <w:nsid w:val="327B517E"/>
    <w:multiLevelType w:val="hybridMultilevel"/>
    <w:lvl w:ilvl="0">
      <w:lvlJc w:val="left"/>
      <w:lvlText w:val="(%1)"/>
      <w:numFmt w:val="upperLetter"/>
      <w:start w:val="1"/>
    </w:lvl>
  </w:abstractNum>
  <w:abstractNum w:abstractNumId="154">
    <w:nsid w:val="1F461B51"/>
    <w:multiLevelType w:val="hybridMultilevel"/>
    <w:lvl w:ilvl="0">
      <w:lvlJc w:val="left"/>
      <w:lvlText w:val="(%1)"/>
      <w:numFmt w:val="upperLetter"/>
      <w:start w:val="3"/>
    </w:lvl>
  </w:abstractNum>
  <w:abstractNum w:abstractNumId="155">
    <w:nsid w:val="29BACF25"/>
    <w:multiLevelType w:val="hybridMultilevel"/>
    <w:lvl w:ilvl="0">
      <w:lvlJc w:val="left"/>
      <w:lvlText w:val="(%1)"/>
      <w:numFmt w:val="upperLetter"/>
      <w:start w:val="7"/>
    </w:lvl>
    <w:lvl w:ilvl="1">
      <w:lvlJc w:val="left"/>
      <w:lvlText w:val="(%2)"/>
      <w:numFmt w:val="lowerLetter"/>
      <w:start w:val="1"/>
    </w:lvl>
  </w:abstractNum>
  <w:abstractNum w:abstractNumId="156">
    <w:nsid w:val="5D5BABB3"/>
    <w:multiLevelType w:val="hybridMultilevel"/>
    <w:lvl w:ilvl="0">
      <w:lvlJc w:val="left"/>
      <w:lvlText w:val="%1"/>
      <w:numFmt w:val="decimal"/>
      <w:start w:val="17"/>
    </w:lvl>
  </w:abstractNum>
  <w:abstractNum w:abstractNumId="157">
    <w:nsid w:val="51BF6B48"/>
    <w:multiLevelType w:val="hybridMultilevel"/>
    <w:lvl w:ilvl="0">
      <w:lvlJc w:val="left"/>
      <w:lvlText w:val="(%1)"/>
      <w:numFmt w:val="upperLetter"/>
      <w:start w:val="4"/>
    </w:lvl>
    <w:lvl w:ilvl="1">
      <w:lvlJc w:val="left"/>
      <w:lvlText w:val="(%2)"/>
      <w:numFmt w:val="lowerLetter"/>
      <w:start w:val="1"/>
    </w:lvl>
  </w:abstractNum>
  <w:abstractNum w:abstractNumId="158">
    <w:nsid w:val="7E0F6384"/>
    <w:multiLevelType w:val="hybridMultilevel"/>
    <w:lvl w:ilvl="0">
      <w:lvlJc w:val="left"/>
      <w:lvlText w:val="(%1)"/>
      <w:numFmt w:val="lowerLetter"/>
      <w:start w:val="5"/>
    </w:lvl>
  </w:abstractNum>
  <w:abstractNum w:abstractNumId="159">
    <w:nsid w:val="2B4B8B53"/>
    <w:multiLevelType w:val="hybridMultilevel"/>
    <w:lvl w:ilvl="0">
      <w:lvlJc w:val="left"/>
      <w:lvlText w:val="%1"/>
      <w:numFmt w:val="decimal"/>
      <w:start w:val="18"/>
    </w:lvl>
  </w:abstractNum>
  <w:abstractNum w:abstractNumId="160">
    <w:nsid w:val="72E3413A"/>
    <w:multiLevelType w:val="hybridMultilevel"/>
    <w:lvl w:ilvl="0">
      <w:lvlJc w:val="left"/>
      <w:lvlText w:val="(%1)"/>
      <w:numFmt w:val="upperLetter"/>
      <w:start w:val="6"/>
    </w:lvl>
  </w:abstractNum>
  <w:abstractNum w:abstractNumId="161">
    <w:nsid w:val="116AE494"/>
    <w:multiLevelType w:val="hybridMultilevel"/>
    <w:lvl w:ilvl="0">
      <w:lvlJc w:val="left"/>
      <w:lvlText w:val="(%1)"/>
      <w:numFmt w:val="upperLetter"/>
      <w:start w:val="1"/>
    </w:lvl>
  </w:abstractNum>
  <w:abstractNum w:abstractNumId="162">
    <w:nsid w:val="3494B2FB"/>
    <w:multiLevelType w:val="hybridMultilevel"/>
    <w:lvl w:ilvl="0">
      <w:lvlJc w:val="left"/>
      <w:lvlText w:val="o"/>
      <w:numFmt w:val="bullet"/>
      <w:start w:val="1"/>
    </w:lvl>
  </w:abstractNum>
  <w:abstractNum w:abstractNumId="163">
    <w:nsid w:val="B13A31"/>
    <w:multiLevelType w:val="hybridMultilevel"/>
    <w:lvl w:ilvl="0">
      <w:lvlJc w:val="left"/>
      <w:lvlText w:val="(%1)"/>
      <w:numFmt w:val="lowerRoman"/>
      <w:start w:val="1"/>
    </w:lvl>
  </w:abstractNum>
  <w:abstractNum w:abstractNumId="164">
    <w:nsid w:val="64429599"/>
    <w:multiLevelType w:val="hybridMultilevel"/>
    <w:lvl w:ilvl="0">
      <w:lvlJc w:val="left"/>
      <w:lvlText w:val="•"/>
      <w:numFmt w:val="bullet"/>
      <w:start w:val="1"/>
    </w:lvl>
  </w:abstractNum>
  <w:abstractNum w:abstractNumId="165">
    <w:nsid w:val="631F1690"/>
    <w:multiLevelType w:val="hybridMultilevel"/>
    <w:lvl w:ilvl="0">
      <w:lvlJc w:val="left"/>
      <w:lvlText w:val="%1."/>
      <w:numFmt w:val="decimal"/>
      <w:start w:val="1"/>
    </w:lvl>
    <w:lvl w:ilvl="1">
      <w:lvlJc w:val="left"/>
      <w:lvlText w:val="(%2)"/>
      <w:numFmt w:val="lowerLetter"/>
      <w:start w:val="1"/>
    </w:lvl>
  </w:abstractNum>
  <w:abstractNum w:abstractNumId="166">
    <w:nsid w:val="25973E32"/>
    <w:multiLevelType w:val="hybridMultilevel"/>
    <w:lvl w:ilvl="0">
      <w:lvlJc w:val="left"/>
      <w:lvlText w:val="(%1)"/>
      <w:numFmt w:val="lowerLetter"/>
      <w:start w:val="2"/>
    </w:lvl>
  </w:abstractNum>
  <w:abstractNum w:abstractNumId="167">
    <w:nsid w:val="EAD6F57"/>
    <w:multiLevelType w:val="hybridMultilevel"/>
    <w:lvl w:ilvl="0">
      <w:lvlJc w:val="left"/>
      <w:lvlText w:val="%1"/>
      <w:numFmt w:val="decimal"/>
      <w:start w:val="1"/>
    </w:lvl>
    <w:lvl w:ilvl="1">
      <w:lvlJc w:val="left"/>
      <w:lvlText w:val="(%2)"/>
      <w:numFmt w:val="lowerLetter"/>
      <w:start w:val="6"/>
    </w:lvl>
  </w:abstractNum>
  <w:abstractNum w:abstractNumId="168">
    <w:nsid w:val="6EC9D844"/>
    <w:multiLevelType w:val="hybridMultilevel"/>
    <w:lvl w:ilvl="0">
      <w:lvlJc w:val="left"/>
      <w:lvlText w:val="%1."/>
      <w:numFmt w:val="decimal"/>
      <w:start w:val="2"/>
    </w:lvl>
    <w:lvl w:ilvl="1">
      <w:lvlJc w:val="left"/>
      <w:lvlText w:val="(%2)"/>
      <w:numFmt w:val="lowerLetter"/>
      <w:start w:val="1"/>
    </w:lvl>
  </w:abstractNum>
  <w:abstractNum w:abstractNumId="169">
    <w:nsid w:val="5C49EAEE"/>
    <w:multiLevelType w:val="hybridMultilevel"/>
    <w:lvl w:ilvl="0">
      <w:lvlJc w:val="left"/>
      <w:lvlText w:val="%1."/>
      <w:numFmt w:val="decimal"/>
      <w:start w:val="3"/>
    </w:lvl>
  </w:abstractNum>
  <w:abstractNum w:abstractNumId="170">
    <w:nsid w:val="64AF49B"/>
    <w:multiLevelType w:val="hybridMultilevel"/>
    <w:lvl w:ilvl="0">
      <w:lvlJc w:val="left"/>
      <w:lvlText w:val="(%1)"/>
      <w:numFmt w:val="lowerLetter"/>
      <w:start w:val="1"/>
    </w:lvl>
    <w:lvl w:ilvl="1">
      <w:lvlJc w:val="left"/>
      <w:lvlText w:val="(%2)"/>
      <w:numFmt w:val="lowerRoman"/>
      <w:start w:val="1"/>
    </w:lvl>
  </w:abstractNum>
  <w:abstractNum w:abstractNumId="171">
    <w:nsid w:val="397C46BC"/>
    <w:multiLevelType w:val="hybridMultilevel"/>
    <w:lvl w:ilvl="0">
      <w:lvlJc w:val="left"/>
      <w:lvlText w:val="1"/>
      <w:numFmt w:val="bullet"/>
      <w:start w:val="1"/>
    </w:lvl>
  </w:abstractNum>
  <w:abstractNum w:abstractNumId="172">
    <w:nsid w:val="7E448DE9"/>
    <w:multiLevelType w:val="hybridMultilevel"/>
    <w:lvl w:ilvl="0">
      <w:lvlJc w:val="left"/>
      <w:lvlText w:val="•"/>
      <w:numFmt w:val="bullet"/>
      <w:start w:val="1"/>
    </w:lvl>
  </w:abstractNum>
  <w:abstractNum w:abstractNumId="173">
    <w:nsid w:val="5A9CC3E5"/>
    <w:multiLevelType w:val="hybridMultilevel"/>
    <w:lvl w:ilvl="0">
      <w:lvlJc w:val="left"/>
      <w:lvlText w:val="(%1)"/>
      <w:numFmt w:val="lowerRoman"/>
      <w:start w:val="1"/>
    </w:lvl>
    <w:lvl w:ilvl="1">
      <w:lvlJc w:val="left"/>
      <w:lvlText w:val="•"/>
      <w:numFmt w:val="bullet"/>
      <w:start w:val="1"/>
    </w:lvl>
  </w:abstractNum>
  <w:abstractNum w:abstractNumId="174">
    <w:nsid w:val="1AFE3625"/>
    <w:multiLevelType w:val="hybridMultilevel"/>
    <w:lvl w:ilvl="0">
      <w:lvlJc w:val="left"/>
      <w:lvlText w:val="(%1)"/>
      <w:numFmt w:val="upperLetter"/>
      <w:start w:val="1"/>
    </w:lvl>
  </w:abstractNum>
  <w:abstractNum w:abstractNumId="175">
    <w:nsid w:val="3CA88ECF"/>
    <w:multiLevelType w:val="hybridMultilevel"/>
    <w:lvl w:ilvl="0">
      <w:lvlJc w:val="left"/>
      <w:lvlText w:val="(%1)"/>
      <w:numFmt w:val="upperLetter"/>
      <w:start w:val="9"/>
    </w:lvl>
  </w:abstractNum>
  <w:abstractNum w:abstractNumId="176">
    <w:nsid w:val="6EBE4208"/>
    <w:multiLevelType w:val="hybridMultilevel"/>
    <w:lvl w:ilvl="0">
      <w:lvlJc w:val="left"/>
      <w:lvlText w:val="%1"/>
      <w:numFmt w:val="upperLetter"/>
      <w:start w:val="1"/>
    </w:lvl>
    <w:lvl w:ilvl="1">
      <w:lvlJc w:val="left"/>
      <w:lvlText w:val="(%2)"/>
      <w:numFmt w:val="upperLetter"/>
      <w:start w:val="35"/>
    </w:lvl>
  </w:abstractNum>
  <w:abstractNum w:abstractNumId="177">
    <w:nsid w:val="C058DF5"/>
    <w:multiLevelType w:val="hybridMultilevel"/>
    <w:lvl w:ilvl="0">
      <w:lvlJc w:val="left"/>
      <w:lvlText w:val="(%1)"/>
      <w:numFmt w:val="upperLetter"/>
      <w:start w:val="1"/>
    </w:lvl>
    <w:lvl w:ilvl="1">
      <w:lvlJc w:val="left"/>
      <w:lvlText w:val="(%2)"/>
      <w:numFmt w:val="upperLetter"/>
      <w:start w:val="9"/>
    </w:lvl>
  </w:abstractNum>
  <w:abstractNum w:abstractNumId="178">
    <w:nsid w:val="CBE5BE9"/>
    <w:multiLevelType w:val="hybridMultilevel"/>
    <w:lvl w:ilvl="0">
      <w:lvlJc w:val="left"/>
      <w:lvlText w:val="(%1)"/>
      <w:numFmt w:val="upperLetter"/>
      <w:start w:val="35"/>
    </w:lvl>
  </w:abstractNum>
  <w:abstractNum w:abstractNumId="179">
    <w:nsid w:val="3102BBE2"/>
    <w:multiLevelType w:val="hybridMultilevel"/>
    <w:lvl w:ilvl="0">
      <w:lvlJc w:val="left"/>
      <w:lvlText w:val="="/>
      <w:numFmt w:val="bullet"/>
      <w:start w:val="1"/>
    </w:lvl>
  </w:abstractNum>
  <w:abstractNum w:abstractNumId="180">
    <w:nsid w:val="26A02C5E"/>
    <w:multiLevelType w:val="hybridMultilevel"/>
    <w:lvl w:ilvl="0">
      <w:lvlJc w:val="left"/>
      <w:lvlText w:val="(%1)"/>
      <w:numFmt w:val="decimal"/>
    </w:lvl>
    <w:lvl w:ilvl="1">
      <w:lvlJc w:val="left"/>
      <w:lvlText w:val="="/>
      <w:numFmt w:val="bullet"/>
      <w:start w:val="1"/>
    </w:lvl>
  </w:abstractNum>
  <w:abstractNum w:abstractNumId="181">
    <w:nsid w:val="541C8153"/>
    <w:multiLevelType w:val="hybridMultilevel"/>
    <w:lvl w:ilvl="0">
      <w:lvlJc w:val="left"/>
      <w:lvlText w:val="(*)"/>
      <w:numFmt w:val="bullet"/>
      <w:start w:val="1"/>
    </w:lvl>
  </w:abstractNum>
  <w:abstractNum w:abstractNumId="182">
    <w:nsid w:val="67906F60"/>
    <w:multiLevelType w:val="hybridMultilevel"/>
    <w:lvl w:ilvl="0">
      <w:lvlJc w:val="left"/>
      <w:lvlText w:val="(**)"/>
      <w:numFmt w:val="bullet"/>
      <w:start w:val="1"/>
    </w:lvl>
  </w:abstractNum>
  <w:abstractNum w:abstractNumId="183">
    <w:nsid w:val="10DB9DAA"/>
    <w:multiLevelType w:val="hybridMultilevel"/>
    <w:lvl w:ilvl="0">
      <w:lvlJc w:val="left"/>
      <w:lvlText w:val="•"/>
      <w:numFmt w:val="bullet"/>
      <w:start w:val="1"/>
    </w:lvl>
  </w:abstractNum>
  <w:abstractNum w:abstractNumId="184">
    <w:nsid w:val="697D2D2"/>
    <w:multiLevelType w:val="hybridMultilevel"/>
    <w:lvl w:ilvl="0">
      <w:lvlJc w:val="left"/>
      <w:lvlText w:val="•"/>
      <w:numFmt w:val="bullet"/>
      <w:start w:val="1"/>
    </w:lvl>
  </w:abstractNum>
  <w:abstractNum w:abstractNumId="185">
    <w:nsid w:val="6D68AB2"/>
    <w:multiLevelType w:val="hybridMultilevel"/>
    <w:lvl w:ilvl="0">
      <w:lvlJc w:val="left"/>
      <w:lvlText w:val="•"/>
      <w:numFmt w:val="bullet"/>
      <w:start w:val="1"/>
    </w:lvl>
    <w:lvl w:ilvl="1">
      <w:lvlJc w:val="left"/>
      <w:lvlText w:val="(%2)"/>
      <w:numFmt w:val="lowerLetter"/>
      <w:start w:val="3"/>
    </w:lvl>
  </w:abstractNum>
  <w:abstractNum w:abstractNumId="186">
    <w:nsid w:val="3A966CD0"/>
    <w:multiLevelType w:val="hybridMultilevel"/>
    <w:lvl w:ilvl="0">
      <w:lvlJc w:val="left"/>
      <w:lvlText w:val="%1."/>
      <w:numFmt w:val="decimal"/>
      <w:start w:val="4"/>
    </w:lvl>
  </w:abstractNum>
  <w:abstractNum w:abstractNumId="187">
    <w:nsid w:val="63F37E85"/>
    <w:multiLevelType w:val="hybridMultilevel"/>
    <w:lvl w:ilvl="0">
      <w:lvlJc w:val="left"/>
      <w:lvlText w:val="%1."/>
      <w:numFmt w:val="decimal"/>
      <w:start w:val="5"/>
    </w:lvl>
  </w:abstractNum>
  <w:abstractNum w:abstractNumId="188">
    <w:nsid w:val="5895F5FA"/>
    <w:multiLevelType w:val="hybridMultilevel"/>
    <w:lvl w:ilvl="0">
      <w:lvlJc w:val="left"/>
      <w:lvlText w:val="%1."/>
      <w:numFmt w:val="decimal"/>
      <w:start w:val="6"/>
    </w:lvl>
  </w:abstractNum>
  <w:abstractNum w:abstractNumId="189">
    <w:nsid w:val="38A5D054"/>
    <w:multiLevelType w:val="hybridMultilevel"/>
    <w:lvl w:ilvl="0">
      <w:lvlJc w:val="left"/>
      <w:lvlText w:val="%1."/>
      <w:numFmt w:val="decimal"/>
      <w:start w:val="7"/>
    </w:lvl>
  </w:abstractNum>
  <w:abstractNum w:abstractNumId="190">
    <w:nsid w:val="F3F09D8"/>
    <w:multiLevelType w:val="hybridMultilevel"/>
    <w:lvl w:ilvl="0">
      <w:lvlJc w:val="left"/>
      <w:lvlText w:val="%1."/>
      <w:numFmt w:val="decimal"/>
      <w:start w:val="8"/>
    </w:lvl>
  </w:abstractNum>
  <w:abstractNum w:abstractNumId="191">
    <w:nsid w:val="4B793735"/>
    <w:multiLevelType w:val="hybridMultilevel"/>
    <w:lvl w:ilvl="0">
      <w:lvlJc w:val="left"/>
      <w:lvlText w:val="%1."/>
      <w:numFmt w:val="decimal"/>
      <w:start w:val="9"/>
    </w:lvl>
  </w:abstractNum>
  <w:abstractNum w:abstractNumId="192">
    <w:nsid w:val="4A10B4E8"/>
    <w:multiLevelType w:val="hybridMultilevel"/>
    <w:lvl w:ilvl="0">
      <w:lvlJc w:val="left"/>
      <w:lvlText w:val="(%1)"/>
      <w:numFmt w:val="lowerRoman"/>
      <w:start w:val="2"/>
    </w:lvl>
  </w:abstractNum>
  <w:abstractNum w:abstractNumId="193">
    <w:nsid w:val="43D3BCD4"/>
    <w:multiLevelType w:val="hybridMultilevel"/>
    <w:lvl w:ilvl="0">
      <w:lvlJc w:val="left"/>
      <w:lvlText w:val="%1."/>
      <w:numFmt w:val="decimal"/>
      <w:start w:val="10"/>
    </w:lvl>
  </w:abstractNum>
  <w:abstractNum w:abstractNumId="194">
    <w:nsid w:val="4C2A7166"/>
    <w:multiLevelType w:val="hybridMultilevel"/>
    <w:lvl w:ilvl="0">
      <w:lvlJc w:val="left"/>
      <w:lvlText w:val="%1."/>
      <w:numFmt w:val="decimal"/>
      <w:start w:val="11"/>
    </w:lvl>
    <w:lvl w:ilvl="1">
      <w:lvlJc w:val="left"/>
      <w:lvlText w:val="(%2)"/>
      <w:numFmt w:val="lowerLetter"/>
      <w:start w:val="1"/>
    </w:lvl>
  </w:abstractNum>
  <w:abstractNum w:abstractNumId="195">
    <w:nsid w:val="2E534A82"/>
    <w:multiLevelType w:val="hybridMultilevel"/>
    <w:lvl w:ilvl="0">
      <w:lvlJc w:val="left"/>
      <w:lvlText w:val="%1."/>
      <w:numFmt w:val="decimal"/>
      <w:start w:val="13"/>
    </w:lvl>
  </w:abstractNum>
  <w:abstractNum w:abstractNumId="196">
    <w:nsid w:val="26F2D364"/>
    <w:multiLevelType w:val="hybridMultilevel"/>
    <w:lvl w:ilvl="0">
      <w:lvlJc w:val="left"/>
      <w:lvlText w:val="%1."/>
      <w:numFmt w:val="decimal"/>
      <w:start w:val="14"/>
    </w:lvl>
  </w:abstractNum>
  <w:abstractNum w:abstractNumId="197">
    <w:nsid w:val="71C1AF98"/>
    <w:multiLevelType w:val="hybridMultilevel"/>
    <w:lvl w:ilvl="0">
      <w:lvlJc w:val="left"/>
      <w:lvlText w:val="%1."/>
      <w:numFmt w:val="decimal"/>
      <w:start w:val="1"/>
    </w:lvl>
    <w:lvl w:ilvl="1">
      <w:lvlJc w:val="left"/>
      <w:lvlText w:val="(%2)"/>
      <w:numFmt w:val="lowerLetter"/>
      <w:start w:val="1"/>
    </w:lvl>
  </w:abstractNum>
  <w:abstractNum w:abstractNumId="198">
    <w:nsid w:val="3D00B9D9"/>
    <w:multiLevelType w:val="hybridMultilevel"/>
    <w:lvl w:ilvl="0">
      <w:lvlJc w:val="left"/>
      <w:lvlText w:val="%1"/>
      <w:numFmt w:val="decimal"/>
      <w:start w:val="1"/>
    </w:lvl>
    <w:lvl w:ilvl="1">
      <w:lvlJc w:val="left"/>
      <w:lvlText w:val="(%2)"/>
      <w:numFmt w:val="lowerLetter"/>
      <w:start w:val="2"/>
    </w:lvl>
  </w:abstractNum>
  <w:abstractNum w:abstractNumId="199">
    <w:nsid w:val="15BCABA8"/>
    <w:multiLevelType w:val="hybridMultilevel"/>
    <w:lvl w:ilvl="0">
      <w:lvlJc w:val="left"/>
      <w:lvlText w:val="%1."/>
      <w:numFmt w:val="decimal"/>
      <w:start w:val="2"/>
    </w:lvl>
    <w:lvl w:ilvl="1">
      <w:lvlJc w:val="left"/>
      <w:lvlText w:val="%2"/>
      <w:numFmt w:val="lowerLetter"/>
      <w:start w:val="1"/>
    </w:lvl>
  </w:abstractNum>
  <w:abstractNum w:abstractNumId="200">
    <w:nsid w:val="4E0B9A87"/>
    <w:multiLevelType w:val="hybridMultilevel"/>
    <w:lvl w:ilvl="0">
      <w:lvlJc w:val="left"/>
      <w:lvlText w:val="%1."/>
      <w:numFmt w:val="decimal"/>
      <w:start w:val="3"/>
    </w:lvl>
  </w:abstractNum>
  <w:abstractNum w:abstractNumId="201">
    <w:nsid w:val="434BAE75"/>
    <w:multiLevelType w:val="hybridMultilevel"/>
    <w:lvl w:ilvl="0">
      <w:lvlJc w:val="left"/>
      <w:lvlText w:val="%1."/>
      <w:numFmt w:val="decimal"/>
      <w:start w:val="4"/>
    </w:lvl>
  </w:abstractNum>
  <w:abstractNum w:abstractNumId="202">
    <w:nsid w:val="4F38F265"/>
    <w:multiLevelType w:val="hybridMultilevel"/>
    <w:lvl w:ilvl="0">
      <w:lvlJc w:val="left"/>
      <w:lvlText w:val="%1."/>
      <w:numFmt w:val="decimal"/>
      <w:start w:val="5"/>
    </w:lvl>
  </w:abstractNum>
  <w:abstractNum w:abstractNumId="203">
    <w:nsid w:val="4C502870"/>
    <w:multiLevelType w:val="hybridMultilevel"/>
    <w:lvl w:ilvl="0">
      <w:lvlJc w:val="left"/>
      <w:lvlText w:val="%1."/>
      <w:numFmt w:val="decimal"/>
      <w:start w:val="6"/>
    </w:lvl>
  </w:abstractNum>
  <w:abstractNum w:abstractNumId="204">
    <w:nsid w:val="1DE8725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05">
    <w:nsid w:val="6A37288A"/>
    <w:multiLevelType w:val="hybridMultilevel"/>
    <w:lvl w:ilvl="0">
      <w:lvlJc w:val="left"/>
      <w:lvlText w:val="(%1)"/>
      <w:numFmt w:val="lowerLetter"/>
      <w:start w:val="2"/>
    </w:lvl>
  </w:abstractNum>
  <w:abstractNum w:abstractNumId="206">
    <w:nsid w:val="8F8B73F"/>
    <w:multiLevelType w:val="hybridMultilevel"/>
    <w:lvl w:ilvl="0">
      <w:lvlJc w:val="left"/>
      <w:lvlText w:val="%1."/>
      <w:numFmt w:val="decimal"/>
      <w:start w:val="8"/>
    </w:lvl>
  </w:abstractNum>
  <w:abstractNum w:abstractNumId="207">
    <w:nsid w:val="CA6B462"/>
    <w:multiLevelType w:val="hybridMultilevel"/>
    <w:lvl w:ilvl="0">
      <w:lvlJc w:val="left"/>
      <w:lvlText w:val="%1."/>
      <w:numFmt w:val="decimal"/>
      <w:start w:val="9"/>
    </w:lvl>
  </w:abstractNum>
  <w:abstractNum w:abstractNumId="208">
    <w:nsid w:val="763CB680"/>
    <w:multiLevelType w:val="hybridMultilevel"/>
    <w:lvl w:ilvl="0">
      <w:lvlJc w:val="left"/>
      <w:lvlText w:val="%1."/>
      <w:numFmt w:val="decimal"/>
      <w:start w:val="10"/>
    </w:lvl>
  </w:abstractNum>
  <w:abstractNum w:abstractNumId="209">
    <w:nsid w:val="15B71329"/>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2019-12-11T09:43:55Z</dcterms:created>
  <dcterms:modified xsi:type="dcterms:W3CDTF">2019-12-11T09:43:55Z</dcterms:modified>
</cp:coreProperties>
</file>