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10/15/2014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0.75</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15.66</w:t>
            </w:r>
            <w:r>
              <w:rPr>
                <w:rFonts w:ascii="Arial" w:cs="Arial" w:eastAsia="Arial" w:hAnsi="Arial"/>
                <w:sz w:val="22"/>
                <w:szCs w:val="22"/>
                <w:color w:val="008000"/>
                <w:w w:val="82"/>
                <w:vertAlign w:val="superscript"/>
              </w:rPr>
              <w:t>(2)</w:t>
            </w:r>
          </w:p>
        </w:tc>
        <w:tc>
          <w:tcPr>
            <w:tcW w:w="1320" w:type="dxa"/>
            <w:vAlign w:val="bottom"/>
            <w:gridSpan w:val="3"/>
            <w:vMerge w:val="restart"/>
          </w:tcPr>
          <w:p>
            <w:pPr>
              <w:ind w:left="360"/>
              <w:spacing w:after="0"/>
              <w:rPr>
                <w:sz w:val="20"/>
                <w:szCs w:val="20"/>
                <w:color w:val="auto"/>
              </w:rPr>
            </w:pPr>
            <w:r>
              <w:rPr>
                <w:rFonts w:ascii="Arial" w:cs="Arial" w:eastAsia="Arial" w:hAnsi="Arial"/>
                <w:sz w:val="18"/>
                <w:szCs w:val="18"/>
                <w:color w:val="0000FF"/>
              </w:rPr>
              <w:t>6,996.09</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purchases reported in this Form 4 were effected pursuant to a Rule 10b5-1 trading plan adopted by TSL Advisers, LLC ("TSL Advisers"), dated as of March 11, 2014.</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$15.65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directly holds 2,799,817 shares of Common Stock of the Issuer, including 6,996.09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2014, which was previously filed with the Securities and Exchange Commission as an exhibit to a Form 4 filed by Mr. Easterly on March 27, 2014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10/17/2014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(4)</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2019-12-16T08:32:16Z</dcterms:created>
  <dcterms:modified xsi:type="dcterms:W3CDTF">2019-12-16T08:32:16Z</dcterms:modified>
</cp:coreProperties>
</file>