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68"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60"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6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6, 2015, TPG Specialty Lending, Inc. issued the following press release:</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TPG Specialty Lending, Inc. Comments on TICC Capital Corp.’s Third Quarter 2015 Financial Results and Reiterates Compelling Value of its Proposal to Acquire TICC</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TSLX Ready to Engage with TICC Toward Realizing Value of Transaction and Delivering Immediate, Upfront Premium to TICC Stockholders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TSLX Urges Stockholders to Vote the GOLD Proxy Card Today to Demand TICC Engage with TSLX’s Offer</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NEW YORK—(</w:t>
      </w:r>
      <w:r>
        <w:rPr>
          <w:rFonts w:ascii="Arial" w:cs="Arial" w:eastAsia="Arial" w:hAnsi="Arial"/>
          <w:sz w:val="18"/>
          <w:szCs w:val="18"/>
          <w:u w:val="single" w:color="auto"/>
          <w:color w:val="auto"/>
        </w:rPr>
        <w:t>BUSINESS WIRE</w:t>
      </w:r>
      <w:r>
        <w:rPr>
          <w:rFonts w:ascii="Arial" w:cs="Arial" w:eastAsia="Arial" w:hAnsi="Arial"/>
          <w:sz w:val="18"/>
          <w:szCs w:val="18"/>
          <w:color w:val="auto"/>
        </w:rPr>
        <w:t>)—TPG Specialty Lending, Inc. (“TSLX”; NYSE:TSLX), a specialty finance company focused on lending to middle-market companies, today sent a letter to stockholders of TICC Capital Corp. (“TICC”; Nasdaq: TICC) commenting on TICC’s financial results for the third quarter of 2015 and urging stockholders to demand that TICC engage with TSLX’s compelling offer.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Fellow TICC Stockholders: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You have an important choice regarding the future of your investment in TICC Capital Corp. (“TICC”). We urge TICC stockholders, the true owners of the company, to make your voices heard by demanding your board engage with TPG Specialty Lending, Inc.’s (“TSLX”) compelling offer and by voting against the sale of TICC’s adviser (the “BSP Transaction”) to an affiliate of Benefit Street Partners L.L.C. (“BSP”), an affiliate of Providence Equity Partners LLC.</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TICC reported its financial results for the third quarter of 2015 today and surprisingly refused to engage with stockholders or the investment community on the company’s conference call. TICC has asked its stockholders to approve an inferior transaction and turned down competing proposals yet still did not take questions from investors or analysts to address the concerns surrounding the company’s recent actions or its poor financial performance. As a stockholder, we continue to be disappointed with TICC’s lack of transparency and lack of focus on creating stockholder value.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In evaluating the BSP Transaction, we encourage stockholders to consider the following facts:</w:t>
      </w:r>
    </w:p>
    <w:p>
      <w:pPr>
        <w:spacing w:after="0" w:line="131" w:lineRule="exact"/>
        <w:rPr>
          <w:sz w:val="20"/>
          <w:szCs w:val="20"/>
          <w:color w:val="auto"/>
        </w:rPr>
      </w:pPr>
    </w:p>
    <w:p>
      <w:pPr>
        <w:ind w:left="900" w:right="8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TICC’s net asset value (“NAV”) declined by 9.2% in a single quarter. TICC’s NAV per share declined $0.79, from $8.60 as reported on June 30, 2015, to $7.81 as reported today. TICC’s NAV has consistently declined over the last few years, falling from $9.90 per share as of the third quarter in 2013 to $7.81 today, a 21.1% decline.</w:t>
      </w:r>
    </w:p>
    <w:p>
      <w:pPr>
        <w:spacing w:after="0" w:line="86" w:lineRule="exact"/>
        <w:rPr>
          <w:rFonts w:ascii="Arial" w:cs="Arial" w:eastAsia="Arial" w:hAnsi="Arial"/>
          <w:sz w:val="18"/>
          <w:szCs w:val="18"/>
          <w:color w:val="auto"/>
        </w:rPr>
      </w:pPr>
    </w:p>
    <w:p>
      <w:pPr>
        <w:ind w:left="900" w:right="380" w:hanging="325"/>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TICC under-earned its dividend by 37.9% in the third quarter. TICC only earned net investment income of $0.18 in the quarter yet has over-committed to issuing a dividend of $0.29. In the past four quarters, TICC has under-earned its dividend by an average of 31.6%.</w:t>
      </w:r>
    </w:p>
    <w:p>
      <w:pPr>
        <w:spacing w:after="0" w:line="51" w:lineRule="exact"/>
        <w:rPr>
          <w:rFonts w:ascii="Arial" w:cs="Arial" w:eastAsia="Arial" w:hAnsi="Arial"/>
          <w:sz w:val="17"/>
          <w:szCs w:val="17"/>
          <w:color w:val="auto"/>
        </w:rPr>
      </w:pPr>
    </w:p>
    <w:p>
      <w:pPr>
        <w:ind w:left="1480" w:right="460" w:hanging="446"/>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simple fact is that paying a dividend consisting of investor capital is unsustainable and is reason enough for at least five equity analysts that cover TICC to believe the dividend will be cut.</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TICC exceeded the statutory debt to equity leverage limits of 1:1 for BDCs. Exceeding these limits places significant constraints on TICC’s ability to operate going forward and any meaningful share repurchase program. Although we hope it is different this time, we note that TICC has never meaningfully executed on previously authorized share buyback programs.</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TICC was operating under normal leverage levels for BDCs, the true value of TICC’s reported net investment income in the third quarter would be $0.14.</w:t>
      </w:r>
      <w:r>
        <w:rPr>
          <w:rFonts w:ascii="Arial" w:cs="Arial" w:eastAsia="Arial" w:hAnsi="Arial"/>
          <w:sz w:val="15"/>
          <w:szCs w:val="15"/>
          <w:color w:val="auto"/>
        </w:rPr>
        <w:t>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TSLX has presented TICC with a highly compelling offer that:</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Delivers an immediate, upfront premium to TICC stockholders;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Provides an opportunity to participate in an industry-leading platform with a proven manager that has consistently outperformed TICC and the BDC Composite</w:t>
      </w:r>
      <w:r>
        <w:rPr>
          <w:rFonts w:ascii="Arial" w:cs="Arial" w:eastAsia="Arial" w:hAnsi="Arial"/>
          <w:sz w:val="15"/>
          <w:szCs w:val="15"/>
          <w:color w:val="auto"/>
        </w:rPr>
        <w:t>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Offers to acquire ALL TICC shares at 90% of NAV, not only a portion of shares;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Ensures a definitive end to the failed TICC external manager contract.</w:t>
      </w:r>
    </w:p>
    <w:p>
      <w:pPr>
        <w:sectPr>
          <w:pgSz w:w="11900" w:h="16838" w:orient="portrait"/>
          <w:cols w:equalWidth="0" w:num="1">
            <w:col w:w="11360"/>
          </w:cols>
          <w:pgMar w:left="240" w:top="274"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TICC’S BOARD MUST PROTECT YOUR INVESTMENT OR BE REPLACED</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You, TICC’s stockholders are the true owners of the company and should send a message to TICC’s board to engage with TSLX on our offer to deliver real value to stockholders. The TICC board needs to be urged to remember it is obligated to act in stockholders’ best interests to protect your investment.</w:t>
      </w:r>
    </w:p>
    <w:p>
      <w:pPr>
        <w:spacing w:after="0" w:line="228" w:lineRule="exact"/>
        <w:rPr>
          <w:sz w:val="20"/>
          <w:szCs w:val="20"/>
          <w:color w:val="auto"/>
        </w:rPr>
      </w:pPr>
    </w:p>
    <w:p>
      <w:pPr>
        <w:ind w:right="2080"/>
        <w:spacing w:after="0" w:line="385" w:lineRule="auto"/>
        <w:rPr>
          <w:sz w:val="20"/>
          <w:szCs w:val="20"/>
          <w:color w:val="auto"/>
        </w:rPr>
      </w:pPr>
      <w:r>
        <w:rPr>
          <w:rFonts w:ascii="Arial" w:cs="Arial" w:eastAsia="Arial" w:hAnsi="Arial"/>
          <w:sz w:val="18"/>
          <w:szCs w:val="18"/>
          <w:b w:val="1"/>
          <w:bCs w:val="1"/>
          <w:color w:val="auto"/>
        </w:rPr>
        <w:t xml:space="preserve">TICC AND ITS SPECIAL COMMITTEE HAVE CONSISTENTLY FAILED TO PUT TICC STOCKHOLDERS FIRST </w:t>
      </w:r>
      <w:r>
        <w:rPr>
          <w:rFonts w:ascii="Arial" w:cs="Arial" w:eastAsia="Arial" w:hAnsi="Arial"/>
          <w:sz w:val="18"/>
          <w:szCs w:val="18"/>
          <w:color w:val="auto"/>
        </w:rPr>
        <w:t>While claiming to act on behalf of stockholders in recent months, your board has taken the following actions:</w:t>
      </w:r>
    </w:p>
    <w:p>
      <w:pPr>
        <w:spacing w:after="0" w:line="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Struck a deal with BSP that would result in a payment of millions to TICC’s failed external manager;</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Been found by a federal judge to have repeatedly misled stockholders and violated federal securities law by inadequately disclosing details of the BSP Transaction;</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immense pressure from investors and outside parties, only altered its proposed deal with BSP in an attempt to push through an inferior transaction;</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Refused to engage in any substantial discussions regarding the TSLX offer and the immediate, upfront premium that TSLX’s offer would deliver to TICC stockholders;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Struck a side deal with a stockholder to buy its support in a desperate attempt to push through an inferior transaction benefiting certain members of the board, demonstrating its continued lack of alignment in protecting the interests of ALL stockholders;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Failed to acknowledge or even respond to TSLX’s updated offer.</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time for change is now. </w:t>
      </w:r>
      <w:r>
        <w:rPr>
          <w:rFonts w:ascii="Arial" w:cs="Arial" w:eastAsia="Arial" w:hAnsi="Arial"/>
          <w:sz w:val="18"/>
          <w:szCs w:val="18"/>
          <w:u w:val="single" w:color="auto"/>
          <w:color w:val="auto"/>
        </w:rPr>
        <w:t>Vote today to join the overwhelming chorus demanding that TICC begin substantive discussions with TSLX concerning 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updated proposal.</w:t>
      </w:r>
    </w:p>
    <w:p>
      <w:pPr>
        <w:spacing w:after="0" w:line="275" w:lineRule="exact"/>
        <w:rPr>
          <w:sz w:val="20"/>
          <w:szCs w:val="20"/>
          <w:color w:val="auto"/>
        </w:rPr>
      </w:pPr>
    </w:p>
    <w:p>
      <w:pPr>
        <w:ind w:right="1800"/>
        <w:spacing w:after="0" w:line="407" w:lineRule="auto"/>
        <w:rPr>
          <w:sz w:val="20"/>
          <w:szCs w:val="20"/>
          <w:color w:val="auto"/>
        </w:rPr>
      </w:pPr>
      <w:r>
        <w:rPr>
          <w:rFonts w:ascii="Arial" w:cs="Arial" w:eastAsia="Arial" w:hAnsi="Arial"/>
          <w:sz w:val="18"/>
          <w:szCs w:val="18"/>
          <w:b w:val="1"/>
          <w:bCs w:val="1"/>
          <w:color w:val="auto"/>
        </w:rPr>
        <w:t xml:space="preserve">TSLX IS READY AND WILLING TO ENGAGE WITH TICC TO DELIVER REAL VALUE TO TICC STOCKHOLDERS </w:t>
      </w:r>
      <w:r>
        <w:rPr>
          <w:rFonts w:ascii="Arial" w:cs="Arial" w:eastAsia="Arial" w:hAnsi="Arial"/>
          <w:sz w:val="18"/>
          <w:szCs w:val="18"/>
          <w:color w:val="auto"/>
        </w:rPr>
        <w:t>TSLX stands by its superior proposal and remains confident that it is the most compelling option for TICC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THE GOLD PROXY CARD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MANAGEMENT’S PROPOSALS TODAY!</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Make your voice heard. Do not let TICC continue to mislead you. Reject the value-destructive transaction with BSP and urge TICC’s board to begin substantive discussions with TSLX.</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Vote the GOLD card NOW to send a clear message to TICC to engage with TSLX. Visit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xml:space="preserve"> for more information about TSLX’s compelling offer.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If you have any questions concerning this letter or TSLX’s proposal,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call MacKenzie Partners at one of the phone numbers listed below.</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MacKenzie Partners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 Madison Avenue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10016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(212) 929-5500 (call collect)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TOLL-FREE (800) 322-2885</w:t>
      </w:r>
    </w:p>
    <w:p>
      <w:pPr>
        <w:sectPr>
          <w:pgSz w:w="11900" w:h="16838" w:orient="portrait"/>
          <w:cols w:equalWidth="0" w:num="1">
            <w:col w:w="11360"/>
          </w:cols>
          <w:pgMar w:left="240" w:top="270"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originally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w:t>
      </w:r>
    </w:p>
    <w:p>
      <w:pPr>
        <w:ind w:right="44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193" w:lineRule="exact"/>
        <w:rPr>
          <w:sz w:val="20"/>
          <w:szCs w:val="20"/>
          <w:color w:val="auto"/>
        </w:rPr>
      </w:pPr>
    </w:p>
    <w:p>
      <w:pPr>
        <w:ind w:right="80" w:firstLine="8"/>
        <w:spacing w:after="0" w:line="264" w:lineRule="auto"/>
        <w:tabs>
          <w:tab w:leader="none" w:pos="121" w:val="left"/>
        </w:tabs>
        <w:numPr>
          <w:ilvl w:val="0"/>
          <w:numId w:val="10"/>
        </w:numPr>
        <w:rPr>
          <w:rFonts w:ascii="Arial" w:cs="Arial" w:eastAsia="Arial" w:hAnsi="Arial"/>
          <w:sz w:val="15"/>
          <w:szCs w:val="15"/>
          <w:color w:val="auto"/>
        </w:rPr>
      </w:pPr>
      <w:r>
        <w:rPr>
          <w:rFonts w:ascii="Arial" w:cs="Arial" w:eastAsia="Arial" w:hAnsi="Arial"/>
          <w:sz w:val="18"/>
          <w:szCs w:val="18"/>
          <w:color w:val="auto"/>
        </w:rPr>
        <w:t>Pro forma net investment income per share calculated as if TICC had sold assets at fair value and applied the proceeds to repay outstanding indebtedness to achieve a debt-to-equity ratio at September 30, 2015 of 0.75x. Calculation assumes no change in total investment income as a percentage of portfolio fair value, interest expense as a percentage of carrying amount of debt, or the amount of non-interest expense.</w:t>
      </w:r>
    </w:p>
    <w:p>
      <w:pPr>
        <w:spacing w:after="0" w:line="181"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14"/>
          <w:szCs w:val="14"/>
          <w:color w:val="auto"/>
        </w:rPr>
      </w:pPr>
      <w:r>
        <w:rPr>
          <w:rFonts w:ascii="Arial" w:cs="Arial" w:eastAsia="Arial" w:hAnsi="Arial"/>
          <w:sz w:val="17"/>
          <w:szCs w:val="17"/>
          <w:color w:val="auto"/>
        </w:rPr>
        <w:t>BDC Composite comprised of ACAS, AINV, ARCC, FSC, GBDC, HTGC, MAIN, MCC, NMFC, PNNT, PSEC, SLRC, TCAP, TCRD and BKCC.</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212-929-5708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ckoons@mackenziepartners.com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 Johnson or Pat Tucker, 212-371-5999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
      <w:numFmt w:val="bullet"/>
      <w:start w:val="1"/>
    </w:lvl>
    <w:lvl w:ilvl="1">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2019-12-20T23:23:24Z</dcterms:created>
  <dcterms:modified xsi:type="dcterms:W3CDTF">2019-12-20T23:23:24Z</dcterms:modified>
</cp:coreProperties>
</file>