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333-217207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33794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Dated: March 20, 2018</w:t>
      </w:r>
    </w:p>
    <w:p>
      <w:pPr>
        <w:spacing w:after="0" w:line="117"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i w:val="1"/>
          <w:iCs w:val="1"/>
          <w:color w:val="auto"/>
        </w:rPr>
        <w:t>The following pricing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Notification – TPG Specialty Lending, Inc.</w:t>
      </w:r>
    </w:p>
    <w:p>
      <w:pPr>
        <w:sectPr>
          <w:pgSz w:w="11900" w:h="16838" w:orient="portrait"/>
          <w:cols w:equalWidth="0" w:num="1">
            <w:col w:w="11420"/>
          </w:cols>
          <w:pgMar w:left="240" w:top="229" w:right="2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TPG Specialty Lending, Inc. (the “Company”)</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Ticker Symbol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129"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Primary Offering of Common Stock</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Offering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$17.45</w:t>
      </w:r>
    </w:p>
    <w:p>
      <w:pPr>
        <w:spacing w:after="0" w:line="151"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21, 2018</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March 23, 2018</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CUSIP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87265K 102</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ind w:right="40"/>
        <w:spacing w:after="0" w:line="277" w:lineRule="auto"/>
        <w:rPr>
          <w:sz w:val="20"/>
          <w:szCs w:val="20"/>
          <w:color w:val="auto"/>
        </w:rPr>
      </w:pPr>
      <w:r>
        <w:rPr>
          <w:rFonts w:ascii="Arial" w:cs="Arial" w:eastAsia="Arial" w:hAnsi="Arial"/>
          <w:sz w:val="18"/>
          <w:szCs w:val="18"/>
          <w:color w:val="auto"/>
        </w:rPr>
        <w:t>3,750,000 shares (not including underwriters’ option to purchase up to an additional 562,500 shares of common stock)</w:t>
      </w:r>
    </w:p>
    <w:p>
      <w:pPr>
        <w:spacing w:after="0" w:line="62"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 pay down debt under a revolving credit facility</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ind w:right="200"/>
        <w:spacing w:after="0" w:line="277" w:lineRule="auto"/>
        <w:rPr>
          <w:sz w:val="20"/>
          <w:szCs w:val="20"/>
          <w:color w:val="auto"/>
        </w:rPr>
      </w:pPr>
      <w:r>
        <w:rPr>
          <w:rFonts w:ascii="Arial" w:cs="Arial" w:eastAsia="Arial" w:hAnsi="Arial"/>
          <w:sz w:val="18"/>
          <w:szCs w:val="18"/>
          <w:color w:val="auto"/>
        </w:rPr>
        <w:t>Underwriters’ Option to Purchase Additional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15%</w:t>
      </w:r>
    </w:p>
    <w:p>
      <w:pPr>
        <w:spacing w:after="0" w:line="367"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4"/>
          <w:szCs w:val="24"/>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Raymond James &amp; Associates, Inc.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116"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Mizuho Securities USA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Janney Montgomery Scott LLC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Ladenburg Thalmann &amp; Co.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TPG Capital BD,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Comerica Securities, Inc.</w:t>
      </w:r>
    </w:p>
    <w:p>
      <w:pPr>
        <w:sectPr>
          <w:pgSz w:w="11900" w:h="16838" w:orient="portrait"/>
          <w:cols w:equalWidth="0" w:num="2">
            <w:col w:w="2620" w:space="720"/>
            <w:col w:w="8080"/>
          </w:cols>
          <w:pgMar w:left="240" w:top="229" w:right="239" w:bottom="1440" w:gutter="0" w:footer="0" w:header="0"/>
          <w:type w:val="continuous"/>
        </w:sectPr>
      </w:pPr>
    </w:p>
    <w:bookmarkStart w:id="1" w:name="page2"/>
    <w:bookmarkEnd w:id="1"/>
    <w:p>
      <w:pPr>
        <w:jc w:val="both"/>
        <w:spacing w:after="0" w:line="34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 are advised to carefully consider the investment objectives, risks, charges and expenses of the Company before investing. The preliminary prospectus supplement dated March 20, 2018 and the accompanying prospectus dated May 30, 2017, which have been filed with the Securities and Exchange Commission (the “SEC”), contain this and other information about the Company and should be read carefully before investing.</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information in the preliminary prospectus supplement, the accompanying prospectus and this announcement is not complete and may be changed. The preliminary prospectus supplement, the accompanying prospectus and this announcement are not offers to sell any securities of the Company and are not soliciting an offer to buy such securities in any state or jurisdiction where such offer and sale is not permitted.</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A shelf registration statement relating to these securities is on file with and has been declared effective by the SEC. The offering may be made only by means of a preliminary prospectus supplement and an accompanying prospectus, copies of which may be obtained from: J.P. Morgan Securities LLC, c/o Broadridge Financial Solutions, 1155 Long Island Avenue, Edgewood, NY 11717, or by calling toll-free at (866) 803 9204; Wells Fargo Securities, LLC, Attention: Equity Syndicate Department, 375 Park Avenue, New York, New York 10152, by telephone at (800) 326-5897, or by email at </w:t>
      </w:r>
      <w:r>
        <w:rPr>
          <w:rFonts w:ascii="Arial" w:cs="Arial" w:eastAsia="Arial" w:hAnsi="Arial"/>
          <w:sz w:val="17"/>
          <w:szCs w:val="17"/>
          <w:b w:val="1"/>
          <w:bCs w:val="1"/>
          <w:u w:val="single" w:color="auto"/>
          <w:color w:val="auto"/>
        </w:rPr>
        <w:t>cmclientsupport@wellsfargo.com</w:t>
      </w:r>
      <w:r>
        <w:rPr>
          <w:rFonts w:ascii="Arial" w:cs="Arial" w:eastAsia="Arial" w:hAnsi="Arial"/>
          <w:sz w:val="17"/>
          <w:szCs w:val="17"/>
          <w:b w:val="1"/>
          <w:bCs w:val="1"/>
          <w:color w:val="auto"/>
        </w:rPr>
        <w:t>; Merrill Lynch, Pierce, Fenner &amp; Smith Incorporated, Attention: Prospectus Department, 200 North College Street, 3</w:t>
      </w:r>
      <w:r>
        <w:rPr>
          <w:rFonts w:ascii="Arial" w:cs="Arial" w:eastAsia="Arial" w:hAnsi="Arial"/>
          <w:sz w:val="14"/>
          <w:szCs w:val="14"/>
          <w:b w:val="1"/>
          <w:bCs w:val="1"/>
          <w:color w:val="auto"/>
        </w:rPr>
        <w:t>rd</w:t>
      </w:r>
      <w:r>
        <w:rPr>
          <w:rFonts w:ascii="Arial" w:cs="Arial" w:eastAsia="Arial" w:hAnsi="Arial"/>
          <w:sz w:val="17"/>
          <w:szCs w:val="17"/>
          <w:b w:val="1"/>
          <w:bCs w:val="1"/>
          <w:color w:val="auto"/>
        </w:rPr>
        <w:t xml:space="preserve"> Floor, Charlotte, NC 28255-0001, or via email: </w:t>
      </w:r>
      <w:r>
        <w:rPr>
          <w:rFonts w:ascii="Arial" w:cs="Arial" w:eastAsia="Arial" w:hAnsi="Arial"/>
          <w:sz w:val="17"/>
          <w:szCs w:val="17"/>
          <w:b w:val="1"/>
          <w:bCs w:val="1"/>
          <w:u w:val="single" w:color="auto"/>
          <w:color w:val="auto"/>
        </w:rPr>
        <w:t>dg.prospectus_requests@baml.com</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mailto:dg.prospectus_requests@baml.com</w:t>
      </w:r>
      <w:r>
        <w:rPr>
          <w:rFonts w:ascii="Arial" w:cs="Arial" w:eastAsia="Arial" w:hAnsi="Arial"/>
          <w:sz w:val="17"/>
          <w:szCs w:val="17"/>
          <w:b w:val="1"/>
          <w:bCs w:val="1"/>
          <w:color w:val="auto"/>
        </w:rPr>
        <w:t xml:space="preserve">); Morgan Stanley &amp; Co. LLC, Attention: Prospectus Department, 180 Varick Street, 2nd Floor, New York, New York 10014; Raymond James &amp; Associates, Inc., 880 Carillon Parkway, St. Petersburg, FL 33716, telephone: (800) 248-8863, email: </w:t>
      </w:r>
      <w:r>
        <w:rPr>
          <w:rFonts w:ascii="Arial" w:cs="Arial" w:eastAsia="Arial" w:hAnsi="Arial"/>
          <w:sz w:val="17"/>
          <w:szCs w:val="17"/>
          <w:b w:val="1"/>
          <w:bCs w:val="1"/>
          <w:u w:val="single" w:color="auto"/>
          <w:color w:val="auto"/>
        </w:rPr>
        <w:t>prospectus@raymondjames.com</w:t>
      </w:r>
      <w:r>
        <w:rPr>
          <w:rFonts w:ascii="Arial" w:cs="Arial" w:eastAsia="Arial" w:hAnsi="Arial"/>
          <w:sz w:val="17"/>
          <w:szCs w:val="17"/>
          <w:b w:val="1"/>
          <w:bCs w:val="1"/>
          <w:color w:val="auto"/>
        </w:rPr>
        <w:t>; RBC Capital Markets, LLC, Attention: Equity Syndicate, 200 Vesey Street, 8</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Floor New York, NY 10281-8098, Email: </w:t>
      </w:r>
      <w:r>
        <w:rPr>
          <w:rFonts w:ascii="Arial" w:cs="Arial" w:eastAsia="Arial" w:hAnsi="Arial"/>
          <w:sz w:val="17"/>
          <w:szCs w:val="17"/>
          <w:b w:val="1"/>
          <w:bCs w:val="1"/>
          <w:u w:val="single" w:color="auto"/>
          <w:color w:val="auto"/>
        </w:rPr>
        <w:t>equityprospectus@rbccm.com</w:t>
      </w:r>
      <w:r>
        <w:rPr>
          <w:rFonts w:ascii="Arial" w:cs="Arial" w:eastAsia="Arial" w:hAnsi="Arial"/>
          <w:sz w:val="17"/>
          <w:szCs w:val="17"/>
          <w:b w:val="1"/>
          <w:bCs w:val="1"/>
          <w:color w:val="auto"/>
        </w:rPr>
        <w:t>, Phone: 877-822-4089; Keefe, Bruyette &amp; Woods, Inc., 787 Seventh Avenue, 4</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Floor, New York, NY 10019; Citigroup Global Markets Inc., c/o Broadridge Financial Solutions, 1155 Long Island Avenue, Edgewood, NY 11717, (800) 831-9146. or Goldman Sachs &amp; Co. LLC, Attn: Prospectus Department, 200 West Street, New York, NY 10282 or by telephone at (866) 471-2526, or by facsimile at 212-902-9316 or by email at </w:t>
      </w:r>
      <w:r>
        <w:rPr>
          <w:rFonts w:ascii="Arial" w:cs="Arial" w:eastAsia="Arial" w:hAnsi="Arial"/>
          <w:sz w:val="17"/>
          <w:szCs w:val="17"/>
          <w:b w:val="1"/>
          <w:bCs w:val="1"/>
          <w:u w:val="single" w:color="auto"/>
          <w:color w:val="auto"/>
        </w:rPr>
        <w:t>prospectusgroupny@ny.email.gs.com</w:t>
      </w:r>
      <w:r>
        <w:rPr>
          <w:rFonts w:ascii="Arial" w:cs="Arial" w:eastAsia="Arial" w:hAnsi="Arial"/>
          <w:sz w:val="17"/>
          <w:szCs w:val="17"/>
          <w:b w:val="1"/>
          <w:bCs w:val="1"/>
          <w:color w:val="auto"/>
        </w:rPr>
        <w: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2019-12-07T21:03:25Z</dcterms:created>
  <dcterms:modified xsi:type="dcterms:W3CDTF">2019-12-07T21:03:25Z</dcterms:modified>
</cp:coreProperties>
</file>