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27-3380000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75201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24" w:space="720"/>
            <w:col w:w="298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On February 25, 2025, Sixth Street Specialty Lending, Inc. (the “Company”) and U.S. Bank Trust Company, National Association (the “Trustee”), entered into a Second Supplemental Indenture (the “Second Supplemental Indenture”) to the Indenture, dated as of February 25, 2025, between the Company and the Trustee (the “Base Indenture”; and together with the Second Supplemental Indenture, the “Indenture”), relating to the Company’s issuance, offer and sale of $300,000,000 aggregate principal amount of its 5.625% notes due 2030 (the “Notes”).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Notes will mature on August 15, 2030 and may be redeemed in whole or in part at the Company’s option at any time at the redemption prices set forth in the Second Supplemental Indenture. The Notes bear interest at a rate of 5.625% per year payable semiannually on February 15 and August 15 of each year, commencing on August 15, 2025. The Notes are direct unsecured obligations of the Company.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expects to use the net proceeds of this offering to pay down debt under its revolving credit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upon the occurrence of a change of control repurchase event (which involves the occurrence of both a change of control and a below investment grade rating of the Notes by Fitch Ratings, Inc., Moody’s Investor Service and S&amp;P Global Ratings), the Company will be required to make an offer to purchase the Notes at a price equal to 100% of the principal amount plus accrued and unpaid interest to the date of purchase.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were offered and sold pursuant to the Registration Statement on Form N-2 (File No. 333-276252), the preliminary prospectus supplement filed with the Securities and Exchange Commission on February 18, 2025 and the pricing term sheet filed with the Securities and Exchange Commission on February 18, 2025. The transaction closed on February 25, 2025.</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Base Indenture, Second Supplemental Indenture and the Notes do not purport to be complete and are qualified in their entirety by reference to the full text of the Base Indenture, Second Supplemental Indenture and the Notes, respectively, each filed as exhibits hereto and incorporated by reference herein.</w:t>
      </w:r>
    </w:p>
    <w:p>
      <w:pPr>
        <w:spacing w:after="0" w:line="280" w:lineRule="exact"/>
        <w:rPr>
          <w:sz w:val="20"/>
          <w:szCs w:val="20"/>
          <w:color w:val="auto"/>
        </w:rPr>
      </w:pPr>
    </w:p>
    <w:p>
      <w:pPr>
        <w:ind w:right="12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2.03 -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Financial Statements and Exhibits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18, 2025, the Company entered into an underwriting agreement (the “Underwriting Agreement”) by and among the Company, Sixth Street Specialty Lending Advisers, LLC, (the “Adviser”) and BofA Securities, Inc., as representative of the several underwriters named in Schedule 1 thereto (the “Underwriters”), in connection with the issuance and sale of $300,000,000 aggregate principal amount of the Company’s 5.625% Notes due 2030 (the “Offering”).</w:t>
      </w:r>
    </w:p>
    <w:p>
      <w:pPr>
        <w:sectPr>
          <w:pgSz w:w="11900" w:h="16838" w:orient="portrait"/>
          <w:cols w:equalWidth="0" w:num="1">
            <w:col w:w="11000"/>
          </w:cols>
          <w:pgMar w:left="440" w:top="293" w:right="459" w:bottom="1440" w:gutter="0" w:footer="0" w:header="0"/>
        </w:sectPr>
      </w:pPr>
    </w:p>
    <w:bookmarkStart w:id="2" w:name="page3"/>
    <w:bookmarkEnd w:id="2"/>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Offering was made pursuant to the Company’s effective shelf registration statement on Form N-2 (Registration No. 333-276252) previously filed with the Securities and Exchange Commission, as supplemented by a preliminary prospectus supplement dated February 18, 2025, and a final prospectus supplement dated February 18, 2025.</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740" w:type="dxa"/>
            <w:vAlign w:val="bottom"/>
            <w:gridSpan w:val="8"/>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74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3"/>
                <w:szCs w:val="23"/>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Underwriting Agreement dated February 18, 2025 by and among Sixth Street Specialty Lending, Inc., Sixth Street Specialty Lending</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Advisers, LLC and BofA Securities, Inc. as representative of the several underwriters named therein.</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1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Indenture, dated as of January 16, 2024, between Sixth Street Specialty Lending, Inc. and U.S. Bank Trust Company, National</w:t>
              </w:r>
            </w:hyperlink>
          </w:p>
        </w:tc>
        <w:tc>
          <w:tcPr>
            <w:tcW w:w="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0"/>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Association, as Trustee (incorporated by reference to Exhibit 4.1 to the Company’s Form 8-K, filed on January 16,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Second Supplemental Indenture, dated as of February 25, 2025, between Sixth Street Specialty Lending, Inc. and U.S. Bank Trust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Company, National Association, as Trustee.</w:t>
            </w:r>
          </w:p>
        </w:tc>
        <w:tc>
          <w:tcPr>
            <w:tcW w:w="6180" w:type="dxa"/>
            <w:vAlign w:val="bottom"/>
            <w:tcBorders>
              <w:top w:val="single" w:sz="8" w:color="0000EE"/>
            </w:tcBorders>
            <w:gridSpan w:val="7"/>
          </w:tcPr>
          <w:p>
            <w:pPr>
              <w:spacing w:after="0"/>
              <w:rPr>
                <w:sz w:val="17"/>
                <w:szCs w:val="17"/>
                <w:color w:val="auto"/>
              </w:rPr>
            </w:pPr>
          </w:p>
        </w:tc>
        <w:tc>
          <w:tcPr>
            <w:tcW w:w="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4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5.625% Note Due 2030 (included as part of Exhibit 4.2).</w:t>
            </w:r>
          </w:p>
        </w:tc>
        <w:tc>
          <w:tcPr>
            <w:tcW w:w="5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Simpson Thacher &amp; Bartlett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5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Simpson Thacher &amp; Bartlett LLP (included as part of Exhibit 5.1).</w:t>
            </w:r>
          </w:p>
        </w:tc>
        <w:tc>
          <w:tcPr>
            <w:tcW w:w="4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5.625% Notes due 2030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Sixth Street Specialty Lending, Inc., a Delaware corporation (the “Company”), proposes, subject to the terms and conditions stated herein, to issue and sell to the several Underwriters listed in Schedule 1 hereto (the “Underwriters”), for whom BofA Securities, Inc. is acting as representative (in such capacity, the “Representative”), $300,000,000 aggregate principal amount of 5.625% Notes due 2030 of the Company (the “Securities”).</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Securities will be issued under an indenture, dated as of January 16, 2024 (the “Base Indenture”), as supplemented by the Second Supplemental Indenture, dated as of February 25, 2025 (the “Second Supplemental Indenture” and, together with the Base Indenture, the “Indenture”), between the Company and U.S. Bank Trust Company, National Association, as trustee (the “Trustee”). The Securities will be issued in book-entry form to Cede &amp; Co. as nominee of the Depository Trust Company (“DTC”) pursuant to a blanket letter of representations, dated as of March 24, 2014, between the Company and DTC.</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 deems advisable after this Agreement has been executed and delivered.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11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an automatic shelf registration statement on Form N-2 (File No. 276252), relating to the</w:t>
      </w:r>
    </w:p>
    <w:p>
      <w:pPr>
        <w:sectPr>
          <w:pgSz w:w="11900" w:h="16838" w:orient="portrait"/>
          <w:cols w:equalWidth="0" w:num="1">
            <w:col w:w="11020"/>
          </w:cols>
          <w:pgMar w:left="440" w:top="117" w:right="4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certain of the Company’s other securities, which registration statement became effective upon filing with the Commission on December 22, 2023. The Company has also prepared and filed with the Commission a preliminary prospectus supplement, dated February 18, 2025, as such prospectus may be amended (the “Preliminary Prospectus Supplement”), which contains a base prospectus, dated December 22, 2023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424(b) (“Rule 424(b)”).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424(b)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424(b)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rules of the Commission promulgated under the Securities Act, as of any specified date. All references in this Agreement to amendments or supplements to the Registration Statement or the Prospectus, including those made pursuant to Rule 424(b)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rules of the Commission promulgated thereunder or otherwise to be a part of or included in the Registration Statement or the Prospectus, as the case may be, as of any specified date.</w:t>
      </w:r>
    </w:p>
    <w:p>
      <w:pPr>
        <w:spacing w:after="0" w:line="20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an Amended and Restated Administration Agreement, dated as of February 22, 2017 (the “Administration Agreement”) with the Adviser.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Preliminary Prospectus, which together with the information set forth on Schedule 2 hereto, comprises the “Pricing Disclosure Package.”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2:30 P.M., New York City time, on February 18,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120" w:firstLine="423"/>
        <w:spacing w:after="0" w:line="261" w:lineRule="auto"/>
        <w:rPr>
          <w:sz w:val="20"/>
          <w:szCs w:val="20"/>
          <w:color w:val="auto"/>
        </w:rPr>
      </w:pPr>
      <w:r>
        <w:rPr>
          <w:rFonts w:ascii="Times New Roman" w:cs="Times New Roman" w:eastAsia="Times New Roman" w:hAnsi="Times New Roman"/>
          <w:sz w:val="18"/>
          <w:szCs w:val="18"/>
          <w:color w:val="auto"/>
        </w:rPr>
        <w:t>(a)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w:t>
      </w:r>
    </w:p>
    <w:p>
      <w:pPr>
        <w:spacing w:after="0" w:line="72" w:lineRule="exact"/>
        <w:rPr>
          <w:sz w:val="20"/>
          <w:szCs w:val="20"/>
          <w:color w:val="auto"/>
        </w:rPr>
      </w:pPr>
    </w:p>
    <w:p>
      <w:pPr>
        <w:jc w:val="both"/>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(b)  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w:t>
      </w:r>
    </w:p>
    <w:p>
      <w:pPr>
        <w:spacing w:after="0" w:line="68"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(c)  Payment for the Securities shall be made by wire transfer in immediately available funds to the account specified by the Company to the Representative, at the offices of Ropes &amp; Gray LLP, 1211 Avenue of the Americas, New York, NY 10036, at 10:00 A.M., New York City time, on February 25, 2025, or at such other time or place on the same or such other date, not later than the fifth business day thereafter, as the Representative and the Company may agree upon in writing. The time and date of such payment for the Securities is referred to herein as the “Closing Date.”</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68" w:lineRule="exact"/>
        <w:rPr>
          <w:sz w:val="20"/>
          <w:szCs w:val="20"/>
          <w:color w:val="auto"/>
        </w:rPr>
      </w:pPr>
    </w:p>
    <w:p>
      <w:pPr>
        <w:ind w:left="440" w:right="180" w:firstLine="423"/>
        <w:spacing w:after="0" w:line="312" w:lineRule="auto"/>
        <w:rPr>
          <w:sz w:val="20"/>
          <w:szCs w:val="20"/>
          <w:color w:val="auto"/>
        </w:rPr>
      </w:pPr>
      <w:r>
        <w:rPr>
          <w:rFonts w:ascii="Times New Roman" w:cs="Times New Roman" w:eastAsia="Times New Roman" w:hAnsi="Times New Roman"/>
          <w:sz w:val="17"/>
          <w:szCs w:val="17"/>
          <w:color w:val="auto"/>
        </w:rPr>
        <w:t>(d)  The Company acknowledges and agrees that the Underwriters are acting solely in the capacity of an arm’s-length contractual counterparty to the Company with respect to the offering of Securities contemplated hereby (including in connection with determining the terms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Underwriter that:</w:t>
      </w:r>
    </w:p>
    <w:p>
      <w:pPr>
        <w:spacing w:after="0" w:line="115"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Preliminary Prospectus.</w:t>
      </w:r>
      <w:r>
        <w:rPr>
          <w:rFonts w:ascii="Times New Roman" w:cs="Times New Roman" w:eastAsia="Times New Roman" w:hAnsi="Times New Roman"/>
          <w:sz w:val="18"/>
          <w:szCs w:val="18"/>
          <w:color w:val="auto"/>
        </w:rPr>
        <w:t xml:space="preserve"> No order preventing or suspending the use of the Preliminary Prospectus has been issued by the Commission, and 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77"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xml:space="preserve">. The Pricing Disclosure Package and any Marketing Materials (as defined below), 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0"/>
          </w:cols>
          <w:pgMar w:left="880" w:top="270" w:right="519" w:bottom="1440" w:gutter="0" w:footer="0" w:header="0"/>
        </w:sectPr>
      </w:pPr>
    </w:p>
    <w:bookmarkStart w:id="8" w:name="page9"/>
    <w:bookmarkEnd w:id="8"/>
    <w:p>
      <w:pPr>
        <w:ind w:left="4" w:firstLine="423"/>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7"/>
          <w:szCs w:val="17"/>
          <w:i w:val="1"/>
          <w:iCs w:val="1"/>
          <w:color w:val="auto"/>
        </w:rPr>
        <w:t>Issuer Free Writing Prospectus</w:t>
      </w:r>
      <w:r>
        <w:rPr>
          <w:rFonts w:ascii="Times New Roman" w:cs="Times New Roman" w:eastAsia="Times New Roman" w:hAnsi="Times New Roman"/>
          <w:sz w:val="17"/>
          <w:szCs w:val="17"/>
          <w:color w:val="auto"/>
        </w:rPr>
        <w:t>.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w:t>
      </w:r>
    </w:p>
    <w:p>
      <w:pPr>
        <w:spacing w:after="0" w:line="1" w:lineRule="exact"/>
        <w:rPr>
          <w:sz w:val="20"/>
          <w:szCs w:val="20"/>
          <w:color w:val="auto"/>
        </w:rPr>
      </w:pPr>
    </w:p>
    <w:p>
      <w:pPr>
        <w:ind w:left="4" w:right="60" w:hanging="4"/>
        <w:spacing w:after="0" w:line="251" w:lineRule="auto"/>
        <w:tabs>
          <w:tab w:leader="none" w:pos="3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a Pricing Term Sheet substantially in the form of Annex A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w:t>
      </w:r>
    </w:p>
    <w:p>
      <w:pPr>
        <w:spacing w:after="0" w:line="82" w:lineRule="exact"/>
        <w:rPr>
          <w:sz w:val="20"/>
          <w:szCs w:val="20"/>
          <w:color w:val="auto"/>
        </w:rPr>
      </w:pPr>
    </w:p>
    <w:p>
      <w:pPr>
        <w:jc w:val="both"/>
        <w:ind w:left="4" w:right="20" w:firstLine="423"/>
        <w:spacing w:after="0" w:line="26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Exchange Act.</w:t>
      </w:r>
    </w:p>
    <w:p>
      <w:pPr>
        <w:spacing w:after="0" w:line="65" w:lineRule="exact"/>
        <w:rPr>
          <w:sz w:val="20"/>
          <w:szCs w:val="20"/>
          <w:color w:val="auto"/>
        </w:rPr>
      </w:pPr>
    </w:p>
    <w:p>
      <w:pPr>
        <w:ind w:left="4" w:right="60" w:firstLine="423"/>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Registration Statement and Prospectus.</w:t>
      </w:r>
      <w:r>
        <w:rPr>
          <w:rFonts w:ascii="Times New Roman" w:cs="Times New Roman" w:eastAsia="Times New Roman" w:hAnsi="Times New Roman"/>
          <w:sz w:val="18"/>
          <w:szCs w:val="18"/>
          <w:color w:val="auto"/>
        </w:rPr>
        <w:t xml:space="preserve"> The Company is eligible to use Form N-2. The Registration Statement became effective upon filing with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w:t>
      </w:r>
    </w:p>
    <w:p>
      <w:pPr>
        <w:spacing w:after="0" w:line="12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68" w:right="459" w:bottom="1440" w:gutter="0" w:footer="0" w:header="0"/>
        </w:sectPr>
      </w:pPr>
    </w:p>
    <w:bookmarkStart w:id="9" w:name="page10"/>
    <w:bookmarkEnd w:id="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79"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77"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the dividends declared and payable on March 20, 2025 and March 31, 2025 set forth in the Company’s Form 8-K dated February 13, 2025),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70" w:right="479" w:bottom="1440" w:gutter="0" w:footer="0" w:header="0"/>
        </w:sectPr>
      </w:pPr>
    </w:p>
    <w:bookmarkStart w:id="10" w:name="page11"/>
    <w:bookmarkEnd w:id="10"/>
    <w:p>
      <w:pPr>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66"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80"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As of December 31, 2024, the Company had authorized and outstanding capital stock and material indebtedness as set forth in the 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xml:space="preserve"> The Company has not granted, and has no policy or expectation of granting stock options.</w:t>
      </w:r>
    </w:p>
    <w:p>
      <w:pPr>
        <w:spacing w:after="0" w:line="117" w:lineRule="exact"/>
        <w:rPr>
          <w:sz w:val="20"/>
          <w:szCs w:val="20"/>
          <w:color w:val="auto"/>
        </w:rPr>
      </w:pPr>
    </w:p>
    <w:p>
      <w:pPr>
        <w:ind w:right="40" w:firstLine="423"/>
        <w:spacing w:after="0" w:line="284"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xml:space="preserve"> The Company has corporate power and authority to execute and deliver this Agreement, the Second Supplemental Indenture and the Securities, and at the</w:t>
      </w:r>
    </w:p>
    <w:p>
      <w:pPr>
        <w:spacing w:after="0" w:line="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00"/>
          </w:cols>
          <w:pgMar w:left="880" w:top="270" w:right="51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time had corporate power and authority to execute and deliver the Base Indenture, the Investment Management Agreement and the Administration Agreement and to perform its obligations hereunder and thereunder; and all action required to be taken for the due and proper authorization, execution and delivery by it of this Agreement, the Second Supplemental Indenture, the Base Indenture, the Securities and each of the Investment Management Agreement and the Administration Agreement and the consummation by it of the transactions contemplated hereby and thereby has been duly and validly taken.</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xml:space="preserve"> This Agreement has been duly authorized, executed and delivered by the Company.</w:t>
      </w:r>
    </w:p>
    <w:p>
      <w:pPr>
        <w:spacing w:after="0" w:line="117"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Investment Management Agreement and Administration Agreement.</w:t>
      </w:r>
      <w:r>
        <w:rPr>
          <w:rFonts w:ascii="Times New Roman" w:cs="Times New Roman" w:eastAsia="Times New Roman" w:hAnsi="Times New Roman"/>
          <w:sz w:val="18"/>
          <w:szCs w:val="18"/>
          <w:color w:val="auto"/>
        </w:rPr>
        <w:t xml:space="preserve"> The Investment Management 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72" w:lineRule="exact"/>
        <w:rPr>
          <w:sz w:val="20"/>
          <w:szCs w:val="20"/>
          <w:color w:val="auto"/>
        </w:rPr>
      </w:pPr>
    </w:p>
    <w:p>
      <w:pPr>
        <w:ind w:right="80" w:firstLine="423"/>
        <w:spacing w:after="0" w:line="267"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xml:space="preserve"> The Base Indenture has been duly authorized, executed and delivered by the Company and is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65"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Second Supplemental Indenture</w:t>
      </w:r>
      <w:r>
        <w:rPr>
          <w:rFonts w:ascii="Times New Roman" w:cs="Times New Roman" w:eastAsia="Times New Roman" w:hAnsi="Times New Roman"/>
          <w:sz w:val="18"/>
          <w:szCs w:val="18"/>
          <w:color w:val="auto"/>
        </w:rPr>
        <w:t>. The Second Supplemental Indenture has been duly authorized, and, on the Closing Date, will be duly executed 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Indenture has been qualified under the TIA.</w:t>
      </w:r>
    </w:p>
    <w:p>
      <w:pPr>
        <w:spacing w:after="0" w:line="117"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The Securities to be issued and sold by the Company hereunder have been duly authorized and, when issued, authenticated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75" w:lineRule="exact"/>
        <w:rPr>
          <w:sz w:val="20"/>
          <w:szCs w:val="20"/>
          <w:color w:val="auto"/>
        </w:rPr>
      </w:pPr>
    </w:p>
    <w:p>
      <w:pPr>
        <w:ind w:right="40" w:firstLine="423"/>
        <w:spacing w:after="0" w:line="267"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 Administration Agreement conform in all material respects to the descriptions thereof contained in the Registration Statement, the Pricing Disclosure Package and the Prospectus.</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80"/>
          </w:cols>
          <w:pgMar w:left="880" w:top="270" w:right="539" w:bottom="1440" w:gutter="0" w:footer="0" w:header="0"/>
        </w:sectPr>
      </w:pPr>
    </w:p>
    <w:bookmarkStart w:id="12" w:name="page13"/>
    <w:bookmarkEnd w:id="12"/>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  </w:t>
      </w: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xml:space="preserve"> Neither the Company nor any of its subsidiaries is (i) in violation of its charter or by-laws or similar organizational 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80"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xml:space="preserve"> The execution, delivery and performance by the Company of this Agreement and the Indenture, the issuance and sale of the Securities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82"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xml:space="preserve"> No consent, approval, authorization, order, license, registration or qualification of or with any court or arbitrator or 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68" w:right="459" w:bottom="1440" w:gutter="0" w:footer="0" w:header="0"/>
        </w:sectPr>
      </w:pPr>
    </w:p>
    <w:bookmarkStart w:id="13" w:name="page14"/>
    <w:bookmarkEnd w:id="13"/>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6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Except as described in the Registration Statement, the Pricing Disclosure Package and the Prospectus, there are no 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84"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2"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 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w:t>
      </w:r>
    </w:p>
    <w:p>
      <w:pPr>
        <w:spacing w:after="0" w:line="77" w:lineRule="exact"/>
        <w:rPr>
          <w:sz w:val="20"/>
          <w:szCs w:val="20"/>
          <w:color w:val="auto"/>
        </w:rPr>
      </w:pPr>
    </w:p>
    <w:p>
      <w:pPr>
        <w:ind w:firstLine="423"/>
        <w:spacing w:after="0" w:line="267"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left="4" w:right="10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(z)  </w:t>
      </w: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3(aa))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75" w:lineRule="exact"/>
        <w:rPr>
          <w:sz w:val="20"/>
          <w:szCs w:val="20"/>
          <w:color w:val="auto"/>
        </w:rPr>
      </w:pPr>
    </w:p>
    <w:p>
      <w:pPr>
        <w:ind w:left="4" w:right="60" w:firstLine="423"/>
        <w:spacing w:after="0" w:line="271" w:lineRule="auto"/>
        <w:rPr>
          <w:sz w:val="20"/>
          <w:szCs w:val="20"/>
          <w:color w:val="auto"/>
        </w:rPr>
      </w:pPr>
      <w:r>
        <w:rPr>
          <w:rFonts w:ascii="Times New Roman" w:cs="Times New Roman" w:eastAsia="Times New Roman" w:hAnsi="Times New Roman"/>
          <w:sz w:val="17"/>
          <w:szCs w:val="17"/>
          <w:color w:val="auto"/>
        </w:rPr>
        <w:t xml:space="preserve">(aa)  </w:t>
      </w:r>
      <w:r>
        <w:rPr>
          <w:rFonts w:ascii="Times New Roman" w:cs="Times New Roman" w:eastAsia="Times New Roman" w:hAnsi="Times New Roman"/>
          <w:sz w:val="17"/>
          <w:szCs w:val="17"/>
          <w:i w:val="1"/>
          <w:iCs w:val="1"/>
          <w:color w:val="auto"/>
        </w:rPr>
        <w:t>Title to Intellectual Property</w:t>
      </w:r>
      <w:r>
        <w:rPr>
          <w:rFonts w:ascii="Times New Roman" w:cs="Times New Roman" w:eastAsia="Times New Roman" w:hAnsi="Times New Roman"/>
          <w:sz w:val="17"/>
          <w:szCs w:val="17"/>
          <w:color w:val="auto"/>
        </w:rPr>
        <w:t>. Except as would not reasonably be expected, individually or in the aggregate, to have a Material Adverse 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w:t>
      </w:r>
    </w:p>
    <w:p>
      <w:pPr>
        <w:spacing w:after="0" w:line="1" w:lineRule="exact"/>
        <w:rPr>
          <w:sz w:val="20"/>
          <w:szCs w:val="20"/>
          <w:color w:val="auto"/>
        </w:rPr>
      </w:pPr>
    </w:p>
    <w:p>
      <w:pPr>
        <w:ind w:left="4" w:hanging="4"/>
        <w:spacing w:after="0" w:line="253"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79" w:lineRule="exact"/>
        <w:rPr>
          <w:sz w:val="20"/>
          <w:szCs w:val="20"/>
          <w:color w:val="auto"/>
        </w:rPr>
      </w:pPr>
    </w:p>
    <w:p>
      <w:pPr>
        <w:ind w:left="4" w:firstLine="423"/>
        <w:spacing w:after="0" w:line="261"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2" w:lineRule="exact"/>
        <w:rPr>
          <w:sz w:val="20"/>
          <w:szCs w:val="20"/>
          <w:color w:val="auto"/>
        </w:rPr>
      </w:pPr>
    </w:p>
    <w:p>
      <w:pPr>
        <w:ind w:left="4" w:right="200" w:firstLine="423"/>
        <w:spacing w:after="0" w:line="257"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Securities 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74" w:lineRule="exact"/>
        <w:rPr>
          <w:sz w:val="20"/>
          <w:szCs w:val="20"/>
          <w:color w:val="auto"/>
        </w:rPr>
      </w:pPr>
    </w:p>
    <w:p>
      <w:pPr>
        <w:ind w:left="4" w:right="80" w:firstLine="423"/>
        <w:spacing w:after="0" w:line="267"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The Company and its subsidiaries have paid (or caused to be paid) all federal, state, local and foreign taxes required by law to be paid, and have filed (or caused to be filed) all tax returns required by law to be filed, in each case, through the date hereof, except where the failure to pay such taxes or file such returns would not reasonably be expected,</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4"/>
          </w:cols>
          <w:pgMar w:left="876" w:top="268" w:right="499" w:bottom="1440" w:gutter="0" w:footer="0" w:header="0"/>
        </w:sectPr>
      </w:pPr>
    </w:p>
    <w:bookmarkStart w:id="15" w:name="page16"/>
    <w:bookmarkEnd w:id="15"/>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70"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i w:val="1"/>
          <w:iCs w:val="1"/>
          <w:color w:val="auto"/>
        </w:rPr>
        <w:t>Licenses and Permits.</w:t>
      </w:r>
      <w:r>
        <w:rPr>
          <w:rFonts w:ascii="Times New Roman" w:cs="Times New Roman" w:eastAsia="Times New Roman" w:hAnsi="Times New Roman"/>
          <w:sz w:val="18"/>
          <w:szCs w:val="18"/>
          <w:color w:val="auto"/>
        </w:rPr>
        <w:t xml:space="preserve">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80"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75"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xml:space="preserve"> The Company maintains a system of “internal control over financial reporting” (as defined in Rule 13a-15(f) of 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 xml:space="preserve">(hh)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75"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7" w:name="page18"/>
    <w:bookmarkEnd w:id="17"/>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(jj)  </w:t>
      </w: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7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Russia, Syria, and the occupied Donetsk, Luhansk, Zaporizhzhia, Kerson and Crimea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88" w:lineRule="exact"/>
        <w:rPr>
          <w:sz w:val="20"/>
          <w:szCs w:val="20"/>
          <w:color w:val="auto"/>
        </w:rPr>
      </w:pPr>
    </w:p>
    <w:p>
      <w:pPr>
        <w:jc w:val="both"/>
        <w:ind w:right="260" w:firstLine="423"/>
        <w:spacing w:after="0" w:line="267"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i w:val="1"/>
          <w:iCs w:val="1"/>
          <w:color w:val="auto"/>
        </w:rPr>
        <w:t>Company Not Ineligible Issuer and is a Well-Known Seasoned Issuer</w:t>
      </w:r>
      <w:r>
        <w:rPr>
          <w:rFonts w:ascii="Times New Roman" w:cs="Times New Roman" w:eastAsia="Times New Roman" w:hAnsi="Times New Roman"/>
          <w:sz w:val="18"/>
          <w:szCs w:val="18"/>
          <w:color w:val="auto"/>
        </w:rPr>
        <w:t>. The Company is not an ineligible issuer and is a well-known seasoned issuer, in each case as defined under the Securities Act, in each case at the times specified in the Securities Act in connection with the offering of the Securities.</w:t>
      </w:r>
    </w:p>
    <w:p>
      <w:pPr>
        <w:spacing w:after="0" w:line="65" w:lineRule="exact"/>
        <w:rPr>
          <w:sz w:val="20"/>
          <w:szCs w:val="20"/>
          <w:color w:val="auto"/>
        </w:rPr>
      </w:pPr>
    </w:p>
    <w:p>
      <w:pPr>
        <w:ind w:firstLine="423"/>
        <w:spacing w:after="0" w:line="267"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68" w:right="459" w:bottom="1440" w:gutter="0" w:footer="0" w:header="0"/>
        </w:sectPr>
      </w:pPr>
    </w:p>
    <w:bookmarkStart w:id="18" w:name="page19"/>
    <w:bookmarkEnd w:id="18"/>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52" w:lineRule="exact"/>
        <w:rPr>
          <w:sz w:val="20"/>
          <w:szCs w:val="20"/>
          <w:color w:val="auto"/>
        </w:rPr>
      </w:pPr>
    </w:p>
    <w:p>
      <w:pPr>
        <w:jc w:val="both"/>
        <w:ind w:right="160" w:firstLine="423"/>
        <w:spacing w:after="0" w:line="267" w:lineRule="auto"/>
        <w:rPr>
          <w:sz w:val="20"/>
          <w:szCs w:val="20"/>
          <w:color w:val="auto"/>
        </w:rPr>
      </w:pPr>
      <w:r>
        <w:rPr>
          <w:rFonts w:ascii="Times New Roman" w:cs="Times New Roman" w:eastAsia="Times New Roman" w:hAnsi="Times New Roman"/>
          <w:sz w:val="18"/>
          <w:szCs w:val="18"/>
          <w:color w:val="auto"/>
        </w:rPr>
        <w:t xml:space="preserve">(nn)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xml:space="preserve">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65" w:lineRule="exact"/>
        <w:rPr>
          <w:sz w:val="20"/>
          <w:szCs w:val="20"/>
          <w:color w:val="auto"/>
        </w:rPr>
      </w:pPr>
    </w:p>
    <w:p>
      <w:pPr>
        <w:ind w:firstLine="423"/>
        <w:spacing w:after="0" w:line="267" w:lineRule="auto"/>
        <w:rPr>
          <w:sz w:val="20"/>
          <w:szCs w:val="20"/>
          <w:color w:val="auto"/>
        </w:rPr>
      </w:pPr>
      <w:r>
        <w:rPr>
          <w:rFonts w:ascii="Times New Roman" w:cs="Times New Roman" w:eastAsia="Times New Roman" w:hAnsi="Times New Roman"/>
          <w:sz w:val="18"/>
          <w:szCs w:val="18"/>
          <w:color w:val="auto"/>
        </w:rPr>
        <w:t xml:space="preserve">(oo)  </w:t>
      </w: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xml:space="preserve"> The Company has not taken, directly or indirectly, without giving effect to any activities by the Underwriters, any action designed, or that would reasonably be expected, to cause or result in any stabilization or manipulation of the price of the Securities.</w:t>
      </w:r>
    </w:p>
    <w:p>
      <w:pPr>
        <w:spacing w:after="0" w:line="65" w:lineRule="exact"/>
        <w:rPr>
          <w:sz w:val="20"/>
          <w:szCs w:val="20"/>
          <w:color w:val="auto"/>
        </w:rPr>
      </w:pPr>
    </w:p>
    <w:p>
      <w:pPr>
        <w:ind w:right="240" w:firstLine="423"/>
        <w:spacing w:after="0" w:line="267" w:lineRule="auto"/>
        <w:rPr>
          <w:sz w:val="20"/>
          <w:szCs w:val="20"/>
          <w:color w:val="auto"/>
        </w:rPr>
      </w:pPr>
      <w:r>
        <w:rPr>
          <w:rFonts w:ascii="Times New Roman" w:cs="Times New Roman" w:eastAsia="Times New Roman" w:hAnsi="Times New Roman"/>
          <w:sz w:val="18"/>
          <w:szCs w:val="18"/>
          <w:color w:val="auto"/>
        </w:rPr>
        <w:t xml:space="preserve">(pp)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xml:space="preserve">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65" w:lineRule="exact"/>
        <w:rPr>
          <w:sz w:val="20"/>
          <w:szCs w:val="20"/>
          <w:color w:val="auto"/>
        </w:rPr>
      </w:pPr>
    </w:p>
    <w:p>
      <w:pPr>
        <w:ind w:right="260" w:firstLine="423"/>
        <w:spacing w:after="0" w:line="267" w:lineRule="auto"/>
        <w:rPr>
          <w:sz w:val="20"/>
          <w:szCs w:val="20"/>
          <w:color w:val="auto"/>
        </w:rPr>
      </w:pPr>
      <w:r>
        <w:rPr>
          <w:rFonts w:ascii="Times New Roman" w:cs="Times New Roman" w:eastAsia="Times New Roman" w:hAnsi="Times New Roman"/>
          <w:sz w:val="18"/>
          <w:szCs w:val="18"/>
          <w:color w:val="auto"/>
        </w:rPr>
        <w:t xml:space="preserve">(qq)  </w:t>
      </w:r>
      <w:r>
        <w:rPr>
          <w:rFonts w:ascii="Times New Roman" w:cs="Times New Roman" w:eastAsia="Times New Roman" w:hAnsi="Times New Roman"/>
          <w:sz w:val="18"/>
          <w:szCs w:val="18"/>
          <w:i w:val="1"/>
          <w:iCs w:val="1"/>
          <w:color w:val="auto"/>
        </w:rPr>
        <w:t>Statistical and Market Data.</w:t>
      </w:r>
      <w:r>
        <w:rPr>
          <w:rFonts w:ascii="Times New Roman" w:cs="Times New Roman" w:eastAsia="Times New Roman" w:hAnsi="Times New Roman"/>
          <w:sz w:val="18"/>
          <w:szCs w:val="18"/>
          <w:color w:val="auto"/>
        </w:rPr>
        <w:t xml:space="preserve"> Nothing has come to the attention of the Company that has caused the Company to believe that the statistical and market-related data included or incorporated by reference in the Registration Statement, the Pricing Disclosure Package and the Prospectus is not based on or derived from sources that are reasonably reliable and accurate in all material respects.</w:t>
      </w:r>
    </w:p>
    <w:p>
      <w:pPr>
        <w:spacing w:after="0" w:line="65" w:lineRule="exact"/>
        <w:rPr>
          <w:sz w:val="20"/>
          <w:szCs w:val="20"/>
          <w:color w:val="auto"/>
        </w:rPr>
      </w:pPr>
    </w:p>
    <w:p>
      <w:pPr>
        <w:jc w:val="both"/>
        <w:ind w:right="1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(rr)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2" w:lineRule="exact"/>
        <w:rPr>
          <w:sz w:val="20"/>
          <w:szCs w:val="20"/>
          <w:color w:val="auto"/>
        </w:rPr>
      </w:pPr>
    </w:p>
    <w:p>
      <w:pPr>
        <w:ind w:right="40" w:firstLine="423"/>
        <w:spacing w:after="0" w:line="267" w:lineRule="auto"/>
        <w:rPr>
          <w:sz w:val="20"/>
          <w:szCs w:val="20"/>
          <w:color w:val="auto"/>
        </w:rPr>
      </w:pPr>
      <w:r>
        <w:rPr>
          <w:rFonts w:ascii="Times New Roman" w:cs="Times New Roman" w:eastAsia="Times New Roman" w:hAnsi="Times New Roman"/>
          <w:sz w:val="18"/>
          <w:szCs w:val="18"/>
          <w:color w:val="auto"/>
        </w:rPr>
        <w:t xml:space="preserve">(ss)  </w:t>
      </w: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65" w:lineRule="exact"/>
        <w:rPr>
          <w:sz w:val="20"/>
          <w:szCs w:val="20"/>
          <w:color w:val="auto"/>
        </w:rPr>
      </w:pPr>
    </w:p>
    <w:p>
      <w:pPr>
        <w:jc w:val="both"/>
        <w:ind w:right="3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(tt)  </w:t>
      </w: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80"/>
          </w:cols>
          <w:pgMar w:left="880" w:top="270" w:right="539" w:bottom="1440" w:gutter="0" w:footer="0" w:header="0"/>
        </w:sectPr>
      </w:pPr>
    </w:p>
    <w:bookmarkStart w:id="19" w:name="page20"/>
    <w:bookmarkEnd w:id="19"/>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(uu)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(A) To the Company’s knowledge, in the last three years, there has been no material security breach or other material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Underwriter that:</w:t>
      </w:r>
    </w:p>
    <w:p>
      <w:pPr>
        <w:spacing w:after="0" w:line="115"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77"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The Adviser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Effect”). </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68" w:right="479" w:bottom="1440" w:gutter="0" w:footer="0" w:header="0"/>
        </w:sectPr>
      </w:pPr>
    </w:p>
    <w:bookmarkStart w:id="20" w:name="page21"/>
    <w:bookmarkEnd w:id="20"/>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i w:val="1"/>
          <w:iCs w:val="1"/>
          <w:color w:val="auto"/>
        </w:rPr>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 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xml:space="preserve"> This Agreement has been duly authorized, executed and delivered by the Adviser.</w:t>
      </w:r>
    </w:p>
    <w:p>
      <w:pPr>
        <w:spacing w:after="0" w:line="117" w:lineRule="exact"/>
        <w:rPr>
          <w:sz w:val="20"/>
          <w:szCs w:val="20"/>
          <w:color w:val="auto"/>
        </w:rPr>
      </w:pPr>
    </w:p>
    <w:p>
      <w:pPr>
        <w:ind w:right="2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Investment Management Agreement and the Administration Agreement.</w:t>
      </w:r>
      <w:r>
        <w:rPr>
          <w:rFonts w:ascii="Times New Roman" w:cs="Times New Roman" w:eastAsia="Times New Roman" w:hAnsi="Times New Roman"/>
          <w:sz w:val="18"/>
          <w:szCs w:val="18"/>
          <w:color w:val="auto"/>
        </w:rPr>
        <w:t xml:space="preserve"> The Investment Management Agreement and the Administration 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72" w:lineRule="exact"/>
        <w:rPr>
          <w:sz w:val="20"/>
          <w:szCs w:val="20"/>
          <w:color w:val="auto"/>
        </w:rPr>
      </w:pPr>
    </w:p>
    <w:p>
      <w:pPr>
        <w:ind w:right="80" w:firstLine="423"/>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xml:space="preserve"> Neither the Adviser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7"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xml:space="preserve"> The execution, delivery and performance by the Adviser of this Agreement and the performance by the Adviser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68" w:right="459" w:bottom="1440" w:gutter="0" w:footer="0" w:header="0"/>
        </w:sectPr>
      </w:pPr>
    </w:p>
    <w:bookmarkStart w:id="21" w:name="page22"/>
    <w:bookmarkEnd w:id="21"/>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66" w:lineRule="exact"/>
        <w:rPr>
          <w:sz w:val="20"/>
          <w:szCs w:val="20"/>
          <w:color w:val="auto"/>
        </w:rPr>
      </w:pPr>
    </w:p>
    <w:p>
      <w:pPr>
        <w:ind w:right="80" w:firstLine="423"/>
        <w:spacing w:after="0" w:line="257"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xml:space="preserve"> No consent, approval, authorization, order, license, registration or qualification of or with any court or arbitrator 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74" w:lineRule="exact"/>
        <w:rPr>
          <w:sz w:val="20"/>
          <w:szCs w:val="20"/>
          <w:color w:val="auto"/>
        </w:rPr>
      </w:pPr>
    </w:p>
    <w:p>
      <w:pPr>
        <w:ind w:right="80" w:firstLine="423"/>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Except as described in the Registration Statement, the Pricing Disclosure Package and the Prospectus, there are no 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77" w:lineRule="exact"/>
        <w:rPr>
          <w:sz w:val="20"/>
          <w:szCs w:val="20"/>
          <w:color w:val="auto"/>
        </w:rPr>
      </w:pPr>
    </w:p>
    <w:p>
      <w:pPr>
        <w:ind w:firstLine="423"/>
        <w:spacing w:after="0" w:line="271" w:lineRule="auto"/>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17"/>
          <w:szCs w:val="17"/>
          <w:i w:val="1"/>
          <w:iCs w:val="1"/>
          <w:color w:val="auto"/>
        </w:rPr>
        <w:t>Licenses and Permits.</w:t>
      </w:r>
      <w:r>
        <w:rPr>
          <w:rFonts w:ascii="Times New Roman" w:cs="Times New Roman" w:eastAsia="Times New Roman" w:hAnsi="Times New Roman"/>
          <w:sz w:val="17"/>
          <w:szCs w:val="17"/>
          <w:color w:val="auto"/>
        </w:rPr>
        <w:t xml:space="preserve"> The Adviser and its subsidiaries possess all licenses, certificates, permits and other authorizations issued by, and have 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22" w:name="page23"/>
    <w:bookmarkEnd w:id="22"/>
    <w:p>
      <w:pPr>
        <w:ind w:left="4" w:right="28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w:t>
      </w: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Registration Statement, Pricing 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72" w:lineRule="exact"/>
        <w:rPr>
          <w:sz w:val="20"/>
          <w:szCs w:val="20"/>
          <w:color w:val="auto"/>
        </w:rPr>
      </w:pPr>
    </w:p>
    <w:p>
      <w:pPr>
        <w:ind w:left="4" w:right="200" w:firstLine="423"/>
        <w:spacing w:after="0" w:line="267"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 contemplated in the Pricing Disclosure Package, the Prospectus, and under this Agreement, the Investment Management Agreement and the Administration Agreement.</w:t>
      </w:r>
    </w:p>
    <w:p>
      <w:pPr>
        <w:spacing w:after="0" w:line="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w:t>
      </w:r>
    </w:p>
    <w:p>
      <w:pPr>
        <w:spacing w:after="0" w:line="29" w:lineRule="exact"/>
        <w:rPr>
          <w:sz w:val="20"/>
          <w:szCs w:val="20"/>
          <w:color w:val="auto"/>
        </w:rPr>
      </w:pPr>
    </w:p>
    <w:p>
      <w:pPr>
        <w:ind w:left="4" w:hanging="4"/>
        <w:spacing w:after="0" w:line="252"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78" w:lineRule="exact"/>
        <w:rPr>
          <w:sz w:val="20"/>
          <w:szCs w:val="20"/>
          <w:color w:val="auto"/>
        </w:rPr>
      </w:pPr>
    </w:p>
    <w:p>
      <w:pPr>
        <w:jc w:val="both"/>
        <w:ind w:left="4" w:right="120" w:firstLine="423"/>
        <w:spacing w:after="0" w:line="273"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i w:val="1"/>
          <w:iCs w:val="1"/>
          <w:color w:val="auto"/>
        </w:rPr>
        <w:t>No Unlawful Payments.</w:t>
      </w:r>
      <w:r>
        <w:rPr>
          <w:rFonts w:ascii="Times New Roman" w:cs="Times New Roman" w:eastAsia="Times New Roman" w:hAnsi="Times New Roman"/>
          <w:sz w:val="17"/>
          <w:szCs w:val="17"/>
          <w:color w:val="auto"/>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w:t>
      </w:r>
    </w:p>
    <w:p>
      <w:pPr>
        <w:spacing w:after="0" w:line="1" w:lineRule="exact"/>
        <w:rPr>
          <w:sz w:val="20"/>
          <w:szCs w:val="20"/>
          <w:color w:val="auto"/>
        </w:rPr>
      </w:pPr>
    </w:p>
    <w:p>
      <w:pPr>
        <w:ind w:left="4" w:hanging="4"/>
        <w:spacing w:after="0" w:line="252"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78" w:lineRule="exact"/>
        <w:rPr>
          <w:sz w:val="20"/>
          <w:szCs w:val="20"/>
          <w:color w:val="auto"/>
        </w:rPr>
      </w:pPr>
    </w:p>
    <w:p>
      <w:pPr>
        <w:ind w:left="4" w:right="80" w:firstLine="423"/>
        <w:spacing w:after="0" w:line="258"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 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68" w:right="459" w:bottom="1440" w:gutter="0" w:footer="0" w:header="0"/>
        </w:sectPr>
      </w:pPr>
    </w:p>
    <w:bookmarkStart w:id="23" w:name="page24"/>
    <w:bookmarkEnd w:id="23"/>
    <w:p>
      <w:pPr>
        <w:ind w:right="60" w:firstLine="423"/>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  </w:t>
      </w: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xml:space="preserve"> Neither the Adviser nor any of its subsidiaries, directors, officers or employees, nor, to the knowledge 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4" w:lineRule="exact"/>
        <w:rPr>
          <w:sz w:val="20"/>
          <w:szCs w:val="20"/>
          <w:color w:val="auto"/>
        </w:rPr>
      </w:pPr>
    </w:p>
    <w:p>
      <w:pPr>
        <w:ind w:right="260" w:firstLine="423"/>
        <w:spacing w:after="0" w:line="267"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xml:space="preserve"> The Adviser has not taken, directly or indirectly, without giving effect to any activities by the Underwriters, any action designed to or that would reasonably be expected to cause or result in any stabilization or manipulation of the price of the Securities.</w:t>
      </w:r>
    </w:p>
    <w:p>
      <w:pPr>
        <w:spacing w:after="0" w:line="65" w:lineRule="exact"/>
        <w:rPr>
          <w:sz w:val="20"/>
          <w:szCs w:val="20"/>
          <w:color w:val="auto"/>
        </w:rPr>
      </w:pPr>
    </w:p>
    <w:p>
      <w:pPr>
        <w:ind w:right="180" w:firstLine="423"/>
        <w:spacing w:after="0" w:line="281" w:lineRule="auto"/>
        <w:rPr>
          <w:sz w:val="20"/>
          <w:szCs w:val="20"/>
          <w:color w:val="auto"/>
        </w:rPr>
      </w:pPr>
      <w:r>
        <w:rPr>
          <w:rFonts w:ascii="Times New Roman" w:cs="Times New Roman" w:eastAsia="Times New Roman" w:hAnsi="Times New Roman"/>
          <w:sz w:val="17"/>
          <w:szCs w:val="17"/>
          <w:color w:val="auto"/>
        </w:rPr>
        <w:t xml:space="preserve">(r)  </w:t>
      </w:r>
      <w:r>
        <w:rPr>
          <w:rFonts w:ascii="Times New Roman" w:cs="Times New Roman" w:eastAsia="Times New Roman" w:hAnsi="Times New Roman"/>
          <w:sz w:val="17"/>
          <w:szCs w:val="17"/>
          <w:i w:val="1"/>
          <w:iCs w:val="1"/>
          <w:color w:val="auto"/>
        </w:rPr>
        <w:t>Key Employees.</w:t>
      </w:r>
      <w:r>
        <w:rPr>
          <w:rFonts w:ascii="Times New Roman" w:cs="Times New Roman" w:eastAsia="Times New Roman" w:hAnsi="Times New Roman"/>
          <w:sz w:val="17"/>
          <w:szCs w:val="17"/>
          <w:color w:val="auto"/>
        </w:rPr>
        <w:t xml:space="preserve"> 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56"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Required Filings.</w:t>
      </w:r>
      <w:r>
        <w:rPr>
          <w:rFonts w:ascii="Times New Roman" w:cs="Times New Roman" w:eastAsia="Times New Roman" w:hAnsi="Times New Roman"/>
          <w:sz w:val="18"/>
          <w:szCs w:val="18"/>
          <w:color w:val="auto"/>
        </w:rPr>
        <w:t xml:space="preserve"> The Company will file the final Prospectus with the Commission within the time periods specified by Rule 424(b) and Rule 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68" w:right="459" w:bottom="1440" w:gutter="0" w:footer="0" w:header="0"/>
        </w:sectPr>
      </w:pPr>
    </w:p>
    <w:bookmarkStart w:id="24" w:name="page25"/>
    <w:bookmarkEnd w:id="24"/>
    <w:p>
      <w:pPr>
        <w:ind w:left="4" w:right="2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Delivery of Copies.</w:t>
      </w:r>
      <w:r>
        <w:rPr>
          <w:rFonts w:ascii="Times New Roman" w:cs="Times New Roman" w:eastAsia="Times New Roman" w:hAnsi="Times New Roman"/>
          <w:sz w:val="18"/>
          <w:szCs w:val="18"/>
          <w:color w:val="auto"/>
        </w:rPr>
        <w:t xml:space="preserve"> The Company will deliver, without charge, (i) to the Representative, electronic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75" w:lineRule="exact"/>
        <w:rPr>
          <w:sz w:val="20"/>
          <w:szCs w:val="20"/>
          <w:color w:val="auto"/>
        </w:rPr>
      </w:pPr>
    </w:p>
    <w:p>
      <w:pPr>
        <w:ind w:left="4"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Amendments or Supplements.</w:t>
      </w:r>
      <w:r>
        <w:rPr>
          <w:rFonts w:ascii="Times New Roman" w:cs="Times New Roman" w:eastAsia="Times New Roman" w:hAnsi="Times New Roman"/>
          <w:sz w:val="18"/>
          <w:szCs w:val="18"/>
          <w:color w:val="auto"/>
        </w:rPr>
        <w:t xml:space="preserve"> Before using, authorizing, approving, referring to or filing any amendment or supplement to the Registration 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72" w:lineRule="exact"/>
        <w:rPr>
          <w:sz w:val="20"/>
          <w:szCs w:val="20"/>
          <w:color w:val="auto"/>
        </w:rPr>
      </w:pPr>
    </w:p>
    <w:p>
      <w:pPr>
        <w:ind w:left="4" w:right="40" w:firstLine="423"/>
        <w:spacing w:after="0" w:line="26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 the Representative and counsel for the Underwriters a copy of such materials for review and will not use, authorize, approve, refer to or distribute any such materials to which the Representative reasonably objects in a timely manner.</w:t>
      </w:r>
    </w:p>
    <w:p>
      <w:pPr>
        <w:spacing w:after="0" w:line="65"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color w:val="auto"/>
        </w:rPr>
        <w:t>Notice to the Representative.</w:t>
      </w:r>
      <w:r>
        <w:rPr>
          <w:rFonts w:ascii="Times New Roman" w:cs="Times New Roman" w:eastAsia="Times New Roman" w:hAnsi="Times New Roman"/>
          <w:sz w:val="17"/>
          <w:szCs w:val="17"/>
          <w:color w:val="auto"/>
        </w:rPr>
        <w:t xml:space="preserve"> The Company will advise the Representative promptly, and confirm such advice in writing, (i) when any 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w:t>
      </w:r>
    </w:p>
    <w:p>
      <w:pPr>
        <w:spacing w:after="0" w:line="4" w:lineRule="exact"/>
        <w:rPr>
          <w:sz w:val="20"/>
          <w:szCs w:val="20"/>
          <w:color w:val="auto"/>
        </w:rPr>
      </w:pPr>
    </w:p>
    <w:p>
      <w:pPr>
        <w:ind w:left="4" w:right="20" w:hanging="4"/>
        <w:spacing w:after="0" w:line="251"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w:t>
      </w:r>
    </w:p>
    <w:p>
      <w:pPr>
        <w:spacing w:after="0" w:line="12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4"/>
          </w:cols>
          <w:pgMar w:left="876" w:top="268" w:right="479" w:bottom="1440" w:gutter="0" w:footer="0" w:header="0"/>
        </w:sectPr>
      </w:pPr>
    </w:p>
    <w:bookmarkStart w:id="25" w:name="page26"/>
    <w:bookmarkEnd w:id="25"/>
    <w:p>
      <w:pPr>
        <w:ind w:left="4"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Prospectus or suspending any such qualification of the Securities and, if any such order is issued, will use commercially reasonable efforts to obtain as soon as possible the withdrawal thereof.</w:t>
      </w:r>
    </w:p>
    <w:p>
      <w:pPr>
        <w:spacing w:after="0" w:line="52" w:lineRule="exact"/>
        <w:rPr>
          <w:sz w:val="20"/>
          <w:szCs w:val="20"/>
          <w:color w:val="auto"/>
        </w:rPr>
      </w:pPr>
    </w:p>
    <w:p>
      <w:pPr>
        <w:ind w:left="4" w:firstLine="423"/>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87" w:lineRule="exact"/>
        <w:rPr>
          <w:sz w:val="20"/>
          <w:szCs w:val="20"/>
          <w:color w:val="auto"/>
        </w:rPr>
      </w:pPr>
    </w:p>
    <w:p>
      <w:pPr>
        <w:ind w:left="4" w:right="2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Blue Sky Compliance.</w:t>
      </w:r>
      <w:r>
        <w:rPr>
          <w:rFonts w:ascii="Times New Roman" w:cs="Times New Roman" w:eastAsia="Times New Roman" w:hAnsi="Times New Roman"/>
          <w:sz w:val="18"/>
          <w:szCs w:val="18"/>
          <w:color w:val="auto"/>
        </w:rPr>
        <w:t xml:space="preserve"> The Company will use commercially reasonable efforts, in cooperation with the Representative, to qualify the Securities for offer and sale under the securities or Blue Sky laws of such jurisdictions as the Representative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w:t>
      </w:r>
    </w:p>
    <w:p>
      <w:pPr>
        <w:spacing w:after="0" w:line="1" w:lineRule="exact"/>
        <w:rPr>
          <w:sz w:val="20"/>
          <w:szCs w:val="20"/>
          <w:color w:val="auto"/>
        </w:rPr>
      </w:pPr>
    </w:p>
    <w:p>
      <w:pPr>
        <w:ind w:left="4" w:right="80" w:hanging="4"/>
        <w:spacing w:after="0" w:line="255" w:lineRule="auto"/>
        <w:tabs>
          <w:tab w:leader="none" w:pos="2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6" w:lineRule="exact"/>
        <w:rPr>
          <w:sz w:val="20"/>
          <w:szCs w:val="20"/>
          <w:color w:val="auto"/>
        </w:rPr>
      </w:pPr>
    </w:p>
    <w:p>
      <w:pPr>
        <w:ind w:left="4"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Earning Statement.</w:t>
      </w:r>
      <w:r>
        <w:rPr>
          <w:rFonts w:ascii="Times New Roman" w:cs="Times New Roman" w:eastAsia="Times New Roman" w:hAnsi="Times New Roman"/>
          <w:sz w:val="18"/>
          <w:szCs w:val="18"/>
          <w:color w:val="auto"/>
        </w:rPr>
        <w:t xml:space="preserve"> 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the Company will be deemed to have complied with such requirement by filing such an earning statement on the Commission’s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Gathering, Analysis, and Retrieval system (or any successor system) (“EDGAR”).</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26" w:name="page27"/>
    <w:bookmarkEnd w:id="26"/>
    <w:p>
      <w:pPr>
        <w:ind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Times New Roman" w:cs="Times New Roman" w:eastAsia="Times New Roman" w:hAnsi="Times New Roman"/>
          <w:sz w:val="18"/>
          <w:szCs w:val="18"/>
          <w:i w:val="1"/>
          <w:iCs w:val="1"/>
          <w:color w:val="auto"/>
        </w:rPr>
        <w:t>Clear Market.</w:t>
      </w:r>
      <w:r>
        <w:rPr>
          <w:rFonts w:ascii="Times New Roman" w:cs="Times New Roman" w:eastAsia="Times New Roman" w:hAnsi="Times New Roman"/>
          <w:sz w:val="18"/>
          <w:szCs w:val="18"/>
          <w:color w:val="auto"/>
        </w:rPr>
        <w:t xml:space="preserve"> Through the Closing Date,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w:t>
      </w:r>
    </w:p>
    <w:p>
      <w:pPr>
        <w:spacing w:after="0" w:line="77" w:lineRule="exact"/>
        <w:rPr>
          <w:sz w:val="20"/>
          <w:szCs w:val="20"/>
          <w:color w:val="auto"/>
        </w:rPr>
      </w:pPr>
    </w:p>
    <w:p>
      <w:pPr>
        <w:ind w:right="220" w:firstLine="423"/>
        <w:spacing w:after="0" w:line="28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Securities in all material respects as described in the Pricing Disclosure Package and the Prospectus under the heading “Use of Proceeds.”</w:t>
      </w:r>
    </w:p>
    <w:p>
      <w:pPr>
        <w:spacing w:after="0" w:line="50" w:lineRule="exact"/>
        <w:rPr>
          <w:sz w:val="20"/>
          <w:szCs w:val="20"/>
          <w:color w:val="auto"/>
        </w:rPr>
      </w:pPr>
    </w:p>
    <w:p>
      <w:pPr>
        <w:ind w:right="20" w:firstLine="423"/>
        <w:spacing w:after="0" w:line="267"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xml:space="preserve"> The Company will not take, directly or indirectly, without giving effect to any activities by the Underwriters, any action designed, or that would reasonably be expected, to cause or result in any stabilization or manipulation of the price of the Securities.</w:t>
      </w:r>
    </w:p>
    <w:p>
      <w:pPr>
        <w:spacing w:after="0" w:line="65" w:lineRule="exact"/>
        <w:rPr>
          <w:sz w:val="20"/>
          <w:szCs w:val="20"/>
          <w:color w:val="auto"/>
        </w:rPr>
      </w:pPr>
    </w:p>
    <w:p>
      <w:pPr>
        <w:ind w:right="80" w:firstLine="423"/>
        <w:spacing w:after="0" w:line="258"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xml:space="preserve"> For a period of one year from the date of this Agreement, so long as the Securities are outstanding, the Company will furnish to the 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pacing w:after="0" w:line="75" w:lineRule="exact"/>
        <w:rPr>
          <w:sz w:val="20"/>
          <w:szCs w:val="20"/>
          <w:color w:val="auto"/>
        </w:rPr>
      </w:pPr>
    </w:p>
    <w:p>
      <w:pPr>
        <w:ind w:right="6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xml:space="preserve">. The Company, during a period of twelve months from the date of the Prospectus, will use commercially 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company with the approval of its Board of Directors and a vote of stockholders as required by Section 58 of the Investment Company Act.</w:t>
      </w:r>
    </w:p>
    <w:p>
      <w:pPr>
        <w:spacing w:after="0" w:line="75" w:lineRule="exact"/>
        <w:rPr>
          <w:sz w:val="20"/>
          <w:szCs w:val="20"/>
          <w:color w:val="auto"/>
        </w:rPr>
      </w:pPr>
    </w:p>
    <w:p>
      <w:pPr>
        <w:jc w:val="both"/>
        <w:ind w:right="360" w:firstLine="423"/>
        <w:spacing w:after="0" w:line="267"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xml:space="preserve"> The Company will use commercially reasonable efforts to maintain in effect its qualification and election to be treated as a regulated investment company under Subchapter M of the Code for each taxable year during which it is a business development company under the Investment Company Act.</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00"/>
          </w:cols>
          <w:pgMar w:left="880" w:top="268" w:right="519" w:bottom="1440" w:gutter="0" w:footer="0" w:header="0"/>
        </w:sectPr>
      </w:pPr>
    </w:p>
    <w:bookmarkStart w:id="27" w:name="page28"/>
    <w:bookmarkEnd w:id="27"/>
    <w:p>
      <w:pPr>
        <w:ind w:left="440" w:right="3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  </w:t>
      </w: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 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75"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Representative (i) it will not 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warrants and agrees that:</w:t>
      </w:r>
    </w:p>
    <w:p>
      <w:pPr>
        <w:spacing w:after="0" w:line="117" w:lineRule="exact"/>
        <w:rPr>
          <w:sz w:val="20"/>
          <w:szCs w:val="20"/>
          <w:color w:val="auto"/>
        </w:rPr>
      </w:pPr>
    </w:p>
    <w:p>
      <w:pPr>
        <w:jc w:val="both"/>
        <w:ind w:left="440" w:right="120" w:firstLine="423"/>
        <w:spacing w:after="0" w:line="261" w:lineRule="auto"/>
        <w:rPr>
          <w:sz w:val="20"/>
          <w:szCs w:val="20"/>
          <w:color w:val="auto"/>
        </w:rPr>
      </w:pPr>
      <w:r>
        <w:rPr>
          <w:rFonts w:ascii="Times New Roman" w:cs="Times New Roman" w:eastAsia="Times New Roman" w:hAnsi="Times New Roman"/>
          <w:sz w:val="18"/>
          <w:szCs w:val="18"/>
          <w:color w:val="auto"/>
        </w:rPr>
        <w:t>(a)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72" w:lineRule="exact"/>
        <w:rPr>
          <w:sz w:val="20"/>
          <w:szCs w:val="20"/>
          <w:color w:val="auto"/>
        </w:rPr>
      </w:pPr>
    </w:p>
    <w:p>
      <w:pPr>
        <w:ind w:left="440" w:right="340" w:firstLine="423"/>
        <w:spacing w:after="0" w:line="282" w:lineRule="auto"/>
        <w:rPr>
          <w:sz w:val="20"/>
          <w:szCs w:val="20"/>
          <w:color w:val="auto"/>
        </w:rPr>
      </w:pPr>
      <w:r>
        <w:rPr>
          <w:rFonts w:ascii="Times New Roman" w:cs="Times New Roman" w:eastAsia="Times New Roman" w:hAnsi="Times New Roman"/>
          <w:sz w:val="18"/>
          <w:szCs w:val="18"/>
          <w:color w:val="auto"/>
        </w:rPr>
        <w:t>(b)  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62" w:lineRule="exact"/>
        <w:rPr>
          <w:sz w:val="20"/>
          <w:szCs w:val="20"/>
          <w:color w:val="auto"/>
        </w:rPr>
      </w:pPr>
    </w:p>
    <w:p>
      <w:pPr>
        <w:ind w:right="4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u w:val="single" w:color="auto"/>
          <w:color w:val="auto"/>
        </w:rPr>
        <w:t>Conditions of Underwriters’ Obligations.</w:t>
      </w:r>
      <w:r>
        <w:rPr>
          <w:rFonts w:ascii="Times New Roman" w:cs="Times New Roman" w:eastAsia="Times New Roman" w:hAnsi="Times New Roman"/>
          <w:sz w:val="17"/>
          <w:szCs w:val="17"/>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30" w:lineRule="exact"/>
        <w:rPr>
          <w:sz w:val="20"/>
          <w:szCs w:val="20"/>
          <w:color w:val="auto"/>
        </w:rPr>
      </w:pPr>
    </w:p>
    <w:p>
      <w:pPr>
        <w:ind w:left="440" w:right="300" w:firstLine="423"/>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Registration Compliance; No Stop Order.</w:t>
      </w:r>
      <w:r>
        <w:rPr>
          <w:rFonts w:ascii="Times New Roman" w:cs="Times New Roman" w:eastAsia="Times New Roman" w:hAnsi="Times New Roman"/>
          <w:sz w:val="18"/>
          <w:szCs w:val="18"/>
          <w:color w:val="auto"/>
        </w:rPr>
        <w:t xml:space="preserve"> No order suspending the effectiveness of the Registration Statement or any post-effective amendment 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8" w:name="page29"/>
    <w:bookmarkEnd w:id="28"/>
    <w:p>
      <w:pPr>
        <w:ind w:left="4" w:right="300" w:firstLine="423"/>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The representations and warranties of the Company and the Adviser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spacing w:after="0" w:line="65" w:lineRule="exact"/>
        <w:rPr>
          <w:sz w:val="20"/>
          <w:szCs w:val="20"/>
          <w:color w:val="auto"/>
        </w:rPr>
      </w:pPr>
    </w:p>
    <w:p>
      <w:pPr>
        <w:ind w:left="4" w:right="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No event or condition of a type described in Section 3(g) and Section 4(a)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w:t>
      </w:r>
    </w:p>
    <w:p>
      <w:pPr>
        <w:spacing w:after="0" w:line="75" w:lineRule="exact"/>
        <w:rPr>
          <w:sz w:val="20"/>
          <w:szCs w:val="20"/>
          <w:color w:val="auto"/>
        </w:rPr>
      </w:pPr>
    </w:p>
    <w:p>
      <w:pPr>
        <w:ind w:left="4" w:right="80" w:firstLine="423"/>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Company’s Officer’s Certificate.</w:t>
      </w:r>
      <w:r>
        <w:rPr>
          <w:rFonts w:ascii="Times New Roman" w:cs="Times New Roman" w:eastAsia="Times New Roman" w:hAnsi="Times New Roman"/>
          <w:sz w:val="18"/>
          <w:szCs w:val="18"/>
          <w:color w:val="auto"/>
        </w:rPr>
        <w:t xml:space="preserve"> The Representative shall have received on and as of the Closing Date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w:t>
      </w:r>
    </w:p>
    <w:p>
      <w:pPr>
        <w:spacing w:after="0" w:line="1" w:lineRule="exact"/>
        <w:rPr>
          <w:sz w:val="20"/>
          <w:szCs w:val="20"/>
          <w:color w:val="auto"/>
        </w:rPr>
      </w:pPr>
    </w:p>
    <w:p>
      <w:pPr>
        <w:ind w:left="4" w:right="80" w:hanging="4"/>
        <w:spacing w:after="0" w:line="253" w:lineRule="auto"/>
        <w:tabs>
          <w:tab w:leader="none" w:pos="3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79" w:lineRule="exact"/>
        <w:rPr>
          <w:sz w:val="20"/>
          <w:szCs w:val="20"/>
          <w:color w:val="auto"/>
        </w:rPr>
      </w:pPr>
    </w:p>
    <w:p>
      <w:pPr>
        <w:ind w:left="4" w:right="180" w:firstLine="423"/>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Adviser’s Officer’s Certificate.</w:t>
      </w:r>
      <w:r>
        <w:rPr>
          <w:rFonts w:ascii="Times New Roman" w:cs="Times New Roman" w:eastAsia="Times New Roman" w:hAnsi="Times New Roman"/>
          <w:sz w:val="18"/>
          <w:szCs w:val="18"/>
          <w:color w:val="auto"/>
        </w:rPr>
        <w:t xml:space="preserve"> The Representative shall have received on and as of the Closing Date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(c) above.</w:t>
      </w:r>
    </w:p>
    <w:p>
      <w:pPr>
        <w:spacing w:after="0" w:line="75" w:lineRule="exact"/>
        <w:rPr>
          <w:sz w:val="20"/>
          <w:szCs w:val="20"/>
          <w:color w:val="auto"/>
        </w:rPr>
      </w:pPr>
    </w:p>
    <w:p>
      <w:pPr>
        <w:ind w:left="4" w:firstLine="423"/>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Comfort Letters.</w:t>
      </w:r>
      <w:r>
        <w:rPr>
          <w:rFonts w:ascii="Times New Roman" w:cs="Times New Roman" w:eastAsia="Times New Roman" w:hAnsi="Times New Roman"/>
          <w:sz w:val="18"/>
          <w:szCs w:val="18"/>
          <w:color w:val="auto"/>
        </w:rPr>
        <w:t xml:space="preserve"> On the date of this Agreement and on the Closing Date KPMG LLP 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4"/>
          </w:cols>
          <w:pgMar w:left="876" w:top="268" w:right="459" w:bottom="1440" w:gutter="0" w:footer="0" w:header="0"/>
        </w:sectPr>
      </w:pPr>
    </w:p>
    <w:bookmarkStart w:id="29" w:name="page30"/>
    <w:bookmarkEnd w:id="29"/>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 the Pricing Disclosure Package and the Prospectus; provided, that the letter delivered on the Closing Date shall use a “cut-off” date no more than three business days prior to the Closing Date.</w:t>
      </w:r>
    </w:p>
    <w:p>
      <w:pPr>
        <w:spacing w:after="0" w:line="52" w:lineRule="exact"/>
        <w:rPr>
          <w:sz w:val="20"/>
          <w:szCs w:val="20"/>
          <w:color w:val="auto"/>
        </w:rPr>
      </w:pPr>
    </w:p>
    <w:p>
      <w:pPr>
        <w:ind w:right="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Opinion and 10b-5 Statement of Counsel for the Company and Adviser.</w:t>
      </w:r>
      <w:r>
        <w:rPr>
          <w:rFonts w:ascii="Times New Roman" w:cs="Times New Roman" w:eastAsia="Times New Roman" w:hAnsi="Times New Roman"/>
          <w:sz w:val="18"/>
          <w:szCs w:val="18"/>
          <w:color w:val="auto"/>
        </w:rPr>
        <w:t xml:space="preserve"> Simpson Thacher &amp; Bartlett LLP, counsel for the Company and the Adviser, shall have furnished to the Representative, at the request of the Company and the Adviser, their written opinions and 10b-5 letter, dated the Closing Date and addressed to the Underwriters, in form and substance reasonably satisfactory to the Representative. Morris, Nichols, Arsht &amp; Tunnell LLP, Delaware counsel for the Adviser, shall have furnished to the Representative, at the request of the Adviser, their written opinion, dated the Closing Date and addressed to the 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w:t>
      </w:r>
    </w:p>
    <w:p>
      <w:pPr>
        <w:spacing w:after="0" w:line="75" w:lineRule="exact"/>
        <w:rPr>
          <w:sz w:val="20"/>
          <w:szCs w:val="20"/>
          <w:color w:val="auto"/>
        </w:rPr>
      </w:pPr>
    </w:p>
    <w:p>
      <w:pPr>
        <w:ind w:right="1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Opinion and 10b-5 Statement of Counsel for the Underwriters.</w:t>
      </w:r>
      <w:r>
        <w:rPr>
          <w:rFonts w:ascii="Times New Roman" w:cs="Times New Roman" w:eastAsia="Times New Roman" w:hAnsi="Times New Roman"/>
          <w:sz w:val="18"/>
          <w:szCs w:val="18"/>
          <w:color w:val="auto"/>
        </w:rPr>
        <w:t xml:space="preserve"> The Representative shall have received on and as of the Closing Date an 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72"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No Legal Impediment to Issuance.</w:t>
      </w:r>
      <w:r>
        <w:rPr>
          <w:rFonts w:ascii="Times New Roman" w:cs="Times New Roman" w:eastAsia="Times New Roman" w:hAnsi="Times New Roman"/>
          <w:sz w:val="18"/>
          <w:szCs w:val="18"/>
          <w:color w:val="auto"/>
        </w:rPr>
        <w:t xml:space="preserve"> No action shall have been taken and no statute, rule, regulation or order shall have been enacted, adopted or 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72" w:lineRule="exact"/>
        <w:rPr>
          <w:sz w:val="20"/>
          <w:szCs w:val="20"/>
          <w:color w:val="auto"/>
        </w:rPr>
      </w:pPr>
    </w:p>
    <w:p>
      <w:pPr>
        <w:ind w:right="300" w:firstLine="423"/>
        <w:spacing w:after="0" w:line="26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the Closing Date 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72" w:lineRule="exact"/>
        <w:rPr>
          <w:sz w:val="20"/>
          <w:szCs w:val="20"/>
          <w:color w:val="auto"/>
        </w:rPr>
      </w:pPr>
    </w:p>
    <w:p>
      <w:pPr>
        <w:ind w:right="100" w:firstLine="423"/>
        <w:spacing w:after="0" w:line="284"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Second Supplemental Indenture and Securities</w:t>
      </w:r>
      <w:r>
        <w:rPr>
          <w:rFonts w:ascii="Times New Roman" w:cs="Times New Roman" w:eastAsia="Times New Roman" w:hAnsi="Times New Roman"/>
          <w:sz w:val="18"/>
          <w:szCs w:val="18"/>
          <w:color w:val="auto"/>
        </w:rPr>
        <w:t>. On or prior to the Closing Date, the Company and the Trustee shall have executed and delivered the Second Supplemental Indenture and the Securities.</w:t>
      </w:r>
    </w:p>
    <w:p>
      <w:pPr>
        <w:spacing w:after="0" w:line="50"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30" w:name="page31"/>
    <w:bookmarkEnd w:id="30"/>
    <w:p>
      <w:pPr>
        <w:ind w:left="440"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under surveillance or review, or has changed its outlook with respect to, its rating of any such debt securities or preferred stock (other than an announcement with positive implications of a possible upgrading).</w:t>
      </w:r>
    </w:p>
    <w:p>
      <w:pPr>
        <w:spacing w:after="0" w:line="52" w:lineRule="exact"/>
        <w:rPr>
          <w:sz w:val="20"/>
          <w:szCs w:val="20"/>
          <w:color w:val="auto"/>
        </w:rPr>
      </w:pPr>
    </w:p>
    <w:p>
      <w:pPr>
        <w:ind w:left="440" w:right="720" w:firstLine="423"/>
        <w:spacing w:after="0" w:line="28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xml:space="preserve"> On or prior to the Closing Date, the Company shall have furnished to the Representative such further certificates and documents as the Representative may reasonably request.</w:t>
      </w:r>
    </w:p>
    <w:p>
      <w:pPr>
        <w:spacing w:after="0" w:line="16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40" w:firstLine="423"/>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Indemnification of the Underwriters.</w:t>
      </w:r>
      <w:r>
        <w:rPr>
          <w:rFonts w:ascii="Times New Roman" w:cs="Times New Roman" w:eastAsia="Times New Roman" w:hAnsi="Times New Roman"/>
          <w:sz w:val="18"/>
          <w:szCs w:val="18"/>
          <w:color w:val="auto"/>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88" w:lineRule="exact"/>
        <w:rPr>
          <w:sz w:val="20"/>
          <w:szCs w:val="20"/>
          <w:color w:val="auto"/>
        </w:rPr>
      </w:pPr>
    </w:p>
    <w:p>
      <w:pPr>
        <w:ind w:left="440" w:right="20" w:firstLine="423"/>
        <w:spacing w:after="0" w:line="25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Indemnification of the Company.</w:t>
      </w:r>
      <w:r>
        <w:rPr>
          <w:rFonts w:ascii="Times New Roman" w:cs="Times New Roman" w:eastAsia="Times New Roman" w:hAnsi="Times New Roman"/>
          <w:sz w:val="18"/>
          <w:szCs w:val="18"/>
          <w:color w:val="auto"/>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first and second sentences of the sixth paragraph and the information regarding stabilizing transactions contained in the first and second sentences of the eleventh paragraph, the first sentence of the twelfth paragraph and the second sentence of the thirteenth paragraph.</w:t>
      </w:r>
    </w:p>
    <w:p>
      <w:pPr>
        <w:spacing w:after="0" w:line="79" w:lineRule="exact"/>
        <w:rPr>
          <w:sz w:val="20"/>
          <w:szCs w:val="20"/>
          <w:color w:val="auto"/>
        </w:rPr>
      </w:pPr>
    </w:p>
    <w:p>
      <w:pPr>
        <w:ind w:firstLine="423"/>
        <w:spacing w:after="0" w:line="267"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Notice and Procedures.</w:t>
      </w:r>
      <w:r>
        <w:rPr>
          <w:rFonts w:ascii="Times New Roman" w:cs="Times New Roman" w:eastAsia="Times New Roman" w:hAnsi="Times New Roman"/>
          <w:sz w:val="17"/>
          <w:szCs w:val="17"/>
          <w:color w:val="auto"/>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w:t>
      </w:r>
    </w:p>
    <w:p>
      <w:pPr>
        <w:spacing w:after="0" w:line="3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70" w:right="459" w:bottom="1440" w:gutter="0" w:footer="0" w:header="0"/>
        </w:sectPr>
      </w:pPr>
    </w:p>
    <w:bookmarkStart w:id="32" w:name="page33"/>
    <w:bookmarkEnd w:id="32"/>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w:t>
      </w:r>
    </w:p>
    <w:p>
      <w:pPr>
        <w:spacing w:after="0" w:line="5" w:lineRule="exact"/>
        <w:rPr>
          <w:sz w:val="20"/>
          <w:szCs w:val="20"/>
          <w:color w:val="auto"/>
        </w:rPr>
      </w:pPr>
    </w:p>
    <w:p>
      <w:pPr>
        <w:ind w:left="4" w:right="420" w:hanging="4"/>
        <w:spacing w:after="0" w:line="265" w:lineRule="auto"/>
        <w:tabs>
          <w:tab w:leader="none" w:pos="26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statement as to or any admission of fault, culpability or a failure to act by or on behalf of any Indemnified Person.</w:t>
      </w:r>
    </w:p>
    <w:p>
      <w:pPr>
        <w:spacing w:after="0" w:line="97" w:lineRule="exact"/>
        <w:rPr>
          <w:sz w:val="20"/>
          <w:szCs w:val="20"/>
          <w:color w:val="auto"/>
        </w:rPr>
      </w:pPr>
    </w:p>
    <w:p>
      <w:pPr>
        <w:ind w:left="4" w:firstLine="423"/>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2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4"/>
          </w:cols>
          <w:pgMar w:left="876" w:top="270" w:right="479" w:bottom="1440" w:gutter="0" w:footer="0" w:header="0"/>
        </w:sectPr>
      </w:pPr>
    </w:p>
    <w:bookmarkStart w:id="33" w:name="page34"/>
    <w:bookmarkEnd w:id="33"/>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xml:space="preserve"> The Company and the Underwriters agree that it would not be just and equitable if contribution pursuant to 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82" w:lineRule="exact"/>
        <w:rPr>
          <w:sz w:val="20"/>
          <w:szCs w:val="20"/>
          <w:color w:val="auto"/>
        </w:rPr>
      </w:pPr>
    </w:p>
    <w:p>
      <w:pPr>
        <w:ind w:left="440" w:right="240" w:firstLine="423"/>
        <w:spacing w:after="0" w:line="28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Non-Exclusive Remedies.</w:t>
      </w:r>
      <w:r>
        <w:rPr>
          <w:rFonts w:ascii="Times New Roman" w:cs="Times New Roman" w:eastAsia="Times New Roman" w:hAnsi="Times New Roman"/>
          <w:sz w:val="18"/>
          <w:szCs w:val="18"/>
          <w:color w:val="auto"/>
        </w:rPr>
        <w:t xml:space="preserve"> The remedies provided for in this Section 8 paragraphs (a) through (e) are not exclusive and shall not limit any rights or remedies which may otherwise be available to any Indemnified Person at law or in equity.</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(a)  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8" w:right="45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84"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(b)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81" w:lineRule="exact"/>
        <w:rPr>
          <w:sz w:val="20"/>
          <w:szCs w:val="20"/>
          <w:color w:val="auto"/>
        </w:rPr>
      </w:pPr>
    </w:p>
    <w:p>
      <w:pPr>
        <w:ind w:right="80" w:firstLine="423"/>
        <w:spacing w:after="0" w:line="255" w:lineRule="auto"/>
        <w:rPr>
          <w:sz w:val="20"/>
          <w:szCs w:val="20"/>
          <w:color w:val="auto"/>
        </w:rPr>
      </w:pPr>
      <w:r>
        <w:rPr>
          <w:rFonts w:ascii="Times New Roman" w:cs="Times New Roman" w:eastAsia="Times New Roman" w:hAnsi="Times New Roman"/>
          <w:sz w:val="18"/>
          <w:szCs w:val="18"/>
          <w:color w:val="auto"/>
        </w:rPr>
        <w:t>(c)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81" w:lineRule="exact"/>
        <w:rPr>
          <w:sz w:val="20"/>
          <w:szCs w:val="20"/>
          <w:color w:val="auto"/>
        </w:rPr>
      </w:pPr>
    </w:p>
    <w:p>
      <w:pPr>
        <w:ind w:right="400" w:firstLine="423"/>
        <w:spacing w:after="0" w:line="282" w:lineRule="auto"/>
        <w:rPr>
          <w:sz w:val="20"/>
          <w:szCs w:val="20"/>
          <w:color w:val="auto"/>
        </w:rPr>
      </w:pPr>
      <w:r>
        <w:rPr>
          <w:rFonts w:ascii="Times New Roman" w:cs="Times New Roman" w:eastAsia="Times New Roman" w:hAnsi="Times New Roman"/>
          <w:sz w:val="18"/>
          <w:szCs w:val="18"/>
          <w:color w:val="auto"/>
        </w:rPr>
        <w:t>(d)  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the Preliminary Prospectus, any Pricing Disclosure Package, any Marketing Materials and the Prospectus (including all exhibits,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amendments and supplements thereto) and the distribution thereof; (iii) the fees and expenses of the Company’s counsel and independent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accountants; (iv) the reasonable and documented fees and expenses incurred in connection with the registration or qualification of the Securities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state or foreign securities or blue sky laws of such jurisdictions as the Representative may designate with the prior approval of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Company (such approval not to be unreasonably withheld, conditioned or delayed) (including the related reasonable and documented fees and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expenses of counsel for the Underwriters); (v) all filing fees and the reasonable fees and expenses incurred in connection with any filing with, and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clearance of the offering by, FINRA (such fees and expenses pursuant to this clause (v) and clause (iv), in the aggregate, shall not exceed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$15,000); (vi) all expenses incurred by the Company in connection with any “road show” presentation to potential investors,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that the Underwriters shall be responsible for 50% of the third party costs of any chartered private aircraft incurred in connection with such road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show; and (vii) the fees and expenses of the Trustee with respect to the Securities. It is, however, understood that except as provided in this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 or in Section 8 of this Agreement, the Underwriters shall pay all of their own costs and expenses, including, without limitation, the fees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 disbursements of their counsel, any advertising expenses connected with any offers they make and 50% of the third party costs of 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chartered private aircraft incurred in connection with the road show and all travel, lodging and other expenses of the Underwriters incurred by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them in connection with any road show.</w:t>
      </w:r>
    </w:p>
    <w:p>
      <w:pPr>
        <w:spacing w:after="0" w:line="99"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(b)  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6" w:name="page37"/>
    <w:bookmarkEnd w:id="36"/>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40" w:firstLine="423"/>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2"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440" w:right="20" w:firstLine="423"/>
        <w:spacing w:after="0" w:line="255" w:lineRule="auto"/>
        <w:rPr>
          <w:sz w:val="20"/>
          <w:szCs w:val="20"/>
          <w:color w:val="auto"/>
        </w:rPr>
      </w:pPr>
      <w:r>
        <w:rPr>
          <w:rFonts w:ascii="Times New Roman" w:cs="Times New Roman" w:eastAsia="Times New Roman" w:hAnsi="Times New Roman"/>
          <w:sz w:val="18"/>
          <w:szCs w:val="18"/>
          <w:color w:val="auto"/>
        </w:rPr>
        <w:t>(c)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and confirmed by any standard form of telecommunication. Notices to the Underwriters shall be given to the Representative c/o BofA Securities, Inc. 114 W 47th St., NY8-114-07-01, New York, New York 10036, Facsimile: (646) 855-5958 Attention: High Grade Transaction Management/Legal. Notices to the Company or the Adviser shall be given to either of them at Sixth Street Specialty Lending, Inc., 345 California Street, Suite 3300, San Francisco, California 94104 (fax: (415) 486-5929), Attention: Joshua Peck.</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37" w:name="page38"/>
    <w:bookmarkEnd w:id="37"/>
    <w:p>
      <w:pPr>
        <w:ind w:left="440" w:firstLine="423"/>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65" w:lineRule="exact"/>
        <w:rPr>
          <w:sz w:val="20"/>
          <w:szCs w:val="20"/>
          <w:color w:val="auto"/>
        </w:rPr>
      </w:pPr>
    </w:p>
    <w:p>
      <w:pPr>
        <w:ind w:left="440" w:right="60" w:firstLine="423"/>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and any claim, controversy or dispute arising under or related to this Agreement shall be governed by and construed in accordance with the laws of the State of New York applicable to agreements made and to be performed in such state.</w:t>
      </w:r>
    </w:p>
    <w:p>
      <w:pPr>
        <w:spacing w:after="0" w:line="50" w:lineRule="exact"/>
        <w:rPr>
          <w:sz w:val="20"/>
          <w:szCs w:val="20"/>
          <w:color w:val="auto"/>
        </w:rPr>
      </w:pPr>
    </w:p>
    <w:p>
      <w:pPr>
        <w:jc w:val="both"/>
        <w:ind w:left="440" w:right="1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signed in one or more counterparts, each of which shall constitute an original and all of which together 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75" w:lineRule="exact"/>
        <w:rPr>
          <w:sz w:val="20"/>
          <w:szCs w:val="20"/>
          <w:color w:val="auto"/>
        </w:rPr>
      </w:pPr>
    </w:p>
    <w:p>
      <w:pPr>
        <w:ind w:left="440" w:right="220" w:firstLine="423"/>
        <w:spacing w:after="0" w:line="28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Amendments or Waivers.</w:t>
      </w:r>
      <w:r>
        <w:rPr>
          <w:rFonts w:ascii="Times New Roman" w:cs="Times New Roman" w:eastAsia="Times New Roman" w:hAnsi="Times New Roman"/>
          <w:sz w:val="18"/>
          <w:szCs w:val="18"/>
          <w:color w:val="auto"/>
        </w:rPr>
        <w:t xml:space="preserve"> No amendment or waiver of any provision of this Agreement, nor any consent or approval to any departure therefrom, shall in any event be effective unless the same shall be in writing and signed by the parties hereto.</w:t>
      </w:r>
    </w:p>
    <w:p>
      <w:pPr>
        <w:spacing w:after="0" w:line="50" w:lineRule="exact"/>
        <w:rPr>
          <w:sz w:val="20"/>
          <w:szCs w:val="20"/>
          <w:color w:val="auto"/>
        </w:rPr>
      </w:pPr>
    </w:p>
    <w:p>
      <w:pPr>
        <w:ind w:left="440" w:right="580" w:firstLine="423"/>
        <w:spacing w:after="0" w:line="28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xml:space="preserve"> The headings herein are included for convenience of reference only and are not intended to be part of, or to affect the meaning or interpretation of, this Agreement.</w:t>
      </w:r>
    </w:p>
    <w:p>
      <w:pPr>
        <w:spacing w:after="0" w:line="50" w:lineRule="exact"/>
        <w:rPr>
          <w:sz w:val="20"/>
          <w:szCs w:val="20"/>
          <w:color w:val="auto"/>
        </w:rPr>
      </w:pPr>
    </w:p>
    <w:p>
      <w:pPr>
        <w:jc w:val="both"/>
        <w:ind w:left="440" w:right="20" w:firstLine="423"/>
        <w:spacing w:after="0" w:line="26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Authority of the Representative</w:t>
      </w:r>
      <w:r>
        <w:rPr>
          <w:rFonts w:ascii="Times New Roman" w:cs="Times New Roman" w:eastAsia="Times New Roman" w:hAnsi="Times New Roman"/>
          <w:sz w:val="18"/>
          <w:szCs w:val="18"/>
          <w:color w:val="auto"/>
        </w:rPr>
        <w:t>. The Representative is duly authorized to act hereunder on behalf of the other Underwriters. Any action by the Underwriters hereunder may be taken by the Representative on behalf of the Underwriters, and any such action taken by the Representative shall be binding on all the Underwriters.</w:t>
      </w:r>
    </w:p>
    <w:p>
      <w:pPr>
        <w:spacing w:after="0" w:line="17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 below.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8" w:right="459"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By: </w:t>
        <w:tab/>
        <w:t>/s/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486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SIXTH STREET SPECIALTY LENDING ADVISERS,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By: </w:t>
        <w:tab/>
        <w:t>/s/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486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660"/>
          </w:cols>
          <w:pgMar w:left="1440" w:top="270" w:right="7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 in Schedule 1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By: </w:t>
        <w:tab/>
        <w:t>/s/ Zara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17145</wp:posOffset>
            </wp:positionV>
            <wp:extent cx="2459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Zara Kwan</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19"/>
          </w:cols>
          <w:pgMar w:left="440" w:top="270" w:right="1440" w:bottom="1440" w:gutter="0" w:footer="0" w:header="0"/>
          <w:type w:val="continuous"/>
        </w:sectPr>
      </w:pPr>
    </w:p>
    <w:bookmarkStart w:id="40" w:name="page41"/>
    <w:bookmarkEnd w:id="40"/>
    <w:p>
      <w:pPr>
        <w:ind w:left="10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Purchase Price for the Securities to be paid by the several Underwriters shall be 97.805% of the aggregate principal amount thereof.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3320" w:type="dxa"/>
            <w:vAlign w:val="bottom"/>
            <w:vMerge w:val="restart"/>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5400" w:type="dxa"/>
            <w:vAlign w:val="bottom"/>
          </w:tcPr>
          <w:p>
            <w:pPr>
              <w:spacing w:after="0"/>
              <w:rPr>
                <w:sz w:val="15"/>
                <w:szCs w:val="15"/>
                <w:color w:val="auto"/>
              </w:rPr>
            </w:pPr>
          </w:p>
        </w:tc>
        <w:tc>
          <w:tcPr>
            <w:tcW w:w="158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Securities to be Purchased</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Comerica Securities</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520" w:type="dxa"/>
            <w:vAlign w:val="bottom"/>
            <w:gridSpan w:val="2"/>
          </w:tcPr>
          <w:p>
            <w:pPr>
              <w:jc w:val="right"/>
              <w:ind w:right="3782"/>
              <w:spacing w:after="0"/>
              <w:rPr>
                <w:sz w:val="20"/>
                <w:szCs w:val="20"/>
                <w:color w:val="auto"/>
              </w:rPr>
            </w:pPr>
            <w:r>
              <w:rPr>
                <w:rFonts w:ascii="Times New Roman" w:cs="Times New Roman" w:eastAsia="Times New Roman" w:hAnsi="Times New Roman"/>
                <w:sz w:val="18"/>
                <w:szCs w:val="18"/>
                <w:color w:val="auto"/>
              </w:rPr>
              <w:t>S-1-1</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52" w:lineRule="exact"/>
        <w:rPr>
          <w:sz w:val="20"/>
          <w:szCs w:val="20"/>
          <w:color w:val="auto"/>
        </w:rPr>
      </w:pPr>
    </w:p>
    <w:p>
      <w:pPr>
        <w:ind w:left="424" w:right="78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February 18, 2025, containing the terms governing the Securities, substantially in the form of Annex A to this Agreement, filed with the Commission on February 18, 2025 pursuant to Rule 433.</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24"/>
          </w:cols>
          <w:pgMar w:left="436" w:top="270"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52"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SPV,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Holding,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Sub, LLC</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24"/>
          </w:cols>
          <w:pgMar w:left="436" w:top="270"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right"/>
        <w:ind w:left="5480"/>
        <w:spacing w:after="0" w:line="266" w:lineRule="auto"/>
        <w:rPr>
          <w:sz w:val="20"/>
          <w:szCs w:val="20"/>
          <w:color w:val="auto"/>
        </w:rPr>
      </w:pPr>
      <w:r>
        <w:rPr>
          <w:rFonts w:ascii="Times New Roman" w:cs="Times New Roman" w:eastAsia="Times New Roman" w:hAnsi="Times New Roman"/>
          <w:sz w:val="18"/>
          <w:szCs w:val="18"/>
          <w:color w:val="auto"/>
        </w:rPr>
        <w:t>Issuer Free Writing Prospectus dated February 18, 2025 Relating to Preliminary Prospectus Supplement dated February 18, 2025 and Prospectus dated December 22, 2023 (Registration No. 333-276252)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5.625% Notes due 2030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18, 2025</w:t>
      </w:r>
    </w:p>
    <w:p>
      <w:pPr>
        <w:spacing w:after="0" w:line="207"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following sets forth the final terms of the 5.625% Notes due 2030 and should only be read together with the preliminary prospectus supplement dated February 18, 2025, together with the accompanying prospectus dated December 22,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66" w:right="4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7"/>
          <w:szCs w:val="17"/>
          <w:color w:val="auto"/>
        </w:rPr>
        <w:t>Sixth Street Specialty Lending, Inc. (the “Issuer”)</w:t>
      </w:r>
    </w:p>
    <w:p>
      <w:pPr>
        <w:spacing w:after="0" w:line="128"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5.625% Notes due 2030</w:t>
      </w:r>
    </w:p>
    <w:p>
      <w:pPr>
        <w:spacing w:after="0" w:line="129"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(Moody’s/S&amp;P/Fitch)*: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Baa2/BBB-/BBB</w:t>
      </w:r>
    </w:p>
    <w:p>
      <w:pPr>
        <w:spacing w:after="0" w:line="129"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$300,000,000</w:t>
      </w:r>
    </w:p>
    <w:p>
      <w:pPr>
        <w:spacing w:after="0" w:line="129"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August 15, 2030, unless earlier repurchased or redeemed</w:t>
      </w:r>
    </w:p>
    <w:p>
      <w:pPr>
        <w:spacing w:after="0" w:line="129"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18, 2025</w:t>
      </w:r>
    </w:p>
    <w:p>
      <w:pPr>
        <w:spacing w:after="0" w:line="129"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 (Issue Price):</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98.805% of their principal amount, plus accrued interest, if any, from February 25, 2025.</w:t>
      </w:r>
    </w:p>
    <w:p>
      <w:pPr>
        <w:spacing w:after="0" w:line="54"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5.625%</w:t>
      </w:r>
    </w:p>
    <w:p>
      <w:pPr>
        <w:spacing w:after="0" w:line="117"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5.884%</w:t>
      </w:r>
    </w:p>
    <w:p>
      <w:pPr>
        <w:spacing w:after="0" w:line="117"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T+150 bps</w:t>
      </w:r>
    </w:p>
    <w:p>
      <w:pPr>
        <w:spacing w:after="0" w:line="117"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4.250% due January 31, 2030</w:t>
      </w:r>
    </w:p>
    <w:p>
      <w:pPr>
        <w:spacing w:after="0" w:line="129"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99-13 / 4.384%</w:t>
      </w:r>
    </w:p>
    <w:p>
      <w:pPr>
        <w:spacing w:after="0" w:line="117"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15 and August 15, commencing August 15, 2025</w:t>
      </w:r>
    </w:p>
    <w:p>
      <w:pPr>
        <w:spacing w:after="0" w:line="129"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Prior to July 15, 2030 (the date falling one month prior to the maturity date of the Notes) (the “Par Call Date”), the Issuer may redeem some or all of the Notes at any time, or from time to time, at a redemption price equal to the greater of the following amounts, plus, in each case, accrued and unpaid interest thereon to the redemption date:</w:t>
      </w:r>
    </w:p>
    <w:p>
      <w:pPr>
        <w:spacing w:after="0" w:line="85" w:lineRule="exact"/>
        <w:rPr>
          <w:sz w:val="20"/>
          <w:szCs w:val="20"/>
          <w:color w:val="auto"/>
        </w:rPr>
      </w:pPr>
    </w:p>
    <w:p>
      <w:pPr>
        <w:sectPr>
          <w:pgSz w:w="11900" w:h="16838" w:orient="portrait"/>
          <w:cols w:equalWidth="0" w:num="2">
            <w:col w:w="3060" w:space="720"/>
            <w:col w:w="7240"/>
          </w:cols>
          <w:pgMar w:left="440" w:top="266" w:right="43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280" w:hanging="26"/>
        <w:spacing w:after="0" w:line="282" w:lineRule="auto"/>
        <w:rPr>
          <w:sz w:val="20"/>
          <w:szCs w:val="20"/>
          <w:color w:val="auto"/>
        </w:rPr>
      </w:pPr>
      <w:r>
        <w:rPr>
          <w:rFonts w:ascii="Times New Roman" w:cs="Times New Roman" w:eastAsia="Times New Roman" w:hAnsi="Times New Roman"/>
          <w:sz w:val="18"/>
          <w:szCs w:val="18"/>
          <w:color w:val="auto"/>
        </w:rPr>
        <w:t> (a) the sum of the present values of the remaining scheduled payments of principal and interest thereon, discounted to the</w:t>
      </w:r>
    </w:p>
    <w:p>
      <w:pPr>
        <w:sectPr>
          <w:pgSz w:w="11900" w:h="16838" w:orient="portrait"/>
          <w:cols w:equalWidth="0" w:num="2">
            <w:col w:w="4340" w:space="160"/>
            <w:col w:w="6520"/>
          </w:cols>
          <w:pgMar w:left="440" w:top="266" w:right="439" w:bottom="1440" w:gutter="0" w:footer="0" w:header="0"/>
          <w:type w:val="continuous"/>
        </w:sectPr>
      </w:pPr>
    </w:p>
    <w:bookmarkStart w:id="44" w:name="page45"/>
    <w:bookmarkEnd w:id="44"/>
    <w:p>
      <w:pPr>
        <w:ind w:left="378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date (assuming the Notes matured on the Par Call Date) on a semi-annual basis (assuming a 360-day year consisting of twelve 30-day months) at the Treasury Rate plus 25 basis points less (b) interest accrued to the date of redemption; and</w:t>
      </w:r>
    </w:p>
    <w:p>
      <w:pPr>
        <w:sectPr>
          <w:pgSz w:w="11900" w:h="16838" w:orient="portrait"/>
          <w:cols w:equalWidth="0" w:num="1">
            <w:col w:w="10984"/>
          </w:cols>
          <w:pgMar w:left="436" w:top="270" w:right="479" w:bottom="1440" w:gutter="0" w:footer="0" w:header="0"/>
        </w:sectPr>
      </w:pPr>
    </w:p>
    <w:p>
      <w:pPr>
        <w:spacing w:after="0" w:line="81" w:lineRule="exact"/>
        <w:rPr>
          <w:sz w:val="20"/>
          <w:szCs w:val="20"/>
          <w:color w:val="auto"/>
        </w:rPr>
      </w:pPr>
    </w:p>
    <w:p>
      <w:pPr>
        <w:ind w:left="4224"/>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 100% of the principal amount of the Notes to be redeemed;</w:t>
      </w:r>
    </w:p>
    <w:p>
      <w:pPr>
        <w:spacing w:after="0" w:line="140" w:lineRule="exact"/>
        <w:rPr>
          <w:sz w:val="20"/>
          <w:szCs w:val="20"/>
          <w:color w:val="auto"/>
        </w:rPr>
      </w:pPr>
    </w:p>
    <w:p>
      <w:pPr>
        <w:sectPr>
          <w:pgSz w:w="11900" w:h="16838" w:orient="portrait"/>
          <w:cols w:equalWidth="0" w:num="2">
            <w:col w:w="4344" w:space="120"/>
            <w:col w:w="6520"/>
          </w:cols>
          <w:pgMar w:left="436" w:top="270" w:right="479" w:bottom="1440" w:gutter="0" w:footer="0" w:header="0"/>
          <w:type w:val="continuous"/>
        </w:sectPr>
      </w:pPr>
    </w:p>
    <w:p>
      <w:pPr>
        <w:ind w:left="3784" w:right="3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Issuer redeems any Notes on or after the Par Call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price for the Notes will be equal to 100% of the principal amount of the Notes to be redeemed, plus accrued and unpaid interest thereon to the date of redemption.</w:t>
      </w:r>
    </w:p>
    <w:p>
      <w:pPr>
        <w:sectPr>
          <w:pgSz w:w="11900" w:h="16838" w:orient="portrait"/>
          <w:cols w:equalWidth="0" w:num="1">
            <w:col w:w="10984"/>
          </w:cols>
          <w:pgMar w:left="436" w:top="270" w:right="479" w:bottom="1440" w:gutter="0" w:footer="0" w:header="0"/>
          <w:type w:val="continuous"/>
        </w:sectPr>
      </w:pP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68" w:lineRule="exact"/>
        <w:rPr>
          <w:sz w:val="20"/>
          <w:szCs w:val="20"/>
          <w:color w:val="auto"/>
        </w:rPr>
      </w:pPr>
    </w:p>
    <w:p>
      <w:pPr>
        <w:sectPr>
          <w:pgSz w:w="11900" w:h="16838" w:orient="portrait"/>
          <w:cols w:equalWidth="0" w:num="2">
            <w:col w:w="3064" w:space="720"/>
            <w:col w:w="720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25, 2025 (T+5)</w:t>
      </w:r>
    </w:p>
    <w:p>
      <w:pPr>
        <w:spacing w:after="0" w:line="129" w:lineRule="exact"/>
        <w:rPr>
          <w:sz w:val="20"/>
          <w:szCs w:val="20"/>
          <w:color w:val="auto"/>
        </w:rPr>
      </w:pPr>
    </w:p>
    <w:p>
      <w:pPr>
        <w:sectPr>
          <w:pgSz w:w="11900" w:h="16838" w:orient="portrait"/>
          <w:cols w:equalWidth="0" w:num="2">
            <w:col w:w="3064" w:space="720"/>
            <w:col w:w="720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3064" w:space="720"/>
            <w:col w:w="720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83012AAD1</w:t>
      </w:r>
    </w:p>
    <w:p>
      <w:pPr>
        <w:spacing w:after="0" w:line="129" w:lineRule="exact"/>
        <w:rPr>
          <w:sz w:val="20"/>
          <w:szCs w:val="20"/>
          <w:color w:val="auto"/>
        </w:rPr>
      </w:pPr>
    </w:p>
    <w:p>
      <w:pPr>
        <w:sectPr>
          <w:pgSz w:w="11900" w:h="16838" w:orient="portrait"/>
          <w:cols w:equalWidth="0" w:num="2">
            <w:col w:w="3064" w:space="720"/>
            <w:col w:w="720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US83012AAD19</w:t>
      </w:r>
    </w:p>
    <w:p>
      <w:pPr>
        <w:spacing w:after="0" w:line="128" w:lineRule="exact"/>
        <w:rPr>
          <w:sz w:val="20"/>
          <w:szCs w:val="20"/>
          <w:color w:val="auto"/>
        </w:rPr>
      </w:pPr>
    </w:p>
    <w:p>
      <w:pPr>
        <w:sectPr>
          <w:pgSz w:w="11900" w:h="16838" w:orient="portrait"/>
          <w:cols w:equalWidth="0" w:num="2">
            <w:col w:w="3064" w:space="720"/>
            <w:col w:w="720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112" w:lineRule="exact"/>
        <w:rPr>
          <w:sz w:val="20"/>
          <w:szCs w:val="20"/>
          <w:color w:val="auto"/>
        </w:rPr>
      </w:pPr>
    </w:p>
    <w:p>
      <w:pPr>
        <w:sectPr>
          <w:pgSz w:w="11900" w:h="16838" w:orient="portrait"/>
          <w:cols w:equalWidth="0" w:num="2">
            <w:col w:w="3064" w:space="720"/>
            <w:col w:w="720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Raymond James &amp; Associates,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200" w:lineRule="exact"/>
        <w:rPr>
          <w:sz w:val="20"/>
          <w:szCs w:val="20"/>
          <w:color w:val="auto"/>
        </w:rPr>
      </w:pPr>
    </w:p>
    <w:p>
      <w:pPr>
        <w:sectPr>
          <w:pgSz w:w="11900" w:h="16838" w:orient="portrait"/>
          <w:cols w:equalWidth="0" w:num="2">
            <w:col w:w="3064" w:space="720"/>
            <w:col w:w="7200"/>
          </w:cols>
          <w:pgMar w:left="436" w:top="270" w:right="479" w:bottom="1440" w:gutter="0" w:footer="0" w:header="0"/>
          <w:type w:val="continuous"/>
        </w:sectPr>
      </w:pPr>
    </w:p>
    <w:p>
      <w:pPr>
        <w:spacing w:after="0" w:line="47"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131" w:lineRule="exact"/>
        <w:rPr>
          <w:sz w:val="20"/>
          <w:szCs w:val="20"/>
          <w:color w:val="auto"/>
        </w:rPr>
      </w:pPr>
    </w:p>
    <w:p>
      <w:pPr>
        <w:ind w:left="424" w:hanging="424"/>
        <w:spacing w:after="0" w:line="25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that delivery of the Notes will be made to investors on or about February 25, 2025, which will be the fifth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business day should consult their advisors.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0984"/>
          </w:cols>
          <w:pgMar w:left="436" w:top="270" w:right="479" w:bottom="1440" w:gutter="0" w:footer="0" w:header="0"/>
          <w:type w:val="continuous"/>
        </w:sectPr>
      </w:pPr>
    </w:p>
    <w:bookmarkStart w:id="45" w:name="page46"/>
    <w:bookmarkEnd w:id="45"/>
    <w:p>
      <w:pPr>
        <w:ind w:left="424" w:right="100" w:hanging="424"/>
        <w:spacing w:after="0" w:line="25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79"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75"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2"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calling BofA Securities, Inc. at 1-800-294-1322.</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04"/>
          </w:cols>
          <w:pgMar w:left="436" w:top="270" w:right="4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9"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THIS SECOND SUPPLEMENTAL INDENTURE (this “Second Supplemental Indenture”), dated as of February 25, 2025, between Sixth Street Specialty Lending, Inc., a Delaware corporation (the “Company”), and U.S. Bank Trust Company, National Association, as trustee (the “Trustee”). All capitalized terms used herein shall have the meaning set forth in the Base Indenture (as defined below) unless otherwise defined herein.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The Company and the Trustee executed and delivered an Indenture, dated as of January 16, 2024 (the “Base Indenture” and, as supplemented by this Second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desires to issue and sell $300,000,000 aggregate principal amount of the Company’s 5.625% Notes due 2030 (the “Notes”).</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Sections 9.01(v) and 9.01(vii)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83"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ectPr>
          <w:pgSz w:w="11900" w:h="16838" w:orient="portrait"/>
          <w:cols w:equalWidth="0" w:num="1">
            <w:col w:w="11020"/>
          </w:cols>
          <w:pgMar w:left="440" w:top="117" w:right="439" w:bottom="1440" w:gutter="0" w:footer="0" w:header="0"/>
        </w:sectPr>
      </w:pPr>
    </w:p>
    <w:bookmarkStart w:id="47" w:name="page48"/>
    <w:bookmarkEnd w:id="47"/>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duly authorized the execution and delivery of this Second Supplemental Indenture to provide for the issuance of the Notes and all acts and things necessary to make this Second Supplemental Indenture a valid, binding, and legal obligation of the Company and to constitute a valid agreement of the Company, in accordance with its terms, have been done and performed.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Terms of the Notes</w:t>
      </w:r>
      <w:r>
        <w:rPr>
          <w:rFonts w:ascii="Times New Roman" w:cs="Times New Roman" w:eastAsia="Times New Roman" w:hAnsi="Times New Roman"/>
          <w:sz w:val="18"/>
          <w:szCs w:val="18"/>
          <w:color w:val="auto"/>
        </w:rPr>
        <w:t>. The following terms relating to the Notes are hereby established:</w:t>
      </w:r>
    </w:p>
    <w:p>
      <w:pPr>
        <w:spacing w:after="0" w:line="11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  The Notes shall constitute a series of Securities having the title “5.625% Notes due 2030” and shall be designated as Senior Securities under the Indenture. The Notes shall bear a CUSIP number of 83012AAD1 and an ISIN number of US83012AAD19.</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  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$300,000,000.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(i) be issued in a “qualified reopening” for U.S. Federal income tax purposes, with no more than a de minimis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188"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(c)  The entire Outstanding principal amount of the Notes shall be payable on August 15, 2030, unless earlier redeemed or repurchased in accordance with the provisions of this Second Supplemental Indenture.</w:t>
      </w:r>
    </w:p>
    <w:p>
      <w:pPr>
        <w:spacing w:after="0" w:line="162"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(d)  The rate at which the Notes shall bear interest shall be 5.625% per annum (the “Applicable Interest Rate”). The date from which interest shall accrue on the Notes shall be February 25, 2025, or the most recent Interest Payment Date to which interest has been paid or provided for; the Interest Payment Dates for the Notes shall be February 15 and August 15 of each year, commencing August 15, 2025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48" w:name="page49"/>
    <w:bookmarkEnd w:id="48"/>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will be the period from and including February 25, 2025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5:00 p.m. New York City time (the “close of business”) on the Regular Record Date for such interest, which shall be February 1 and August 1 (whether or not a Business Day), as the case may be, immediately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7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  The Notes shall be initially issuable in global form (each such Note, a “Global Note”). The Global Notes and the Trustee’s certificate of authentication thereon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Second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8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(f)  The Depositary Custodian for such Global Notes shall be the Trustee. The Security Registrar with respect to the Global Notes shall be the Trustee.</w:t>
      </w:r>
    </w:p>
    <w:p>
      <w:pPr>
        <w:spacing w:after="0" w:line="162"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(g)  The Notes shall be defeasible pursuant to Section 14.02 or Section 14.03 of the Base Indenture. Covenant defeasance contained in Section 14.03 of the Base Indenture shall apply to the covenants contained in Sections 10.06, 10.07 and 10.08 of the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   The Notes shall be redeemable pursuant to Section 11.01 of the Base Indenture and as follows:</w:t>
      </w:r>
    </w:p>
    <w:p>
      <w:pPr>
        <w:spacing w:after="0" w:line="117" w:lineRule="exact"/>
        <w:rPr>
          <w:sz w:val="20"/>
          <w:szCs w:val="20"/>
          <w:color w:val="auto"/>
        </w:rPr>
      </w:pPr>
    </w:p>
    <w:p>
      <w:pPr>
        <w:ind w:left="440" w:right="480" w:firstLine="952"/>
        <w:spacing w:after="0" w:line="266" w:lineRule="auto"/>
        <w:rPr>
          <w:sz w:val="20"/>
          <w:szCs w:val="20"/>
          <w:color w:val="auto"/>
        </w:rPr>
      </w:pPr>
      <w:r>
        <w:rPr>
          <w:rFonts w:ascii="Times New Roman" w:cs="Times New Roman" w:eastAsia="Times New Roman" w:hAnsi="Times New Roman"/>
          <w:sz w:val="18"/>
          <w:szCs w:val="18"/>
          <w:color w:val="auto"/>
        </w:rPr>
        <w:t>(i)  The Notes will be redeemable, in whole or in part, at any time, or from time to time, at the option of the Company, at a Redemption Price (expressed as a percentage of principal amount and rounded to three decimal places), prior to July 15, 2030 (the “</w:t>
      </w:r>
      <w:r>
        <w:rPr>
          <w:rFonts w:ascii="Times New Roman" w:cs="Times New Roman" w:eastAsia="Times New Roman" w:hAnsi="Times New Roman"/>
          <w:sz w:val="18"/>
          <w:szCs w:val="18"/>
          <w:u w:val="single" w:color="auto"/>
          <w:color w:val="auto"/>
        </w:rPr>
        <w:t>Par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equal to the greater of the following amounts, plus, in each case, accrued and unpaid interest thereon to the Redemption Date:</w:t>
      </w:r>
    </w:p>
    <w:p>
      <w:pPr>
        <w:spacing w:after="0" w:line="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(a)(1)the sum of the present values of the remaining scheduled payments of principal and interest thereon discounted to the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9" w:name="page50"/>
    <w:bookmarkEnd w:id="49"/>
    <w:p>
      <w:pPr>
        <w:ind w:left="2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Date (assuming the Notes matured on the Par Call Date) on a semi-annual basis (assuming a 360-day year consisting of twelve 30-day months) at the Treasury Rate plus 25 basis points less (2) interest accrued to the date of redemption; and</w:t>
      </w:r>
    </w:p>
    <w:p>
      <w:pPr>
        <w:spacing w:after="0" w:line="81" w:lineRule="exact"/>
        <w:rPr>
          <w:sz w:val="20"/>
          <w:szCs w:val="20"/>
          <w:color w:val="auto"/>
        </w:rPr>
      </w:pPr>
    </w:p>
    <w:p>
      <w:pPr>
        <w:ind w:left="2400" w:hanging="433"/>
        <w:spacing w:after="0"/>
        <w:tabs>
          <w:tab w:leader="none" w:pos="2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redeems any Notes on or after the Par Call Date, the Redemption Price for the Notes will be equal to 100%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of the Notes to be redeemed, plus accrued and unpaid interest thereon to the Redemption Date.</w:t>
      </w:r>
    </w:p>
    <w:p>
      <w:pPr>
        <w:spacing w:after="0" w:line="16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67" w:lineRule="exact"/>
        <w:rPr>
          <w:sz w:val="20"/>
          <w:szCs w:val="20"/>
          <w:color w:val="auto"/>
        </w:rPr>
      </w:pPr>
    </w:p>
    <w:p>
      <w:pPr>
        <w:ind w:left="2400" w:right="20" w:hanging="433"/>
        <w:spacing w:after="0" w:line="252" w:lineRule="auto"/>
        <w:tabs>
          <w:tab w:leader="none" w:pos="2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50" w:name="page51"/>
    <w:bookmarkEnd w:id="50"/>
    <w:p>
      <w:pPr>
        <w:ind w:left="2400" w:hanging="433"/>
        <w:spacing w:after="0" w:line="252" w:lineRule="auto"/>
        <w:tabs>
          <w:tab w:leader="none" w:pos="2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54" w:lineRule="exact"/>
        <w:rPr>
          <w:sz w:val="20"/>
          <w:szCs w:val="20"/>
          <w:color w:val="auto"/>
        </w:rPr>
      </w:pPr>
    </w:p>
    <w:p>
      <w:pPr>
        <w:ind w:left="440" w:right="120" w:firstLine="952"/>
        <w:spacing w:after="0" w:line="256" w:lineRule="auto"/>
        <w:rPr>
          <w:sz w:val="20"/>
          <w:szCs w:val="20"/>
          <w:color w:val="auto"/>
        </w:rPr>
      </w:pPr>
      <w:r>
        <w:rPr>
          <w:rFonts w:ascii="Times New Roman" w:cs="Times New Roman" w:eastAsia="Times New Roman" w:hAnsi="Times New Roman"/>
          <w:sz w:val="18"/>
          <w:szCs w:val="18"/>
          <w:color w:val="auto"/>
        </w:rPr>
        <w:t>(ii)  Notice of any redemption shall be mailed or electronically delivered (or otherwise transmitted in accordance with the depositary’s procedures) at least 10 days but not more than 60 days before the Redemption Date to each Holder of Notes to be redeemed,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79" w:lineRule="exact"/>
        <w:rPr>
          <w:sz w:val="20"/>
          <w:szCs w:val="20"/>
          <w:color w:val="auto"/>
        </w:rPr>
      </w:pPr>
    </w:p>
    <w:p>
      <w:pPr>
        <w:ind w:left="440" w:right="180" w:firstLine="952"/>
        <w:spacing w:after="0" w:line="282" w:lineRule="auto"/>
        <w:rPr>
          <w:sz w:val="20"/>
          <w:szCs w:val="20"/>
          <w:color w:val="auto"/>
        </w:rPr>
      </w:pPr>
      <w:r>
        <w:rPr>
          <w:rFonts w:ascii="Times New Roman" w:cs="Times New Roman" w:eastAsia="Times New Roman" w:hAnsi="Times New Roman"/>
          <w:sz w:val="18"/>
          <w:szCs w:val="18"/>
          <w:color w:val="auto"/>
        </w:rPr>
        <w:t>(iii)  Any exercise of the Company’s option to redeem the Notes will be done in compliance with the Investment Company Act, to the extent applicable.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1" w:name="page52"/>
    <w:bookmarkEnd w:id="51"/>
    <w:p>
      <w:pPr>
        <w:ind w:left="440" w:right="40" w:firstLine="95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81" w:lineRule="exact"/>
        <w:rPr>
          <w:sz w:val="20"/>
          <w:szCs w:val="20"/>
          <w:color w:val="auto"/>
        </w:rPr>
      </w:pPr>
    </w:p>
    <w:p>
      <w:pPr>
        <w:ind w:left="440" w:right="380" w:firstLine="952"/>
        <w:spacing w:after="0" w:line="282" w:lineRule="auto"/>
        <w:rPr>
          <w:sz w:val="20"/>
          <w:szCs w:val="20"/>
          <w:color w:val="auto"/>
        </w:rPr>
      </w:pPr>
      <w:r>
        <w:rPr>
          <w:rFonts w:ascii="Times New Roman" w:cs="Times New Roman" w:eastAsia="Times New Roman" w:hAnsi="Times New Roman"/>
          <w:sz w:val="18"/>
          <w:szCs w:val="18"/>
          <w:color w:val="auto"/>
        </w:rPr>
        <w:t>(v)  Unless the Company defaults in payment of the Redemption Price, on and after the Redemption Date, interest will cease to accrue on the Notes called for redemption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The Notes shall not be subject to any sinking fund pursuant to Section 12.01 of the Base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   The Notes shall be issuable in denominations of $2,000 and integral multiples of $1,000 in excess thereof.</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(k)  Holders of the Notes will not have the option to have the Notes repaid prior to the Stated Maturity other than in accordance with Article Thirteen of the Indenture.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6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2" w:name="page53"/>
    <w:bookmarkEnd w:id="52"/>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31" w:lineRule="exact"/>
        <w:rPr>
          <w:sz w:val="20"/>
          <w:szCs w:val="20"/>
          <w:color w:val="auto"/>
        </w:rPr>
      </w:pPr>
    </w:p>
    <w:p>
      <w:pPr>
        <w:ind w:left="960" w:right="40" w:hanging="532"/>
        <w:spacing w:after="0" w:line="258"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88" w:lineRule="exact"/>
        <w:rPr>
          <w:rFonts w:ascii="Times New Roman" w:cs="Times New Roman" w:eastAsia="Times New Roman" w:hAnsi="Times New Roman"/>
          <w:sz w:val="18"/>
          <w:szCs w:val="18"/>
          <w:color w:val="auto"/>
        </w:rPr>
      </w:pPr>
    </w:p>
    <w:p>
      <w:pPr>
        <w:jc w:val="both"/>
        <w:ind w:left="960" w:right="120" w:hanging="532"/>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corporate trust office of the Trustee, at which at any particular time its corporate trust business with respect to this Indenture shall be administered, which office is currently located at U.S. Bank Trust Company, National Association, 100 Wall St STE 600, New York, NY 10005.</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 or any successor thereto.</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53" w:name="page54"/>
    <w:bookmarkEnd w:id="53"/>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(i) the Company, (ii) one or more of the Company’s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Rating Agency</w:t>
      </w:r>
      <w:r>
        <w:rPr>
          <w:rFonts w:ascii="Times New Roman" w:cs="Times New Roman" w:eastAsia="Times New Roman" w:hAnsi="Times New Roman"/>
          <w:sz w:val="17"/>
          <w:szCs w:val="17"/>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Section 3.01. 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Section 5.01 of the Base Indenture shall be amended by replacing clause (viii) thereof with the following:</w:t>
      </w:r>
    </w:p>
    <w:p>
      <w:pPr>
        <w:spacing w:after="0" w:line="68"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color w:val="auto"/>
        </w:rPr>
        <w:t>“default by the Company or any of its Significant Subsidiaries, with respect to any mortgage, agreement or other instrument under which there may be outstanding, or by which there may be secured or evidenced, any indebtedness for money borrowed in excess of $100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Securities of any series then Outstanding.”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Section 4.01.  Neither the Trustee nor any Paying Agent shall be responsible (or liable) for determining whether any Change of Control or Below Investment Grade Rating Event has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54" w:name="page55"/>
    <w:bookmarkEnd w:id="5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4.02.  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Section 5.01. 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with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Section 18(a)(1)(A)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Securities are Outstanding, the Company will not violate, whether or not it is subject thereto, Section 18(a)(1)(A) as modified by Section 61(a) of the Investment Company Act or any successor provisions thereto of the Investment Company Act, but giving effect, in either case, to any exemptive relief granted to the Company by the Commission.”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13.01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written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spacing w:after="0" w:line="18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To the extent that the provisions of any securities laws or regulations conflict with this Section 13.01, the Company shall comply with the</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applicable securities laws and regulations and shall not be deemed to have breached its obligations under this Section 13.01 by virtue of such conflict.</w:t>
      </w:r>
    </w:p>
    <w:p>
      <w:pPr>
        <w:spacing w:after="0" w:line="21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Investment Company Act, the Company shall, to the extent lawful:</w:t>
      </w:r>
    </w:p>
    <w:p>
      <w:pPr>
        <w:spacing w:after="0" w:line="67"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130"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56" w:name="page57"/>
    <w:bookmarkEnd w:id="56"/>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7.01.  This Second Supplemental Indenture and the Notes shall be governed by and construed in accordance with the laws of the State of New York, without regard to principles of conflicts of laws that would cause the application of laws of another jurisdiction. This Second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Section 7.02.  In case any provision in this Second Supplemental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7.03.  This Second Supplemental Indenture may be executed in any number of counterparts, each of which will be an original, but such counterparts will together constitute but one and the same Second Supplemental Indenture. This Second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7.04.  The Base Indenture, as supplemented and amended by this Second Supplemental Indenture, is in all respects ratified and confirmed, and the Base Indenture and this Second Supplemental Indenture shall be read, taken and construed as one and the same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57" w:name="page58"/>
    <w:bookmarkEnd w:id="5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 with respect to the Notes. All provisions included in this Second Supplemental Indenture supersede any conflicting provisions included in the Base Indenture with respect to the Notes, unless not permitted by law. The Trustee accepts the trusts created by the Indenture, as supplemented by this Second Supplemental Indenture, and agrees to perform the same upon the terms and conditions of the Indenture, as supplemented by this Second Supplemental Indenture. All of the provisions contained in the Base Indenture in respect of the rights, privileges, protections, limitations of liability, indemnities, immunities, powers, and duties of the Trustee shall be applicable in respect of this Second Supplemental Indenture as fully and with like force and effect as though fully set forth in full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7.05.   The provisions of this Second Supplemental Indenture shall become effective as of the date hereof.</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Section 7.06.  Notwithstanding anything else to the contrary herein, the terms and provisions of this Second Supplemental Indenture shall apply only to the Notes and shall not apply to any other series of Securities under the Indenture and this Second Supplemental Indenture shall not and does not otherwise affect, modify, alter, supplement or change the terms and provisions of any other series of Securities under the Indenture, whether now or hereafter issued and Outstanding.</w:t>
      </w:r>
    </w:p>
    <w:p>
      <w:pPr>
        <w:spacing w:after="0" w:line="18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Section 6.07.  The recitals contained herein and in the Notes shall be taken as the statements of the Company, and the Trustee assumes no responsibility for their accuracy, completeness or correctness. The Trustee makes no representations as to and shall not be responsible or liable for the validity or sufficiency of this Second Supplemental Indenture, the Notes or any Additional Notes, except that the Trustee represents that it is duly authorized to execute and deliver this Second Supplemental Indenture, authenticate the Notes and any Additional Notes and perform its obligations hereunder. The Trustee shall not be responsible or liable for the use or application by the Company of the Notes or any Additional Notes or the proceeds thereof.</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6.08.  EACH OF THE COMPANY AND THE TRUSTEE HEREBY IRREVOCABLY WAIVES, TO THE FULLEST EXTENT PERMITTED BY APPLICABLE LAW, ANY AND ALL RIGHT TO TRIAL BY JURY IN ANY LEGAL PROCEEDING ARISING OUT OF OR RELATING TO THIS SECOND SUPPLEMENTAL INDENTURE, THE SECURITIES OR THE TRANSACTION CONTEMPLATED 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8" w:name="page59"/>
    <w:bookmarkEnd w:id="5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Second Supplemental Indenture to be duly executed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W. Hall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to Second Supplemental Indenture]</w:t>
      </w:r>
    </w:p>
    <w:p>
      <w:pPr>
        <w:sectPr>
          <w:pgSz w:w="11900" w:h="16838" w:orient="portrait"/>
          <w:cols w:equalWidth="0" w:num="1">
            <w:col w:w="10500"/>
          </w:cols>
          <w:pgMar w:left="440" w:top="270" w:right="95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 Form of Global Note</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ectPr>
          <w:pgSz w:w="11900" w:h="16838" w:orient="portrait"/>
          <w:cols w:equalWidth="0" w:num="1">
            <w:col w:w="10960"/>
          </w:cols>
          <w:pgMar w:left="440" w:top="266" w:right="499" w:bottom="1440" w:gutter="0" w:footer="0" w:header="0"/>
        </w:sectPr>
      </w:pP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 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Initially $300,000,000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83012AAD1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US83012AAD19</w:t>
      </w:r>
    </w:p>
    <w:p>
      <w:pPr>
        <w:spacing w:after="0" w:line="200" w:lineRule="exact"/>
        <w:rPr>
          <w:sz w:val="20"/>
          <w:szCs w:val="20"/>
          <w:color w:val="auto"/>
        </w:rPr>
      </w:pPr>
    </w:p>
    <w:p>
      <w:pPr>
        <w:sectPr>
          <w:pgSz w:w="11900" w:h="16838" w:orient="portrait"/>
          <w:cols w:equalWidth="0" w:num="2">
            <w:col w:w="8280" w:space="720"/>
            <w:col w:w="1960"/>
          </w:cols>
          <w:pgMar w:left="440" w:top="266" w:right="499" w:bottom="1440" w:gutter="0" w:footer="0" w:header="0"/>
          <w:type w:val="continuous"/>
        </w:sectPr>
      </w:pP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5.625% Notes due 2030</w:t>
      </w:r>
    </w:p>
    <w:p>
      <w:pPr>
        <w:sectPr>
          <w:pgSz w:w="11900" w:h="16838" w:orient="portrait"/>
          <w:cols w:equalWidth="0" w:num="1">
            <w:col w:w="10960"/>
          </w:cols>
          <w:pgMar w:left="440" w:top="266" w:right="499" w:bottom="1440" w:gutter="0" w:footer="0" w:header="0"/>
          <w:type w:val="continuous"/>
        </w:sectPr>
      </w:pPr>
    </w:p>
    <w:p>
      <w:pPr>
        <w:spacing w:after="0" w:line="23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Sixth Street Specialty Lending, Inc.,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THREE HUNDRED MILLION DOLLARS (U.S. $300,000,000), or such other principal sum as shall be set forth in the Schedule of Increases or Decreases attached hereto, on August 15, 2030, and to pay interest thereon from February 25, 2025 or from the most recent Interest Payment Date to which interest has been paid or duly provided for, semi-annually on February 15 and August 15 of each year, commencing August 15, 2025, at the rate of 5.625%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February 1 and August 1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w:t>
      </w:r>
    </w:p>
    <w:p>
      <w:pPr>
        <w:sectPr>
          <w:pgSz w:w="11900" w:h="16838" w:orient="portrait"/>
          <w:cols w:equalWidth="0" w:num="1">
            <w:col w:w="10960"/>
          </w:cols>
          <w:pgMar w:left="440" w:top="266" w:right="499" w:bottom="1440" w:gutter="0" w:footer="0" w:header="0"/>
          <w:type w:val="continuous"/>
        </w:sectPr>
      </w:pPr>
    </w:p>
    <w:bookmarkStart w:id="60" w:name="page61"/>
    <w:bookmarkEnd w:id="60"/>
    <w:p>
      <w:pPr>
        <w:ind w:right="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-7620</wp:posOffset>
            </wp:positionV>
            <wp:extent cx="6858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700"/>
          </w:cols>
          <w:pgMar w:left="880" w:top="270"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-7620</wp:posOffset>
            </wp:positionV>
            <wp:extent cx="6858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579"/>
          </w:cols>
          <w:pgMar w:left="880" w:top="270" w:right="1440"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NOTE]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5.625% Notes due 2030</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 Indenture, dated as of January 16, 2024 (herein called the “Base Indenture”, which term shall have the meaning assigned to it in such instrument), between the Company and U.S. Bank Trust Company,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Second Supplemental Indenture, relating to the Securities, dated as of February 25, 2025, by and between the Company and the Trustee (herein called the “Second Supplemental Indenture”; and together with the Base Indenture, the “Indenture”). In the event of any conflict between the Base Indenture and the Second Supplemental Indenture, the Second Supplemental Indenture shall govern and control.</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This Security is one of the series designated on the face hereof, initially limited in aggregate principal amount to $300,000,000.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8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subject to redemption in whole or in part, at any time, or from time to time, at the option of the Company, at a Redemption Price (expressed as a percentage of principal amount and rounded to three decimal places), prior to the Par Call Date, equal to the greater of the following amounts, plus, in each case, accrued and unpaid interest thereon to the Redemption Date:</w:t>
      </w:r>
    </w:p>
    <w:p>
      <w:pPr>
        <w:spacing w:after="0" w:line="81" w:lineRule="exact"/>
        <w:rPr>
          <w:sz w:val="20"/>
          <w:szCs w:val="20"/>
          <w:color w:val="auto"/>
        </w:rPr>
      </w:pPr>
    </w:p>
    <w:p>
      <w:pPr>
        <w:jc w:val="both"/>
        <w:ind w:left="1420" w:right="120" w:hanging="431"/>
        <w:spacing w:after="0" w:line="266" w:lineRule="auto"/>
        <w:rPr>
          <w:sz w:val="20"/>
          <w:szCs w:val="20"/>
          <w:color w:val="auto"/>
        </w:rPr>
      </w:pPr>
      <w:r>
        <w:rPr>
          <w:rFonts w:ascii="Times New Roman" w:cs="Times New Roman" w:eastAsia="Times New Roman" w:hAnsi="Times New Roman"/>
          <w:sz w:val="18"/>
          <w:szCs w:val="18"/>
          <w:color w:val="auto"/>
        </w:rPr>
        <w:t>(a)(i)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25 basis points less (i) interest accrued to the date of redemption; and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64" w:name="page65"/>
    <w:bookmarkEnd w:id="64"/>
    <w:p>
      <w:pPr>
        <w:ind w:left="1420" w:hanging="43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 of the principal amount of the Securities to be redeemed;</w:t>
      </w:r>
    </w:p>
    <w:p>
      <w:pPr>
        <w:spacing w:after="0" w:line="223"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Company redeems any Securities on or after the Par Call Date, the Redemption Price for the Securities will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of the principal amount of the Securities to be redeemed, plus accrued and unpaid interest thereon to the Redemption Date.</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112" w:lineRule="exact"/>
        <w:rPr>
          <w:sz w:val="20"/>
          <w:szCs w:val="20"/>
          <w:color w:val="auto"/>
        </w:rPr>
      </w:pPr>
    </w:p>
    <w:p>
      <w:pPr>
        <w:ind w:left="1420" w:hanging="439"/>
        <w:spacing w:after="0" w:line="25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w:t>
      </w:r>
    </w:p>
    <w:p>
      <w:pPr>
        <w:spacing w:after="0" w:line="101" w:lineRule="exact"/>
        <w:rPr>
          <w:rFonts w:ascii="Times New Roman" w:cs="Times New Roman" w:eastAsia="Times New Roman" w:hAnsi="Times New Roman"/>
          <w:sz w:val="18"/>
          <w:szCs w:val="18"/>
          <w:color w:val="auto"/>
        </w:rPr>
      </w:pPr>
    </w:p>
    <w:p>
      <w:pPr>
        <w:ind w:left="1420" w:right="120" w:hanging="439"/>
        <w:spacing w:after="0" w:line="254"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65" w:name="page66"/>
    <w:bookmarkEnd w:id="65"/>
    <w:p>
      <w:pPr>
        <w:ind w:left="98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Securities to be redeemed, at the Holder’s address appearing in the Security Register. All notices of redemption shall contain the information set forth in Section 11.04 of the Base Indenture.</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Investment Company Act, to the extent applicable.</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If the Company elects to redeem only a portion of the Securities, selection of the Securities for redemption shall be made pro rata, by lot or by such other method as the Trustee deems appropriate and fair with the prior written consent of the Company.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Euroclear or Clearstream (or another depositary), the redemption of the Securities shall be done in accordance with the policies and procedures of the depositary.</w:t>
      </w:r>
    </w:p>
    <w:p>
      <w:pPr>
        <w:spacing w:after="0" w:line="18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Holders will have the right to require the Company to repurchase their Securities upon the occurrence of a Change of Control Repurchase Event as set forth in the Indenture.</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6" w:name="page67"/>
    <w:bookmarkEnd w:id="6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and a responsible officer of the Trustee has received, written notice of, or a responsible officer of the Trustee has actual knowledge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(including attorneys’ fees and expenses), court costs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ninety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94"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7" w:name="page68"/>
    <w:bookmarkEnd w:id="6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68" w:name="page69"/>
    <w:bookmarkEnd w:id="68"/>
    <w:p>
      <w:pPr>
        <w:jc w:val="center"/>
        <w:ind w:right="-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17145</wp:posOffset>
            </wp:positionV>
            <wp:extent cx="34201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7064"/>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NSERT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SSIGNEE</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EGAL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AME</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471805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325755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5715</wp:posOffset>
            </wp:positionV>
            <wp:extent cx="57264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91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w:t>
      </w:r>
    </w:p>
    <w:p>
      <w:pPr>
        <w:spacing w:after="0" w:line="86" w:lineRule="exact"/>
        <w:rPr>
          <w:sz w:val="20"/>
          <w:szCs w:val="20"/>
          <w:color w:val="auto"/>
        </w:rPr>
      </w:pPr>
    </w:p>
    <w:p>
      <w:pPr>
        <w:ind w:left="7824"/>
        <w:spacing w:after="0"/>
        <w:rPr>
          <w:sz w:val="20"/>
          <w:szCs w:val="20"/>
          <w:color w:val="auto"/>
        </w:rPr>
      </w:pPr>
      <w:r>
        <w:rPr>
          <w:rFonts w:ascii="Times New Roman" w:cs="Times New Roman" w:eastAsia="Times New Roman" w:hAnsi="Times New Roman"/>
          <w:sz w:val="14"/>
          <w:szCs w:val="14"/>
          <w:color w:val="auto"/>
        </w:rPr>
        <w:t>(Sign exactly as your name appears on the face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4928870</wp:posOffset>
            </wp:positionH>
            <wp:positionV relativeFrom="paragraph">
              <wp:posOffset>-95885</wp:posOffset>
            </wp:positionV>
            <wp:extent cx="2065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ind w:left="7824"/>
        <w:spacing w:after="0"/>
        <w:rPr>
          <w:sz w:val="20"/>
          <w:szCs w:val="20"/>
          <w:color w:val="auto"/>
        </w:rPr>
      </w:pPr>
      <w:r>
        <w:rPr>
          <w:rFonts w:ascii="Times New Roman" w:cs="Times New Roman" w:eastAsia="Times New Roman" w:hAnsi="Times New Roman"/>
          <w:sz w:val="14"/>
          <w:szCs w:val="14"/>
          <w:color w:val="auto"/>
        </w:rPr>
        <w:t>Note)</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-7620</wp:posOffset>
            </wp:positionV>
            <wp:extent cx="9137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32" w:lineRule="exact"/>
        <w:rPr>
          <w:sz w:val="20"/>
          <w:szCs w:val="20"/>
          <w:color w:val="auto"/>
        </w:rPr>
      </w:pPr>
    </w:p>
    <w:p>
      <w:pPr>
        <w:ind w:left="5364" w:right="1560" w:hanging="5364"/>
        <w:spacing w:after="0" w:line="454" w:lineRule="auto"/>
        <w:tabs>
          <w:tab w:leader="none" w:pos="4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-10-</w:t>
      </w:r>
    </w:p>
    <w:p>
      <w:pPr>
        <w:sectPr>
          <w:pgSz w:w="11900" w:h="16838" w:orient="portrait"/>
          <w:cols w:equalWidth="0" w:num="1">
            <w:col w:w="10924"/>
          </w:cols>
          <w:pgMar w:left="436" w:top="270" w:right="539" w:bottom="1440" w:gutter="0" w:footer="0" w:header="0"/>
        </w:sectPr>
      </w:pPr>
    </w:p>
    <w:bookmarkStart w:id="69" w:name="page70"/>
    <w:bookmarkEnd w:id="69"/>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13.01 of the Indenture, check the box below:</w:t>
      </w:r>
    </w:p>
    <w:p>
      <w:pPr>
        <w:spacing w:after="0" w:line="225" w:lineRule="exact"/>
        <w:rPr>
          <w:sz w:val="20"/>
          <w:szCs w:val="20"/>
          <w:color w:val="auto"/>
        </w:rPr>
      </w:pPr>
    </w:p>
    <w:p>
      <w:pPr>
        <w:ind w:left="5344" w:hanging="214"/>
        <w:spacing w:after="0"/>
        <w:tabs>
          <w:tab w:leader="none" w:pos="5344"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13.01</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13.01 of the Indenture, state the amount you elect to have purchased:</w:t>
      </w:r>
    </w:p>
    <w:p>
      <w:pPr>
        <w:spacing w:after="0" w:line="162"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-7620</wp:posOffset>
            </wp:positionV>
            <wp:extent cx="6000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457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32" w:lineRule="exact"/>
        <w:rPr>
          <w:sz w:val="20"/>
          <w:szCs w:val="20"/>
          <w:color w:val="auto"/>
        </w:rPr>
      </w:pPr>
    </w:p>
    <w:p>
      <w:pPr>
        <w:ind w:left="58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4749165</wp:posOffset>
            </wp:positionH>
            <wp:positionV relativeFrom="paragraph">
              <wp:posOffset>17145</wp:posOffset>
            </wp:positionV>
            <wp:extent cx="22459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 w:lineRule="exact"/>
        <w:rPr>
          <w:sz w:val="20"/>
          <w:szCs w:val="20"/>
          <w:color w:val="auto"/>
        </w:rPr>
      </w:pPr>
    </w:p>
    <w:p>
      <w:pPr>
        <w:ind w:left="7524"/>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199" w:lineRule="exact"/>
        <w:rPr>
          <w:sz w:val="20"/>
          <w:szCs w:val="20"/>
          <w:color w:val="auto"/>
        </w:rPr>
      </w:pPr>
    </w:p>
    <w:p>
      <w:pPr>
        <w:ind w:left="5824"/>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4749165</wp:posOffset>
            </wp:positionH>
            <wp:positionV relativeFrom="paragraph">
              <wp:posOffset>17145</wp:posOffset>
            </wp:positionV>
            <wp:extent cx="22459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-7620</wp:posOffset>
            </wp:positionV>
            <wp:extent cx="9137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32" w:lineRule="exact"/>
        <w:rPr>
          <w:sz w:val="20"/>
          <w:szCs w:val="20"/>
          <w:color w:val="auto"/>
        </w:rPr>
      </w:pPr>
    </w:p>
    <w:p>
      <w:pPr>
        <w:ind w:left="5364" w:right="1640" w:hanging="5364"/>
        <w:spacing w:after="0" w:line="454" w:lineRule="auto"/>
        <w:tabs>
          <w:tab w:leader="none" w:pos="4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-11-</w:t>
      </w:r>
    </w:p>
    <w:p>
      <w:pPr>
        <w:sectPr>
          <w:pgSz w:w="11900" w:h="16838" w:orient="portrait"/>
          <w:cols w:equalWidth="0" w:num="1">
            <w:col w:w="11004"/>
          </w:cols>
          <w:pgMar w:left="436" w:top="270" w:right="4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AND DECREASES OF GLOBAL NOTE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Initial principal amount of this Global Note is $                      . The following increases and decreases to this Global Note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-7620</wp:posOffset>
            </wp:positionV>
            <wp:extent cx="8280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320" w:type="dxa"/>
            <w:vAlign w:val="bottom"/>
            <w:gridSpan w:val="2"/>
            <w:vMerge w:val="continue"/>
          </w:tcPr>
          <w:p>
            <w:pPr>
              <w:spacing w:after="0"/>
              <w:rPr>
                <w:sz w:val="12"/>
                <w:szCs w:val="12"/>
                <w:color w:val="auto"/>
              </w:rPr>
            </w:pPr>
          </w:p>
        </w:tc>
        <w:tc>
          <w:tcPr>
            <w:tcW w:w="2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at Maturity</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2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Date of</w:t>
            </w: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23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at Maturity of this Global</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this Global Note Following</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 Trustee or DTC</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 or Decrease</w:t>
            </w:r>
          </w:p>
        </w:tc>
        <w:tc>
          <w:tcPr>
            <w:tcW w:w="1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at Maturity of this Global Note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such decrease (or increase)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5.1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3100" w:type="dxa"/>
            <w:vAlign w:val="bottom"/>
          </w:tcPr>
          <w:p>
            <w:pPr>
              <w:spacing w:after="0"/>
              <w:rPr>
                <w:sz w:val="24"/>
                <w:szCs w:val="24"/>
                <w:color w:val="auto"/>
              </w:rPr>
            </w:pPr>
          </w:p>
        </w:tc>
        <w:tc>
          <w:tcPr>
            <w:tcW w:w="7920" w:type="dxa"/>
            <w:vAlign w:val="bottom"/>
            <w:gridSpan w:val="3"/>
          </w:tcPr>
          <w:p>
            <w:pPr>
              <w:jc w:val="center"/>
              <w:ind w:right="3042"/>
              <w:spacing w:after="0"/>
              <w:rPr>
                <w:sz w:val="20"/>
                <w:szCs w:val="20"/>
                <w:color w:val="auto"/>
              </w:rPr>
            </w:pPr>
            <w:r>
              <w:rPr>
                <w:rFonts w:ascii="Times New Roman" w:cs="Times New Roman" w:eastAsia="Times New Roman" w:hAnsi="Times New Roman"/>
                <w:sz w:val="29"/>
                <w:szCs w:val="29"/>
                <w:color w:val="auto"/>
                <w:w w:val="99"/>
              </w:rPr>
              <w:t xml:space="preserve">Simpson Thacher &amp; Bartlett </w:t>
            </w:r>
            <w:r>
              <w:rPr>
                <w:rFonts w:ascii="Times New Roman" w:cs="Times New Roman" w:eastAsia="Times New Roman" w:hAnsi="Times New Roman"/>
                <w:sz w:val="23"/>
                <w:szCs w:val="23"/>
                <w:color w:val="auto"/>
                <w:w w:val="99"/>
              </w:rPr>
              <w:t>LLP</w:t>
            </w: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80" w:type="dxa"/>
            <w:vAlign w:val="bottom"/>
            <w:gridSpan w:val="2"/>
          </w:tcPr>
          <w:p>
            <w:pPr>
              <w:jc w:val="center"/>
              <w:ind w:right="4282"/>
              <w:spacing w:after="0" w:line="149" w:lineRule="exact"/>
              <w:rPr>
                <w:sz w:val="20"/>
                <w:szCs w:val="20"/>
                <w:color w:val="auto"/>
              </w:rPr>
            </w:pPr>
            <w:r>
              <w:rPr>
                <w:rFonts w:ascii="Times New Roman" w:cs="Times New Roman" w:eastAsia="Times New Roman" w:hAnsi="Times New Roman"/>
                <w:sz w:val="14"/>
                <w:szCs w:val="14"/>
                <w:color w:val="auto"/>
              </w:rPr>
              <w:t xml:space="preserve">900 </w:t>
            </w:r>
            <w:r>
              <w:rPr>
                <w:rFonts w:ascii="Times New Roman" w:cs="Times New Roman" w:eastAsia="Times New Roman" w:hAnsi="Times New Roman"/>
                <w:sz w:val="11"/>
                <w:szCs w:val="11"/>
                <w:color w:val="auto"/>
              </w:rPr>
              <w:t>G STREET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1"/>
                <w:szCs w:val="11"/>
                <w:color w:val="auto"/>
              </w:rPr>
              <w:t>NW</w:t>
            </w:r>
          </w:p>
        </w:tc>
      </w:tr>
      <w:tr>
        <w:trPr>
          <w:trHeight w:val="188"/>
        </w:trPr>
        <w:tc>
          <w:tcPr>
            <w:tcW w:w="3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80" w:type="dxa"/>
            <w:vAlign w:val="bottom"/>
            <w:gridSpan w:val="2"/>
          </w:tcPr>
          <w:p>
            <w:pPr>
              <w:jc w:val="center"/>
              <w:ind w:right="4262"/>
              <w:spacing w:after="0"/>
              <w:rPr>
                <w:sz w:val="20"/>
                <w:szCs w:val="20"/>
                <w:color w:val="auto"/>
              </w:rPr>
            </w:pPr>
            <w:r>
              <w:rPr>
                <w:rFonts w:ascii="Times New Roman" w:cs="Times New Roman" w:eastAsia="Times New Roman" w:hAnsi="Times New Roman"/>
                <w:sz w:val="12"/>
                <w:szCs w:val="12"/>
                <w:color w:val="auto"/>
                <w:w w:val="99"/>
              </w:rPr>
              <w:t>WASHINGTON</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2"/>
                <w:szCs w:val="12"/>
                <w:color w:val="auto"/>
                <w:w w:val="99"/>
              </w:rPr>
              <w:t xml:space="preserve"> D</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2"/>
                <w:szCs w:val="12"/>
                <w:color w:val="auto"/>
                <w:w w:val="99"/>
              </w:rPr>
              <w:t>C</w:t>
            </w:r>
            <w:r>
              <w:rPr>
                <w:rFonts w:ascii="Times New Roman" w:cs="Times New Roman" w:eastAsia="Times New Roman" w:hAnsi="Times New Roman"/>
                <w:sz w:val="14"/>
                <w:szCs w:val="14"/>
                <w:color w:val="auto"/>
                <w:w w:val="99"/>
              </w:rPr>
              <w:t>. 20001</w:t>
            </w:r>
          </w:p>
        </w:tc>
      </w:tr>
      <w:tr>
        <w:trPr>
          <w:trHeight w:val="334"/>
        </w:trPr>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335"/>
        </w:trPr>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80" w:type="dxa"/>
            <w:vAlign w:val="bottom"/>
            <w:gridSpan w:val="2"/>
          </w:tcPr>
          <w:p>
            <w:pPr>
              <w:jc w:val="center"/>
              <w:ind w:right="4262"/>
              <w:spacing w:after="0"/>
              <w:rPr>
                <w:sz w:val="20"/>
                <w:szCs w:val="20"/>
                <w:color w:val="auto"/>
              </w:rPr>
            </w:pPr>
            <w:r>
              <w:rPr>
                <w:rFonts w:ascii="Times New Roman" w:cs="Times New Roman" w:eastAsia="Times New Roman" w:hAnsi="Times New Roman"/>
                <w:sz w:val="12"/>
                <w:szCs w:val="12"/>
                <w:color w:val="auto"/>
              </w:rPr>
              <w:t>TELEPHONE</w:t>
            </w:r>
            <w:r>
              <w:rPr>
                <w:rFonts w:ascii="Times New Roman" w:cs="Times New Roman" w:eastAsia="Times New Roman" w:hAnsi="Times New Roman"/>
                <w:sz w:val="14"/>
                <w:szCs w:val="14"/>
                <w:color w:val="auto"/>
              </w:rPr>
              <w:t>: +1-202-636-5500</w:t>
            </w:r>
          </w:p>
        </w:tc>
      </w:tr>
      <w:tr>
        <w:trPr>
          <w:trHeight w:val="188"/>
        </w:trPr>
        <w:tc>
          <w:tcPr>
            <w:tcW w:w="3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80" w:type="dxa"/>
            <w:vAlign w:val="bottom"/>
            <w:gridSpan w:val="2"/>
          </w:tcPr>
          <w:p>
            <w:pPr>
              <w:jc w:val="center"/>
              <w:ind w:right="4282"/>
              <w:spacing w:after="0"/>
              <w:rPr>
                <w:sz w:val="20"/>
                <w:szCs w:val="20"/>
                <w:color w:val="auto"/>
              </w:rPr>
            </w:pPr>
            <w:r>
              <w:rPr>
                <w:rFonts w:ascii="Times New Roman" w:cs="Times New Roman" w:eastAsia="Times New Roman" w:hAnsi="Times New Roman"/>
                <w:sz w:val="12"/>
                <w:szCs w:val="12"/>
                <w:color w:val="auto"/>
              </w:rPr>
              <w:t>FACSIMILE</w:t>
            </w:r>
            <w:r>
              <w:rPr>
                <w:rFonts w:ascii="Times New Roman" w:cs="Times New Roman" w:eastAsia="Times New Roman" w:hAnsi="Times New Roman"/>
                <w:sz w:val="14"/>
                <w:szCs w:val="14"/>
                <w:color w:val="auto"/>
              </w:rPr>
              <w:t>: +1-202-636-5502</w:t>
            </w:r>
          </w:p>
        </w:tc>
      </w:tr>
      <w:tr>
        <w:trPr>
          <w:trHeight w:val="35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Direct Dial Number</w:t>
            </w:r>
          </w:p>
        </w:tc>
        <w:tc>
          <w:tcPr>
            <w:tcW w:w="1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E-mail Address</w:t>
            </w:r>
          </w:p>
        </w:tc>
      </w:tr>
      <w:tr>
        <w:trPr>
          <w:trHeight w:val="18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+1-202-636-5543</w:t>
            </w:r>
          </w:p>
        </w:tc>
        <w:tc>
          <w:tcPr>
            <w:tcW w:w="1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rajib.chanda@stblaw.com</w:t>
            </w:r>
          </w:p>
        </w:tc>
      </w:tr>
      <w:tr>
        <w:trPr>
          <w:trHeight w:val="726"/>
        </w:trPr>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1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2100 McKinney Avenue</w:t>
            </w:r>
          </w:p>
        </w:tc>
        <w:tc>
          <w:tcPr>
            <w:tcW w:w="1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Suite 1500</w:t>
            </w:r>
          </w:p>
        </w:tc>
        <w:tc>
          <w:tcPr>
            <w:tcW w:w="1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1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Sixth Street Specialty Lending, Inc., a Delaware corporation (the “Company”) in connection with the Registration Statement on Form N-2 (File No. 333-276252) (the “Registration Statement”) filed by the Company with the Securities and Exchange Commission (the “Commission”) under the Securities Act of 1933, as amended, relating to the issuance by the Company of an indeterminate initial offering price of debt securities and other securities.</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the Underwriting Agreement dated February 18, 2025 (the “Underwriting Agreement”), among the Company, Sixth Street Specialty Lending Advisers, LLC, a Delaware limited liability company (the “Adviser”) and BofA Securities, Inc., as representatives of the several underwriters named therein pursuant to which such underwriters have agreed to purchase up to $300,000,000 aggregate principal amount of 5.625% Notes due 2030 (the “Notes”) issued by the Company, the Indenture, dated as of January</w:t>
      </w:r>
    </w:p>
    <w:p>
      <w:pPr>
        <w:sectPr>
          <w:pgSz w:w="11900" w:h="16838" w:orient="portrait"/>
          <w:cols w:equalWidth="0" w:num="1">
            <w:col w:w="11020"/>
          </w:cols>
          <w:pgMar w:left="440" w:top="117" w:right="439" w:bottom="1440" w:gutter="0" w:footer="0" w:header="0"/>
        </w:sectPr>
      </w:pPr>
    </w:p>
    <w:bookmarkStart w:id="72" w:name="page73"/>
    <w:bookmarkEnd w:id="72"/>
    <w:p>
      <w:pPr>
        <w:spacing w:after="0"/>
        <w:tabs>
          <w:tab w:leader="none" w:pos="5680" w:val="left"/>
          <w:tab w:leader="none" w:pos="9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February 25, 2025</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16, 2024 (the “Base Indenture”), between the Company and U.S. Bank National Association, as trustee (the “Trustee”), as supplemented by the second supplemental indenture dated February 25, 2025, (together with the Base Indenture, the “Indenture”), and a duplicate of the global notes representing the Notes whose terms are set forth in the Indenture.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the Adviser and have made such other investigations as we have deemed relevant and necessary in connection with the opinion hereinafter set forth.</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further that the execution, issuance, delivery and performance by the Company of the Underwriting Agreement, the Indenture and the Notes, do not constitute a breach or default under any agreement or instrument which is binding upon the Company.</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assuming due authentication thereof by the Trustee and upon payment and delivery in accordance with the provisions of the Underwriting Agreement, the Notes will constitute valid and legally binding obligations of the Company enforceable against the Company in accordance with their terms.</w:t>
      </w:r>
    </w:p>
    <w:p>
      <w:pPr>
        <w:sectPr>
          <w:pgSz w:w="11900" w:h="16838" w:orient="portrait"/>
          <w:cols w:equalWidth="0" w:num="1">
            <w:col w:w="11020"/>
          </w:cols>
          <w:pgMar w:left="440" w:top="270" w:right="439" w:bottom="1440" w:gutter="0" w:footer="0" w:header="0"/>
        </w:sectPr>
      </w:pPr>
    </w:p>
    <w:bookmarkStart w:id="73" w:name="page74"/>
    <w:bookmarkEnd w:id="73"/>
    <w:p>
      <w:pPr>
        <w:spacing w:after="0"/>
        <w:tabs>
          <w:tab w:leader="none" w:pos="5680" w:val="left"/>
          <w:tab w:leader="none" w:pos="9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February 25, 2025</w:t>
      </w:r>
    </w:p>
    <w:p>
      <w:pPr>
        <w:spacing w:after="0" w:line="15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(i) the waiver of rights and defenses contained in Section 5.14 of the Base Indenture or (ii) Section 1.09 of the Indenture relating to the separability of provisions of the Base Indenture.</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Section 1.13 of the Indenture whereby the parties submit to the jurisdiction of any New York state or federal court sitting in The City of New York, we note the limitations of 28 U.S.C. Sections 1331 and 1332 on subject matter jurisdiction of the U.S. federal courts. In connection with the provisions of Section 1.13 of the Indenture which relate to forum selection (including, without limitation, any waiver of any objection to venue or any objection that a court is an inconvenient forum), we note that under N.Y.C.P.L.R. Section 510 a New York State court may have discretion to transfer the place of trial, and under 28 U.S.C. Section 1404(a) a United States District Court has discretion to transfer an action from one U.S. federal court to another.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ectPr>
          <w:pgSz w:w="11900" w:h="16838" w:orient="portrait"/>
          <w:cols w:equalWidth="0" w:num="1">
            <w:col w:w="11020"/>
          </w:cols>
          <w:pgMar w:left="440" w:top="270" w:right="439" w:bottom="1440" w:gutter="0" w:footer="0" w:header="0"/>
        </w:sectPr>
      </w:pPr>
    </w:p>
    <w:bookmarkStart w:id="74" w:name="page75"/>
    <w:bookmarkEnd w:id="74"/>
    <w:p>
      <w:pPr>
        <w:spacing w:after="0"/>
        <w:tabs>
          <w:tab w:leader="none" w:pos="5680" w:val="left"/>
          <w:tab w:leader="none" w:pos="9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February 25, 2025</w:t>
      </w:r>
    </w:p>
    <w:p>
      <w:pPr>
        <w:spacing w:after="0" w:line="158"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letter as Exhibit (l) to the Registration Statement and to the use of our name under the caption </w:t>
      </w: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in the prospectus included in the Registration Statement.</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Roman"/>
      <w:start w:val="3"/>
    </w:lvl>
  </w:abstractNum>
  <w:abstractNum w:abstractNumId="2">
    <w:nsid w:val="DED7263"/>
    <w:multiLevelType w:val="hybridMultilevel"/>
    <w:lvl w:ilvl="0">
      <w:lvlJc w:val="left"/>
      <w:lvlText w:val="(%1)"/>
      <w:numFmt w:val="lowerRoman"/>
      <w:start w:val="2"/>
    </w:lvl>
  </w:abstractNum>
  <w:abstractNum w:abstractNumId="3">
    <w:nsid w:val="7FDCC233"/>
    <w:multiLevelType w:val="hybridMultilevel"/>
    <w:lvl w:ilvl="0">
      <w:lvlJc w:val="left"/>
      <w:lvlText w:val="(%1)"/>
      <w:numFmt w:val="lowerRoman"/>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lowerRoman"/>
      <w:start w:val="5"/>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1)"/>
      <w:numFmt w:val="lowerRoman"/>
      <w:start w:val="3"/>
    </w:lvl>
  </w:abstractNum>
  <w:abstractNum w:abstractNumId="8">
    <w:nsid w:val="25E45D32"/>
    <w:multiLevelType w:val="hybridMultilevel"/>
    <w:lvl w:ilvl="0">
      <w:lvlJc w:val="left"/>
      <w:lvlText w:val="(%1)"/>
      <w:numFmt w:val="lowerLetter"/>
      <w:start w:val="35"/>
    </w:lvl>
  </w:abstractNum>
  <w:abstractNum w:abstractNumId="9">
    <w:nsid w:val="519B500D"/>
    <w:multiLevelType w:val="hybridMultilevel"/>
    <w:lvl w:ilvl="0">
      <w:lvlJc w:val="left"/>
      <w:lvlText w:val="(%1)"/>
      <w:numFmt w:val="lowerLetter"/>
      <w:start w:val="25"/>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9" Type="http://schemas.openxmlformats.org/officeDocument/2006/relationships/hyperlink" Target="http://www.sec.gov/Archives/edgar/data/1508655/000119312524008558/d65289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2025-02-25T15:32:03Z</dcterms:created>
  <dcterms:modified xsi:type="dcterms:W3CDTF">2025-02-25T15:32:03Z</dcterms:modified>
</cp:coreProperties>
</file>