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jc w:val="center"/>
        <w:ind w:right="-59"/>
        <w:spacing w:after="0" w:line="218" w:lineRule="auto"/>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13G/A</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GOLUB CAPITAL BDC INC (GBDC)</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38173M102</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12/31/2020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640" w:firstLine="8"/>
        <w:spacing w:after="0" w:line="504"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6" w:lineRule="exact"/>
        <w:rPr>
          <w:sz w:val="24"/>
          <w:szCs w:val="24"/>
          <w:color w:val="auto"/>
        </w:rPr>
      </w:pPr>
    </w:p>
    <w:p>
      <w:pPr>
        <w:ind w:right="40"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spacing w:after="0" w:line="219"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1) Names of Reporting Persons, IRS Identification Nos. of Above Persons:</w:t>
      </w:r>
    </w:p>
    <w:p>
      <w:pPr>
        <w:spacing w:after="0" w:line="160"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OTR - Nominee Name for The State Teachers Retirement Board of Ohio, 31640-1810</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spacing w:after="0"/>
        <w:tabs>
          <w:tab w:leader="none" w:pos="5640" w:val="left"/>
        </w:tabs>
        <w:rPr>
          <w:sz w:val="20"/>
          <w:szCs w:val="20"/>
          <w:color w:val="auto"/>
        </w:rPr>
      </w:pPr>
      <w:r>
        <w:rPr>
          <w:rFonts w:ascii="Arial" w:cs="Arial" w:eastAsia="Arial" w:hAnsi="Arial"/>
          <w:sz w:val="22"/>
          <w:szCs w:val="22"/>
          <w:color w:val="auto"/>
        </w:rPr>
        <w:t>2) Check the appropriate box if a member of a group* (a) [_]</w:t>
      </w:r>
      <w:r>
        <w:rPr>
          <w:sz w:val="20"/>
          <w:szCs w:val="20"/>
          <w:color w:val="auto"/>
        </w:rPr>
        <w:tab/>
      </w:r>
      <w:r>
        <w:rPr>
          <w:rFonts w:ascii="Arial" w:cs="Arial" w:eastAsia="Arial" w:hAnsi="Arial"/>
          <w:sz w:val="21"/>
          <w:szCs w:val="21"/>
          <w:color w:val="auto"/>
        </w:rPr>
        <w:t>(b) [_]</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rFonts w:ascii="Arial" w:cs="Arial" w:eastAsia="Arial" w:hAnsi="Arial"/>
          <w:sz w:val="22"/>
          <w:szCs w:val="22"/>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22"/>
                <w:szCs w:val="22"/>
                <w:color w:val="auto"/>
              </w:rPr>
              <w:t>Columbus, Ohio</w:t>
            </w:r>
          </w:p>
        </w:tc>
        <w:tc>
          <w:tcPr>
            <w:tcW w:w="4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438"/>
        </w:trPr>
        <w:tc>
          <w:tcPr>
            <w:tcW w:w="6280" w:type="dxa"/>
            <w:vAlign w:val="bottom"/>
            <w:gridSpan w:val="4"/>
          </w:tcPr>
          <w:p>
            <w:pPr>
              <w:spacing w:after="0"/>
              <w:rPr>
                <w:sz w:val="20"/>
                <w:szCs w:val="20"/>
                <w:color w:val="auto"/>
              </w:rPr>
            </w:pPr>
            <w:r>
              <w:rPr>
                <w:rFonts w:ascii="Arial" w:cs="Arial" w:eastAsia="Arial" w:hAnsi="Arial"/>
                <w:sz w:val="22"/>
                <w:szCs w:val="22"/>
                <w:color w:val="auto"/>
                <w:w w:val="91"/>
              </w:rPr>
              <w:t>Number of Shares Beneficially Owned by Each Reporting Person With</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5)</w:t>
            </w:r>
          </w:p>
        </w:tc>
        <w:tc>
          <w:tcPr>
            <w:tcW w:w="18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4200" w:type="dxa"/>
            <w:vAlign w:val="bottom"/>
            <w:gridSpan w:val="2"/>
          </w:tcPr>
          <w:p>
            <w:pPr>
              <w:jc w:val="right"/>
              <w:ind w:right="2692"/>
              <w:spacing w:after="0"/>
              <w:rPr>
                <w:sz w:val="20"/>
                <w:szCs w:val="20"/>
                <w:color w:val="auto"/>
              </w:rPr>
            </w:pPr>
            <w:r>
              <w:rPr>
                <w:rFonts w:ascii="Arial" w:cs="Arial" w:eastAsia="Arial" w:hAnsi="Arial"/>
                <w:sz w:val="22"/>
                <w:szCs w:val="22"/>
                <w:color w:val="auto"/>
                <w:w w:val="86"/>
              </w:rPr>
              <w:t>22,787,27 0.000</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6)</w:t>
            </w:r>
          </w:p>
        </w:tc>
        <w:tc>
          <w:tcPr>
            <w:tcW w:w="1860" w:type="dxa"/>
            <w:vAlign w:val="bottom"/>
          </w:tcPr>
          <w:p>
            <w:pPr>
              <w:ind w:left="20"/>
              <w:spacing w:after="0"/>
              <w:rPr>
                <w:sz w:val="20"/>
                <w:szCs w:val="20"/>
                <w:color w:val="auto"/>
              </w:rPr>
            </w:pPr>
            <w:r>
              <w:rPr>
                <w:rFonts w:ascii="Arial" w:cs="Arial" w:eastAsia="Arial" w:hAnsi="Arial"/>
                <w:sz w:val="22"/>
                <w:szCs w:val="22"/>
                <w:color w:val="auto"/>
                <w:w w:val="87"/>
              </w:rPr>
              <w:t>Shared Voting Power</w:t>
            </w:r>
          </w:p>
        </w:tc>
        <w:tc>
          <w:tcPr>
            <w:tcW w:w="400" w:type="dxa"/>
            <w:vAlign w:val="bottom"/>
          </w:tcPr>
          <w:p>
            <w:pPr>
              <w:jc w:val="right"/>
              <w:spacing w:after="0"/>
              <w:rPr>
                <w:sz w:val="20"/>
                <w:szCs w:val="20"/>
                <w:color w:val="auto"/>
              </w:rPr>
            </w:pPr>
            <w:r>
              <w:rPr>
                <w:rFonts w:ascii="Arial" w:cs="Arial" w:eastAsia="Arial" w:hAnsi="Arial"/>
                <w:sz w:val="22"/>
                <w:szCs w:val="22"/>
                <w:color w:val="auto"/>
              </w:rPr>
              <w:t>0</w:t>
            </w:r>
          </w:p>
        </w:tc>
        <w:tc>
          <w:tcPr>
            <w:tcW w:w="38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7)</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98"/>
              </w:rPr>
              <w:t>Sole Dispositive Power</w:t>
            </w:r>
          </w:p>
        </w:tc>
        <w:tc>
          <w:tcPr>
            <w:tcW w:w="3800" w:type="dxa"/>
            <w:vAlign w:val="bottom"/>
          </w:tcPr>
          <w:p>
            <w:pPr>
              <w:jc w:val="right"/>
              <w:ind w:right="2272"/>
              <w:spacing w:after="0"/>
              <w:rPr>
                <w:sz w:val="20"/>
                <w:szCs w:val="20"/>
                <w:color w:val="auto"/>
              </w:rPr>
            </w:pPr>
            <w:r>
              <w:rPr>
                <w:rFonts w:ascii="Arial" w:cs="Arial" w:eastAsia="Arial" w:hAnsi="Arial"/>
                <w:sz w:val="22"/>
                <w:szCs w:val="22"/>
                <w:color w:val="auto"/>
                <w:w w:val="88"/>
              </w:rPr>
              <w:t>22,787,27 0.000</w:t>
            </w:r>
          </w:p>
        </w:tc>
        <w:tc>
          <w:tcPr>
            <w:tcW w:w="2420" w:type="dxa"/>
            <w:vAlign w:val="bottom"/>
          </w:tcPr>
          <w:p>
            <w:pPr>
              <w:spacing w:after="0"/>
              <w:rPr>
                <w:sz w:val="24"/>
                <w:szCs w:val="24"/>
                <w:color w:val="auto"/>
              </w:rPr>
            </w:pPr>
          </w:p>
        </w:tc>
      </w:tr>
      <w:tr>
        <w:trPr>
          <w:trHeight w:val="395"/>
        </w:trPr>
        <w:tc>
          <w:tcPr>
            <w:tcW w:w="220" w:type="dxa"/>
            <w:vAlign w:val="bottom"/>
          </w:tcPr>
          <w:p>
            <w:pPr>
              <w:spacing w:after="0"/>
              <w:rPr>
                <w:sz w:val="20"/>
                <w:szCs w:val="20"/>
                <w:color w:val="auto"/>
              </w:rPr>
            </w:pPr>
            <w:r>
              <w:rPr>
                <w:rFonts w:ascii="Arial" w:cs="Arial" w:eastAsia="Arial" w:hAnsi="Arial"/>
                <w:sz w:val="22"/>
                <w:szCs w:val="22"/>
                <w:color w:val="auto"/>
              </w:rPr>
              <w:t>8)</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88"/>
              </w:rPr>
              <w:t>Shared Dispositive Power</w:t>
            </w:r>
          </w:p>
        </w:tc>
        <w:tc>
          <w:tcPr>
            <w:tcW w:w="3800" w:type="dxa"/>
            <w:vAlign w:val="bottom"/>
          </w:tcPr>
          <w:p>
            <w:pPr>
              <w:jc w:val="right"/>
              <w:ind w:right="3372"/>
              <w:spacing w:after="0"/>
              <w:rPr>
                <w:sz w:val="20"/>
                <w:szCs w:val="20"/>
                <w:color w:val="auto"/>
              </w:rPr>
            </w:pPr>
            <w:r>
              <w:rPr>
                <w:rFonts w:ascii="Arial" w:cs="Arial" w:eastAsia="Arial" w:hAnsi="Arial"/>
                <w:sz w:val="22"/>
                <w:szCs w:val="22"/>
                <w:color w:val="auto"/>
              </w:rPr>
              <w:t>0</w:t>
            </w:r>
          </w:p>
        </w:tc>
        <w:tc>
          <w:tcPr>
            <w:tcW w:w="2420" w:type="dxa"/>
            <w:vAlign w:val="bottom"/>
          </w:tcPr>
          <w:p>
            <w:pPr>
              <w:spacing w:after="0"/>
              <w:rPr>
                <w:sz w:val="24"/>
                <w:szCs w:val="24"/>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370"/>
        </w:trPr>
        <w:tc>
          <w:tcPr>
            <w:tcW w:w="220" w:type="dxa"/>
            <w:vAlign w:val="bottom"/>
          </w:tcPr>
          <w:p>
            <w:pPr>
              <w:spacing w:after="0"/>
              <w:rPr>
                <w:sz w:val="20"/>
                <w:szCs w:val="20"/>
                <w:color w:val="auto"/>
              </w:rPr>
            </w:pPr>
            <w:r>
              <w:rPr>
                <w:rFonts w:ascii="Arial" w:cs="Arial" w:eastAsia="Arial" w:hAnsi="Arial"/>
                <w:sz w:val="22"/>
                <w:szCs w:val="22"/>
                <w:color w:val="auto"/>
              </w:rPr>
              <w:t>9)</w:t>
            </w:r>
          </w:p>
        </w:tc>
        <w:tc>
          <w:tcPr>
            <w:tcW w:w="6060" w:type="dxa"/>
            <w:vAlign w:val="bottom"/>
            <w:gridSpan w:val="3"/>
          </w:tcPr>
          <w:p>
            <w:pPr>
              <w:ind w:left="20"/>
              <w:spacing w:after="0"/>
              <w:rPr>
                <w:sz w:val="20"/>
                <w:szCs w:val="20"/>
                <w:color w:val="auto"/>
              </w:rPr>
            </w:pPr>
            <w:r>
              <w:rPr>
                <w:rFonts w:ascii="Arial" w:cs="Arial" w:eastAsia="Arial" w:hAnsi="Arial"/>
                <w:sz w:val="22"/>
                <w:szCs w:val="22"/>
                <w:color w:val="auto"/>
                <w:w w:val="94"/>
              </w:rPr>
              <w:t>Aggregate Amount Beneficially Owned by Each Reporting Person</w:t>
            </w:r>
          </w:p>
        </w:tc>
        <w:tc>
          <w:tcPr>
            <w:tcW w:w="2420" w:type="dxa"/>
            <w:vAlign w:val="bottom"/>
          </w:tcPr>
          <w:p>
            <w:pPr>
              <w:jc w:val="right"/>
              <w:ind w:right="812"/>
              <w:spacing w:after="0"/>
              <w:rPr>
                <w:sz w:val="20"/>
                <w:szCs w:val="20"/>
                <w:color w:val="auto"/>
              </w:rPr>
            </w:pPr>
            <w:r>
              <w:rPr>
                <w:rFonts w:ascii="Arial" w:cs="Arial" w:eastAsia="Arial" w:hAnsi="Arial"/>
                <w:sz w:val="22"/>
                <w:szCs w:val="22"/>
                <w:color w:val="auto"/>
                <w:w w:val="93"/>
              </w:rPr>
              <w:t>22,787,27 0.000</w:t>
            </w:r>
          </w:p>
        </w:tc>
      </w:tr>
    </w:tbl>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[_]</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5080" w:type="dxa"/>
            <w:vAlign w:val="bottom"/>
          </w:tcPr>
          <w:p>
            <w:pPr>
              <w:spacing w:after="0"/>
              <w:rPr>
                <w:sz w:val="20"/>
                <w:szCs w:val="20"/>
                <w:color w:val="auto"/>
              </w:rPr>
            </w:pPr>
            <w:r>
              <w:rPr>
                <w:rFonts w:ascii="Arial" w:cs="Arial" w:eastAsia="Arial" w:hAnsi="Arial"/>
                <w:sz w:val="22"/>
                <w:szCs w:val="22"/>
                <w:color w:val="auto"/>
                <w:w w:val="92"/>
              </w:rPr>
              <w:t>11) Percent of Class Represented by Amount in Row (9)</w:t>
            </w:r>
          </w:p>
        </w:tc>
        <w:tc>
          <w:tcPr>
            <w:tcW w:w="1020" w:type="dxa"/>
            <w:vAlign w:val="bottom"/>
          </w:tcPr>
          <w:p>
            <w:pPr>
              <w:jc w:val="right"/>
              <w:spacing w:after="0"/>
              <w:rPr>
                <w:sz w:val="20"/>
                <w:szCs w:val="20"/>
                <w:color w:val="auto"/>
              </w:rPr>
            </w:pPr>
            <w:r>
              <w:rPr>
                <w:rFonts w:ascii="Arial" w:cs="Arial" w:eastAsia="Arial" w:hAnsi="Arial"/>
                <w:sz w:val="22"/>
                <w:szCs w:val="22"/>
                <w:color w:val="auto"/>
              </w:rPr>
              <w:t>1 3.624%</w:t>
            </w:r>
          </w:p>
        </w:tc>
      </w:tr>
    </w:tbl>
    <w:p>
      <w:pPr>
        <w:sectPr>
          <w:pgSz w:w="11900" w:h="16887" w:orient="portrait"/>
          <w:cols w:equalWidth="0" w:num="1">
            <w:col w:w="11180"/>
          </w:cols>
          <w:pgMar w:left="320" w:top="436" w:right="399" w:bottom="0" w:gutter="0" w:footer="0" w:header="0"/>
        </w:sectPr>
      </w:pPr>
    </w:p>
    <w:bookmarkStart w:id="1" w:name="page2"/>
    <w:bookmarkEnd w:id="1"/>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61" w:lineRule="exact"/>
        <w:rPr>
          <w:sz w:val="20"/>
          <w:szCs w:val="20"/>
          <w:color w:val="auto"/>
        </w:rPr>
      </w:pPr>
    </w:p>
    <w:p>
      <w:pPr>
        <w:spacing w:after="0"/>
        <w:tabs>
          <w:tab w:leader="none" w:pos="3040" w:val="left"/>
        </w:tabs>
        <w:rPr>
          <w:sz w:val="20"/>
          <w:szCs w:val="20"/>
          <w:color w:val="auto"/>
        </w:rPr>
      </w:pPr>
      <w:r>
        <w:rPr>
          <w:rFonts w:ascii="Arial" w:cs="Arial" w:eastAsia="Arial" w:hAnsi="Arial"/>
          <w:sz w:val="22"/>
          <w:szCs w:val="22"/>
          <w:color w:val="auto"/>
        </w:rPr>
        <w:t>12) Type of Reporting Person*</w:t>
      </w:r>
      <w:r>
        <w:rPr>
          <w:sz w:val="20"/>
          <w:szCs w:val="20"/>
          <w:color w:val="auto"/>
        </w:rPr>
        <w:tab/>
      </w:r>
      <w:r>
        <w:rPr>
          <w:rFonts w:ascii="Arial" w:cs="Arial" w:eastAsia="Arial" w:hAnsi="Arial"/>
          <w:sz w:val="18"/>
          <w:szCs w:val="18"/>
          <w:color w:val="auto"/>
        </w:rPr>
        <w:t>EP</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spacing w:after="0" w:line="206" w:lineRule="exact"/>
        <w:rPr>
          <w:sz w:val="20"/>
          <w:szCs w:val="20"/>
          <w:color w:val="auto"/>
        </w:rPr>
      </w:pPr>
    </w:p>
    <w:p>
      <w:pPr>
        <w:ind w:firstLine="378"/>
        <w:spacing w:after="0" w:line="213" w:lineRule="auto"/>
        <w:rPr>
          <w:sz w:val="20"/>
          <w:szCs w:val="20"/>
          <w:color w:val="auto"/>
        </w:rPr>
      </w:pPr>
      <w:r>
        <w:rPr>
          <w:rFonts w:ascii="Arial" w:cs="Arial" w:eastAsia="Arial" w:hAnsi="Arial"/>
          <w:sz w:val="22"/>
          <w:szCs w:val="22"/>
          <w:color w:val="auto"/>
        </w:rPr>
        <w:t>(1) Includes 0.000 shares of common stock reserved for issuance upon exercise of stock options which are exercisable as of the date of filing of this Schedule 13G.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SCHEDULE 13G</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Name of Issuer</w:t>
      </w:r>
    </w:p>
    <w:p>
      <w:pPr>
        <w:spacing w:after="0" w:line="21" w:lineRule="exact"/>
        <w:rPr>
          <w:sz w:val="20"/>
          <w:szCs w:val="20"/>
          <w:color w:val="auto"/>
        </w:rPr>
      </w:pPr>
    </w:p>
    <w:p>
      <w:pPr>
        <w:ind w:left="1080" w:right="4160"/>
        <w:spacing w:after="0" w:line="246" w:lineRule="auto"/>
        <w:rPr>
          <w:sz w:val="20"/>
          <w:szCs w:val="20"/>
          <w:color w:val="auto"/>
        </w:rPr>
      </w:pPr>
      <w:r>
        <w:rPr>
          <w:rFonts w:ascii="Arial" w:cs="Arial" w:eastAsia="Arial" w:hAnsi="Arial"/>
          <w:sz w:val="22"/>
          <w:szCs w:val="22"/>
          <w:color w:val="auto"/>
        </w:rPr>
        <w:t>This Statement on Schedule 13G relates to the shares of Instrument GOLUB CAPITAL BDC INC</w:t>
      </w:r>
    </w:p>
    <w:p>
      <w:pPr>
        <w:spacing w:after="0" w:line="179" w:lineRule="exact"/>
        <w:rPr>
          <w:sz w:val="20"/>
          <w:szCs w:val="20"/>
          <w:color w:val="auto"/>
        </w:rPr>
      </w:pPr>
    </w:p>
    <w:p>
      <w:pPr>
        <w:ind w:left="1080" w:right="6080" w:hanging="532"/>
        <w:spacing w:after="0" w:line="251" w:lineRule="auto"/>
        <w:tabs>
          <w:tab w:leader="none" w:pos="846" w:val="left"/>
        </w:tabs>
        <w:numPr>
          <w:ilvl w:val="0"/>
          <w:numId w:val="5"/>
        </w:numPr>
        <w:rPr>
          <w:rFonts w:ascii="Arial" w:cs="Arial" w:eastAsia="Arial" w:hAnsi="Arial"/>
          <w:sz w:val="22"/>
          <w:szCs w:val="22"/>
          <w:color w:val="auto"/>
        </w:rPr>
      </w:pPr>
      <w:r>
        <w:rPr>
          <w:rFonts w:ascii="Arial" w:cs="Arial" w:eastAsia="Arial" w:hAnsi="Arial"/>
          <w:sz w:val="22"/>
          <w:szCs w:val="22"/>
          <w:color w:val="auto"/>
        </w:rPr>
        <w:t>Address of Issuer's Principal Executive Offices: 666 Fifth Avenue</w:t>
      </w:r>
    </w:p>
    <w:p>
      <w:pPr>
        <w:ind w:left="1080"/>
        <w:spacing w:after="0" w:line="181" w:lineRule="auto"/>
        <w:rPr>
          <w:sz w:val="20"/>
          <w:szCs w:val="20"/>
          <w:color w:val="auto"/>
        </w:rPr>
      </w:pPr>
      <w:r>
        <w:rPr>
          <w:rFonts w:ascii="Arial" w:cs="Arial" w:eastAsia="Arial" w:hAnsi="Arial"/>
          <w:sz w:val="22"/>
          <w:szCs w:val="22"/>
          <w:color w:val="auto"/>
        </w:rPr>
        <w:t>New York , NY 10103</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080" w:right="7760" w:hanging="532"/>
        <w:spacing w:after="0" w:line="291" w:lineRule="auto"/>
        <w:tabs>
          <w:tab w:leader="none" w:pos="834"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Person Filing: This Statement is filed by</w:t>
      </w:r>
    </w:p>
    <w:p>
      <w:pPr>
        <w:spacing w:after="0" w:line="1"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22"/>
          <w:szCs w:val="22"/>
          <w:color w:val="auto"/>
        </w:rPr>
        <w:t>OTR - Nominee Name for The State Teachers Retirement Board of Ohio</w:t>
      </w:r>
    </w:p>
    <w:p>
      <w:pPr>
        <w:spacing w:after="0" w:line="188" w:lineRule="exact"/>
        <w:rPr>
          <w:rFonts w:ascii="Arial" w:cs="Arial" w:eastAsia="Arial" w:hAnsi="Arial"/>
          <w:sz w:val="19"/>
          <w:szCs w:val="19"/>
          <w:color w:val="auto"/>
        </w:rPr>
      </w:pPr>
    </w:p>
    <w:p>
      <w:pPr>
        <w:ind w:left="860" w:hanging="312"/>
        <w:spacing w:after="0"/>
        <w:tabs>
          <w:tab w:leader="none" w:pos="8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Address of Principal Business Office:</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business address of OTR - Nominee Name for The State Teachers Retirement Board of Ohio is</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275 East Broad Street</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Columbus, Ohio 43215</w:t>
      </w:r>
    </w:p>
    <w:p>
      <w:pPr>
        <w:spacing w:after="0" w:line="188" w:lineRule="exact"/>
        <w:rPr>
          <w:sz w:val="20"/>
          <w:szCs w:val="20"/>
          <w:color w:val="auto"/>
        </w:rPr>
      </w:pPr>
    </w:p>
    <w:p>
      <w:pPr>
        <w:ind w:left="840" w:hanging="292"/>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Not Applicable</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securities are shares of 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 CUSIP No.:</w:t>
      </w:r>
    </w:p>
    <w:p>
      <w:pPr>
        <w:ind w:left="1080"/>
        <w:spacing w:after="0" w:line="199" w:lineRule="auto"/>
        <w:rPr>
          <w:sz w:val="20"/>
          <w:szCs w:val="20"/>
          <w:color w:val="auto"/>
        </w:rPr>
      </w:pPr>
      <w:r>
        <w:rPr>
          <w:rFonts w:ascii="Arial" w:cs="Arial" w:eastAsia="Arial" w:hAnsi="Arial"/>
          <w:sz w:val="22"/>
          <w:szCs w:val="22"/>
          <w:color w:val="auto"/>
        </w:rPr>
        <w:t>The CUSIP Number for the investment is 38173M102.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Type of Person Filing:</w:t>
      </w:r>
    </w:p>
    <w:p>
      <w:pPr>
        <w:spacing w:after="0" w:line="206" w:lineRule="exact"/>
        <w:rPr>
          <w:sz w:val="20"/>
          <w:szCs w:val="20"/>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90a-8)</w:t>
      </w:r>
    </w:p>
    <w:p>
      <w:pPr>
        <w:spacing w:after="0" w:line="217" w:lineRule="exact"/>
        <w:rPr>
          <w:rFonts w:ascii="Arial" w:cs="Arial" w:eastAsia="Arial" w:hAnsi="Arial"/>
          <w:sz w:val="21"/>
          <w:szCs w:val="21"/>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An employee benefit plan or endowment fund in accordance with 240.13d-1(b)(1)(ii)(F);</w:t>
      </w:r>
    </w:p>
    <w:p>
      <w:pPr>
        <w:spacing w:after="0" w:line="206" w:lineRule="exact"/>
        <w:rPr>
          <w:sz w:val="20"/>
          <w:szCs w:val="20"/>
          <w:color w:val="auto"/>
        </w:rPr>
      </w:pPr>
    </w:p>
    <w:p>
      <w:pPr>
        <w:jc w:val="both"/>
        <w:ind w:left="1080" w:right="1140"/>
        <w:spacing w:after="0"/>
        <w:rPr>
          <w:sz w:val="20"/>
          <w:szCs w:val="20"/>
          <w:color w:val="auto"/>
        </w:rPr>
      </w:pPr>
      <w:r>
        <w:rPr>
          <w:rFonts w:ascii="Arial" w:cs="Arial" w:eastAsia="Arial" w:hAnsi="Arial"/>
          <w:sz w:val="22"/>
          <w:szCs w:val="22"/>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186" w:lineRule="exact"/>
        <w:rPr>
          <w:sz w:val="20"/>
          <w:szCs w:val="20"/>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17" w:lineRule="exact"/>
        <w:rPr>
          <w:rFonts w:ascii="Arial" w:cs="Arial" w:eastAsia="Arial" w:hAnsi="Arial"/>
          <w:sz w:val="21"/>
          <w:szCs w:val="21"/>
          <w:color w:val="auto"/>
        </w:rPr>
      </w:pPr>
    </w:p>
    <w:p>
      <w:pPr>
        <w:ind w:left="800" w:hanging="252"/>
        <w:spacing w:after="0"/>
        <w:tabs>
          <w:tab w:leader="none" w:pos="80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church plan that is excluded from the definition of an investment company under Section 3(c)(14) of the</w:t>
      </w:r>
    </w:p>
    <w:p>
      <w:pPr>
        <w:ind w:left="540"/>
        <w:spacing w:after="0" w:line="197" w:lineRule="auto"/>
        <w:rPr>
          <w:sz w:val="20"/>
          <w:szCs w:val="20"/>
          <w:color w:val="auto"/>
        </w:rPr>
      </w:pPr>
      <w:r>
        <w:rPr>
          <w:rFonts w:ascii="Arial" w:cs="Arial" w:eastAsia="Arial" w:hAnsi="Arial"/>
          <w:sz w:val="22"/>
          <w:szCs w:val="22"/>
          <w:color w:val="auto"/>
        </w:rPr>
        <w:t>Investment Company Act of 1940 (15 U.S.C. 80a-3)</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ectPr>
          <w:pgSz w:w="11900" w:h="16838" w:orient="portrait"/>
          <w:cols w:equalWidth="0" w:num="1">
            <w:col w:w="11060"/>
          </w:cols>
          <w:pgMar w:left="320" w:top="118" w:right="519" w:bottom="0" w:gutter="0" w:footer="0" w:header="0"/>
        </w:sectPr>
      </w:pPr>
    </w:p>
    <w:bookmarkStart w:id="2" w:name="page3"/>
    <w:bookmarkEnd w:id="2"/>
    <w:p>
      <w:pPr>
        <w:spacing w:after="0"/>
        <w:tabs>
          <w:tab w:leader="none" w:pos="9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OWNERSHIP</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Amount Beneficially Owned:</w:t>
      </w:r>
    </w:p>
    <w:p>
      <w:pPr>
        <w:spacing w:after="0" w:line="21" w:lineRule="exact"/>
        <w:rPr>
          <w:sz w:val="20"/>
          <w:szCs w:val="20"/>
          <w:color w:val="auto"/>
        </w:rPr>
      </w:pPr>
    </w:p>
    <w:p>
      <w:pPr>
        <w:ind w:left="540" w:right="3920" w:firstLine="540"/>
        <w:spacing w:after="0" w:line="339" w:lineRule="auto"/>
        <w:rPr>
          <w:sz w:val="20"/>
          <w:szCs w:val="20"/>
          <w:color w:val="auto"/>
        </w:rPr>
      </w:pPr>
      <w:r>
        <w:rPr>
          <w:rFonts w:ascii="Arial" w:cs="Arial" w:eastAsia="Arial" w:hAnsi="Arial"/>
          <w:sz w:val="22"/>
          <w:szCs w:val="22"/>
          <w:color w:val="auto"/>
        </w:rPr>
        <w:t>STRS owns 22,787,27 0.000 shares of GOLUB CAPITAL BDC INC (b) Percent of Class:</w:t>
      </w:r>
    </w:p>
    <w:p>
      <w:pPr>
        <w:spacing w:after="0" w:line="1" w:lineRule="exact"/>
        <w:rPr>
          <w:sz w:val="20"/>
          <w:szCs w:val="20"/>
          <w:color w:val="auto"/>
        </w:rPr>
      </w:pPr>
    </w:p>
    <w:p>
      <w:pPr>
        <w:jc w:val="both"/>
        <w:ind w:left="1080" w:right="900"/>
        <w:spacing w:after="0" w:line="234" w:lineRule="auto"/>
        <w:rPr>
          <w:sz w:val="20"/>
          <w:szCs w:val="20"/>
          <w:color w:val="auto"/>
        </w:rPr>
      </w:pPr>
      <w:r>
        <w:rPr>
          <w:rFonts w:ascii="Arial" w:cs="Arial" w:eastAsia="Arial" w:hAnsi="Arial"/>
          <w:sz w:val="22"/>
          <w:szCs w:val="22"/>
          <w:color w:val="auto"/>
        </w:rPr>
        <w:t>STRS believes that there are presently 167,259,51 1.000 outstanding shares of GOLUB CAPITAL BDC INC; therefore, STRS' ownership of 22,787,27 0.000 shares of GOLUB CAPITAL BDC INC stock is 1 3.624% of this class.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 Number of Shares As To Which Such Person Has Power:</w:t>
      </w:r>
    </w:p>
    <w:p>
      <w:pPr>
        <w:spacing w:after="0" w:line="206" w:lineRule="exact"/>
        <w:rPr>
          <w:sz w:val="20"/>
          <w:szCs w:val="20"/>
          <w:color w:val="auto"/>
        </w:rPr>
      </w:pPr>
    </w:p>
    <w:p>
      <w:pPr>
        <w:ind w:left="1080"/>
        <w:spacing w:after="0"/>
        <w:tabs>
          <w:tab w:leader="none" w:pos="4920" w:val="left"/>
        </w:tabs>
        <w:rPr>
          <w:sz w:val="20"/>
          <w:szCs w:val="20"/>
          <w:color w:val="auto"/>
        </w:rPr>
      </w:pPr>
      <w:r>
        <w:rPr>
          <w:rFonts w:ascii="Arial" w:cs="Arial" w:eastAsia="Arial" w:hAnsi="Arial"/>
          <w:sz w:val="22"/>
          <w:szCs w:val="22"/>
          <w:color w:val="auto"/>
        </w:rPr>
        <w:t>(i) Sole power to vote or to direct the vote</w:t>
      </w:r>
      <w:r>
        <w:rPr>
          <w:sz w:val="20"/>
          <w:szCs w:val="20"/>
          <w:color w:val="auto"/>
        </w:rPr>
        <w:tab/>
      </w:r>
      <w:r>
        <w:rPr>
          <w:rFonts w:ascii="Arial" w:cs="Arial" w:eastAsia="Arial" w:hAnsi="Arial"/>
          <w:sz w:val="19"/>
          <w:szCs w:val="19"/>
          <w:color w:val="auto"/>
        </w:rPr>
        <w:t>22,787,27 0.000</w:t>
      </w:r>
    </w:p>
    <w:p>
      <w:pPr>
        <w:spacing w:after="0" w:line="206" w:lineRule="exact"/>
        <w:rPr>
          <w:sz w:val="20"/>
          <w:szCs w:val="20"/>
          <w:color w:val="auto"/>
        </w:rPr>
      </w:pPr>
    </w:p>
    <w:p>
      <w:pPr>
        <w:ind w:left="1080"/>
        <w:spacing w:after="0"/>
        <w:tabs>
          <w:tab w:leader="none" w:pos="5180" w:val="left"/>
        </w:tabs>
        <w:rPr>
          <w:sz w:val="20"/>
          <w:szCs w:val="20"/>
          <w:color w:val="auto"/>
        </w:rPr>
      </w:pPr>
      <w:r>
        <w:rPr>
          <w:rFonts w:ascii="Arial" w:cs="Arial" w:eastAsia="Arial" w:hAnsi="Arial"/>
          <w:sz w:val="21"/>
          <w:szCs w:val="21"/>
          <w:color w:val="auto"/>
        </w:rPr>
        <w:t>(ii) Shared power to vote or to direct the vote</w:t>
        <w:tab/>
        <w:t>0</w:t>
      </w:r>
    </w:p>
    <w:p>
      <w:pPr>
        <w:spacing w:after="0" w:line="218" w:lineRule="exact"/>
        <w:rPr>
          <w:sz w:val="20"/>
          <w:szCs w:val="20"/>
          <w:color w:val="auto"/>
        </w:rPr>
      </w:pPr>
    </w:p>
    <w:p>
      <w:pPr>
        <w:ind w:left="1080"/>
        <w:spacing w:after="0"/>
        <w:tabs>
          <w:tab w:leader="none" w:pos="6180" w:val="left"/>
        </w:tabs>
        <w:rPr>
          <w:sz w:val="20"/>
          <w:szCs w:val="20"/>
          <w:color w:val="auto"/>
        </w:rPr>
      </w:pPr>
      <w:r>
        <w:rPr>
          <w:rFonts w:ascii="Arial" w:cs="Arial" w:eastAsia="Arial" w:hAnsi="Arial"/>
          <w:sz w:val="22"/>
          <w:szCs w:val="22"/>
          <w:color w:val="auto"/>
        </w:rPr>
        <w:t>(iii) Sole power to dispose or to direct the disposition of</w:t>
      </w:r>
      <w:r>
        <w:rPr>
          <w:sz w:val="20"/>
          <w:szCs w:val="20"/>
          <w:color w:val="auto"/>
        </w:rPr>
        <w:tab/>
      </w:r>
      <w:r>
        <w:rPr>
          <w:rFonts w:ascii="Arial" w:cs="Arial" w:eastAsia="Arial" w:hAnsi="Arial"/>
          <w:sz w:val="19"/>
          <w:szCs w:val="19"/>
          <w:color w:val="auto"/>
        </w:rPr>
        <w:t>22,787,27 0.000</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(iv) Shared power to dispose or to direct the disposition of 22,787,27 0.000 shares of GOLUB CAPITAL</w:t>
      </w:r>
    </w:p>
    <w:p>
      <w:pPr>
        <w:ind w:left="1080"/>
        <w:spacing w:after="0" w:line="197" w:lineRule="auto"/>
        <w:rPr>
          <w:sz w:val="20"/>
          <w:szCs w:val="20"/>
          <w:color w:val="auto"/>
        </w:rPr>
      </w:pPr>
      <w:r>
        <w:rPr>
          <w:rFonts w:ascii="Arial" w:cs="Arial" w:eastAsia="Arial" w:hAnsi="Arial"/>
          <w:sz w:val="22"/>
          <w:szCs w:val="22"/>
          <w:color w:val="auto"/>
        </w:rPr>
        <w:t>BDC INC stock.</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left="540" w:right="560"/>
        <w:spacing w:after="0" w:line="223" w:lineRule="auto"/>
        <w:rPr>
          <w:sz w:val="20"/>
          <w:szCs w:val="20"/>
          <w:color w:val="auto"/>
        </w:rPr>
      </w:pPr>
      <w:r>
        <w:rPr>
          <w:rFonts w:ascii="Arial" w:cs="Arial" w:eastAsia="Arial" w:hAnsi="Arial"/>
          <w:sz w:val="21"/>
          <w:szCs w:val="21"/>
          <w:color w:val="auto"/>
        </w:rPr>
        <w:t>If this statements is being filed to report the fact that as of the date hereof the reporting person has ceased to be the beneficial owner of more than five (5) percent of the class of securities, check the following [ ].</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Item 7 IDENTIFICATION AND CLASSIFICATION OF SUBSIDIARY WHICH ACQUIRED THE SECURITY BEING REPORTED ON BY THE PARENT HOLDING COMPANY.</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spacing w:after="0" w:line="22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DATED:</w:t>
        <w:tab/>
        <w:t>1/11/2021</w:t>
      </w:r>
    </w:p>
    <w:p>
      <w:pPr>
        <w:spacing w:after="0" w:line="395" w:lineRule="exact"/>
        <w:rPr>
          <w:sz w:val="20"/>
          <w:szCs w:val="20"/>
          <w:color w:val="auto"/>
        </w:rPr>
      </w:pPr>
    </w:p>
    <w:p>
      <w:pPr>
        <w:ind w:right="4700"/>
        <w:spacing w:after="0" w:line="187" w:lineRule="auto"/>
        <w:rPr>
          <w:sz w:val="20"/>
          <w:szCs w:val="20"/>
          <w:color w:val="auto"/>
        </w:rPr>
      </w:pPr>
      <w:r>
        <w:rPr>
          <w:rFonts w:ascii="Arial" w:cs="Arial" w:eastAsia="Arial" w:hAnsi="Arial"/>
          <w:sz w:val="22"/>
          <w:szCs w:val="22"/>
          <w:color w:val="auto"/>
        </w:rPr>
        <w:t>OTR - Nominee Name for The State Teachers Retirement Board of Ohio 275 East Broad Street</w:t>
      </w:r>
    </w:p>
    <w:p>
      <w:pPr>
        <w:spacing w:after="0" w:line="181" w:lineRule="auto"/>
        <w:rPr>
          <w:sz w:val="20"/>
          <w:szCs w:val="20"/>
          <w:color w:val="auto"/>
        </w:rPr>
      </w:pPr>
      <w:r>
        <w:rPr>
          <w:rFonts w:ascii="Arial" w:cs="Arial" w:eastAsia="Arial" w:hAnsi="Arial"/>
          <w:sz w:val="22"/>
          <w:szCs w:val="22"/>
          <w:color w:val="auto"/>
        </w:rPr>
        <w:t>Columbus, Ohio 43215</w:t>
      </w:r>
    </w:p>
    <w:p>
      <w:pPr>
        <w:spacing w:after="0" w:line="187" w:lineRule="auto"/>
        <w:rPr>
          <w:sz w:val="20"/>
          <w:szCs w:val="20"/>
          <w:color w:val="auto"/>
        </w:rPr>
      </w:pPr>
      <w:r>
        <w:rPr>
          <w:rFonts w:ascii="Arial" w:cs="Arial" w:eastAsia="Arial" w:hAnsi="Arial"/>
          <w:sz w:val="21"/>
          <w:szCs w:val="21"/>
          <w:color w:val="auto"/>
        </w:rPr>
        <w:t>John D. Morrow</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/s/John. D. Morrow</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John. D. Morrow</w:t>
      </w:r>
    </w:p>
    <w:p>
      <w:pPr>
        <w:sectPr>
          <w:pgSz w:w="11900" w:h="16838" w:orient="portrait"/>
          <w:cols w:equalWidth="0" w:num="1">
            <w:col w:w="11000"/>
          </w:cols>
          <w:pgMar w:left="320" w:top="118" w:right="579" w:bottom="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Deputy Executive Director, Investments</w:t>
      </w:r>
    </w:p>
    <w:p>
      <w:pPr>
        <w:spacing w:after="0"/>
        <w:rPr>
          <w:sz w:val="20"/>
          <w:szCs w:val="20"/>
          <w:color w:val="auto"/>
        </w:rPr>
      </w:pPr>
      <w:r>
        <w:rPr>
          <w:rFonts w:ascii="Arial" w:cs="Arial" w:eastAsia="Arial" w:hAnsi="Arial"/>
          <w:sz w:val="22"/>
          <w:szCs w:val="22"/>
          <w:color w:val="auto"/>
        </w:rPr>
        <w:t>614-227-8617</w:t>
      </w:r>
    </w:p>
    <w:sectPr>
      <w:pgSz w:w="11900" w:h="16838" w:orient="portrait"/>
      <w:cols w:equalWidth="0" w:num="1">
        <w:col w:w="10139"/>
      </w:cols>
      <w:pgMar w:left="32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2021-01-11T11:33:14Z</dcterms:created>
  <dcterms:modified xsi:type="dcterms:W3CDTF">2021-01-11T11:33:14Z</dcterms:modified>
</cp:coreProperties>
</file>