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4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right="2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000"/>
          </w:cols>
          <w:pgMar w:left="240" w:top="230" w:right="659" w:bottom="491"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580" w:type="dxa"/>
            <w:vAlign w:val="bottom"/>
          </w:tcPr>
          <w:p>
            <w:pPr>
              <w:ind w:left="720"/>
              <w:spacing w:after="0"/>
              <w:rPr>
                <w:sz w:val="20"/>
                <w:szCs w:val="20"/>
                <w:color w:val="auto"/>
              </w:rPr>
            </w:pPr>
            <w:r>
              <w:rPr>
                <w:rFonts w:ascii="Arial" w:cs="Arial" w:eastAsia="Arial" w:hAnsi="Arial"/>
                <w:sz w:val="18"/>
                <w:szCs w:val="18"/>
                <w:color w:val="auto"/>
              </w:rPr>
              <w:t>, 2019</w:t>
            </w:r>
          </w:p>
        </w:tc>
        <w:tc>
          <w:tcPr>
            <w:tcW w:w="780" w:type="dxa"/>
            <w:vAlign w:val="bottom"/>
          </w:tcPr>
          <w:p>
            <w:pPr>
              <w:spacing w:after="0"/>
              <w:rPr>
                <w:sz w:val="20"/>
                <w:szCs w:val="20"/>
                <w:color w:val="auto"/>
              </w:rPr>
            </w:pPr>
          </w:p>
        </w:tc>
      </w:tr>
      <w:tr>
        <w:trPr>
          <w:trHeight w:val="432"/>
        </w:trPr>
        <w:tc>
          <w:tcPr>
            <w:tcW w:w="9580" w:type="dxa"/>
            <w:vAlign w:val="bottom"/>
          </w:tcPr>
          <w:p>
            <w:pPr>
              <w:spacing w:after="0"/>
              <w:rPr>
                <w:sz w:val="20"/>
                <w:szCs w:val="20"/>
                <w:color w:val="auto"/>
              </w:rPr>
            </w:pPr>
            <w:r>
              <w:rPr>
                <w:rFonts w:ascii="Arial" w:cs="Arial" w:eastAsia="Arial" w:hAnsi="Arial"/>
                <w:sz w:val="18"/>
                <w:szCs w:val="18"/>
                <w:color w:val="auto"/>
              </w:rPr>
              <w:t>To Our Stockholders:</w:t>
            </w:r>
          </w:p>
        </w:tc>
        <w:tc>
          <w:tcPr>
            <w:tcW w:w="780" w:type="dxa"/>
            <w:vAlign w:val="bottom"/>
          </w:tcPr>
          <w:p>
            <w:pPr>
              <w:spacing w:after="0"/>
              <w:rPr>
                <w:sz w:val="24"/>
                <w:szCs w:val="24"/>
                <w:color w:val="auto"/>
              </w:rPr>
            </w:pPr>
          </w:p>
        </w:tc>
      </w:tr>
      <w:tr>
        <w:trPr>
          <w:trHeight w:val="418"/>
        </w:trPr>
        <w:tc>
          <w:tcPr>
            <w:tcW w:w="9580" w:type="dxa"/>
            <w:vAlign w:val="bottom"/>
          </w:tcPr>
          <w:p>
            <w:pPr>
              <w:ind w:left="440"/>
              <w:spacing w:after="0"/>
              <w:rPr>
                <w:sz w:val="20"/>
                <w:szCs w:val="20"/>
                <w:color w:val="auto"/>
              </w:rPr>
            </w:pPr>
            <w:r>
              <w:rPr>
                <w:rFonts w:ascii="Arial" w:cs="Arial" w:eastAsia="Arial" w:hAnsi="Arial"/>
                <w:sz w:val="18"/>
                <w:szCs w:val="18"/>
                <w:color w:val="auto"/>
                <w:w w:val="97"/>
              </w:rPr>
              <w:t>We are pleased to invite you to attend a Special Meeting of Stockholders of TPG Specialty Lending, Inc. to be held on</w:t>
            </w:r>
          </w:p>
        </w:tc>
        <w:tc>
          <w:tcPr>
            <w:tcW w:w="780" w:type="dxa"/>
            <w:vAlign w:val="bottom"/>
          </w:tcPr>
          <w:p>
            <w:pPr>
              <w:ind w:left="100"/>
              <w:spacing w:after="0"/>
              <w:rPr>
                <w:sz w:val="20"/>
                <w:szCs w:val="20"/>
                <w:color w:val="auto"/>
              </w:rPr>
            </w:pPr>
            <w:r>
              <w:rPr>
                <w:rFonts w:ascii="Arial" w:cs="Arial" w:eastAsia="Arial" w:hAnsi="Arial"/>
                <w:sz w:val="18"/>
                <w:szCs w:val="18"/>
                <w:color w:val="auto"/>
                <w:w w:val="87"/>
              </w:rPr>
              <w:t>, 2019, at</w:t>
            </w:r>
          </w:p>
        </w:tc>
      </w:tr>
      <w:tr>
        <w:trPr>
          <w:trHeight w:val="230"/>
        </w:trPr>
        <w:tc>
          <w:tcPr>
            <w:tcW w:w="9580" w:type="dxa"/>
            <w:vAlign w:val="bottom"/>
          </w:tcPr>
          <w:p>
            <w:pPr>
              <w:ind w:left="720"/>
              <w:spacing w:after="0"/>
              <w:rPr>
                <w:sz w:val="20"/>
                <w:szCs w:val="20"/>
                <w:color w:val="auto"/>
              </w:rPr>
            </w:pPr>
            <w:r>
              <w:rPr>
                <w:rFonts w:ascii="Arial" w:cs="Arial" w:eastAsia="Arial" w:hAnsi="Arial"/>
                <w:sz w:val="18"/>
                <w:szCs w:val="18"/>
                <w:color w:val="auto"/>
                <w:w w:val="93"/>
              </w:rPr>
              <w:t>, local time, at the offices of Cleary Gottlieb Steen &amp; Hamilton LLP, 450 Park Avenue, 28th Floor, New York, NY 10022.</w:t>
            </w:r>
          </w:p>
        </w:tc>
        <w:tc>
          <w:tcPr>
            <w:tcW w:w="780" w:type="dxa"/>
            <w:vAlign w:val="bottom"/>
          </w:tcPr>
          <w:p>
            <w:pPr>
              <w:spacing w:after="0"/>
              <w:rPr>
                <w:sz w:val="20"/>
                <w:szCs w:val="20"/>
                <w:color w:val="auto"/>
              </w:rPr>
            </w:pPr>
          </w:p>
        </w:tc>
      </w:tr>
    </w:tbl>
    <w:p>
      <w:pPr>
        <w:spacing w:after="0" w:line="20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58"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289560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jc w:val="right"/>
        <w:ind w:right="9760"/>
        <w:spacing w:after="0"/>
        <w:rPr>
          <w:sz w:val="20"/>
          <w:szCs w:val="20"/>
          <w:color w:val="auto"/>
        </w:rPr>
      </w:pPr>
      <w:r>
        <w:rPr>
          <w:rFonts w:ascii="Arial" w:cs="Arial" w:eastAsia="Arial" w:hAnsi="Arial"/>
          <w:sz w:val="18"/>
          <w:szCs w:val="18"/>
          <w:color w:val="auto"/>
        </w:rPr>
        <w:t>, 2019</w:t>
      </w:r>
    </w:p>
    <w:p>
      <w:pPr>
        <w:sectPr>
          <w:pgSz w:w="11900" w:h="16838" w:orient="portrait"/>
          <w:cols w:equalWidth="0" w:num="1">
            <w:col w:w="11140"/>
          </w:cols>
          <w:pgMar w:left="240" w:top="459"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6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4"/>
        </w:trPr>
        <w:tc>
          <w:tcPr>
            <w:tcW w:w="95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3"/>
              </w:rPr>
              <w:t>Important Notice Regarding the Availability of Proxy Material for the Special Meeting of Stockholders to Be Held on</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r>
        <w:trPr>
          <w:trHeight w:val="432"/>
        </w:trPr>
        <w:tc>
          <w:tcPr>
            <w:tcW w:w="4040" w:type="dxa"/>
            <w:vAlign w:val="bottom"/>
            <w:gridSpan w:val="2"/>
          </w:tcPr>
          <w:p>
            <w:pPr>
              <w:ind w:left="640"/>
              <w:spacing w:after="0"/>
              <w:rPr>
                <w:sz w:val="20"/>
                <w:szCs w:val="20"/>
                <w:color w:val="auto"/>
              </w:rPr>
            </w:pPr>
            <w:r>
              <w:rPr>
                <w:rFonts w:ascii="Arial" w:cs="Arial" w:eastAsia="Arial" w:hAnsi="Arial"/>
                <w:sz w:val="18"/>
                <w:szCs w:val="18"/>
                <w:color w:val="auto"/>
              </w:rPr>
              <w:t>Our proxy statement is available online at</w:t>
            </w:r>
          </w:p>
        </w:tc>
        <w:tc>
          <w:tcPr>
            <w:tcW w:w="5520" w:type="dxa"/>
            <w:vAlign w:val="bottom"/>
          </w:tcPr>
          <w:p>
            <w:pPr>
              <w:jc w:val="right"/>
              <w:ind w:right="50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60"/>
          </w:cols>
          <w:pgMar w:left="24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 IS HEREBY GIVEN that a Special Meeting of Stockholders of TPG Specialty Lending, Inc. will be held at the offices of Cleary</w:t>
      </w:r>
    </w:p>
    <w:p>
      <w:pPr>
        <w:spacing w:after="0" w:line="35"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Gottlieb Steen &amp; Hamilton LLP, 450 Park Avenue, 28th Floor, New York, NY 10022 on , 2019, at , local time. The Special Meeting of Stockholders is being held for the following purpose:</w:t>
      </w:r>
    </w:p>
    <w:p>
      <w:pPr>
        <w:spacing w:after="0" w:line="76" w:lineRule="exact"/>
        <w:rPr>
          <w:sz w:val="20"/>
          <w:szCs w:val="20"/>
          <w:color w:val="auto"/>
        </w:rPr>
      </w:pPr>
    </w:p>
    <w:p>
      <w:pPr>
        <w:jc w:val="both"/>
        <w:ind w:left="640" w:right="40" w:firstLine="428"/>
        <w:spacing w:after="0" w:line="259" w:lineRule="auto"/>
        <w:tabs>
          <w:tab w:leader="none" w:pos="1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ectPr>
          <w:pgSz w:w="11900" w:h="16838" w:orient="portrait"/>
          <w:cols w:equalWidth="0" w:num="1">
            <w:col w:w="11180"/>
          </w:cols>
          <w:pgMar w:left="240" w:top="459" w:right="479" w:bottom="1440" w:gutter="0" w:footer="0" w:header="0"/>
        </w:sectPr>
      </w:pPr>
    </w:p>
    <w:p>
      <w:pPr>
        <w:spacing w:after="0" w:line="18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Only stockholders of record at the close of business on Stockholders or any postponement or adjournment thereof.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2019, are entitled to notice of and to vote at the Special Meeting of</w:t>
      </w:r>
    </w:p>
    <w:p>
      <w:pPr>
        <w:spacing w:after="0" w:line="464" w:lineRule="exact"/>
        <w:rPr>
          <w:sz w:val="20"/>
          <w:szCs w:val="20"/>
          <w:color w:val="auto"/>
        </w:rPr>
      </w:pPr>
    </w:p>
    <w:p>
      <w:pPr>
        <w:sectPr>
          <w:pgSz w:w="11900" w:h="16838" w:orient="portrait"/>
          <w:cols w:equalWidth="0" w:num="2">
            <w:col w:w="4640" w:space="720"/>
            <w:col w:w="5820"/>
          </w:cols>
          <w:pgMar w:left="240" w:top="459" w:right="479" w:bottom="1440" w:gutter="0" w:footer="0" w:header="0"/>
          <w:type w:val="continuous"/>
        </w:sectPr>
      </w:pPr>
    </w:p>
    <w:p>
      <w:pPr>
        <w:ind w:left="200" w:firstLine="441"/>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3" w:lineRule="exact"/>
        <w:rPr>
          <w:sz w:val="20"/>
          <w:szCs w:val="20"/>
          <w:color w:val="auto"/>
        </w:rPr>
      </w:pPr>
    </w:p>
    <w:p>
      <w:pPr>
        <w:ind w:left="200" w:right="140" w:firstLine="441"/>
        <w:spacing w:after="0" w:line="258" w:lineRule="auto"/>
        <w:rPr>
          <w:sz w:val="20"/>
          <w:szCs w:val="20"/>
          <w:color w:val="auto"/>
        </w:rPr>
      </w:pPr>
      <w:r>
        <w:rPr>
          <w:rFonts w:ascii="Arial" w:cs="Arial" w:eastAsia="Arial" w:hAnsi="Arial"/>
          <w:sz w:val="18"/>
          <w:szCs w:val="18"/>
          <w:b w:val="1"/>
          <w:bCs w:val="1"/>
          <w:color w:val="auto"/>
        </w:rPr>
        <w:t xml:space="preserve">Your vote is extremely important to us. </w:t>
      </w:r>
      <w:r>
        <w:rPr>
          <w:rFonts w:ascii="Arial" w:cs="Arial" w:eastAsia="Arial" w:hAnsi="Arial"/>
          <w:sz w:val="18"/>
          <w:szCs w:val="18"/>
          <w:color w:val="auto"/>
        </w:rPr>
        <w:t>If you are unable to attend the Special Meeting of Stockholders, we encourage you to vote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84"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289560</wp:posOffset>
            </wp:positionV>
            <wp:extent cx="2795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222" w:lineRule="exact"/>
        <w:rPr>
          <w:sz w:val="20"/>
          <w:szCs w:val="20"/>
          <w:color w:val="auto"/>
        </w:rPr>
      </w:pPr>
    </w:p>
    <w:p>
      <w:pPr>
        <w:jc w:val="right"/>
        <w:ind w:right="9860"/>
        <w:spacing w:after="0"/>
        <w:rPr>
          <w:sz w:val="20"/>
          <w:szCs w:val="20"/>
          <w:color w:val="auto"/>
        </w:rPr>
      </w:pPr>
      <w:r>
        <w:rPr>
          <w:rFonts w:ascii="Arial" w:cs="Arial" w:eastAsia="Arial" w:hAnsi="Arial"/>
          <w:sz w:val="17"/>
          <w:szCs w:val="17"/>
          <w:color w:val="auto"/>
        </w:rPr>
        <w:t>Fort Worth, TX</w:t>
      </w:r>
    </w:p>
    <w:p>
      <w:pPr>
        <w:spacing w:after="0" w:line="35" w:lineRule="exact"/>
        <w:rPr>
          <w:sz w:val="20"/>
          <w:szCs w:val="20"/>
          <w:color w:val="auto"/>
        </w:rPr>
      </w:pPr>
    </w:p>
    <w:p>
      <w:pPr>
        <w:jc w:val="right"/>
        <w:ind w:right="9800"/>
        <w:spacing w:after="0"/>
        <w:rPr>
          <w:sz w:val="20"/>
          <w:szCs w:val="20"/>
          <w:color w:val="auto"/>
        </w:rPr>
      </w:pPr>
      <w:r>
        <w:rPr>
          <w:rFonts w:ascii="Arial" w:cs="Arial" w:eastAsia="Arial" w:hAnsi="Arial"/>
          <w:sz w:val="18"/>
          <w:szCs w:val="18"/>
          <w:color w:val="auto"/>
        </w:rPr>
        <w:t>, 2019</w:t>
      </w:r>
    </w:p>
    <w:p>
      <w:pPr>
        <w:spacing w:after="0" w:line="207"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80"/>
          </w:cols>
          <w:pgMar w:left="240" w:top="459" w:right="4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80" w:type="dxa"/>
            <w:vAlign w:val="bottom"/>
            <w:gridSpan w:val="7"/>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Proxy Statement for a Special Meeting of Stockholders</w:t>
              </w:r>
            </w:hyperlink>
          </w:p>
        </w:tc>
        <w:tc>
          <w:tcPr>
            <w:tcW w:w="6480" w:type="dxa"/>
            <w:vAlign w:val="bottom"/>
            <w:gridSpan w:val="5"/>
            <w:vMerge w:val="restart"/>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980" w:type="dxa"/>
            <w:vAlign w:val="bottom"/>
            <w:tcBorders>
              <w:bottom w:val="single" w:sz="8" w:color="0000EE"/>
            </w:tcBorders>
            <w:gridSpan w:val="7"/>
            <w:vMerge w:val="continue"/>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046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Proposal No. 1—Authorization of the Company to Sell or Otherwise Issue Shares of its Common Stock at a Price Below its Then-Current Net</w:t>
              </w:r>
            </w:hyperlink>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6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Asset Value Per Share in One or More Offerings, in Each Case Subject to the Approval of its Board of Directors and Subject to the</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Conditions Set Forth in this Proposal</w:t>
              </w:r>
            </w:hyperlink>
          </w:p>
        </w:tc>
        <w:tc>
          <w:tcPr>
            <w:tcW w:w="860" w:type="dxa"/>
            <w:vAlign w:val="bottom"/>
            <w:gridSpan w:val="2"/>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Other Business</w:t>
              </w:r>
            </w:hyperlink>
          </w:p>
        </w:tc>
        <w:tc>
          <w:tcPr>
            <w:tcW w:w="9360" w:type="dxa"/>
            <w:vAlign w:val="bottom"/>
            <w:gridSpan w:val="9"/>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Stockholder Proposals and Nominations for the 2020 Annual Meeting of Stockholders</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Annual Report</w:t>
              </w:r>
            </w:hyperlink>
          </w:p>
        </w:tc>
        <w:tc>
          <w:tcPr>
            <w:tcW w:w="4240" w:type="dxa"/>
            <w:vAlign w:val="bottom"/>
            <w:gridSpan w:val="3"/>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Householding of Proxy Materials</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Privacy Principles</w:t>
              </w:r>
            </w:hyperlink>
          </w:p>
        </w:tc>
        <w:tc>
          <w:tcPr>
            <w:tcW w:w="1080" w:type="dxa"/>
            <w:vAlign w:val="bottom"/>
            <w:tcBorders>
              <w:top w:val="single" w:sz="8" w:color="0000EE"/>
            </w:tcBorders>
          </w:tcPr>
          <w:p>
            <w:pPr>
              <w:spacing w:after="0"/>
              <w:rPr>
                <w:sz w:val="17"/>
                <w:szCs w:val="17"/>
                <w:color w:val="auto"/>
              </w:rPr>
            </w:pPr>
          </w:p>
        </w:tc>
        <w:tc>
          <w:tcPr>
            <w:tcW w:w="8060" w:type="dxa"/>
            <w:vAlign w:val="bottom"/>
            <w:gridSpan w:val="7"/>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“TSLX,” “we,” “us,” “our,” or the “Company,” for use at a Special Meeting of Stockholders (the “Meeting” or “Special Meeting”) to be held at the offices of Cleary Gottlieb Steen &amp; Hamilton LLP, 450 Park Avenue, 28th Floor, New York, NY 10022</w:t>
      </w:r>
    </w:p>
    <w:p>
      <w:pPr>
        <w:ind w:left="200" w:right="20"/>
        <w:spacing w:after="0" w:line="255" w:lineRule="auto"/>
        <w:rPr>
          <w:sz w:val="20"/>
          <w:szCs w:val="20"/>
          <w:color w:val="auto"/>
        </w:rPr>
      </w:pPr>
      <w:r>
        <w:rPr>
          <w:rFonts w:ascii="Arial" w:cs="Arial" w:eastAsia="Arial" w:hAnsi="Arial"/>
          <w:sz w:val="18"/>
          <w:szCs w:val="18"/>
          <w:color w:val="auto"/>
        </w:rPr>
        <w:t>on , 2019, at , local time. Only holders of record of our common stock at the close of business on , 2019, which is the record date, will be entitled to vote at the Meeting. At the close of business on the record date, we had shares of common stock outstanding and entitled to vote.</w:t>
      </w:r>
    </w:p>
    <w:p>
      <w:pPr>
        <w:spacing w:after="0" w:line="190" w:lineRule="exact"/>
        <w:rPr>
          <w:sz w:val="20"/>
          <w:szCs w:val="20"/>
          <w:color w:val="auto"/>
        </w:rPr>
      </w:pPr>
    </w:p>
    <w:p>
      <w:pPr>
        <w:ind w:left="640"/>
        <w:spacing w:after="0"/>
        <w:tabs>
          <w:tab w:leader="none" w:pos="9940" w:val="left"/>
        </w:tabs>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w:t>
      </w:r>
      <w:r>
        <w:rPr>
          <w:sz w:val="20"/>
          <w:szCs w:val="20"/>
          <w:color w:val="auto"/>
        </w:rPr>
        <w:tab/>
      </w:r>
      <w:r>
        <w:rPr>
          <w:rFonts w:ascii="Arial" w:cs="Arial" w:eastAsia="Arial" w:hAnsi="Arial"/>
          <w:sz w:val="16"/>
          <w:szCs w:val="16"/>
          <w:color w:val="auto"/>
        </w:rPr>
        <w:t>, 2019. This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proxy statement, including the accompanying form of proxy (collectively, the “Proxy Statement”), will first be made available to stockholders on or</w:t>
      </w:r>
    </w:p>
    <w:p>
      <w:pPr>
        <w:spacing w:after="0" w:line="21" w:lineRule="exact"/>
        <w:rPr>
          <w:sz w:val="20"/>
          <w:szCs w:val="20"/>
          <w:color w:val="auto"/>
        </w:rPr>
      </w:pPr>
    </w:p>
    <w:p>
      <w:pPr>
        <w:ind w:left="200"/>
        <w:spacing w:after="0"/>
        <w:tabs>
          <w:tab w:leader="none" w:pos="1340" w:val="left"/>
          <w:tab w:leader="none" w:pos="6020" w:val="left"/>
        </w:tabs>
        <w:rPr>
          <w:sz w:val="20"/>
          <w:szCs w:val="20"/>
          <w:color w:val="auto"/>
        </w:rPr>
      </w:pP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 2019. The Proxy Statement can be accessed online 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ind w:left="200" w:firstLine="444"/>
        <w:spacing w:after="0" w:line="259" w:lineRule="auto"/>
        <w:tabs>
          <w:tab w:leader="none" w:pos="8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w:t>
      </w:r>
      <w:r>
        <w:rPr>
          <w:rFonts w:ascii="Arial" w:cs="Arial" w:eastAsia="Arial" w:hAnsi="Arial"/>
          <w:sz w:val="17"/>
          <w:szCs w:val="17"/>
          <w:color w:val="auto"/>
        </w:rPr>
        <w:t xml:space="preserve"> </w:t>
      </w:r>
      <w:r>
        <w:rPr>
          <w:rFonts w:ascii="Arial" w:cs="Arial" w:eastAsia="Arial" w:hAnsi="Arial"/>
          <w:sz w:val="17"/>
          <w:szCs w:val="17"/>
          <w:b w:val="1"/>
          <w:bCs w:val="1"/>
          <w:color w:val="auto"/>
        </w:rPr>
        <w:t>provide instructions to their broker as to how to vote.</w:t>
      </w:r>
    </w:p>
    <w:p>
      <w:pPr>
        <w:spacing w:after="0" w:line="17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many, if any, broker non-votes at the Meeting because there are no routine proposals to be voted on at the Meeting.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named proxies for the Meeting are Ian Simmonds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 Regarding This Proxy</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Company will pay the expenses of soliciting proxies to be voted at the Meeting. The Company has retained distribution and collection of proxies for a fee of approximately $ , plus reimbursement of expenses.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to assist with the</w:t>
      </w:r>
    </w:p>
    <w:p>
      <w:pPr>
        <w:spacing w:after="0" w:line="396" w:lineRule="exact"/>
        <w:rPr>
          <w:sz w:val="20"/>
          <w:szCs w:val="20"/>
          <w:color w:val="auto"/>
        </w:rPr>
      </w:pPr>
    </w:p>
    <w:p>
      <w:pPr>
        <w:sectPr>
          <w:pgSz w:w="11900" w:h="16838" w:orient="portrait"/>
          <w:cols w:equalWidth="0" w:num="2">
            <w:col w:w="8780" w:space="720"/>
            <w:col w:w="172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7" w:lineRule="exact"/>
        <w:rPr>
          <w:sz w:val="20"/>
          <w:szCs w:val="20"/>
          <w:color w:val="auto"/>
        </w:rPr>
      </w:pPr>
    </w:p>
    <w:p>
      <w:pPr>
        <w:ind w:left="200" w:right="700" w:firstLine="441"/>
        <w:spacing w:after="0" w:line="274" w:lineRule="auto"/>
        <w:rPr>
          <w:sz w:val="20"/>
          <w:szCs w:val="20"/>
          <w:color w:val="auto"/>
        </w:rPr>
      </w:pPr>
      <w:r>
        <w:rPr>
          <w:rFonts w:ascii="Arial" w:cs="Arial" w:eastAsia="Arial" w:hAnsi="Arial"/>
          <w:sz w:val="17"/>
          <w:szCs w:val="17"/>
          <w:color w:val="auto"/>
        </w:rPr>
        <w:t>The Company has engaged the services of to assist in the solicitation of proxies. The Company has estimated that it will pay approximately $ , plus reimbursement of certain expenses and fees for additional services requested. Please note that may solicit</w:t>
      </w:r>
    </w:p>
    <w:p>
      <w:pPr>
        <w:ind w:left="200" w:right="80"/>
        <w:spacing w:after="0" w:line="255" w:lineRule="auto"/>
        <w:rPr>
          <w:sz w:val="20"/>
          <w:szCs w:val="20"/>
          <w:color w:val="auto"/>
        </w:rPr>
      </w:pPr>
      <w:r>
        <w:rPr>
          <w:rFonts w:ascii="Arial" w:cs="Arial" w:eastAsia="Arial" w:hAnsi="Arial"/>
          <w:sz w:val="18"/>
          <w:szCs w:val="18"/>
          <w:color w:val="auto"/>
        </w:rPr>
        <w:t>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You can contact us by mail sent to the attention of the Secretary of the Company,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You can call us by dialing (212) 601-4753. You can access our proxy materials online at .</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w:t>
      </w:r>
    </w:p>
    <w:p>
      <w:pPr>
        <w:ind w:left="200" w:right="160"/>
        <w:spacing w:after="0" w:line="252" w:lineRule="auto"/>
        <w:rPr>
          <w:sz w:val="20"/>
          <w:szCs w:val="20"/>
          <w:color w:val="auto"/>
        </w:rPr>
      </w:pPr>
      <w:r>
        <w:rPr>
          <w:rFonts w:ascii="Arial" w:cs="Arial" w:eastAsia="Arial" w:hAnsi="Arial"/>
          <w:sz w:val="18"/>
          <w:szCs w:val="18"/>
          <w:color w:val="auto"/>
        </w:rPr>
        <w:t>or to dispose or direct the disposition thereof or has the right to acquire these powers within 60 days. The following table sets forth, as of , 2019,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gridSpan w:val="2"/>
          </w:tcPr>
          <w:p>
            <w:pPr>
              <w:ind w:left="420"/>
              <w:spacing w:after="0"/>
              <w:rPr>
                <w:sz w:val="20"/>
                <w:szCs w:val="20"/>
                <w:color w:val="auto"/>
              </w:rPr>
            </w:pPr>
            <w:r>
              <w:rPr>
                <w:rFonts w:ascii="Arial" w:cs="Arial" w:eastAsia="Arial" w:hAnsi="Arial"/>
                <w:sz w:val="18"/>
                <w:szCs w:val="18"/>
                <w:color w:val="auto"/>
              </w:rPr>
              <w:t>The percentage ownership is based on</w:t>
            </w:r>
          </w:p>
        </w:tc>
        <w:tc>
          <w:tcPr>
            <w:tcW w:w="3580" w:type="dxa"/>
            <w:vAlign w:val="bottom"/>
          </w:tcPr>
          <w:p>
            <w:pPr>
              <w:ind w:left="180"/>
              <w:spacing w:after="0"/>
              <w:rPr>
                <w:sz w:val="20"/>
                <w:szCs w:val="20"/>
                <w:color w:val="auto"/>
              </w:rPr>
            </w:pPr>
            <w:r>
              <w:rPr>
                <w:rFonts w:ascii="Arial" w:cs="Arial" w:eastAsia="Arial" w:hAnsi="Arial"/>
                <w:sz w:val="18"/>
                <w:szCs w:val="18"/>
                <w:color w:val="auto"/>
              </w:rPr>
              <w:t>shares of common stock outstanding as of</w:t>
            </w:r>
          </w:p>
        </w:tc>
        <w:tc>
          <w:tcPr>
            <w:tcW w:w="3680" w:type="dxa"/>
            <w:vAlign w:val="bottom"/>
            <w:gridSpan w:val="5"/>
          </w:tcPr>
          <w:p>
            <w:pPr>
              <w:jc w:val="right"/>
              <w:ind w:right="60"/>
              <w:spacing w:after="0"/>
              <w:rPr>
                <w:sz w:val="20"/>
                <w:szCs w:val="20"/>
                <w:color w:val="auto"/>
              </w:rPr>
            </w:pPr>
            <w:r>
              <w:rPr>
                <w:rFonts w:ascii="Arial" w:cs="Arial" w:eastAsia="Arial" w:hAnsi="Arial"/>
                <w:sz w:val="18"/>
                <w:szCs w:val="18"/>
                <w:color w:val="auto"/>
                <w:w w:val="99"/>
              </w:rPr>
              <w:t>, 2019. To the Company’s knowledge, except</w:t>
            </w:r>
          </w:p>
        </w:tc>
        <w:tc>
          <w:tcPr>
            <w:tcW w:w="0" w:type="dxa"/>
            <w:vAlign w:val="bottom"/>
          </w:tcPr>
          <w:p>
            <w:pPr>
              <w:spacing w:after="0"/>
              <w:rPr>
                <w:sz w:val="1"/>
                <w:szCs w:val="1"/>
                <w:color w:val="auto"/>
              </w:rPr>
            </w:pPr>
          </w:p>
        </w:tc>
      </w:tr>
      <w:tr>
        <w:trPr>
          <w:trHeight w:val="216"/>
        </w:trPr>
        <w:tc>
          <w:tcPr>
            <w:tcW w:w="11040" w:type="dxa"/>
            <w:vAlign w:val="bottom"/>
            <w:gridSpan w:val="9"/>
          </w:tcPr>
          <w:p>
            <w:pPr>
              <w:spacing w:after="0"/>
              <w:rPr>
                <w:sz w:val="20"/>
                <w:szCs w:val="20"/>
                <w:color w:val="auto"/>
              </w:rPr>
            </w:pPr>
            <w:r>
              <w:rPr>
                <w:rFonts w:ascii="Arial" w:cs="Arial" w:eastAsia="Arial" w:hAnsi="Arial"/>
                <w:sz w:val="18"/>
                <w:szCs w:val="18"/>
                <w:color w:val="auto"/>
                <w:w w:val="97"/>
              </w:rPr>
              <w:t>as indicated in the footnotes to the table, each of the stockholders listed below has sole voting and/or investment power with respect to shares</w:t>
            </w:r>
          </w:p>
        </w:tc>
        <w:tc>
          <w:tcPr>
            <w:tcW w:w="0" w:type="dxa"/>
            <w:vAlign w:val="bottom"/>
          </w:tcPr>
          <w:p>
            <w:pPr>
              <w:spacing w:after="0"/>
              <w:rPr>
                <w:sz w:val="1"/>
                <w:szCs w:val="1"/>
                <w:color w:val="auto"/>
              </w:rPr>
            </w:pPr>
          </w:p>
        </w:tc>
      </w:tr>
      <w:tr>
        <w:trPr>
          <w:trHeight w:val="216"/>
        </w:trPr>
        <w:tc>
          <w:tcPr>
            <w:tcW w:w="11040" w:type="dxa"/>
            <w:vAlign w:val="bottom"/>
            <w:gridSpan w:val="9"/>
          </w:tcPr>
          <w:p>
            <w:pPr>
              <w:spacing w:after="0"/>
              <w:rPr>
                <w:sz w:val="20"/>
                <w:szCs w:val="20"/>
                <w:color w:val="auto"/>
              </w:rPr>
            </w:pPr>
            <w:r>
              <w:rPr>
                <w:rFonts w:ascii="Arial" w:cs="Arial" w:eastAsia="Arial" w:hAnsi="Arial"/>
                <w:sz w:val="18"/>
                <w:szCs w:val="18"/>
                <w:color w:val="auto"/>
                <w:w w:val="97"/>
              </w:rPr>
              <w:t>beneficially owned by such stockholder. Unless otherwise indicated by footnote, the address for each listed individual is 301 Commerce Street,</w:t>
            </w: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Suite 3300, Fort Worth, TX 76102.</w:t>
            </w:r>
          </w:p>
        </w:tc>
        <w:tc>
          <w:tcPr>
            <w:tcW w:w="3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00" w:type="dxa"/>
            <w:vAlign w:val="bottom"/>
            <w:gridSpan w:val="2"/>
          </w:tcPr>
          <w:p>
            <w:pPr>
              <w:jc w:val="center"/>
              <w:ind w:left="931"/>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7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3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680" w:type="dxa"/>
            <w:vAlign w:val="bottom"/>
            <w:gridSpan w:val="3"/>
          </w:tcPr>
          <w:p>
            <w:pPr>
              <w:jc w:val="center"/>
              <w:ind w:left="43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7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35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3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3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36,943</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358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36,366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Jennifer Gordon</w:t>
            </w:r>
          </w:p>
        </w:tc>
        <w:tc>
          <w:tcPr>
            <w:tcW w:w="3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Independent Directors</w:t>
            </w:r>
          </w:p>
        </w:tc>
        <w:tc>
          <w:tcPr>
            <w:tcW w:w="3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Hurley Doddy</w:t>
            </w:r>
          </w:p>
        </w:tc>
        <w:tc>
          <w:tcPr>
            <w:tcW w:w="3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Richard Higginbotham</w:t>
            </w:r>
          </w:p>
        </w:tc>
        <w:tc>
          <w:tcPr>
            <w:tcW w:w="358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Ross</w:t>
            </w:r>
          </w:p>
        </w:tc>
        <w:tc>
          <w:tcPr>
            <w:tcW w:w="3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Ronald Tanemura</w:t>
            </w:r>
          </w:p>
        </w:tc>
        <w:tc>
          <w:tcPr>
            <w:tcW w:w="358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86,516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5"/>
              </w:rPr>
              <w:t>Named Executive Officers Who Are Not Directors</w:t>
            </w:r>
          </w:p>
        </w:tc>
        <w:tc>
          <w:tcPr>
            <w:tcW w:w="3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Ian Simmonds</w:t>
            </w:r>
          </w:p>
        </w:tc>
        <w:tc>
          <w:tcPr>
            <w:tcW w:w="358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15"/>
                <w:szCs w:val="15"/>
                <w:color w:val="auto"/>
              </w:rPr>
              <w:t>(4)</w:t>
            </w:r>
          </w:p>
        </w:tc>
        <w:tc>
          <w:tcPr>
            <w:tcW w:w="3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 xml:space="preserve">All Directors and Executive Officers as a Group (15 persons) </w:t>
            </w:r>
            <w:r>
              <w:rPr>
                <w:rFonts w:ascii="Arial" w:cs="Arial" w:eastAsia="Arial" w:hAnsi="Arial"/>
                <w:sz w:val="15"/>
                <w:szCs w:val="15"/>
                <w:color w:val="auto"/>
              </w:rPr>
              <w:t>(5)(6)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2,902,098</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3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(7)</w:t>
            </w:r>
          </w:p>
        </w:tc>
        <w:tc>
          <w:tcPr>
            <w:tcW w:w="358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5,514,942</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(8)</w:t>
            </w:r>
          </w:p>
        </w:tc>
        <w:tc>
          <w:tcPr>
            <w:tcW w:w="3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5,238,665</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4,300,000</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Wells Fargo &amp; Company </w:t>
            </w:r>
            <w:r>
              <w:rPr>
                <w:rFonts w:ascii="Arial" w:cs="Arial" w:eastAsia="Arial" w:hAnsi="Arial"/>
                <w:sz w:val="15"/>
                <w:szCs w:val="15"/>
                <w:color w:val="auto"/>
              </w:rPr>
              <w:t>(10)</w:t>
            </w:r>
          </w:p>
        </w:tc>
        <w:tc>
          <w:tcPr>
            <w:tcW w:w="3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3,406,808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640" w:right="20" w:hanging="436"/>
        <w:spacing w:after="0" w:line="269"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40"/>
        <w:spacing w:after="0" w:line="258" w:lineRule="auto"/>
        <w:rPr>
          <w:sz w:val="20"/>
          <w:szCs w:val="20"/>
          <w:color w:val="auto"/>
        </w:rPr>
      </w:pPr>
      <w:r>
        <w:rPr>
          <w:rFonts w:ascii="Arial" w:cs="Arial" w:eastAsia="Arial" w:hAnsi="Arial"/>
          <w:sz w:val="18"/>
          <w:szCs w:val="18"/>
          <w:color w:val="auto"/>
        </w:rPr>
        <w:t>of more than five percent of common stock and each director and executive officer has sole voting and/or investment power over the shares reported.</w:t>
      </w:r>
    </w:p>
    <w:p>
      <w:pPr>
        <w:spacing w:after="0" w:line="1" w:lineRule="exact"/>
        <w:rPr>
          <w:sz w:val="20"/>
          <w:szCs w:val="20"/>
          <w:color w:val="auto"/>
        </w:rPr>
      </w:pPr>
    </w:p>
    <w:p>
      <w:pPr>
        <w:ind w:left="640" w:right="26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ind w:left="640" w:right="26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640" w:right="4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3,907 shares of common stock beneficially owned by Mr. Stanley have been pledged as security in connection with a line of credit with a third party financial institution unaffiliated with the Company.</w:t>
      </w:r>
    </w:p>
    <w:p>
      <w:pPr>
        <w:ind w:left="640" w:right="18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55,562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TSL Advisers, LLC holds 2,716,977 shares of common stock, or the TSL Advisers Shares.</w:t>
      </w:r>
    </w:p>
    <w:p>
      <w:pPr>
        <w:spacing w:after="0" w:line="9" w:lineRule="exact"/>
        <w:rPr>
          <w:rFonts w:ascii="Arial" w:cs="Arial" w:eastAsia="Arial" w:hAnsi="Arial"/>
          <w:sz w:val="18"/>
          <w:szCs w:val="18"/>
          <w:color w:val="auto"/>
        </w:rPr>
      </w:pPr>
    </w:p>
    <w:p>
      <w:pPr>
        <w:ind w:left="640" w:right="12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(“TSSP”),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jc w:val="both"/>
        <w:ind w:left="640" w:right="14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13, 2019 by FMR LLC and Abigail P. Johnson. As of February 13, 2019 FMR LLC had (i) sole power to vote 543,328 shares and (ii) sole power to dispose of 5,514,942 shares. Abigail P. Johnson had sole power to dispose of 5,514,942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3" w:lineRule="exact"/>
        <w:rPr>
          <w:rFonts w:ascii="Arial" w:cs="Arial" w:eastAsia="Arial" w:hAnsi="Arial"/>
          <w:sz w:val="17"/>
          <w:szCs w:val="17"/>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640" w:right="560" w:hanging="436"/>
        <w:spacing w:after="0" w:line="261"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22, 2019 by Wells Fargo &amp; Company on its own behalf and on behalf of certain subsidiaries. The address of Wells Fargo &amp; Company is 420 Montgomery Street, San Francisco, CA 94163.</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6"/>
          <w:szCs w:val="16"/>
          <w:b w:val="1"/>
          <w:bCs w:val="1"/>
          <w:color w:val="auto"/>
        </w:rPr>
        <w:t>There will be no limit on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6"/>
          <w:szCs w:val="16"/>
          <w:color w:val="auto"/>
        </w:rPr>
        <w:t>Except for such authorizations as otherwise may be required with respect to a particular issuance under applicable law, New York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7" w:lineRule="exact"/>
        <w:rPr>
          <w:sz w:val="20"/>
          <w:szCs w:val="20"/>
          <w:color w:val="auto"/>
        </w:rPr>
      </w:pPr>
    </w:p>
    <w:p>
      <w:pPr>
        <w:ind w:left="1060" w:right="1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75"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NAV due to such stock market volatility. While the Company’s shares of common stock are currently trading above NAV, there can be no assurance that they will continue to do so and there can be no assurance that these adverse market conditions will not repeat themselves or worsen in the future. If adverse market conditions re-occur or increase in severity and duration,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2018 the Company declared total dividends of $1.87 per share of its common stock (including a fourth quarter variable supplemental dividend of $0.12 declared in the first quarter of 2019).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New York Stock Exchange (“NYSE”)</w:t>
      </w:r>
    </w:p>
    <w:tbl>
      <w:tblPr>
        <w:tblLayout w:type="fixed"/>
        <w:tblInd w:w="200" w:type="dxa"/>
        <w:tblCellMar>
          <w:top w:w="0" w:type="dxa"/>
          <w:left w:w="0" w:type="dxa"/>
          <w:bottom w:w="0" w:type="dxa"/>
          <w:right w:w="0" w:type="dxa"/>
        </w:tblCellMar>
      </w:tblPr>
      <w:tr>
        <w:trPr>
          <w:trHeight w:val="202"/>
        </w:trPr>
        <w:tc>
          <w:tcPr>
            <w:tcW w:w="4860" w:type="dxa"/>
            <w:vAlign w:val="bottom"/>
            <w:gridSpan w:val="3"/>
          </w:tcPr>
          <w:p>
            <w:pPr>
              <w:spacing w:after="0" w:line="202" w:lineRule="exact"/>
              <w:rPr>
                <w:sz w:val="20"/>
                <w:szCs w:val="20"/>
                <w:color w:val="auto"/>
              </w:rPr>
            </w:pPr>
            <w:r>
              <w:rPr>
                <w:rFonts w:ascii="Arial" w:cs="Arial" w:eastAsia="Arial" w:hAnsi="Arial"/>
                <w:sz w:val="18"/>
                <w:szCs w:val="18"/>
                <w:color w:val="auto"/>
                <w:w w:val="95"/>
              </w:rPr>
              <w:t>and the closing sales price as a premium (discount) to NAV. On</w:t>
            </w:r>
          </w:p>
        </w:tc>
        <w:tc>
          <w:tcPr>
            <w:tcW w:w="6180" w:type="dxa"/>
            <w:vAlign w:val="bottom"/>
            <w:gridSpan w:val="16"/>
          </w:tcPr>
          <w:p>
            <w:pPr>
              <w:ind w:left="300"/>
              <w:spacing w:after="0" w:line="202" w:lineRule="exact"/>
              <w:rPr>
                <w:sz w:val="20"/>
                <w:szCs w:val="20"/>
                <w:color w:val="auto"/>
              </w:rPr>
            </w:pPr>
            <w:r>
              <w:rPr>
                <w:rFonts w:ascii="Arial" w:cs="Arial" w:eastAsia="Arial" w:hAnsi="Arial"/>
                <w:sz w:val="18"/>
                <w:szCs w:val="18"/>
                <w:color w:val="auto"/>
                <w:w w:val="92"/>
              </w:rPr>
              <w:t>, 2019, the last reported closing sales price of the Company’s common stock on</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the NYSE was $</w:t>
            </w:r>
          </w:p>
        </w:tc>
        <w:tc>
          <w:tcPr>
            <w:tcW w:w="5280" w:type="dxa"/>
            <w:vAlign w:val="bottom"/>
            <w:gridSpan w:val="5"/>
          </w:tcPr>
          <w:p>
            <w:pPr>
              <w:spacing w:after="0"/>
              <w:rPr>
                <w:sz w:val="20"/>
                <w:szCs w:val="20"/>
                <w:color w:val="auto"/>
              </w:rPr>
            </w:pPr>
            <w:r>
              <w:rPr>
                <w:rFonts w:ascii="Arial" w:cs="Arial" w:eastAsia="Arial" w:hAnsi="Arial"/>
                <w:sz w:val="18"/>
                <w:szCs w:val="18"/>
                <w:color w:val="auto"/>
                <w:w w:val="95"/>
              </w:rPr>
              <w:t>per share, which represented a [discount] [premium] of approximately</w:t>
            </w:r>
          </w:p>
        </w:tc>
        <w:tc>
          <w:tcPr>
            <w:tcW w:w="3400" w:type="dxa"/>
            <w:vAlign w:val="bottom"/>
            <w:gridSpan w:val="8"/>
          </w:tcPr>
          <w:p>
            <w:pPr>
              <w:spacing w:after="0"/>
              <w:rPr>
                <w:sz w:val="20"/>
                <w:szCs w:val="20"/>
                <w:color w:val="auto"/>
              </w:rPr>
            </w:pPr>
            <w:r>
              <w:rPr>
                <w:rFonts w:ascii="Arial" w:cs="Arial" w:eastAsia="Arial" w:hAnsi="Arial"/>
                <w:sz w:val="18"/>
                <w:szCs w:val="18"/>
                <w:color w:val="auto"/>
                <w:w w:val="93"/>
              </w:rPr>
              <w:t>% to the NAV reported by the Company as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w w:val="96"/>
              </w:rPr>
              <w:t>December 31, 2018.</w:t>
            </w:r>
          </w:p>
        </w:tc>
        <w:tc>
          <w:tcPr>
            <w:tcW w:w="3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Price Range</w:t>
            </w:r>
          </w:p>
        </w:tc>
        <w:tc>
          <w:tcPr>
            <w:tcW w:w="34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High Sales</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13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80" w:type="dxa"/>
            <w:vAlign w:val="bottom"/>
          </w:tcPr>
          <w:p>
            <w:pPr>
              <w:spacing w:after="0"/>
              <w:rPr>
                <w:sz w:val="13"/>
                <w:szCs w:val="13"/>
                <w:color w:val="auto"/>
              </w:rPr>
            </w:pPr>
          </w:p>
        </w:tc>
        <w:tc>
          <w:tcPr>
            <w:tcW w:w="9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Price to</w:t>
            </w:r>
          </w:p>
        </w:tc>
        <w:tc>
          <w:tcPr>
            <w:tcW w:w="76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0"/>
                <w:szCs w:val="10"/>
                <w:color w:val="auto"/>
              </w:rPr>
            </w:pPr>
          </w:p>
        </w:tc>
        <w:tc>
          <w:tcPr>
            <w:tcW w:w="10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0"/>
              </w:rPr>
              <w:t>Asset</w:t>
            </w:r>
          </w:p>
        </w:tc>
        <w:tc>
          <w:tcPr>
            <w:tcW w:w="180" w:type="dxa"/>
            <w:vAlign w:val="bottom"/>
          </w:tcPr>
          <w:p>
            <w:pPr>
              <w:spacing w:after="0"/>
              <w:rPr>
                <w:sz w:val="10"/>
                <w:szCs w:val="10"/>
                <w:color w:val="auto"/>
              </w:rPr>
            </w:pPr>
          </w:p>
        </w:tc>
        <w:tc>
          <w:tcPr>
            <w:tcW w:w="9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8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2016</w:t>
            </w:r>
          </w:p>
        </w:tc>
        <w:tc>
          <w:tcPr>
            <w:tcW w:w="6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First Quarter</w:t>
            </w:r>
          </w:p>
        </w:tc>
        <w:tc>
          <w:tcPr>
            <w:tcW w:w="3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$16.86</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$15.15</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11.6%</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$16.74</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$15.97</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Third Quarter</w:t>
            </w:r>
          </w:p>
        </w:tc>
        <w:tc>
          <w:tcPr>
            <w:tcW w:w="3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$18.77</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$16.61</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18.9%</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$19.05</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$17.43</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2017</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$20.39</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$18.27</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Second Quarter</w:t>
            </w:r>
          </w:p>
        </w:tc>
        <w:tc>
          <w:tcPr>
            <w:tcW w:w="3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$20.99</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$20.31</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30.0%</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25.8%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$21.61</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$19.94</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Fourth Quarter</w:t>
            </w:r>
          </w:p>
        </w:tc>
        <w:tc>
          <w:tcPr>
            <w:tcW w:w="3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$21.12</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$19.80</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31.3%</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23.1%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2018</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First Quarter</w:t>
            </w:r>
          </w:p>
        </w:tc>
        <w:tc>
          <w:tcPr>
            <w:tcW w:w="3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$20.06</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$17.47</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$19.19</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$17.51</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Third Quarter</w:t>
            </w:r>
          </w:p>
        </w:tc>
        <w:tc>
          <w:tcPr>
            <w:tcW w:w="3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$16.47</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$20.71</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$18.04</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25.7%</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$21.00</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$18.09</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2019</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0"/>
              </w:rPr>
              <w:t>First Quarter (through</w:t>
            </w:r>
          </w:p>
        </w:tc>
        <w:tc>
          <w:tcPr>
            <w:tcW w:w="32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rPr>
              <w:t>, 2019)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0" w:hanging="436"/>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640" w:right="8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640" w:right="360" w:hanging="436"/>
        <w:spacing w:after="0" w:line="261"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 has not yet been calculated for this period. NAV for the first quarter of 2019 will be available with the filing of the Company’s Quarterly Report on Form 10-Q for such quarter, which will be filed on or about May 2, 2019.</w:t>
      </w:r>
    </w:p>
    <w:p>
      <w:pPr>
        <w:spacing w:after="0" w:line="18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w:t>
      </w:r>
    </w:p>
    <w:p>
      <w:pPr>
        <w:ind w:left="200" w:right="180"/>
        <w:spacing w:after="0" w:line="255" w:lineRule="auto"/>
        <w:rPr>
          <w:sz w:val="20"/>
          <w:szCs w:val="20"/>
          <w:color w:val="auto"/>
        </w:rPr>
      </w:pPr>
      <w:r>
        <w:rPr>
          <w:rFonts w:ascii="Arial" w:cs="Arial" w:eastAsia="Arial" w:hAnsi="Arial"/>
          <w:sz w:val="18"/>
          <w:szCs w:val="18"/>
          <w:b w:val="1"/>
          <w:bCs w:val="1"/>
          <w:color w:val="auto"/>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Arial" w:cs="Arial" w:eastAsia="Arial" w:hAnsi="Arial"/>
          <w:sz w:val="18"/>
          <w:szCs w:val="18"/>
          <w:color w:val="auto"/>
        </w:rPr>
        <w:t>.</w:t>
      </w:r>
    </w:p>
    <w:p>
      <w:pPr>
        <w:spacing w:after="0" w:line="1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8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Company’s common stock at a price less than NAV on two different types of investors:</w:t>
      </w:r>
    </w:p>
    <w:p>
      <w:pPr>
        <w:spacing w:after="0" w:line="11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example assumes that the issuer has 65.4 million shares outstanding, $1.7 billion in total assets and $0.7 billion in total liabilities (all figures correspond to actual data for the Company as of December 31, 2018). The current net asset value and NAV per share are thus $1.1 billion and $16.25 per share. The chart illustrates the dilutive effect on Stockholder A of (a) an offering of 3.3 million shares of common stock (5% of the outstanding shares) at $15.44 per share after offering expenses and commissions (a 5% discount from NAV per share), (b) an offering of 6.5 million shares of common stock (10% of the outstanding shares) at $14.63 per share after offering expenses and commissions (a 10% discount from NAV per share), (c) an offering of</w:t>
      </w:r>
    </w:p>
    <w:p>
      <w:pPr>
        <w:spacing w:after="0" w:line="2"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13.1 million shares of common stock (20% of the outstanding shares) at $13.00 per share after offering expenses and commissions (a 20% discount from NAV per share), and (d) an offering of 16.4 million shares of common stock (25% of the outstanding shares) at $12.19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Example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Example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5%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10%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20%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10%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20%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68,683,458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71,954,099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78,495,380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20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c>
          <w:tcPr>
            <w:tcW w:w="18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Dilution to Nonparticipating Stockholder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18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w w:val="96"/>
              </w:rPr>
              <w:t>Total Net Asset Value Held by Stockholder A</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1,063,202</w:t>
            </w: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1,060,662</w:t>
            </w:r>
          </w:p>
        </w:tc>
        <w:tc>
          <w:tcPr>
            <w:tcW w:w="20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1,053,519</w:t>
            </w:r>
          </w:p>
        </w:tc>
        <w:tc>
          <w:tcPr>
            <w:tcW w:w="18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1,027,732</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1,010,008</w:t>
            </w:r>
          </w:p>
        </w:tc>
        <w:tc>
          <w:tcPr>
            <w:tcW w:w="20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Total Investment by Stockholder A (Assumed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 be $16.25 per Share)</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(2,539)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(9,682)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(35,470)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(53,194)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Investment per Share Held by Stockholder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(Assumed to be $16.25 per Share 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Held Prior to Sale)</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Stockholder A</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15.44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Asset Value per Share Less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20"/>
              <w:spacing w:after="0" w:line="149" w:lineRule="exact"/>
              <w:rPr>
                <w:sz w:val="20"/>
                <w:szCs w:val="20"/>
                <w:color w:val="auto"/>
              </w:rPr>
            </w:pPr>
            <w:r>
              <w:rPr>
                <w:rFonts w:ascii="Arial" w:cs="Arial" w:eastAsia="Arial" w:hAnsi="Arial"/>
                <w:sz w:val="14"/>
                <w:szCs w:val="14"/>
                <w:color w:val="auto"/>
                <w:w w:val="99"/>
              </w:rPr>
              <w:t>(Dilution per Share Divided by Investment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per Share)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(0.89%)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Prior to</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50% Participation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Sale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Below NAV</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65,412,817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16.25</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Dilution/Accretion to Participating Stockholder Shares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Held by Stockholder A</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65,413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71,954</w:t>
            </w:r>
          </w:p>
        </w:tc>
        <w:tc>
          <w:tcPr>
            <w:tcW w:w="3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85,037</w:t>
            </w:r>
          </w:p>
        </w:tc>
        <w:tc>
          <w:tcPr>
            <w:tcW w:w="3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Net Asset Value Held by Stockholder 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1,063,202</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1,130,505</w:t>
            </w:r>
          </w:p>
        </w:tc>
        <w:tc>
          <w:tcPr>
            <w:tcW w:w="3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6.33%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1,336,051</w:t>
            </w:r>
          </w:p>
        </w:tc>
        <w:tc>
          <w:tcPr>
            <w:tcW w:w="3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Investment by Stockholder A (Assumed to be $16.25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 on Shares Held Prior to Sale)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1,063,202</w:t>
            </w:r>
          </w:p>
        </w:tc>
        <w:tc>
          <w:tcPr>
            <w:tcW w:w="3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1,152,714</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1,331,739</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7"/>
              </w:rPr>
              <w:t>Total Dilution/Accretion to Stockholder A (Total Net Asset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Value Less Total Investment)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(22,209)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Investment per Share Held by Stockholder A (Assumed to</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 $16.25 per Share on Shares Held Prior to Sale)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Asset Value per Share Held by Stockholder 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Dilution/Accretion per Share Held by Stockholder A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Value per Share Less Investment per Share)</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Percentage Dilution/Accretion to Stockholder A (Dilution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per Share Divided by Investment per Share)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TSL Advisers, as such fees are based on the amount of the Company’s gross assets, and considered the effect of the following factors:</w:t>
      </w:r>
    </w:p>
    <w:p>
      <w:pPr>
        <w:spacing w:after="0" w:line="92" w:lineRule="exact"/>
        <w:rPr>
          <w:sz w:val="20"/>
          <w:szCs w:val="20"/>
          <w:color w:val="auto"/>
        </w:rPr>
      </w:pPr>
    </w:p>
    <w:p>
      <w:pPr>
        <w:ind w:left="1060" w:right="3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69"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2020 ANNUAL MEETING OF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2020 annual</w:t>
      </w:r>
    </w:p>
    <w:p>
      <w:pPr>
        <w:spacing w:after="0" w:line="35"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meeting of stockholders pursuant to Rule 14a-8 of the SEC’s rules must be received by us at our principal executive offices no later than , 2019.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Ken Burke, TPG Specialty Lending, Inc., 301 Commerce Street, Suite 3300, Fort Worth, TX 76102.</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2020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require that the proposal or recommendation for nomination must be received by our Secretary at our principal executive offices at</w:t>
      </w:r>
    </w:p>
    <w:p>
      <w:pPr>
        <w:spacing w:after="0" w:line="46" w:lineRule="exact"/>
        <w:rPr>
          <w:sz w:val="20"/>
          <w:szCs w:val="20"/>
          <w:color w:val="auto"/>
        </w:rPr>
      </w:pPr>
    </w:p>
    <w:p>
      <w:pPr>
        <w:ind w:left="200"/>
        <w:spacing w:after="0"/>
        <w:tabs>
          <w:tab w:leader="none" w:pos="3000" w:val="left"/>
        </w:tabs>
        <w:rPr>
          <w:sz w:val="20"/>
          <w:szCs w:val="20"/>
          <w:color w:val="auto"/>
        </w:rPr>
      </w:pPr>
      <w:r>
        <w:rPr>
          <w:rFonts w:ascii="Arial" w:cs="Arial" w:eastAsia="Arial" w:hAnsi="Arial"/>
          <w:sz w:val="18"/>
          <w:szCs w:val="18"/>
          <w:color w:val="auto"/>
        </w:rPr>
        <w:t>the above address no later than</w:t>
      </w:r>
      <w:r>
        <w:rPr>
          <w:sz w:val="20"/>
          <w:szCs w:val="20"/>
          <w:color w:val="auto"/>
        </w:rPr>
        <w:tab/>
      </w:r>
      <w:r>
        <w:rPr>
          <w:rFonts w:ascii="Arial" w:cs="Arial" w:eastAsia="Arial" w:hAnsi="Arial"/>
          <w:sz w:val="16"/>
          <w:szCs w:val="16"/>
          <w:color w:val="auto"/>
        </w:rPr>
        <w:t>, 2020, unless the date of our 2020 annual meeting is more than 30 days before or more than 60 days after</w:t>
      </w:r>
    </w:p>
    <w:p>
      <w:pPr>
        <w:spacing w:after="0" w:line="9" w:lineRule="exact"/>
        <w:rPr>
          <w:sz w:val="20"/>
          <w:szCs w:val="20"/>
          <w:color w:val="auto"/>
        </w:rPr>
      </w:pPr>
    </w:p>
    <w:p>
      <w:pPr>
        <w:ind w:left="200" w:right="200" w:firstLine="544"/>
        <w:spacing w:after="0" w:line="255" w:lineRule="auto"/>
        <w:tabs>
          <w:tab w:leader="none" w:pos="8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2020, the anniversary of our 2019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2018 to any stockholder upon request. Requests should be directed to the Secretary of the Company,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4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1" w:lineRule="exact"/>
        <w:rPr>
          <w:sz w:val="20"/>
          <w:szCs w:val="20"/>
          <w:color w:val="auto"/>
        </w:rPr>
      </w:pPr>
    </w:p>
    <w:p>
      <w:pPr>
        <w:ind w:left="200" w:right="180" w:firstLine="441"/>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289560</wp:posOffset>
            </wp:positionV>
            <wp:extent cx="2795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45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24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rPr>
              <w:t>TPG SPECIALTY LENDING</w:t>
            </w:r>
          </w:p>
        </w:tc>
        <w:tc>
          <w:tcPr>
            <w:tcW w:w="420" w:type="dxa"/>
            <w:vAlign w:val="bottom"/>
          </w:tcPr>
          <w:p>
            <w:pPr>
              <w:spacing w:after="0"/>
              <w:rPr>
                <w:sz w:val="24"/>
                <w:szCs w:val="24"/>
                <w:color w:val="auto"/>
              </w:rPr>
            </w:pPr>
          </w:p>
        </w:tc>
      </w:tr>
      <w:tr>
        <w:trPr>
          <w:trHeight w:val="432"/>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w w:val="94"/>
              </w:rPr>
              <w:t xml:space="preserve">Important Notice Regarding the Availability of Proxy Materials for the Special Meeting: </w:t>
            </w:r>
            <w:r>
              <w:rPr>
                <w:rFonts w:ascii="Arial" w:cs="Arial" w:eastAsia="Arial" w:hAnsi="Arial"/>
                <w:sz w:val="18"/>
                <w:szCs w:val="18"/>
                <w:color w:val="auto"/>
                <w:w w:val="94"/>
              </w:rPr>
              <w:t>The Notice and Proxy Statement is available at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1360" w:type="dxa"/>
            <w:vAlign w:val="bottom"/>
          </w:tcPr>
          <w:p>
            <w:pPr>
              <w:spacing w:after="0"/>
              <w:rPr>
                <w:sz w:val="24"/>
                <w:szCs w:val="24"/>
                <w:color w:val="auto"/>
              </w:rPr>
            </w:pPr>
          </w:p>
        </w:tc>
        <w:tc>
          <w:tcPr>
            <w:tcW w:w="924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rPr>
              <w:t>TPG SPECIALTY LENDING, INC.</w:t>
            </w:r>
          </w:p>
        </w:tc>
        <w:tc>
          <w:tcPr>
            <w:tcW w:w="4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24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8"/>
              </w:rPr>
              <w:t>Special Meeting of Stockholders</w:t>
            </w:r>
          </w:p>
        </w:tc>
        <w:tc>
          <w:tcPr>
            <w:tcW w:w="420" w:type="dxa"/>
            <w:vAlign w:val="bottom"/>
          </w:tcPr>
          <w:p>
            <w:pPr>
              <w:spacing w:after="0"/>
              <w:rPr>
                <w:sz w:val="24"/>
                <w:szCs w:val="24"/>
                <w:color w:val="auto"/>
              </w:rPr>
            </w:pPr>
          </w:p>
        </w:tc>
      </w:tr>
      <w:tr>
        <w:trPr>
          <w:trHeight w:val="432"/>
        </w:trPr>
        <w:tc>
          <w:tcPr>
            <w:tcW w:w="60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 2019</w:t>
            </w:r>
          </w:p>
        </w:tc>
        <w:tc>
          <w:tcPr>
            <w:tcW w:w="4580" w:type="dxa"/>
            <w:vAlign w:val="bottom"/>
          </w:tcPr>
          <w:p>
            <w:pPr>
              <w:ind w:left="480"/>
              <w:spacing w:after="0"/>
              <w:rPr>
                <w:sz w:val="20"/>
                <w:szCs w:val="20"/>
                <w:color w:val="auto"/>
              </w:rPr>
            </w:pPr>
            <w:r>
              <w:rPr>
                <w:rFonts w:ascii="Arial" w:cs="Arial" w:eastAsia="Arial" w:hAnsi="Arial"/>
                <w:sz w:val="18"/>
                <w:szCs w:val="18"/>
                <w:b w:val="1"/>
                <w:bCs w:val="1"/>
                <w:color w:val="auto"/>
              </w:rPr>
              <w:t>EDT</w:t>
            </w:r>
          </w:p>
        </w:tc>
        <w:tc>
          <w:tcPr>
            <w:tcW w:w="4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24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89"/>
              </w:rPr>
              <w:t>This proxy is solicited by the Board of Directors</w:t>
            </w:r>
          </w:p>
        </w:tc>
        <w:tc>
          <w:tcPr>
            <w:tcW w:w="4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40"/>
        <w:spacing w:after="0" w:line="291" w:lineRule="auto"/>
        <w:rPr>
          <w:sz w:val="20"/>
          <w:szCs w:val="20"/>
          <w:color w:val="auto"/>
        </w:rPr>
      </w:pPr>
      <w:r>
        <w:rPr>
          <w:rFonts w:ascii="Arial" w:cs="Arial" w:eastAsia="Arial" w:hAnsi="Arial"/>
          <w:sz w:val="16"/>
          <w:szCs w:val="16"/>
          <w:color w:val="auto"/>
        </w:rPr>
        <w:t>The stockholders hereby appoint Ian Simmonds and Ken Burke, or either of them, as proxies, each with the power to appoint his substitute, and hereby authorize them to represent and to vote, as designated on the reverse side of this ballot, all of the shares of common stock of TPG SPECIALTY LENDING,</w:t>
      </w:r>
    </w:p>
    <w:p>
      <w:pPr>
        <w:ind w:right="180"/>
        <w:spacing w:after="0" w:line="261" w:lineRule="auto"/>
        <w:rPr>
          <w:sz w:val="20"/>
          <w:szCs w:val="20"/>
          <w:color w:val="auto"/>
        </w:rPr>
      </w:pPr>
      <w:r>
        <w:rPr>
          <w:rFonts w:ascii="Arial" w:cs="Arial" w:eastAsia="Arial" w:hAnsi="Arial"/>
          <w:sz w:val="18"/>
          <w:szCs w:val="18"/>
          <w:color w:val="auto"/>
        </w:rPr>
        <w:t>INC. that the stockholders are entitled to vote at a Special Meeting of Stockholders to be held at EDT on , 2019 at the offices of Cleary Gottlieb Steen &amp; Hamilton LLP, 450 Park Avenue, 28th Floor, New York, NY 10022 and any adjournment or postponement thereof.</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40"/>
          </w:cols>
          <w:pgMar w:left="240" w:top="446"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w:t>
      </w:r>
    </w:p>
    <w:p>
      <w:pPr>
        <w:spacing w:after="0" w:line="121"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Use the Internet to transmit your voting instructions and for electronic delivery of information. Vote by 11:59 P.M. ET on</w:t>
      </w:r>
      <w:r>
        <w:rPr>
          <w:sz w:val="20"/>
          <w:szCs w:val="20"/>
          <w:color w:val="auto"/>
        </w:rPr>
        <w:tab/>
      </w:r>
      <w:r>
        <w:rPr>
          <w:rFonts w:ascii="Arial" w:cs="Arial" w:eastAsia="Arial" w:hAnsi="Arial"/>
          <w:sz w:val="16"/>
          <w:szCs w:val="16"/>
          <w:color w:val="auto"/>
        </w:rPr>
        <w:t>. Have your proxy card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hand when you access the web site and follow the instructions to obtain your records and to create an electronic voting instruction form.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follow the instructions.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Have your proxy card in hand when you call and then</w:t>
      </w:r>
    </w:p>
    <w:p>
      <w:pPr>
        <w:spacing w:after="0" w:line="493" w:lineRule="exact"/>
        <w:rPr>
          <w:sz w:val="20"/>
          <w:szCs w:val="20"/>
          <w:color w:val="auto"/>
        </w:rPr>
      </w:pPr>
    </w:p>
    <w:p>
      <w:pPr>
        <w:sectPr>
          <w:pgSz w:w="11900" w:h="16838" w:orient="portrait"/>
          <w:cols w:equalWidth="0" w:num="2">
            <w:col w:w="6740" w:space="720"/>
            <w:col w:w="3960"/>
          </w:cols>
          <w:pgMar w:left="240" w:top="459"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ectPr>
          <w:pgSz w:w="11900" w:h="16838" w:orient="portrait"/>
          <w:cols w:equalWidth="0" w:num="1">
            <w:col w:w="11420"/>
          </w:cols>
          <w:pgMar w:left="240" w:top="459" w:right="2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Mark, sign and date your proxy card and return it in the postage-paid envelope we have provided or return it to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2">
            <w:col w:w="8040" w:space="720"/>
            <w:col w:w="266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ectPr>
          <w:pgSz w:w="11900" w:h="16838" w:orient="portrait"/>
          <w:cols w:equalWidth="0" w:num="1">
            <w:col w:w="11420"/>
          </w:cols>
          <w:pgMar w:left="240" w:top="459"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tabs>
          <w:tab w:leader="none" w:pos="540" w:val="left"/>
          <w:tab w:leader="none" w:pos="168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540" w:val="left"/>
          <w:tab w:leader="none" w:pos="16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591" w:lineRule="exact"/>
        <w:rPr>
          <w:sz w:val="20"/>
          <w:szCs w:val="20"/>
          <w:color w:val="auto"/>
        </w:rPr>
      </w:pPr>
    </w:p>
    <w:p>
      <w:pPr>
        <w:sectPr>
          <w:pgSz w:w="11900" w:h="16838" w:orient="portrait"/>
          <w:cols w:equalWidth="0" w:num="2">
            <w:col w:w="7860" w:space="580"/>
            <w:col w:w="2980"/>
          </w:cols>
          <w:pgMar w:left="240" w:top="459" w:right="239" w:bottom="1440" w:gutter="0" w:footer="0" w:header="0"/>
          <w:type w:val="continuous"/>
        </w:sectPr>
      </w:pPr>
    </w:p>
    <w:p>
      <w:pPr>
        <w:ind w:right="4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58" w:lineRule="exact"/>
        <w:rPr>
          <w:sz w:val="20"/>
          <w:szCs w:val="20"/>
          <w:color w:val="auto"/>
        </w:rPr>
      </w:pPr>
    </w:p>
    <w:p>
      <w:pPr>
        <w:spacing w:after="0"/>
        <w:tabs>
          <w:tab w:leader="none" w:pos="8420" w:val="left"/>
          <w:tab w:leader="none" w:pos="898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8440"/>
        <w:spacing w:after="0" w:line="181" w:lineRule="exact"/>
        <w:tabs>
          <w:tab w:leader="none" w:pos="8980" w:val="left"/>
        </w:tabs>
        <w:rPr>
          <w:sz w:val="20"/>
          <w:szCs w:val="20"/>
          <w:color w:val="auto"/>
        </w:rPr>
      </w:pPr>
      <w:r>
        <w:rPr>
          <w:rFonts w:ascii="MS PGothic" w:cs="MS PGothic" w:eastAsia="MS PGothic" w:hAnsi="MS PGothic"/>
          <w:sz w:val="18"/>
          <w:szCs w:val="18"/>
          <w:color w:val="auto"/>
        </w:rPr>
        <w:t>☐</w:t>
        <w:tab/>
        <w:t>☐</w:t>
      </w:r>
    </w:p>
    <w:p>
      <w:pPr>
        <w:spacing w:after="0" w:line="2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234"/>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2019-12-03T22:23:36Z</dcterms:created>
  <dcterms:modified xsi:type="dcterms:W3CDTF">2019-12-03T22:23:36Z</dcterms:modified>
</cp:coreProperties>
</file>