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360" w:type="dxa"/>
            <w:vAlign w:val="bottom"/>
            <w:tcBorders>
              <w:bottom w:val="single" w:sz="8" w:color="2C2C2C"/>
            </w:tcBorders>
          </w:tcPr>
          <w:p>
            <w:pPr>
              <w:spacing w:after="0"/>
              <w:rPr>
                <w:sz w:val="14"/>
                <w:szCs w:val="14"/>
                <w:color w:val="auto"/>
              </w:rPr>
            </w:pPr>
          </w:p>
        </w:tc>
        <w:tc>
          <w:tcPr>
            <w:tcW w:w="14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03/02/2017</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220"/>
              <w:spacing w:after="0"/>
              <w:rPr>
                <w:sz w:val="20"/>
                <w:szCs w:val="20"/>
                <w:color w:val="auto"/>
              </w:rPr>
            </w:pPr>
            <w:r>
              <w:rPr>
                <w:rFonts w:ascii="Arial" w:cs="Arial" w:eastAsia="Arial" w:hAnsi="Arial"/>
                <w:sz w:val="18"/>
                <w:szCs w:val="18"/>
                <w:color w:val="0000FF"/>
              </w:rPr>
              <w:t>Co-Chief Executive Officer</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03/02/2017</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color w:val="0000FF"/>
              </w:rPr>
              <w:t>P</w:t>
            </w:r>
          </w:p>
        </w:tc>
        <w:tc>
          <w:tcPr>
            <w:tcW w:w="900" w:type="dxa"/>
            <w:vAlign w:val="bottom"/>
            <w:vMerge w:val="restart"/>
          </w:tcPr>
          <w:p>
            <w:pPr>
              <w:ind w:left="140"/>
              <w:spacing w:after="0"/>
              <w:rPr>
                <w:sz w:val="20"/>
                <w:szCs w:val="20"/>
                <w:color w:val="auto"/>
              </w:rPr>
            </w:pPr>
            <w:r>
              <w:rPr>
                <w:rFonts w:ascii="Arial" w:cs="Arial" w:eastAsia="Arial" w:hAnsi="Arial"/>
                <w:sz w:val="18"/>
                <w:szCs w:val="18"/>
                <w:color w:val="0000FF"/>
              </w:rPr>
              <w:t>1,399.22</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700" w:type="dxa"/>
            <w:vAlign w:val="bottom"/>
            <w:gridSpan w:val="2"/>
            <w:vMerge w:val="restart"/>
          </w:tcPr>
          <w:p>
            <w:pPr>
              <w:ind w:left="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19.4379</w:t>
            </w:r>
          </w:p>
        </w:tc>
        <w:tc>
          <w:tcPr>
            <w:tcW w:w="1300" w:type="dxa"/>
            <w:vAlign w:val="bottom"/>
            <w:gridSpan w:val="3"/>
            <w:vMerge w:val="restart"/>
          </w:tcPr>
          <w:p>
            <w:pPr>
              <w:jc w:val="right"/>
              <w:ind w:right="279"/>
              <w:spacing w:after="0"/>
              <w:rPr>
                <w:sz w:val="20"/>
                <w:szCs w:val="20"/>
                <w:color w:val="auto"/>
              </w:rPr>
            </w:pPr>
            <w:r>
              <w:rPr>
                <w:rFonts w:ascii="Arial" w:cs="Arial" w:eastAsia="Arial" w:hAnsi="Arial"/>
                <w:sz w:val="18"/>
                <w:szCs w:val="18"/>
                <w:color w:val="0000FF"/>
              </w:rPr>
              <w:t>8,624.96</w:t>
            </w:r>
          </w:p>
        </w:tc>
        <w:tc>
          <w:tcPr>
            <w:tcW w:w="300" w:type="dxa"/>
            <w:vAlign w:val="bottom"/>
          </w:tcPr>
          <w:p>
            <w:pPr>
              <w:spacing w:after="0"/>
              <w:rPr>
                <w:sz w:val="18"/>
                <w:szCs w:val="18"/>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right"/>
              <w:ind w:right="199"/>
              <w:spacing w:after="0"/>
              <w:rPr>
                <w:sz w:val="20"/>
                <w:szCs w:val="20"/>
                <w:color w:val="auto"/>
              </w:rPr>
            </w:pPr>
            <w:r>
              <w:rPr>
                <w:rFonts w:ascii="Arial" w:cs="Arial" w:eastAsia="Arial" w:hAnsi="Arial"/>
                <w:sz w:val="18"/>
                <w:szCs w:val="18"/>
                <w:color w:val="0000FF"/>
              </w:rPr>
              <w:t>24,463.458</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of Common Stock of TPG Specialty Lending, Inc. (the "Issuer"), including 8,624.96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Jennifer Gordon is signing on behalf of Mr. Easterly pursuant to the authorization and designation letter dated May 20, 2015,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03/06/2017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of Joshua Easterly (2)</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2019-12-04T02:17:06Z</dcterms:created>
  <dcterms:modified xsi:type="dcterms:W3CDTF">2019-12-04T02:17:06Z</dcterms:modified>
</cp:coreProperties>
</file>