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524" w:type="dxa"/>
        <w:tblCellMar>
          <w:top w:w="0" w:type="dxa"/>
          <w:left w:w="0" w:type="dxa"/>
          <w:bottom w:w="0" w:type="dxa"/>
          <w:right w:w="0" w:type="dxa"/>
        </w:tblCellMar>
      </w:tblPr>
      <w:tr>
        <w:trPr>
          <w:trHeight w:val="214"/>
        </w:trPr>
        <w:tc>
          <w:tcPr>
            <w:tcW w:w="370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8"/>
        </w:trPr>
        <w:tc>
          <w:tcPr>
            <w:tcW w:w="3700" w:type="dxa"/>
            <w:vAlign w:val="bottom"/>
          </w:tcPr>
          <w:p>
            <w:pPr>
              <w:jc w:val="center"/>
              <w:ind w:right="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40" w:type="dxa"/>
            <w:vAlign w:val="bottom"/>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700" w:type="dxa"/>
            <w:vAlign w:val="bottom"/>
          </w:tcPr>
          <w:p>
            <w:pPr>
              <w:jc w:val="center"/>
              <w:ind w:right="91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31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700" w:type="dxa"/>
            <w:vAlign w:val="bottom"/>
          </w:tcPr>
          <w:p>
            <w:pPr>
              <w:jc w:val="center"/>
              <w:ind w:right="91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14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700" w:type="dxa"/>
            <w:vAlign w:val="bottom"/>
          </w:tcPr>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 Submission of Matters to a Vote of Security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June 20, 2025, the Company reconvened a special meeting of stockholders. Stockholders considered one proposal as described in the Company’s proxy statement filed on April 10, 2025. The final results of the voting on the matter submitted to stockholders at the special meeting are set forth below.</w:t>
      </w:r>
    </w:p>
    <w:p>
      <w:pPr>
        <w:spacing w:after="0" w:line="136"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Proposal 1 – Sales of Common Stock Below NAV. </w:t>
      </w:r>
      <w:r>
        <w:rPr>
          <w:rFonts w:ascii="Times New Roman" w:cs="Times New Roman" w:eastAsia="Times New Roman" w:hAnsi="Times New Roman"/>
          <w:sz w:val="18"/>
          <w:szCs w:val="18"/>
          <w:color w:val="auto"/>
        </w:rPr>
        <w:t>The stockholders approved the proposal to authorize the Company to sell or otherwise issue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common stock at a price below its then-current net asset value per share in one or more offerings, in each case subject to the approval of its board of directors and subject to certain conditions as set forth in the proxy statement (including that the number of shares issued does not exceed 25% of the Company’s then-outstanding common stock immediately prior to each such offering), by the vote shown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on the proposal, including affiliated and unaffiliated shares, was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4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6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2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244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43,666,863</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4,445,822</w:t>
            </w:r>
          </w:p>
        </w:tc>
        <w:tc>
          <w:tcPr>
            <w:tcW w:w="86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1,962,475</w:t>
            </w:r>
          </w:p>
        </w:tc>
        <w:tc>
          <w:tcPr>
            <w:tcW w:w="11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on the proposal, adjusted to exclude 3,029,209 affiliated shares, was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4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6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2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244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41,029,590</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4,445,822</w:t>
            </w:r>
          </w:p>
        </w:tc>
        <w:tc>
          <w:tcPr>
            <w:tcW w:w="86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1,570,539</w:t>
            </w:r>
          </w:p>
        </w:tc>
        <w:tc>
          <w:tcPr>
            <w:tcW w:w="11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spacing w:after="0"/>
              <w:rPr>
                <w:sz w:val="18"/>
                <w:szCs w:val="18"/>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2025</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2025-06-20T15:20:03Z</dcterms:created>
  <dcterms:modified xsi:type="dcterms:W3CDTF">2025-06-20T15:20:03Z</dcterms:modified>
</cp:coreProperties>
</file>