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155575</wp:posOffset>
            </wp:positionH>
            <wp:positionV relativeFrom="page">
              <wp:posOffset>163830</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205105</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t>UNITED STATES</w:t>
      </w:r>
    </w:p>
    <w:p>
      <w:pPr>
        <w:spacing w:after="0" w:line="32" w:lineRule="exact"/>
        <w:rPr>
          <w:sz w:val="24"/>
          <w:szCs w:val="24"/>
          <w:color w:val="auto"/>
        </w:rPr>
      </w:pPr>
    </w:p>
    <w:p>
      <w:pPr>
        <w:jc w:val="center"/>
        <w:ind w:right="-7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7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214630</wp:posOffset>
            </wp:positionV>
            <wp:extent cx="15297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SCHEDULE 14A INFORMATION</w:t>
      </w:r>
    </w:p>
    <w:p>
      <w:pPr>
        <w:spacing w:after="0" w:line="220" w:lineRule="exact"/>
        <w:rPr>
          <w:sz w:val="24"/>
          <w:szCs w:val="24"/>
          <w:color w:val="auto"/>
        </w:rPr>
      </w:pPr>
    </w:p>
    <w:p>
      <w:pPr>
        <w:jc w:val="center"/>
        <w:ind w:right="-79"/>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21"/>
          <w:szCs w:val="21"/>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372745</wp:posOffset>
            </wp:positionV>
            <wp:extent cx="15297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spacing w:after="0" w:line="196" w:lineRule="exact"/>
        <w:tabs>
          <w:tab w:leader="none" w:pos="3080" w:val="left"/>
        </w:tabs>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5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132" w:lineRule="exact"/>
        <w:rPr>
          <w:sz w:val="24"/>
          <w:szCs w:val="24"/>
          <w:color w:val="auto"/>
        </w:rPr>
      </w:pPr>
    </w:p>
    <w:p>
      <w:pPr>
        <w:ind w:left="580" w:hanging="575"/>
        <w:spacing w:after="0"/>
        <w:tabs>
          <w:tab w:leader="none" w:pos="5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18" w:lineRule="exact"/>
        <w:rPr>
          <w:rFonts w:ascii="MS PGothic" w:cs="MS PGothic" w:eastAsia="MS PGothic" w:hAnsi="MS PGothic"/>
          <w:sz w:val="17"/>
          <w:szCs w:val="17"/>
          <w:color w:val="auto"/>
        </w:rPr>
      </w:pPr>
    </w:p>
    <w:p>
      <w:pPr>
        <w:ind w:left="580" w:hanging="575"/>
        <w:spacing w:after="0"/>
        <w:tabs>
          <w:tab w:leader="none" w:pos="5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Confidential, for Use of the Commission Only (as permitted by Rule 14a-6(e)(2))</w:t>
      </w:r>
    </w:p>
    <w:p>
      <w:pPr>
        <w:spacing w:after="0" w:line="118" w:lineRule="exact"/>
        <w:rPr>
          <w:rFonts w:ascii="MS PGothic" w:cs="MS PGothic" w:eastAsia="MS PGothic" w:hAnsi="MS PGothic"/>
          <w:sz w:val="17"/>
          <w:szCs w:val="17"/>
          <w:color w:val="auto"/>
        </w:rPr>
      </w:pPr>
    </w:p>
    <w:p>
      <w:pPr>
        <w:ind w:left="580" w:hanging="575"/>
        <w:spacing w:after="0"/>
        <w:tabs>
          <w:tab w:leader="none" w:pos="5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119" w:lineRule="exact"/>
        <w:rPr>
          <w:sz w:val="24"/>
          <w:szCs w:val="24"/>
          <w:color w:val="auto"/>
        </w:rPr>
      </w:pPr>
    </w:p>
    <w:p>
      <w:pPr>
        <w:ind w:left="580" w:hanging="575"/>
        <w:spacing w:after="0"/>
        <w:tabs>
          <w:tab w:leader="none" w:pos="58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19" w:lineRule="exact"/>
        <w:rPr>
          <w:sz w:val="24"/>
          <w:szCs w:val="24"/>
          <w:color w:val="auto"/>
        </w:rPr>
      </w:pPr>
    </w:p>
    <w:p>
      <w:pPr>
        <w:ind w:left="580" w:hanging="575"/>
        <w:spacing w:after="0"/>
        <w:tabs>
          <w:tab w:leader="none" w:pos="5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§240.14a-12</w:t>
      </w:r>
    </w:p>
    <w:p>
      <w:pPr>
        <w:spacing w:after="0" w:line="295" w:lineRule="exact"/>
        <w:rPr>
          <w:sz w:val="24"/>
          <w:szCs w:val="24"/>
          <w:color w:val="auto"/>
        </w:rPr>
      </w:pPr>
    </w:p>
    <w:p>
      <w:pPr>
        <w:jc w:val="center"/>
        <w:ind w:right="-79"/>
        <w:spacing w:after="0"/>
        <w:rPr>
          <w:sz w:val="20"/>
          <w:szCs w:val="20"/>
          <w:color w:val="auto"/>
        </w:rPr>
      </w:pPr>
      <w:r>
        <w:rPr>
          <w:rFonts w:ascii="Arial" w:cs="Arial" w:eastAsia="Arial" w:hAnsi="Arial"/>
          <w:sz w:val="38"/>
          <w:szCs w:val="38"/>
          <w:b w:val="1"/>
          <w:bCs w:val="1"/>
          <w:color w:val="auto"/>
        </w:rPr>
        <w:t>TICC CAPITAL CORP.</w:t>
      </w:r>
    </w:p>
    <w:p>
      <w:pPr>
        <w:spacing w:after="0" w:line="43"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308"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TPG Specialty Lending, Inc.</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91"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224" w:lineRule="exact"/>
        <w:rPr>
          <w:sz w:val="24"/>
          <w:szCs w:val="24"/>
          <w:color w:val="auto"/>
        </w:rPr>
      </w:pPr>
    </w:p>
    <w:p>
      <w:pPr>
        <w:ind w:left="580" w:hanging="575"/>
        <w:spacing w:after="0"/>
        <w:tabs>
          <w:tab w:leader="none" w:pos="5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Fee not required.</w:t>
      </w:r>
    </w:p>
    <w:p>
      <w:pPr>
        <w:spacing w:after="0" w:line="224" w:lineRule="exact"/>
        <w:rPr>
          <w:sz w:val="24"/>
          <w:szCs w:val="24"/>
          <w:color w:val="auto"/>
        </w:rPr>
      </w:pPr>
    </w:p>
    <w:p>
      <w:pPr>
        <w:ind w:left="580" w:hanging="575"/>
        <w:spacing w:after="0"/>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14a-6(i)(1) and 0-11.</w:t>
      </w:r>
    </w:p>
    <w:p>
      <w:pPr>
        <w:spacing w:after="0" w:line="223" w:lineRule="exact"/>
        <w:rPr>
          <w:rFonts w:ascii="MS PGothic" w:cs="MS PGothic" w:eastAsia="MS PGothic" w:hAnsi="MS PGothic"/>
          <w:sz w:val="17"/>
          <w:szCs w:val="17"/>
          <w:color w:val="auto"/>
        </w:rPr>
      </w:pPr>
    </w:p>
    <w:p>
      <w:pPr>
        <w:ind w:left="1160" w:hanging="579"/>
        <w:spacing w:after="0"/>
        <w:tabs>
          <w:tab w:leader="none" w:pos="1160" w:val="left"/>
        </w:tabs>
        <w:numPr>
          <w:ilvl w:val="1"/>
          <w:numId w:val="5"/>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1160" w:hanging="579"/>
        <w:spacing w:after="0"/>
        <w:tabs>
          <w:tab w:leader="none" w:pos="1160" w:val="left"/>
        </w:tabs>
        <w:numPr>
          <w:ilvl w:val="1"/>
          <w:numId w:val="5"/>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1160" w:hanging="579"/>
        <w:spacing w:after="0" w:line="289" w:lineRule="auto"/>
        <w:tabs>
          <w:tab w:leader="none" w:pos="1160"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7"/>
          <w:szCs w:val="17"/>
          <w:color w:val="auto"/>
        </w:rPr>
      </w:pPr>
    </w:p>
    <w:p>
      <w:pPr>
        <w:spacing w:after="0" w:line="219" w:lineRule="exact"/>
        <w:rPr>
          <w:rFonts w:ascii="Arial" w:cs="Arial" w:eastAsia="Arial" w:hAnsi="Arial"/>
          <w:sz w:val="17"/>
          <w:szCs w:val="17"/>
          <w:color w:val="auto"/>
        </w:rPr>
      </w:pPr>
    </w:p>
    <w:p>
      <w:pPr>
        <w:ind w:left="1160" w:hanging="579"/>
        <w:spacing w:after="0"/>
        <w:tabs>
          <w:tab w:leader="none" w:pos="1160" w:val="left"/>
        </w:tabs>
        <w:numPr>
          <w:ilvl w:val="1"/>
          <w:numId w:val="5"/>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1160" w:hanging="579"/>
        <w:spacing w:after="0"/>
        <w:tabs>
          <w:tab w:leader="none" w:pos="116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99" w:lineRule="exact"/>
        <w:rPr>
          <w:rFonts w:ascii="Arial" w:cs="Arial" w:eastAsia="Arial" w:hAnsi="Arial"/>
          <w:sz w:val="17"/>
          <w:szCs w:val="17"/>
          <w:color w:val="auto"/>
        </w:rPr>
      </w:pPr>
    </w:p>
    <w:p>
      <w:pPr>
        <w:ind w:left="580" w:hanging="575"/>
        <w:spacing w:after="0"/>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328" w:lineRule="exact"/>
        <w:rPr>
          <w:rFonts w:ascii="MS PGothic" w:cs="MS PGothic" w:eastAsia="MS PGothic" w:hAnsi="MS PGothic"/>
          <w:sz w:val="17"/>
          <w:szCs w:val="17"/>
          <w:color w:val="auto"/>
        </w:rPr>
      </w:pPr>
    </w:p>
    <w:p>
      <w:pPr>
        <w:ind w:left="580" w:right="560" w:hanging="575"/>
        <w:spacing w:after="0" w:line="289" w:lineRule="auto"/>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62" w:lineRule="exact"/>
        <w:rPr>
          <w:rFonts w:ascii="MS PGothic" w:cs="MS PGothic" w:eastAsia="MS PGothic" w:hAnsi="MS PGothic"/>
          <w:sz w:val="17"/>
          <w:szCs w:val="17"/>
          <w:color w:val="auto"/>
        </w:rPr>
      </w:pPr>
    </w:p>
    <w:p>
      <w:pPr>
        <w:ind w:left="1160" w:hanging="579"/>
        <w:spacing w:after="0"/>
        <w:tabs>
          <w:tab w:leader="none" w:pos="1160" w:val="left"/>
        </w:tabs>
        <w:numPr>
          <w:ilvl w:val="1"/>
          <w:numId w:val="5"/>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1160" w:hanging="579"/>
        <w:spacing w:after="0"/>
        <w:tabs>
          <w:tab w:leader="none" w:pos="1160" w:val="left"/>
        </w:tabs>
        <w:numPr>
          <w:ilvl w:val="1"/>
          <w:numId w:val="5"/>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1160" w:hanging="579"/>
        <w:spacing w:after="0"/>
        <w:tabs>
          <w:tab w:leader="none" w:pos="1160" w:val="left"/>
        </w:tabs>
        <w:numPr>
          <w:ilvl w:val="1"/>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734695</wp:posOffset>
            </wp:positionH>
            <wp:positionV relativeFrom="paragraph">
              <wp:posOffset>-3857625</wp:posOffset>
            </wp:positionV>
            <wp:extent cx="65189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8910"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-3425190</wp:posOffset>
            </wp:positionV>
            <wp:extent cx="65189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8910"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-2859405</wp:posOffset>
            </wp:positionV>
            <wp:extent cx="65189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8910"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-2426970</wp:posOffset>
            </wp:positionV>
            <wp:extent cx="65189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8910"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-1994535</wp:posOffset>
            </wp:positionV>
            <wp:extent cx="65189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8910"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-564515</wp:posOffset>
            </wp:positionV>
            <wp:extent cx="65189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8910"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-132080</wp:posOffset>
            </wp:positionV>
            <wp:extent cx="65189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8910"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299720</wp:posOffset>
            </wp:positionV>
            <wp:extent cx="65189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8910" cy="8255"/>
                    </a:xfrm>
                    <a:prstGeom prst="rect">
                      <a:avLst/>
                    </a:prstGeom>
                    <a:noFill/>
                  </pic:spPr>
                </pic:pic>
              </a:graphicData>
            </a:graphic>
          </wp:anchor>
        </w:drawing>
      </w:r>
    </w:p>
    <w:p>
      <w:pPr>
        <w:sectPr>
          <w:pgSz w:w="11900" w:h="16838" w:orient="portrait"/>
          <w:cols w:equalWidth="0" w:num="1">
            <w:col w:w="11340"/>
          </w:cols>
          <w:pgMar w:left="240" w:top="504" w:right="319" w:bottom="237" w:gutter="0" w:footer="0" w:header="0"/>
        </w:sectPr>
      </w:pPr>
    </w:p>
    <w:bookmarkStart w:id="1" w:name="page2"/>
    <w:bookmarkEnd w:id="1"/>
    <w:p>
      <w:pPr>
        <w:ind w:left="579" w:hanging="579"/>
        <w:spacing w:after="0"/>
        <w:tabs>
          <w:tab w:leader="none" w:pos="579"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306705</wp:posOffset>
            </wp:positionV>
            <wp:extent cx="65189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891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489585</wp:posOffset>
            </wp:positionV>
            <wp:extent cx="72504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531495</wp:posOffset>
            </wp:positionV>
            <wp:extent cx="72504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9638"/>
          </w:cols>
          <w:pgMar w:left="821" w:top="127" w:right="1440" w:bottom="1440" w:gutter="0" w:footer="0" w:header="0"/>
        </w:sectPr>
      </w:pPr>
    </w:p>
    <w:bookmarkStart w:id="2" w:name="page3"/>
    <w:bookmarkEnd w:id="2"/>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TPG Specialty Lending, Inc. (“TSLX”) has filed a definitive proxy statement with the Securities and Exchange Commission (the “SEC”) and an accompanying GOLD proxy card to be used to solicit votes against TICC Capital Corp.’s (the “Company”) proposal to approve a new advisory agreement between the Company and TICC Management, LLC, to take effect upon a change of control of TICC Management, LLC, and certain related proposals, at a special meeting of stockholders of the Company scheduled to be held on October 27, 2015.</w:t>
      </w:r>
    </w:p>
    <w:p>
      <w:pPr>
        <w:spacing w:after="0" w:line="17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 xml:space="preserve">As part of the above-referenced solicitation, TSLX updated certain pages of its website, </w:t>
      </w:r>
      <w:r>
        <w:rPr>
          <w:rFonts w:ascii="Arial" w:cs="Arial" w:eastAsia="Arial" w:hAnsi="Arial"/>
          <w:sz w:val="17"/>
          <w:szCs w:val="17"/>
          <w:u w:val="single" w:color="auto"/>
          <w:color w:val="auto"/>
        </w:rPr>
        <w:t>http://www.changeticcnow.com/</w:t>
      </w:r>
      <w:r>
        <w:rPr>
          <w:rFonts w:ascii="Arial" w:cs="Arial" w:eastAsia="Arial" w:hAnsi="Arial"/>
          <w:sz w:val="17"/>
          <w:szCs w:val="17"/>
          <w:color w:val="auto"/>
        </w:rPr>
        <w:t>, a website established by TSLX that contains information regarding the solicitation. This Schedule 14A filing consists of the following screenshots, which reflect the content of pages not previously filed with the SEC.</w:t>
      </w:r>
    </w:p>
    <w:p>
      <w:pPr>
        <w:sectPr>
          <w:pgSz w:w="11900" w:h="16838" w:orient="portrait"/>
          <w:cols w:equalWidth="0" w:num="1">
            <w:col w:w="11340"/>
          </w:cols>
          <w:pgMar w:left="240" w:top="271" w:right="319" w:bottom="1440" w:gutter="0" w:footer="0" w:header="0"/>
        </w:sectPr>
      </w:pPr>
    </w:p>
    <w:bookmarkStart w:id="3" w:name="page4"/>
    <w:bookmarkEnd w:id="3"/>
    <w:p>
      <w:pPr>
        <w:spacing w:after="0" w:line="27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7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7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2176145</wp:posOffset>
            </wp:positionV>
            <wp:extent cx="7312025" cy="14801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312025" cy="1480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7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33839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4725" cy="3383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7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35337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4725" cy="3533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7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32594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4725" cy="3259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7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3084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4725" cy="30848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2019-12-20T22:08:15Z</dcterms:created>
  <dcterms:modified xsi:type="dcterms:W3CDTF">2019-12-20T22:08:15Z</dcterms:modified>
</cp:coreProperties>
</file>