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Announces Public Offering</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Company Release – 3/12/2014</w:t>
      </w:r>
    </w:p>
    <w:p>
      <w:pPr>
        <w:spacing w:after="0" w:line="117"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color w:val="auto"/>
        </w:rPr>
        <w:t>NEW YORK—(BUSINESS WIRE)— TPG Specialty Lending, Inc. (“TSL”) announced that it plans to make an initial public offering of 7,000,000 shares of its common stock. TSL also plans to grant the underwriters an overallotment option to purchase up to an additional 1,050,000 shares of common stock. The offering of the shares will be made pursuant to a Registration Statement on Form N-2, which has been filed with the Securities and Exchange Commission (SEC). TSL has applied to list its common stock on the New York Stock Exchange under the symbol TSLX. The completion of the proposed offering depends upon several factors, including market and other conditions.</w:t>
      </w:r>
    </w:p>
    <w:p>
      <w:pPr>
        <w:spacing w:after="0" w:line="188" w:lineRule="exact"/>
        <w:rPr>
          <w:sz w:val="24"/>
          <w:szCs w:val="24"/>
          <w:color w:val="auto"/>
        </w:rPr>
      </w:pPr>
    </w:p>
    <w:p>
      <w:pPr>
        <w:ind w:right="220"/>
        <w:spacing w:after="0" w:line="308" w:lineRule="auto"/>
        <w:rPr>
          <w:sz w:val="20"/>
          <w:szCs w:val="20"/>
          <w:color w:val="auto"/>
        </w:rPr>
      </w:pPr>
      <w:r>
        <w:rPr>
          <w:rFonts w:ascii="Arial" w:cs="Arial" w:eastAsia="Arial" w:hAnsi="Arial"/>
          <w:sz w:val="17"/>
          <w:szCs w:val="17"/>
          <w:color w:val="auto"/>
        </w:rPr>
        <w:t>Concurrently with the initial public offering, TSL plans to sell $50 million of its common stock to certain existing investors, including TSL Advisers, LLC, the company’s investment adviser and administrator, through a separate private placement at the initial public offering price per share.</w:t>
      </w:r>
    </w:p>
    <w:p>
      <w:pPr>
        <w:spacing w:after="0" w:line="14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TSL expects to use the net proceeds of this offering, as well as the proceeds of the concurrent private placement, together with cash and cash equivalents, to pay down debt under a revolving credit facility.</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J.P. Morgan; BofA Merrill Lynch; Goldman, Sachs &amp; Co.; Citigroup; Wells Fargo Securities and Barclays are acting as joint book-running managers for this offering. TPG Capital BD, LLC; Janney Montgomery Scott and JMP Securities are acting as co-managers.</w:t>
      </w:r>
    </w:p>
    <w:p>
      <w:pPr>
        <w:spacing w:after="0" w:line="166"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A registration statement relating to these securities has been filed with the SEC but has not yet become effective. These securities may not be sold nor may offers to buy be accepted prior to the time the registration statement becomes effective. No offer to buy the securities can be accepted and no part of the purchase price can be received until the registration statement has become effective, and any such offer may be withdrawn or revoked by you without obligation or commitment of any kind, at any time prior to the time you receive notice of an acceptance of the offer given after the effective date.</w:t>
      </w:r>
    </w:p>
    <w:p>
      <w:pPr>
        <w:spacing w:after="0" w:line="184" w:lineRule="exact"/>
        <w:rPr>
          <w:sz w:val="24"/>
          <w:szCs w:val="24"/>
          <w:color w:val="auto"/>
        </w:rPr>
      </w:pPr>
    </w:p>
    <w:p>
      <w:pPr>
        <w:jc w:val="both"/>
        <w:ind w:right="620"/>
        <w:spacing w:after="0" w:line="266" w:lineRule="auto"/>
        <w:rPr>
          <w:sz w:val="20"/>
          <w:szCs w:val="20"/>
          <w:color w:val="auto"/>
        </w:rPr>
      </w:pPr>
      <w:r>
        <w:rPr>
          <w:rFonts w:ascii="Arial" w:cs="Arial" w:eastAsia="Arial" w:hAnsi="Arial"/>
          <w:sz w:val="18"/>
          <w:szCs w:val="18"/>
          <w:b w:val="1"/>
          <w:bCs w:val="1"/>
          <w:color w:val="auto"/>
        </w:rPr>
        <w:t>Investors are advised to carefully consider the investment objectives, risks and charges and expenses of TSL before investing. The prospectus contains this and other information about TSL and should be read carefully before investing. The information in the Registration Statement, preliminary prospectus and herein is not complete and may be changed.</w:t>
      </w:r>
    </w:p>
    <w:p>
      <w:pPr>
        <w:spacing w:after="0" w:line="176" w:lineRule="exact"/>
        <w:rPr>
          <w:sz w:val="24"/>
          <w:szCs w:val="24"/>
          <w:color w:val="auto"/>
        </w:rPr>
      </w:pPr>
    </w:p>
    <w:p>
      <w:pPr>
        <w:ind w:right="20"/>
        <w:spacing w:after="0" w:line="281" w:lineRule="auto"/>
        <w:rPr>
          <w:sz w:val="20"/>
          <w:szCs w:val="20"/>
          <w:color w:val="auto"/>
        </w:rPr>
      </w:pPr>
      <w:r>
        <w:rPr>
          <w:rFonts w:ascii="Arial" w:cs="Arial" w:eastAsia="Arial" w:hAnsi="Arial"/>
          <w:sz w:val="17"/>
          <w:szCs w:val="17"/>
          <w:b w:val="1"/>
          <w:bCs w:val="1"/>
          <w:color w:val="auto"/>
        </w:rPr>
        <w:t>This communication will not constitute an offer to sell or the solicitation of an offer to buy the securities nor shall there be any sale of these securities in any jurisdiction in which such offer, solicitation or sale would be unlawful prior to their registration or qualification under the securities laws of any such jurisdiction. Offers of these securities are made only by means of the prospectus. The SEC has not approved or disapproved these securities or passed upon the adequacy of the prospectus. Any representation to the contrary is a criminal offense.</w:t>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The prospectus for this offering can be accessed without charge at the SEC’s EDGAR service on the SEC website, www.sec.gov. Alternatively, a copy of the</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prospectus may be obtained from: J.P. Morgan, c/o Broadridge Financial Solutions, 1155 Long Island Avenue, Edgewood, NY 11717, Attn: Prospectus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Department, (866) 803-9204; BofA Merrill Lynch, 222 Broadway, New York, NY 10038, Attn: Prospectus Department, or e-mail</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dg.prospectus_requests@baml.com; Goldman, Sachs &amp; Co., 200 West Street, New York, NY 10282, Attention: Prospectus Department, by calling (866) 471-</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2526, or by e-mailing prospectus-ny@ny.email.gs.com; Citigroup, c/o Broadridge Financial Solutions, 1155 Long Island Avenue, Edgewood, NY 11717,</w:t>
      </w:r>
    </w:p>
    <w:p>
      <w:pPr>
        <w:spacing w:after="0" w:line="21" w:lineRule="exact"/>
        <w:rPr>
          <w:sz w:val="24"/>
          <w:szCs w:val="24"/>
          <w:color w:val="auto"/>
        </w:rPr>
      </w:pPr>
    </w:p>
    <w:p>
      <w:pPr>
        <w:ind w:right="520" w:firstLine="8"/>
        <w:spacing w:after="0" w:line="255" w:lineRule="auto"/>
        <w:tabs>
          <w:tab w:leader="none" w:pos="435" w:val="left"/>
        </w:tabs>
        <w:numPr>
          <w:ilvl w:val="0"/>
          <w:numId w:val="1"/>
        </w:numPr>
        <w:rPr>
          <w:rFonts w:ascii="Arial" w:cs="Arial" w:eastAsia="Arial" w:hAnsi="Arial"/>
          <w:sz w:val="18"/>
          <w:szCs w:val="18"/>
          <w:color w:val="auto"/>
        </w:rPr>
      </w:pPr>
      <w:r>
        <w:rPr>
          <w:rFonts w:ascii="Arial" w:cs="Arial" w:eastAsia="Arial" w:hAnsi="Arial"/>
          <w:sz w:val="18"/>
          <w:szCs w:val="18"/>
          <w:color w:val="auto"/>
        </w:rPr>
        <w:t>831-9146; Wells Fargo Securities, 375 Park Avenue, New York, NY 10152, Attn: Equity Syndicate Dept., (800) 326-5897 or e-mail cmclientsupport@wellsfargo.com; or Barclays, c/o Broadridge Financial Solutions, 1155 Long Island Avenue, Edgewood, NY 11717, Attn: Prospectus Department, (888) 603-5847, or e-mail barclaysprospectus@broadridge.com.</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Since TSL began its investment activities in July 2011, it has originated more than $2.6 billion aggregate principal amount of investments and retained more than $1.7 billion aggregate principal amount of these investments on its balance sheet prior to any subsequent exits and repayments. It seeks to generate current income primarily in U.S.-domiciled middle-market companies through direct originations of senior secured loans and, to a lesser extent, originations of mezzanine loans and investments in corporate bonds and equity securities. The companies in which it invests use its capital to support organic growth, acquisitions, market or product expansion and recapitalizations. Most of its investments are floating-rate in nature, which TSL believes will help act as a portfolio-wide hedge against inflation. As of December 31, 2013, TSL’s portfolio had a fair value of approximately $1,016.5 million and consisted of 27 portfolio companies.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 Contact: Lisa Baker, Owen Blicksilver PR, Inc., lisa@blicksilverpr.com, (914) 725-5949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0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2019-12-08T00:08:50Z</dcterms:created>
  <dcterms:modified xsi:type="dcterms:W3CDTF">2019-12-08T00:08:50Z</dcterms:modified>
</cp:coreProperties>
</file>