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40"/>
        <w:spacing w:after="0"/>
        <w:rPr>
          <w:sz w:val="20"/>
          <w:szCs w:val="20"/>
          <w:color w:val="auto"/>
        </w:rPr>
      </w:pPr>
      <w:r>
        <w:rPr>
          <w:rFonts w:ascii="Arial" w:cs="Arial" w:eastAsia="Arial" w:hAnsi="Arial"/>
          <w:sz w:val="21"/>
          <w:szCs w:val="21"/>
          <w:b w:val="1"/>
          <w:bCs w:val="1"/>
          <w:color w:val="auto"/>
        </w:rPr>
        <w:t>Date of Report (Date of earliest event reported): October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520" w:space="720"/>
            <w:col w:w="2860" w:space="720"/>
            <w:col w:w="1920"/>
          </w:cols>
          <w:pgMar w:left="440" w:top="368" w:right="71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40"/>
          </w:cols>
          <w:pgMar w:left="440" w:top="368" w:right="719" w:bottom="1440" w:gutter="0" w:footer="0" w:header="0"/>
          <w:type w:val="continuous"/>
        </w:sectPr>
      </w:pPr>
    </w:p>
    <w:p>
      <w:pPr>
        <w:spacing w:after="0" w:line="33"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400" w:space="720"/>
            <w:col w:w="2620"/>
          </w:cols>
          <w:pgMar w:left="440" w:top="368" w:right="71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2720"/>
          </w:cols>
          <w:pgMar w:left="440" w:top="368" w:right="719" w:bottom="1440" w:gutter="0" w:footer="0" w:header="0"/>
          <w:type w:val="continuous"/>
        </w:sectPr>
      </w:pPr>
    </w:p>
    <w:p>
      <w:pPr>
        <w:ind w:left="29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October 8, 2018, the Company held a special meeting of stockholders. Stockholders considered one proposal as described in the Company’s proxy statement filed on August 24, 2018. The final results of the voting on the matter submitted to stockholders at the special meeting are set forth below.</w:t>
      </w:r>
    </w:p>
    <w:p>
      <w:pPr>
        <w:spacing w:after="0" w:line="1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stockholders approved the proposal to allow the Company to increase leverage by approving the application to the Company of a</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asset coverage ratio of 150%, pursuant to Section 61(a)(2) of the Investment Company Act of 1940, as amended, to become effective the date after the Special Meeting, which would permit the Company to double the maximum amount of leverage that it is currently permitted to incur, by the vote shown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was as follows:</w:t>
      </w:r>
    </w:p>
    <w:p>
      <w:pPr>
        <w:spacing w:after="0" w:line="244"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Votes “For”</w:t>
            </w:r>
          </w:p>
        </w:tc>
        <w:tc>
          <w:tcPr>
            <w:tcW w:w="2700" w:type="dxa"/>
            <w:vAlign w:val="bottom"/>
            <w:gridSpan w:val="2"/>
          </w:tcPr>
          <w:p>
            <w:pPr>
              <w:jc w:val="center"/>
              <w:ind w:left="1648"/>
              <w:spacing w:after="0"/>
              <w:rPr>
                <w:sz w:val="20"/>
                <w:szCs w:val="20"/>
                <w:color w:val="auto"/>
              </w:rPr>
            </w:pPr>
            <w:r>
              <w:rPr>
                <w:rFonts w:ascii="Arial" w:cs="Arial" w:eastAsia="Arial" w:hAnsi="Arial"/>
                <w:sz w:val="14"/>
                <w:szCs w:val="14"/>
                <w:b w:val="1"/>
                <w:bCs w:val="1"/>
                <w:color w:val="auto"/>
                <w:w w:val="91"/>
              </w:rPr>
              <w:t>Votes “Against”</w:t>
            </w:r>
          </w:p>
        </w:tc>
        <w:tc>
          <w:tcPr>
            <w:tcW w:w="2460" w:type="dxa"/>
            <w:vAlign w:val="bottom"/>
            <w:gridSpan w:val="2"/>
          </w:tcPr>
          <w:p>
            <w:pPr>
              <w:jc w:val="center"/>
              <w:ind w:left="1668"/>
              <w:spacing w:after="0"/>
              <w:rPr>
                <w:sz w:val="20"/>
                <w:szCs w:val="20"/>
                <w:color w:val="auto"/>
              </w:rPr>
            </w:pPr>
            <w:r>
              <w:rPr>
                <w:rFonts w:ascii="Arial" w:cs="Arial" w:eastAsia="Arial" w:hAnsi="Arial"/>
                <w:sz w:val="14"/>
                <w:szCs w:val="14"/>
                <w:b w:val="1"/>
                <w:bCs w:val="1"/>
                <w:color w:val="auto"/>
                <w:w w:val="88"/>
              </w:rPr>
              <w:t>Abstentions</w:t>
            </w:r>
          </w:p>
        </w:tc>
        <w:tc>
          <w:tcPr>
            <w:tcW w:w="2840" w:type="dxa"/>
            <w:vAlign w:val="bottom"/>
            <w:gridSpan w:val="2"/>
          </w:tcPr>
          <w:p>
            <w:pPr>
              <w:jc w:val="center"/>
              <w:ind w:left="1668"/>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39,627,375</w:t>
            </w:r>
          </w:p>
        </w:tc>
        <w:tc>
          <w:tcPr>
            <w:tcW w:w="17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483,522</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193,017</w:t>
            </w:r>
          </w:p>
        </w:tc>
        <w:tc>
          <w:tcPr>
            <w:tcW w:w="17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bl>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previously announced that its board of directors, including a “required majority” (as defined in Section 57(o) of the Investment Company Act of 1940, as amended (the “1940 Act”)), approved the application of the minimum asset coverage ratio of 150% to the Company, which would have become effective August 1, 2019. However, as a result of the stockholder approval at the Special Meeting and subject to certain additional disclosure requirements, the minimum asset coverage ratio applicable to the Company for purposes of the 1940 Act leverage limitation will be 150% effective October 9, 2018.</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400" w:type="dxa"/>
            <w:vAlign w:val="bottom"/>
            <w:gridSpan w:val="2"/>
          </w:tcPr>
          <w:p>
            <w:pPr>
              <w:ind w:left="204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680"/>
              <w:spacing w:after="0"/>
              <w:rPr>
                <w:sz w:val="20"/>
                <w:szCs w:val="20"/>
                <w:color w:val="auto"/>
              </w:rPr>
            </w:pPr>
            <w:r>
              <w:rPr>
                <w:rFonts w:ascii="Arial" w:cs="Arial" w:eastAsia="Arial" w:hAnsi="Arial"/>
                <w:sz w:val="18"/>
                <w:szCs w:val="18"/>
                <w:color w:val="auto"/>
              </w:rPr>
              <w:t>(Registrant)</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October 9, 2018</w:t>
            </w:r>
          </w:p>
        </w:tc>
        <w:tc>
          <w:tcPr>
            <w:tcW w:w="7400" w:type="dxa"/>
            <w:vAlign w:val="bottom"/>
            <w:gridSpan w:val="2"/>
          </w:tcPr>
          <w:p>
            <w:pPr>
              <w:ind w:left="2040"/>
              <w:spacing w:after="0"/>
              <w:rPr>
                <w:sz w:val="20"/>
                <w:szCs w:val="20"/>
                <w:color w:val="auto"/>
              </w:rPr>
            </w:pPr>
            <w:r>
              <w:rPr>
                <w:rFonts w:ascii="Arial" w:cs="Arial" w:eastAsia="Arial" w:hAnsi="Arial"/>
                <w:sz w:val="18"/>
                <w:szCs w:val="18"/>
                <w:color w:val="auto"/>
              </w:rPr>
              <w:t>By:  /s/ Ian Simmonds</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2019-12-07T21:11:22Z</dcterms:created>
  <dcterms:modified xsi:type="dcterms:W3CDTF">2019-12-07T21:11:22Z</dcterms:modified>
</cp:coreProperties>
</file>