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21076ddefa14a.htm"/>
      <w:bookmarkStart w:id="1" w:name="ksd421076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203"/>
        <w:gridCol w:w="9595"/>
      </w:tblGrid>
      <w:tr>
        <w:trPr/>
        <w:tc>
          <w:tcPr>
            <w:tcW w:w="40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595"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Preliminary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b/>
              </w:rPr>
            </w:pPr>
            <w:r>
              <w:rPr>
                <w:b/>
              </w:rPr>
              <w:t>Confidential, for Use of the Commission Only (as permitted by Rule 14a-6(e)(2))</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Definitive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Definitive Additional Materials</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Soliciting Material Pursuant to §240.14a-12</w:t>
            </w:r>
          </w:p>
        </w:tc>
      </w:tr>
    </w:tbl>
    <w:p>
      <w:pPr>
        <w:pStyle w:val="TextBody"/>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202"/>
        <w:gridCol w:w="9596"/>
      </w:tblGrid>
      <w:tr>
        <w:trPr/>
        <w:tc>
          <w:tcPr>
            <w:tcW w:w="40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9596"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2" w:type="dxa"/>
            <w:tcBorders/>
            <w:shd w:fill="auto" w:val="clear"/>
            <w:vAlign w:val="bottom"/>
          </w:tcPr>
          <w:p>
            <w:pPr>
              <w:pStyle w:val="TableContents"/>
              <w:spacing w:before="0" w:after="283"/>
              <w:rPr/>
            </w:pPr>
            <w:r>
              <w:rPr/>
              <w:t>  </w:t>
            </w:r>
          </w:p>
        </w:tc>
        <w:tc>
          <w:tcPr>
            <w:tcW w:w="9596" w:type="dxa"/>
            <w:tcBorders/>
            <w:shd w:fill="auto" w:val="clear"/>
          </w:tcPr>
          <w:p>
            <w:pPr>
              <w:pStyle w:val="TableContents"/>
              <w:spacing w:before="0" w:after="283"/>
              <w:rPr/>
            </w:pPr>
            <w:r>
              <w:rPr/>
              <w:t>No fee required.</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2" w:type="dxa"/>
            <w:tcBorders/>
            <w:shd w:fill="auto" w:val="clear"/>
            <w:vAlign w:val="bottom"/>
          </w:tcPr>
          <w:p>
            <w:pPr>
              <w:pStyle w:val="TableContents"/>
              <w:spacing w:before="0" w:after="283"/>
              <w:rPr/>
            </w:pPr>
            <w:r>
              <w:rPr/>
              <w:t>  </w:t>
            </w:r>
          </w:p>
        </w:tc>
        <w:tc>
          <w:tcPr>
            <w:tcW w:w="9596" w:type="dxa"/>
            <w:tcBorders/>
            <w:shd w:fill="auto" w:val="clear"/>
          </w:tcPr>
          <w:p>
            <w:pPr>
              <w:pStyle w:val="TableContents"/>
              <w:spacing w:before="0" w:after="283"/>
              <w:rPr/>
            </w:pPr>
            <w:r>
              <w:rPr/>
              <w:t>Fee paid previously with preliminary materials.</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2" w:type="dxa"/>
            <w:tcBorders/>
            <w:shd w:fill="auto" w:val="clear"/>
            <w:vAlign w:val="bottom"/>
          </w:tcPr>
          <w:p>
            <w:pPr>
              <w:pStyle w:val="TableContents"/>
              <w:spacing w:before="0" w:after="283"/>
              <w:rPr/>
            </w:pPr>
            <w:r>
              <w:rPr/>
              <w:t>  </w:t>
            </w:r>
          </w:p>
        </w:tc>
        <w:tc>
          <w:tcPr>
            <w:tcW w:w="9596" w:type="dxa"/>
            <w:tcBorders/>
            <w:shd w:fill="auto" w:val="clea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362"/>
        <w:gridCol w:w="120"/>
        <w:gridCol w:w="4723"/>
      </w:tblGrid>
      <w:tr>
        <w:trPr/>
        <w:tc>
          <w:tcPr>
            <w:tcW w:w="53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723" w:type="dxa"/>
            <w:tcBorders/>
            <w:shd w:fill="auto" w:val="clear"/>
            <w:vAlign w:val="center"/>
          </w:tcPr>
          <w:p>
            <w:pPr>
              <w:pStyle w:val="TableContents"/>
              <w:spacing w:before="0" w:after="283"/>
              <w:rPr>
                <w:sz w:val="4"/>
                <w:szCs w:val="4"/>
              </w:rPr>
            </w:pPr>
            <w:r>
              <w:rPr>
                <w:sz w:val="4"/>
                <w:szCs w:val="4"/>
              </w:rPr>
            </w:r>
          </w:p>
        </w:tc>
      </w:tr>
      <w:tr>
        <w:trPr/>
        <w:tc>
          <w:tcPr>
            <w:tcW w:w="5362" w:type="dxa"/>
            <w:tcBorders/>
            <w:shd w:fill="auto" w:val="clear"/>
          </w:tcPr>
          <w:p>
            <w:pPr>
              <w:pStyle w:val="TableContents"/>
              <w:spacing w:before="0" w:after="283"/>
              <w:rPr/>
            </w:pPr>
            <w:r>
              <w:rPr/>
              <w:drawing>
                <wp:inline distT="0" distB="0" distL="0" distR="0">
                  <wp:extent cx="15906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59055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7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2100 McKinney Avenue, Suite 1500</w:t>
            </w:r>
          </w:p>
          <w:p>
            <w:pPr>
              <w:pStyle w:val="TableContents"/>
              <w:spacing w:before="0" w:after="20"/>
              <w:jc w:val="right"/>
              <w:rPr>
                <w:rFonts w:ascii="Times New Roman" w:hAnsi="Times New Roman"/>
                <w:sz w:val="20"/>
              </w:rPr>
            </w:pPr>
            <w:r>
              <w:rPr>
                <w:rFonts w:ascii="Times New Roman" w:hAnsi="Times New Roman"/>
                <w:sz w:val="20"/>
              </w:rPr>
              <w:t xml:space="preserve">Dallas, TX 75201 </w:t>
            </w:r>
          </w:p>
        </w:tc>
      </w:tr>
    </w:tbl>
    <w:p>
      <w:pPr>
        <w:pStyle w:val="TextBody"/>
        <w:spacing w:before="240" w:after="0"/>
        <w:jc w:val="center"/>
        <w:rPr>
          <w:rFonts w:ascii="Times New Roman" w:hAnsi="Times New Roman"/>
          <w:b/>
          <w:sz w:val="20"/>
        </w:rPr>
      </w:pPr>
      <w:r>
        <w:rPr>
          <w:rFonts w:ascii="Times New Roman" w:hAnsi="Times New Roman"/>
          <w:b/>
          <w:sz w:val="20"/>
        </w:rPr>
        <w:t xml:space="preserve">PLEASE VOTE YOUR PROXY TODAY </w:t>
      </w:r>
    </w:p>
    <w:p>
      <w:pPr>
        <w:pStyle w:val="TextBody"/>
        <w:spacing w:before="240" w:after="0"/>
        <w:jc w:val="right"/>
        <w:rPr>
          <w:rFonts w:ascii="Times New Roman" w:hAnsi="Times New Roman"/>
          <w:sz w:val="20"/>
        </w:rPr>
      </w:pPr>
      <w:r>
        <w:rPr>
          <w:rFonts w:ascii="Times New Roman" w:hAnsi="Times New Roman"/>
          <w:sz w:val="20"/>
        </w:rPr>
        <w:t xml:space="preserve">May 8, 2023 </w:t>
      </w:r>
    </w:p>
    <w:p>
      <w:pPr>
        <w:pStyle w:val="TextBody"/>
        <w:spacing w:before="240" w:after="0"/>
        <w:jc w:val="left"/>
        <w:rPr>
          <w:rFonts w:ascii="Times New Roman" w:hAnsi="Times New Roman"/>
          <w:sz w:val="20"/>
        </w:rPr>
      </w:pPr>
      <w:r>
        <w:rPr>
          <w:rFonts w:ascii="Times New Roman" w:hAnsi="Times New Roman"/>
          <w:sz w:val="20"/>
        </w:rPr>
        <w:t xml:space="preserve">Dear Stockholder, </w:t>
      </w:r>
    </w:p>
    <w:p>
      <w:pPr>
        <w:pStyle w:val="TextBody"/>
        <w:spacing w:before="240" w:after="0"/>
        <w:jc w:val="left"/>
        <w:rPr>
          <w:rFonts w:ascii="Times New Roman" w:hAnsi="Times New Roman"/>
          <w:sz w:val="20"/>
        </w:rPr>
      </w:pPr>
      <w:r>
        <w:rPr>
          <w:rFonts w:ascii="Times New Roman" w:hAnsi="Times New Roman"/>
          <w:sz w:val="20"/>
        </w:rPr>
        <w:t xml:space="preserve">According to our latest records, we have not received your voting instructions for the Special Meeting of Stockholders of Sixth Street Specialty Lending, Inc. to be held on Thursday, May 25, 2023. </w:t>
      </w:r>
      <w:r>
        <w:rPr>
          <w:rFonts w:ascii="Times New Roman" w:hAnsi="Times New Roman"/>
          <w:b/>
          <w:sz w:val="20"/>
        </w:rPr>
        <w:t xml:space="preserve">Your vote is extremely important, no matter how many shares you hold. If we do not receive your vote, we may have to postpone the Special Meeting and continue to request stockholder participation to reach a required quorum. </w:t>
      </w:r>
    </w:p>
    <w:p>
      <w:pPr>
        <w:pStyle w:val="TextBody"/>
        <w:spacing w:before="240" w:after="0"/>
        <w:jc w:val="left"/>
        <w:rPr>
          <w:rFonts w:ascii="Times New Roman" w:hAnsi="Times New Roman"/>
          <w:sz w:val="20"/>
        </w:rPr>
      </w:pPr>
      <w:r>
        <w:rPr>
          <w:rFonts w:ascii="Times New Roman" w:hAnsi="Times New Roman"/>
          <w:sz w:val="20"/>
        </w:rPr>
        <w:t xml:space="preserve">For the reasons set forth in the proxy statement, dated April 13, 2023, the Board of Directors, including the Independent Directors, unanimously recommends that you vote </w:t>
      </w:r>
      <w:r>
        <w:rPr>
          <w:rFonts w:ascii="Times New Roman" w:hAnsi="Times New Roman"/>
          <w:b/>
          <w:sz w:val="20"/>
        </w:rPr>
        <w:t xml:space="preserve">FOR </w:t>
      </w:r>
      <w:r>
        <w:rPr>
          <w:rFonts w:ascii="Times New Roman" w:hAnsi="Times New Roman"/>
          <w:sz w:val="20"/>
        </w:rPr>
        <w:t xml:space="preserve">the Proposal. </w:t>
      </w:r>
      <w:r>
        <w:rPr>
          <w:rFonts w:ascii="Times New Roman" w:hAnsi="Times New Roman"/>
          <w:b/>
          <w:sz w:val="20"/>
        </w:rPr>
        <w:t>Please vote via the internet or phone as soon as possible or alternatively, please sign, date, and return the</w:t>
      </w:r>
      <w:r>
        <w:rPr>
          <w:rFonts w:ascii="Times New Roman" w:hAnsi="Times New Roman"/>
          <w:sz w:val="20"/>
        </w:rPr>
        <w:t xml:space="preserve"> </w:t>
      </w:r>
      <w:r>
        <w:rPr>
          <w:rFonts w:ascii="Times New Roman" w:hAnsi="Times New Roman"/>
          <w:b/>
          <w:sz w:val="20"/>
        </w:rPr>
        <w:t xml:space="preserve">enclosed proxy card. </w:t>
      </w:r>
    </w:p>
    <w:p>
      <w:pPr>
        <w:pStyle w:val="TextBody"/>
        <w:spacing w:before="240" w:after="0"/>
        <w:jc w:val="left"/>
        <w:rPr>
          <w:rFonts w:ascii="Times New Roman" w:hAnsi="Times New Roman"/>
          <w:sz w:val="20"/>
        </w:rPr>
      </w:pPr>
      <w:r>
        <w:rPr>
          <w:rFonts w:ascii="Times New Roman" w:hAnsi="Times New Roman"/>
          <w:sz w:val="20"/>
        </w:rPr>
        <w:t xml:space="preserve">If you need assistance voting your TSLX shares, please call D.F. King toll-free at (877) 283-0318. On behalf of your Board of Directors, thank you for your cooperation and continued support.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Joshua Easterly</w:t>
            </w:r>
          </w:p>
        </w:tc>
      </w:tr>
      <w:tr>
        <w:trPr/>
        <w:tc>
          <w:tcPr>
            <w:tcW w:w="4082" w:type="dxa"/>
            <w:tcBorders/>
            <w:shd w:fill="auto" w:val="clear"/>
          </w:tcPr>
          <w:p>
            <w:pPr>
              <w:pStyle w:val="TableContents"/>
              <w:spacing w:before="0" w:after="283"/>
              <w:rPr/>
            </w:pPr>
            <w:r>
              <w:rPr/>
              <w:t>Joshua Easterly</w:t>
            </w:r>
          </w:p>
        </w:tc>
      </w:tr>
      <w:tr>
        <w:trPr/>
        <w:tc>
          <w:tcPr>
            <w:tcW w:w="4082" w:type="dxa"/>
            <w:tcBorders/>
            <w:shd w:fill="auto" w:val="clear"/>
          </w:tcPr>
          <w:p>
            <w:pPr>
              <w:pStyle w:val="TableContents"/>
              <w:spacing w:before="0" w:after="283"/>
              <w:rPr>
                <w:i/>
              </w:rPr>
            </w:pPr>
            <w:r>
              <w:rPr>
                <w:i/>
              </w:rPr>
              <w:t>Chairman of the Board of Directors</w:t>
            </w:r>
          </w:p>
        </w:tc>
      </w:tr>
    </w:tbl>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THREE EASY WAYS TO VOTE </w:t>
      </w:r>
    </w:p>
    <w:p>
      <w:pPr>
        <w:pStyle w:val="TextBody"/>
        <w:spacing w:before="0" w:after="0"/>
        <w:jc w:val="left"/>
        <w:rPr/>
      </w:pPr>
      <w:r>
        <w:rPr/>
        <w:t> </w:t>
      </w:r>
    </w:p>
    <w:p>
      <w:pPr>
        <w:pStyle w:val="TextBody"/>
        <w:spacing w:before="0" w:after="0"/>
        <w:jc w:val="center"/>
        <w:rPr/>
      </w:pPr>
      <w:r>
        <w:rPr/>
        <w:drawing>
          <wp:inline distT="0" distB="0" distL="0" distR="0">
            <wp:extent cx="5305425" cy="2105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05425" cy="2105025"/>
                    </a:xfrm>
                    <a:prstGeom prst="rect">
                      <a:avLst/>
                    </a:prstGeom>
                  </pic:spPr>
                </pic:pic>
              </a:graphicData>
            </a:graphic>
          </wp:inline>
        </w:drawing>
      </w: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325</Words>
  <CharactersWithSpaces>2060</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