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41711dpre14a.htm"/>
        <w:bookmarkStart w:id="1" w:name="ksd141711dpre14a"/>
        <w:bookmarkEnd w:id="0"/>
        <w:bookmarkEnd w:id="1"/>
        <w:r>
          <w:rPr>
            <w:rStyle w:val="InternetLink"/>
          </w:rPr>
          <w:t>Table of Contents</w:t>
        </w:r>
      </w:hyperlink>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12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36"/>
        </w:rPr>
      </w:pPr>
      <w:r>
        <w:rPr>
          <w:rFonts w:ascii="Times New Roman" w:hAnsi="Times New Roman"/>
          <w:b/>
          <w:sz w:val="36"/>
        </w:rPr>
        <w:t xml:space="preserve">SCHEDULE 14A </w:t>
      </w:r>
    </w:p>
    <w:p>
      <w:pPr>
        <w:pStyle w:val="TextBody"/>
        <w:spacing w:before="0" w:after="0"/>
        <w:jc w:val="center"/>
        <w:rPr>
          <w:rFonts w:ascii="Times New Roman" w:hAnsi="Times New Roman"/>
          <w:b/>
          <w:sz w:val="24"/>
        </w:rPr>
      </w:pPr>
      <w:r>
        <w:rPr>
          <w:rFonts w:ascii="Times New Roman" w:hAnsi="Times New Roman"/>
          <w:b/>
          <w:sz w:val="24"/>
        </w:rPr>
        <w:t xml:space="preserve">(RULE 14a-101)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2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spacing w:before="12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7"/>
        <w:gridCol w:w="203"/>
        <w:gridCol w:w="9595"/>
      </w:tblGrid>
      <w:tr>
        <w:trPr/>
        <w:tc>
          <w:tcPr>
            <w:tcW w:w="40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9595"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203" w:type="dxa"/>
            <w:tcBorders/>
            <w:shd w:fill="auto" w:val="clear"/>
            <w:vAlign w:val="bottom"/>
          </w:tcPr>
          <w:p>
            <w:pPr>
              <w:pStyle w:val="TableContents"/>
              <w:spacing w:before="0" w:after="283"/>
              <w:rPr/>
            </w:pPr>
            <w:r>
              <w:rPr/>
              <w:t>  </w:t>
            </w:r>
          </w:p>
        </w:tc>
        <w:tc>
          <w:tcPr>
            <w:tcW w:w="9595" w:type="dxa"/>
            <w:tcBorders/>
            <w:shd w:fill="auto" w:val="clear"/>
          </w:tcPr>
          <w:p>
            <w:pPr>
              <w:pStyle w:val="TableContents"/>
              <w:spacing w:before="0" w:after="283"/>
              <w:rPr/>
            </w:pPr>
            <w:r>
              <w:rPr/>
              <w:t>Preliminary Proxy Statement</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203" w:type="dxa"/>
            <w:tcBorders/>
            <w:shd w:fill="auto" w:val="clear"/>
            <w:vAlign w:val="bottom"/>
          </w:tcPr>
          <w:p>
            <w:pPr>
              <w:pStyle w:val="TableContents"/>
              <w:spacing w:before="0" w:after="283"/>
              <w:rPr/>
            </w:pPr>
            <w:r>
              <w:rPr/>
              <w:t>  </w:t>
            </w:r>
          </w:p>
        </w:tc>
        <w:tc>
          <w:tcPr>
            <w:tcW w:w="9595" w:type="dxa"/>
            <w:tcBorders/>
            <w:shd w:fill="auto" w:val="clear"/>
          </w:tcPr>
          <w:p>
            <w:pPr>
              <w:pStyle w:val="TableContents"/>
              <w:spacing w:before="0" w:after="283"/>
              <w:rPr>
                <w:b/>
              </w:rPr>
            </w:pPr>
            <w:r>
              <w:rPr>
                <w:b/>
              </w:rPr>
              <w:t>Confidential, for Use of the Commission Only (as permitted by Rule 14a-6(e)(2))</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203" w:type="dxa"/>
            <w:tcBorders/>
            <w:shd w:fill="auto" w:val="clear"/>
            <w:vAlign w:val="bottom"/>
          </w:tcPr>
          <w:p>
            <w:pPr>
              <w:pStyle w:val="TableContents"/>
              <w:spacing w:before="0" w:after="283"/>
              <w:rPr/>
            </w:pPr>
            <w:r>
              <w:rPr/>
              <w:t>  </w:t>
            </w:r>
          </w:p>
        </w:tc>
        <w:tc>
          <w:tcPr>
            <w:tcW w:w="9595" w:type="dxa"/>
            <w:tcBorders/>
            <w:shd w:fill="auto" w:val="clear"/>
          </w:tcPr>
          <w:p>
            <w:pPr>
              <w:pStyle w:val="TableContents"/>
              <w:spacing w:before="0" w:after="283"/>
              <w:rPr/>
            </w:pPr>
            <w:r>
              <w:rPr/>
              <w:t>Definitive Proxy Statement</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203" w:type="dxa"/>
            <w:tcBorders/>
            <w:shd w:fill="auto" w:val="clear"/>
            <w:vAlign w:val="bottom"/>
          </w:tcPr>
          <w:p>
            <w:pPr>
              <w:pStyle w:val="TableContents"/>
              <w:spacing w:before="0" w:after="283"/>
              <w:rPr/>
            </w:pPr>
            <w:r>
              <w:rPr/>
              <w:t>  </w:t>
            </w:r>
          </w:p>
        </w:tc>
        <w:tc>
          <w:tcPr>
            <w:tcW w:w="9595" w:type="dxa"/>
            <w:tcBorders/>
            <w:shd w:fill="auto" w:val="clear"/>
          </w:tcPr>
          <w:p>
            <w:pPr>
              <w:pStyle w:val="TableContents"/>
              <w:spacing w:before="0" w:after="283"/>
              <w:rPr/>
            </w:pPr>
            <w:r>
              <w:rPr/>
              <w:t>Definitive Additional Materials</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203" w:type="dxa"/>
            <w:tcBorders/>
            <w:shd w:fill="auto" w:val="clear"/>
            <w:vAlign w:val="bottom"/>
          </w:tcPr>
          <w:p>
            <w:pPr>
              <w:pStyle w:val="TableContents"/>
              <w:spacing w:before="0" w:after="283"/>
              <w:rPr/>
            </w:pPr>
            <w:r>
              <w:rPr/>
              <w:t>  </w:t>
            </w:r>
          </w:p>
        </w:tc>
        <w:tc>
          <w:tcPr>
            <w:tcW w:w="9595" w:type="dxa"/>
            <w:tcBorders/>
            <w:shd w:fill="auto" w:val="clear"/>
          </w:tcPr>
          <w:p>
            <w:pPr>
              <w:pStyle w:val="TableContents"/>
              <w:spacing w:before="0" w:after="283"/>
              <w:rPr/>
            </w:pPr>
            <w:r>
              <w:rPr/>
              <w:t>Soliciting Material Pursuant to §240.14a-12</w:t>
            </w:r>
          </w:p>
        </w:tc>
      </w:tr>
    </w:tbl>
    <w:p>
      <w:pPr>
        <w:pStyle w:val="TextBody"/>
        <w:spacing w:before="120" w:after="0"/>
        <w:jc w:val="center"/>
        <w:rPr>
          <w:rFonts w:ascii="Times New Roman" w:hAnsi="Times New Roman"/>
          <w:b/>
          <w:sz w:val="44"/>
        </w:rPr>
      </w:pPr>
      <w:r>
        <w:rPr>
          <w:rFonts w:ascii="Times New Roman" w:hAnsi="Times New Roman"/>
          <w:b/>
          <w:sz w:val="44"/>
        </w:rPr>
        <w:t xml:space="preserve">Sixth Street Specialty Lending,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12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spacing w:before="12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35"/>
        <w:gridCol w:w="120"/>
        <w:gridCol w:w="626"/>
        <w:gridCol w:w="219"/>
        <w:gridCol w:w="8805"/>
      </w:tblGrid>
      <w:tr>
        <w:trPr/>
        <w:tc>
          <w:tcPr>
            <w:tcW w:w="4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8805" w:type="dxa"/>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650" w:type="dxa"/>
            <w:gridSpan w:val="3"/>
            <w:tcBorders/>
            <w:shd w:fill="auto" w:val="clear"/>
          </w:tcPr>
          <w:p>
            <w:pPr>
              <w:pStyle w:val="TableContents"/>
              <w:spacing w:before="0" w:after="283"/>
              <w:rPr/>
            </w:pPr>
            <w:r>
              <w:rPr/>
              <w:t>No fee required.</w:t>
            </w:r>
          </w:p>
        </w:tc>
      </w:tr>
      <w:tr>
        <w:trPr>
          <w:trHeight w:val="75" w:hRule="atLeast"/>
        </w:trPr>
        <w:tc>
          <w:tcPr>
            <w:tcW w:w="435" w:type="dxa"/>
            <w:tcBorders/>
            <w:shd w:fill="auto" w:val="clear"/>
            <w:vAlign w:val="center"/>
          </w:tcPr>
          <w:p>
            <w:pPr>
              <w:pStyle w:val="TableContents"/>
              <w:spacing w:before="0" w:after="283"/>
              <w:rPr>
                <w:sz w:val="4"/>
                <w:szCs w:val="4"/>
              </w:rPr>
            </w:pPr>
            <w:r>
              <w:rPr>
                <w:sz w:val="4"/>
                <w:szCs w:val="4"/>
              </w:rPr>
            </w:r>
          </w:p>
        </w:tc>
        <w:tc>
          <w:tcPr>
            <w:tcW w:w="9770" w:type="dxa"/>
            <w:gridSpan w:val="4"/>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650" w:type="dxa"/>
            <w:gridSpan w:val="3"/>
            <w:tcBorders/>
            <w:shd w:fill="auto" w:val="clear"/>
          </w:tcPr>
          <w:p>
            <w:pPr>
              <w:pStyle w:val="TableContents"/>
              <w:spacing w:before="0" w:after="283"/>
              <w:rPr/>
            </w:pPr>
            <w:r>
              <w:rPr/>
              <w:t>Fee computed on table below per Exchange Act Rules 14a-6(i)(1) and 0-11.</w:t>
            </w:r>
          </w:p>
        </w:tc>
      </w:tr>
      <w:tr>
        <w:trPr>
          <w:trHeight w:val="75" w:hRule="atLeast"/>
        </w:trPr>
        <w:tc>
          <w:tcPr>
            <w:tcW w:w="435" w:type="dxa"/>
            <w:tcBorders/>
            <w:shd w:fill="auto" w:val="clear"/>
            <w:vAlign w:val="center"/>
          </w:tcPr>
          <w:p>
            <w:pPr>
              <w:pStyle w:val="TableContents"/>
              <w:spacing w:before="0" w:after="283"/>
              <w:rPr>
                <w:sz w:val="4"/>
                <w:szCs w:val="4"/>
              </w:rPr>
            </w:pPr>
            <w:r>
              <w:rPr>
                <w:sz w:val="4"/>
                <w:szCs w:val="4"/>
              </w:rPr>
            </w:r>
          </w:p>
        </w:tc>
        <w:tc>
          <w:tcPr>
            <w:tcW w:w="746" w:type="dxa"/>
            <w:gridSpan w:val="2"/>
            <w:tcBorders/>
            <w:shd w:fill="auto" w:val="clear"/>
            <w:vAlign w:val="center"/>
          </w:tcPr>
          <w:p>
            <w:pPr>
              <w:pStyle w:val="TableContents"/>
              <w:spacing w:before="0" w:after="283"/>
              <w:rPr>
                <w:sz w:val="4"/>
                <w:szCs w:val="4"/>
              </w:rPr>
            </w:pPr>
            <w:r>
              <w:rPr>
                <w:sz w:val="4"/>
                <w:szCs w:val="4"/>
              </w:rPr>
            </w:r>
          </w:p>
        </w:tc>
        <w:tc>
          <w:tcPr>
            <w:tcW w:w="9024" w:type="dxa"/>
            <w:gridSpan w:val="2"/>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rPr>
                <w:sz w:val="20"/>
              </w:rPr>
            </w:pPr>
            <w:r>
              <w:rPr>
                <w:sz w:val="20"/>
              </w:rPr>
              <w:t>(1)</w:t>
            </w:r>
          </w:p>
        </w:tc>
        <w:tc>
          <w:tcPr>
            <w:tcW w:w="219" w:type="dxa"/>
            <w:tcBorders/>
            <w:shd w:fill="auto" w:val="clear"/>
            <w:vAlign w:val="bottom"/>
          </w:tcPr>
          <w:p>
            <w:pPr>
              <w:pStyle w:val="TableContents"/>
              <w:spacing w:before="0" w:after="283"/>
              <w:rPr/>
            </w:pPr>
            <w:r>
              <w:rPr/>
              <w:t>  </w:t>
            </w:r>
          </w:p>
        </w:tc>
        <w:tc>
          <w:tcPr>
            <w:tcW w:w="8805" w:type="dxa"/>
            <w:tcBorders/>
            <w:shd w:fill="auto" w:val="clear"/>
          </w:tcPr>
          <w:p>
            <w:pPr>
              <w:pStyle w:val="TableContents"/>
              <w:spacing w:before="0" w:after="0"/>
              <w:rPr>
                <w:rFonts w:ascii="Times New Roman" w:hAnsi="Times New Roman"/>
                <w:sz w:val="20"/>
              </w:rPr>
            </w:pPr>
            <w:r>
              <w:rPr>
                <w:rFonts w:ascii="Times New Roman" w:hAnsi="Times New Roman"/>
                <w:sz w:val="20"/>
              </w:rPr>
              <w:t>Title of each class of securities to which transaction applies:</w:t>
            </w:r>
          </w:p>
          <w:p>
            <w:pPr>
              <w:pStyle w:val="TableContents"/>
              <w:spacing w:before="0" w:after="0"/>
              <w:rPr/>
            </w:pPr>
            <w:r>
              <w:rPr/>
              <w:t> </w:t>
            </w:r>
          </w:p>
          <w:p>
            <w:pPr>
              <w:pStyle w:val="TableContents"/>
              <w:pBdr>
                <w:bottom w:val="single" w:sz="2" w:space="1" w:color="000000"/>
              </w:pBdr>
              <w:spacing w:before="0" w:after="20"/>
              <w:rPr/>
            </w:pPr>
            <w:r>
              <w:rPr/>
              <w:t>     </w:t>
            </w:r>
          </w:p>
        </w:tc>
      </w:tr>
      <w:tr>
        <w:trPr>
          <w:trHeight w:val="75" w:hRule="atLeast"/>
        </w:trPr>
        <w:tc>
          <w:tcPr>
            <w:tcW w:w="435" w:type="dxa"/>
            <w:tcBorders/>
            <w:shd w:fill="auto" w:val="clear"/>
            <w:vAlign w:val="center"/>
          </w:tcPr>
          <w:p>
            <w:pPr>
              <w:pStyle w:val="TableContents"/>
              <w:spacing w:before="0" w:after="283"/>
              <w:rPr>
                <w:sz w:val="4"/>
                <w:szCs w:val="4"/>
              </w:rPr>
            </w:pPr>
            <w:r>
              <w:rPr>
                <w:sz w:val="4"/>
                <w:szCs w:val="4"/>
              </w:rPr>
            </w:r>
          </w:p>
        </w:tc>
        <w:tc>
          <w:tcPr>
            <w:tcW w:w="746" w:type="dxa"/>
            <w:gridSpan w:val="2"/>
            <w:tcBorders/>
            <w:shd w:fill="auto" w:val="clear"/>
            <w:vAlign w:val="center"/>
          </w:tcPr>
          <w:p>
            <w:pPr>
              <w:pStyle w:val="TableContents"/>
              <w:spacing w:before="0" w:after="283"/>
              <w:rPr>
                <w:sz w:val="4"/>
                <w:szCs w:val="4"/>
              </w:rPr>
            </w:pPr>
            <w:r>
              <w:rPr>
                <w:sz w:val="4"/>
                <w:szCs w:val="4"/>
              </w:rPr>
            </w:r>
          </w:p>
        </w:tc>
        <w:tc>
          <w:tcPr>
            <w:tcW w:w="9024" w:type="dxa"/>
            <w:gridSpan w:val="2"/>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rPr>
                <w:sz w:val="20"/>
              </w:rPr>
            </w:pPr>
            <w:r>
              <w:rPr>
                <w:sz w:val="20"/>
              </w:rPr>
              <w:t>(2)</w:t>
            </w:r>
          </w:p>
        </w:tc>
        <w:tc>
          <w:tcPr>
            <w:tcW w:w="219" w:type="dxa"/>
            <w:tcBorders/>
            <w:shd w:fill="auto" w:val="clear"/>
            <w:vAlign w:val="bottom"/>
          </w:tcPr>
          <w:p>
            <w:pPr>
              <w:pStyle w:val="TableContents"/>
              <w:spacing w:before="0" w:after="283"/>
              <w:rPr/>
            </w:pPr>
            <w:r>
              <w:rPr/>
              <w:t>  </w:t>
            </w:r>
          </w:p>
        </w:tc>
        <w:tc>
          <w:tcPr>
            <w:tcW w:w="8805" w:type="dxa"/>
            <w:tcBorders/>
            <w:shd w:fill="auto" w:val="clear"/>
          </w:tcPr>
          <w:p>
            <w:pPr>
              <w:pStyle w:val="TableContents"/>
              <w:spacing w:before="0" w:after="0"/>
              <w:rPr>
                <w:rFonts w:ascii="Times New Roman" w:hAnsi="Times New Roman"/>
                <w:sz w:val="20"/>
              </w:rPr>
            </w:pPr>
            <w:r>
              <w:rPr>
                <w:rFonts w:ascii="Times New Roman" w:hAnsi="Times New Roman"/>
                <w:sz w:val="20"/>
              </w:rPr>
              <w:t>Aggregate number of securities to which transaction applies:</w:t>
            </w:r>
          </w:p>
          <w:p>
            <w:pPr>
              <w:pStyle w:val="TableContents"/>
              <w:spacing w:before="0" w:after="0"/>
              <w:rPr/>
            </w:pPr>
            <w:r>
              <w:rPr/>
              <w:t> </w:t>
            </w:r>
          </w:p>
          <w:p>
            <w:pPr>
              <w:pStyle w:val="TableContents"/>
              <w:pBdr>
                <w:bottom w:val="single" w:sz="2" w:space="1" w:color="000000"/>
              </w:pBdr>
              <w:spacing w:before="0" w:after="20"/>
              <w:rPr/>
            </w:pPr>
            <w:r>
              <w:rPr/>
              <w:t>     </w:t>
            </w:r>
          </w:p>
        </w:tc>
      </w:tr>
      <w:tr>
        <w:trPr>
          <w:trHeight w:val="75" w:hRule="atLeast"/>
        </w:trPr>
        <w:tc>
          <w:tcPr>
            <w:tcW w:w="435" w:type="dxa"/>
            <w:tcBorders/>
            <w:shd w:fill="auto" w:val="clear"/>
            <w:vAlign w:val="center"/>
          </w:tcPr>
          <w:p>
            <w:pPr>
              <w:pStyle w:val="TableContents"/>
              <w:spacing w:before="0" w:after="283"/>
              <w:rPr>
                <w:sz w:val="4"/>
                <w:szCs w:val="4"/>
              </w:rPr>
            </w:pPr>
            <w:r>
              <w:rPr>
                <w:sz w:val="4"/>
                <w:szCs w:val="4"/>
              </w:rPr>
            </w:r>
          </w:p>
        </w:tc>
        <w:tc>
          <w:tcPr>
            <w:tcW w:w="746" w:type="dxa"/>
            <w:gridSpan w:val="2"/>
            <w:tcBorders/>
            <w:shd w:fill="auto" w:val="clear"/>
            <w:vAlign w:val="center"/>
          </w:tcPr>
          <w:p>
            <w:pPr>
              <w:pStyle w:val="TableContents"/>
              <w:spacing w:before="0" w:after="283"/>
              <w:rPr>
                <w:sz w:val="4"/>
                <w:szCs w:val="4"/>
              </w:rPr>
            </w:pPr>
            <w:r>
              <w:rPr>
                <w:sz w:val="4"/>
                <w:szCs w:val="4"/>
              </w:rPr>
            </w:r>
          </w:p>
        </w:tc>
        <w:tc>
          <w:tcPr>
            <w:tcW w:w="9024" w:type="dxa"/>
            <w:gridSpan w:val="2"/>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rPr>
                <w:sz w:val="20"/>
              </w:rPr>
            </w:pPr>
            <w:r>
              <w:rPr>
                <w:sz w:val="20"/>
              </w:rPr>
              <w:t>(3)</w:t>
            </w:r>
          </w:p>
        </w:tc>
        <w:tc>
          <w:tcPr>
            <w:tcW w:w="219" w:type="dxa"/>
            <w:tcBorders/>
            <w:shd w:fill="auto" w:val="clear"/>
            <w:vAlign w:val="bottom"/>
          </w:tcPr>
          <w:p>
            <w:pPr>
              <w:pStyle w:val="TableContents"/>
              <w:spacing w:before="0" w:after="283"/>
              <w:rPr/>
            </w:pPr>
            <w:r>
              <w:rPr/>
              <w:t>  </w:t>
            </w:r>
          </w:p>
        </w:tc>
        <w:tc>
          <w:tcPr>
            <w:tcW w:w="8805" w:type="dxa"/>
            <w:tcBorders/>
            <w:shd w:fill="auto" w:val="clear"/>
          </w:tcPr>
          <w:p>
            <w:pPr>
              <w:pStyle w:val="TableContents"/>
              <w:spacing w:before="0" w:after="0"/>
              <w:rPr>
                <w:rFonts w:ascii="Times New Roman" w:hAnsi="Times New Roman"/>
                <w:sz w:val="20"/>
              </w:rPr>
            </w:pPr>
            <w:r>
              <w:rPr>
                <w:rFonts w:ascii="Times New Roman" w:hAnsi="Times New Roman"/>
                <w:sz w:val="20"/>
              </w:rPr>
              <w:t>Per unit price or other value of transaction computed pursuant to Exchange Act Rule 0-11 (set forth the amount on which the filing fee is calculated and state how it was determined):</w:t>
            </w:r>
          </w:p>
          <w:p>
            <w:pPr>
              <w:pStyle w:val="TableContents"/>
              <w:spacing w:before="0" w:after="0"/>
              <w:rPr/>
            </w:pPr>
            <w:r>
              <w:rPr/>
              <w:t> </w:t>
            </w:r>
          </w:p>
          <w:p>
            <w:pPr>
              <w:pStyle w:val="TableContents"/>
              <w:pBdr>
                <w:bottom w:val="single" w:sz="2" w:space="1" w:color="000000"/>
              </w:pBdr>
              <w:spacing w:before="0" w:after="20"/>
              <w:rPr/>
            </w:pPr>
            <w:r>
              <w:rPr/>
              <w:t>     </w:t>
            </w:r>
          </w:p>
        </w:tc>
      </w:tr>
      <w:tr>
        <w:trPr>
          <w:trHeight w:val="75" w:hRule="atLeast"/>
        </w:trPr>
        <w:tc>
          <w:tcPr>
            <w:tcW w:w="435" w:type="dxa"/>
            <w:tcBorders/>
            <w:shd w:fill="auto" w:val="clear"/>
            <w:vAlign w:val="center"/>
          </w:tcPr>
          <w:p>
            <w:pPr>
              <w:pStyle w:val="TableContents"/>
              <w:spacing w:before="0" w:after="283"/>
              <w:rPr>
                <w:sz w:val="4"/>
                <w:szCs w:val="4"/>
              </w:rPr>
            </w:pPr>
            <w:r>
              <w:rPr>
                <w:sz w:val="4"/>
                <w:szCs w:val="4"/>
              </w:rPr>
            </w:r>
          </w:p>
        </w:tc>
        <w:tc>
          <w:tcPr>
            <w:tcW w:w="746" w:type="dxa"/>
            <w:gridSpan w:val="2"/>
            <w:tcBorders/>
            <w:shd w:fill="auto" w:val="clear"/>
            <w:vAlign w:val="center"/>
          </w:tcPr>
          <w:p>
            <w:pPr>
              <w:pStyle w:val="TableContents"/>
              <w:spacing w:before="0" w:after="283"/>
              <w:rPr>
                <w:sz w:val="4"/>
                <w:szCs w:val="4"/>
              </w:rPr>
            </w:pPr>
            <w:r>
              <w:rPr>
                <w:sz w:val="4"/>
                <w:szCs w:val="4"/>
              </w:rPr>
            </w:r>
          </w:p>
        </w:tc>
        <w:tc>
          <w:tcPr>
            <w:tcW w:w="9024" w:type="dxa"/>
            <w:gridSpan w:val="2"/>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rPr>
                <w:sz w:val="20"/>
              </w:rPr>
            </w:pPr>
            <w:r>
              <w:rPr>
                <w:sz w:val="20"/>
              </w:rPr>
              <w:t>(4)</w:t>
            </w:r>
          </w:p>
        </w:tc>
        <w:tc>
          <w:tcPr>
            <w:tcW w:w="219" w:type="dxa"/>
            <w:tcBorders/>
            <w:shd w:fill="auto" w:val="clear"/>
            <w:vAlign w:val="bottom"/>
          </w:tcPr>
          <w:p>
            <w:pPr>
              <w:pStyle w:val="TableContents"/>
              <w:spacing w:before="0" w:after="283"/>
              <w:rPr/>
            </w:pPr>
            <w:r>
              <w:rPr/>
              <w:t>  </w:t>
            </w:r>
          </w:p>
        </w:tc>
        <w:tc>
          <w:tcPr>
            <w:tcW w:w="8805" w:type="dxa"/>
            <w:tcBorders/>
            <w:shd w:fill="auto" w:val="clear"/>
          </w:tcPr>
          <w:p>
            <w:pPr>
              <w:pStyle w:val="TableContents"/>
              <w:spacing w:before="0" w:after="0"/>
              <w:rPr>
                <w:rFonts w:ascii="Times New Roman" w:hAnsi="Times New Roman"/>
                <w:sz w:val="20"/>
              </w:rPr>
            </w:pPr>
            <w:r>
              <w:rPr>
                <w:rFonts w:ascii="Times New Roman" w:hAnsi="Times New Roman"/>
                <w:sz w:val="20"/>
              </w:rPr>
              <w:t>Proposed maximum aggregate value of transaction:</w:t>
            </w:r>
          </w:p>
          <w:p>
            <w:pPr>
              <w:pStyle w:val="TableContents"/>
              <w:spacing w:before="0" w:after="0"/>
              <w:rPr/>
            </w:pPr>
            <w:r>
              <w:rPr/>
              <w:t> </w:t>
            </w:r>
          </w:p>
          <w:p>
            <w:pPr>
              <w:pStyle w:val="TableContents"/>
              <w:pBdr>
                <w:bottom w:val="single" w:sz="2" w:space="1" w:color="000000"/>
              </w:pBdr>
              <w:spacing w:before="0" w:after="20"/>
              <w:rPr/>
            </w:pPr>
            <w:r>
              <w:rPr/>
              <w:t>     </w:t>
            </w:r>
          </w:p>
        </w:tc>
      </w:tr>
      <w:tr>
        <w:trPr>
          <w:trHeight w:val="75" w:hRule="atLeast"/>
        </w:trPr>
        <w:tc>
          <w:tcPr>
            <w:tcW w:w="435" w:type="dxa"/>
            <w:tcBorders/>
            <w:shd w:fill="auto" w:val="clear"/>
            <w:vAlign w:val="center"/>
          </w:tcPr>
          <w:p>
            <w:pPr>
              <w:pStyle w:val="TableContents"/>
              <w:spacing w:before="0" w:after="283"/>
              <w:rPr>
                <w:sz w:val="4"/>
                <w:szCs w:val="4"/>
              </w:rPr>
            </w:pPr>
            <w:r>
              <w:rPr>
                <w:sz w:val="4"/>
                <w:szCs w:val="4"/>
              </w:rPr>
            </w:r>
          </w:p>
        </w:tc>
        <w:tc>
          <w:tcPr>
            <w:tcW w:w="746" w:type="dxa"/>
            <w:gridSpan w:val="2"/>
            <w:tcBorders/>
            <w:shd w:fill="auto" w:val="clear"/>
            <w:vAlign w:val="center"/>
          </w:tcPr>
          <w:p>
            <w:pPr>
              <w:pStyle w:val="TableContents"/>
              <w:spacing w:before="0" w:after="283"/>
              <w:rPr>
                <w:sz w:val="4"/>
                <w:szCs w:val="4"/>
              </w:rPr>
            </w:pPr>
            <w:r>
              <w:rPr>
                <w:sz w:val="4"/>
                <w:szCs w:val="4"/>
              </w:rPr>
            </w:r>
          </w:p>
        </w:tc>
        <w:tc>
          <w:tcPr>
            <w:tcW w:w="9024" w:type="dxa"/>
            <w:gridSpan w:val="2"/>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rPr>
                <w:sz w:val="20"/>
              </w:rPr>
            </w:pPr>
            <w:r>
              <w:rPr>
                <w:sz w:val="20"/>
              </w:rPr>
              <w:t>(5)</w:t>
            </w:r>
          </w:p>
        </w:tc>
        <w:tc>
          <w:tcPr>
            <w:tcW w:w="219" w:type="dxa"/>
            <w:tcBorders/>
            <w:shd w:fill="auto" w:val="clear"/>
            <w:vAlign w:val="bottom"/>
          </w:tcPr>
          <w:p>
            <w:pPr>
              <w:pStyle w:val="TableContents"/>
              <w:spacing w:before="0" w:after="283"/>
              <w:rPr/>
            </w:pPr>
            <w:r>
              <w:rPr/>
              <w:t>  </w:t>
            </w:r>
          </w:p>
        </w:tc>
        <w:tc>
          <w:tcPr>
            <w:tcW w:w="8805" w:type="dxa"/>
            <w:tcBorders/>
            <w:shd w:fill="auto" w:val="clear"/>
          </w:tcPr>
          <w:p>
            <w:pPr>
              <w:pStyle w:val="TableContents"/>
              <w:spacing w:before="0" w:after="0"/>
              <w:rPr>
                <w:rFonts w:ascii="Times New Roman" w:hAnsi="Times New Roman"/>
                <w:sz w:val="20"/>
              </w:rPr>
            </w:pPr>
            <w:r>
              <w:rPr>
                <w:rFonts w:ascii="Times New Roman" w:hAnsi="Times New Roman"/>
                <w:sz w:val="20"/>
              </w:rPr>
              <w:t>Total fee paid:</w:t>
            </w:r>
          </w:p>
          <w:p>
            <w:pPr>
              <w:pStyle w:val="TableContents"/>
              <w:spacing w:before="0" w:after="0"/>
              <w:rPr/>
            </w:pPr>
            <w:r>
              <w:rPr/>
              <w:t> </w:t>
            </w:r>
          </w:p>
          <w:p>
            <w:pPr>
              <w:pStyle w:val="TableContents"/>
              <w:pBdr>
                <w:bottom w:val="single" w:sz="2" w:space="1" w:color="000000"/>
              </w:pBdr>
              <w:spacing w:before="0" w:after="20"/>
              <w:rPr/>
            </w:pPr>
            <w:r>
              <w:rPr/>
              <w:t>     </w:t>
            </w:r>
          </w:p>
        </w:tc>
      </w:tr>
      <w:tr>
        <w:trPr>
          <w:trHeight w:val="75" w:hRule="atLeast"/>
        </w:trPr>
        <w:tc>
          <w:tcPr>
            <w:tcW w:w="435" w:type="dxa"/>
            <w:tcBorders/>
            <w:shd w:fill="auto" w:val="clear"/>
            <w:vAlign w:val="center"/>
          </w:tcPr>
          <w:p>
            <w:pPr>
              <w:pStyle w:val="TableContents"/>
              <w:spacing w:before="0" w:after="283"/>
              <w:rPr>
                <w:sz w:val="4"/>
                <w:szCs w:val="4"/>
              </w:rPr>
            </w:pPr>
            <w:r>
              <w:rPr>
                <w:sz w:val="4"/>
                <w:szCs w:val="4"/>
              </w:rPr>
            </w:r>
          </w:p>
        </w:tc>
        <w:tc>
          <w:tcPr>
            <w:tcW w:w="9770" w:type="dxa"/>
            <w:gridSpan w:val="4"/>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650" w:type="dxa"/>
            <w:gridSpan w:val="3"/>
            <w:tcBorders/>
            <w:shd w:fill="auto" w:val="clear"/>
          </w:tcPr>
          <w:p>
            <w:pPr>
              <w:pStyle w:val="TableContents"/>
              <w:spacing w:before="0" w:after="283"/>
              <w:rPr/>
            </w:pPr>
            <w:r>
              <w:rPr/>
              <w:t>Fee paid previously with preliminary materials.</w:t>
            </w:r>
          </w:p>
        </w:tc>
      </w:tr>
      <w:tr>
        <w:trPr>
          <w:trHeight w:val="75" w:hRule="atLeast"/>
        </w:trPr>
        <w:tc>
          <w:tcPr>
            <w:tcW w:w="435" w:type="dxa"/>
            <w:tcBorders/>
            <w:shd w:fill="auto" w:val="clear"/>
            <w:vAlign w:val="center"/>
          </w:tcPr>
          <w:p>
            <w:pPr>
              <w:pStyle w:val="TableContents"/>
              <w:spacing w:before="0" w:after="283"/>
              <w:rPr>
                <w:sz w:val="4"/>
                <w:szCs w:val="4"/>
              </w:rPr>
            </w:pPr>
            <w:r>
              <w:rPr>
                <w:sz w:val="4"/>
                <w:szCs w:val="4"/>
              </w:rPr>
            </w:r>
          </w:p>
        </w:tc>
        <w:tc>
          <w:tcPr>
            <w:tcW w:w="9770" w:type="dxa"/>
            <w:gridSpan w:val="4"/>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9650" w:type="dxa"/>
            <w:gridSpan w:val="3"/>
            <w:tcBorders/>
            <w:shd w:fill="auto" w:val="clear"/>
          </w:tcPr>
          <w:p>
            <w:pPr>
              <w:pStyle w:val="TableContents"/>
              <w:spacing w:before="0" w:after="283"/>
              <w:rPr/>
            </w:pPr>
            <w:r>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rHeight w:val="75" w:hRule="atLeast"/>
        </w:trPr>
        <w:tc>
          <w:tcPr>
            <w:tcW w:w="435" w:type="dxa"/>
            <w:tcBorders/>
            <w:shd w:fill="auto" w:val="clear"/>
            <w:vAlign w:val="center"/>
          </w:tcPr>
          <w:p>
            <w:pPr>
              <w:pStyle w:val="TableContents"/>
              <w:spacing w:before="0" w:after="283"/>
              <w:rPr>
                <w:sz w:val="4"/>
                <w:szCs w:val="4"/>
              </w:rPr>
            </w:pPr>
            <w:r>
              <w:rPr>
                <w:sz w:val="4"/>
                <w:szCs w:val="4"/>
              </w:rPr>
            </w:r>
          </w:p>
        </w:tc>
        <w:tc>
          <w:tcPr>
            <w:tcW w:w="746" w:type="dxa"/>
            <w:gridSpan w:val="2"/>
            <w:tcBorders/>
            <w:shd w:fill="auto" w:val="clear"/>
            <w:vAlign w:val="center"/>
          </w:tcPr>
          <w:p>
            <w:pPr>
              <w:pStyle w:val="TableContents"/>
              <w:spacing w:before="0" w:after="283"/>
              <w:rPr>
                <w:sz w:val="4"/>
                <w:szCs w:val="4"/>
              </w:rPr>
            </w:pPr>
            <w:r>
              <w:rPr>
                <w:sz w:val="4"/>
                <w:szCs w:val="4"/>
              </w:rPr>
            </w:r>
          </w:p>
        </w:tc>
        <w:tc>
          <w:tcPr>
            <w:tcW w:w="9024" w:type="dxa"/>
            <w:gridSpan w:val="2"/>
            <w:tcBorders/>
            <w:shd w:fill="auto" w:val="clear"/>
            <w:vAlign w:val="center"/>
          </w:tcPr>
          <w:p>
            <w:pPr>
              <w:pStyle w:val="TableContents"/>
              <w:spacing w:before="0" w:after="283"/>
              <w:rPr>
                <w:sz w:val="4"/>
                <w:szCs w:val="4"/>
              </w:rPr>
            </w:pPr>
            <w:r>
              <w:rPr>
                <w:sz w:val="4"/>
                <w:szCs w:val="4"/>
              </w:rPr>
            </w:r>
          </w:p>
        </w:tc>
      </w:tr>
      <w:tr>
        <w:trPr/>
        <w:tc>
          <w:tcPr>
            <w:tcW w:w="4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rPr>
                <w:sz w:val="20"/>
              </w:rPr>
            </w:pPr>
            <w:r>
              <w:rPr>
                <w:sz w:val="20"/>
              </w:rPr>
              <w:t>(1)</w:t>
            </w:r>
          </w:p>
        </w:tc>
        <w:tc>
          <w:tcPr>
            <w:tcW w:w="219" w:type="dxa"/>
            <w:tcBorders/>
            <w:shd w:fill="auto" w:val="clear"/>
            <w:vAlign w:val="bottom"/>
          </w:tcPr>
          <w:p>
            <w:pPr>
              <w:pStyle w:val="TableContents"/>
              <w:spacing w:before="0" w:after="283"/>
              <w:rPr/>
            </w:pPr>
            <w:r>
              <w:rPr/>
              <w:t>  </w:t>
            </w:r>
          </w:p>
        </w:tc>
        <w:tc>
          <w:tcPr>
            <w:tcW w:w="8805" w:type="dxa"/>
            <w:tcBorders/>
            <w:shd w:fill="auto" w:val="clear"/>
          </w:tcPr>
          <w:p>
            <w:pPr>
              <w:pStyle w:val="TableContents"/>
              <w:spacing w:before="0" w:after="0"/>
              <w:rPr>
                <w:rFonts w:ascii="Times New Roman" w:hAnsi="Times New Roman"/>
                <w:sz w:val="20"/>
              </w:rPr>
            </w:pPr>
            <w:r>
              <w:rPr>
                <w:rFonts w:ascii="Times New Roman" w:hAnsi="Times New Roman"/>
                <w:sz w:val="20"/>
              </w:rPr>
              <w:t>Amount Previously Paid:</w:t>
            </w:r>
          </w:p>
          <w:p>
            <w:pPr>
              <w:pStyle w:val="TableContents"/>
              <w:spacing w:before="0" w:after="0"/>
              <w:rPr/>
            </w:pPr>
            <w:r>
              <w:rPr/>
              <w:t> </w:t>
            </w:r>
          </w:p>
          <w:p>
            <w:pPr>
              <w:pStyle w:val="TableContents"/>
              <w:pBdr>
                <w:bottom w:val="single" w:sz="2" w:space="1" w:color="000000"/>
              </w:pBdr>
              <w:spacing w:before="0" w:after="20"/>
              <w:rPr/>
            </w:pPr>
            <w:r>
              <w:rPr/>
              <w:t>     </w:t>
            </w:r>
          </w:p>
        </w:tc>
      </w:tr>
      <w:tr>
        <w:trPr/>
        <w:tc>
          <w:tcPr>
            <w:tcW w:w="4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rPr>
                <w:sz w:val="20"/>
              </w:rPr>
            </w:pPr>
            <w:r>
              <w:rPr>
                <w:sz w:val="20"/>
              </w:rPr>
              <w:t>(2)</w:t>
            </w:r>
          </w:p>
        </w:tc>
        <w:tc>
          <w:tcPr>
            <w:tcW w:w="219" w:type="dxa"/>
            <w:tcBorders/>
            <w:shd w:fill="auto" w:val="clear"/>
            <w:vAlign w:val="bottom"/>
          </w:tcPr>
          <w:p>
            <w:pPr>
              <w:pStyle w:val="TableContents"/>
              <w:spacing w:before="0" w:after="283"/>
              <w:rPr/>
            </w:pPr>
            <w:r>
              <w:rPr/>
              <w:t>  </w:t>
            </w:r>
          </w:p>
        </w:tc>
        <w:tc>
          <w:tcPr>
            <w:tcW w:w="8805" w:type="dxa"/>
            <w:tcBorders/>
            <w:shd w:fill="auto" w:val="clear"/>
          </w:tcPr>
          <w:p>
            <w:pPr>
              <w:pStyle w:val="TableContents"/>
              <w:spacing w:before="0" w:after="0"/>
              <w:rPr>
                <w:rFonts w:ascii="Times New Roman" w:hAnsi="Times New Roman"/>
                <w:sz w:val="20"/>
              </w:rPr>
            </w:pPr>
            <w:r>
              <w:rPr>
                <w:rFonts w:ascii="Times New Roman" w:hAnsi="Times New Roman"/>
                <w:sz w:val="20"/>
              </w:rPr>
              <w:t>Form, Schedule or Registration Statement No.:</w:t>
            </w:r>
          </w:p>
          <w:p>
            <w:pPr>
              <w:pStyle w:val="TableContents"/>
              <w:spacing w:before="0" w:after="0"/>
              <w:rPr/>
            </w:pPr>
            <w:r>
              <w:rPr/>
              <w:t> </w:t>
            </w:r>
          </w:p>
          <w:p>
            <w:pPr>
              <w:pStyle w:val="TableContents"/>
              <w:pBdr>
                <w:bottom w:val="single" w:sz="2" w:space="1" w:color="000000"/>
              </w:pBdr>
              <w:spacing w:before="0" w:after="20"/>
              <w:rPr/>
            </w:pPr>
            <w:r>
              <w:rPr/>
              <w:t>     </w:t>
            </w:r>
          </w:p>
        </w:tc>
      </w:tr>
      <w:tr>
        <w:trPr/>
        <w:tc>
          <w:tcPr>
            <w:tcW w:w="435"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rPr>
                <w:sz w:val="20"/>
              </w:rPr>
            </w:pPr>
            <w:r>
              <w:rPr>
                <w:sz w:val="20"/>
              </w:rPr>
              <w:t>(3)</w:t>
            </w:r>
          </w:p>
        </w:tc>
        <w:tc>
          <w:tcPr>
            <w:tcW w:w="219" w:type="dxa"/>
            <w:tcBorders/>
            <w:shd w:fill="auto" w:val="clear"/>
            <w:vAlign w:val="bottom"/>
          </w:tcPr>
          <w:p>
            <w:pPr>
              <w:pStyle w:val="TableContents"/>
              <w:spacing w:before="0" w:after="283"/>
              <w:rPr/>
            </w:pPr>
            <w:r>
              <w:rPr/>
              <w:t>  </w:t>
            </w:r>
          </w:p>
        </w:tc>
        <w:tc>
          <w:tcPr>
            <w:tcW w:w="8805" w:type="dxa"/>
            <w:tcBorders/>
            <w:shd w:fill="auto" w:val="clear"/>
          </w:tcPr>
          <w:p>
            <w:pPr>
              <w:pStyle w:val="TableContents"/>
              <w:spacing w:before="0" w:after="0"/>
              <w:rPr>
                <w:rFonts w:ascii="Times New Roman" w:hAnsi="Times New Roman"/>
                <w:sz w:val="20"/>
              </w:rPr>
            </w:pPr>
            <w:r>
              <w:rPr>
                <w:rFonts w:ascii="Times New Roman" w:hAnsi="Times New Roman"/>
                <w:sz w:val="20"/>
              </w:rPr>
              <w:t>Filing Party:</w:t>
            </w:r>
          </w:p>
          <w:p>
            <w:pPr>
              <w:pStyle w:val="TableContents"/>
              <w:spacing w:before="0" w:after="0"/>
              <w:rPr/>
            </w:pPr>
            <w:r>
              <w:rPr/>
              <w:t> </w:t>
            </w:r>
          </w:p>
          <w:p>
            <w:pPr>
              <w:pStyle w:val="TableContents"/>
              <w:pBdr>
                <w:bottom w:val="single" w:sz="2" w:space="1" w:color="000000"/>
              </w:pBdr>
              <w:spacing w:before="0" w:after="20"/>
              <w:rPr/>
            </w:pPr>
            <w:r>
              <w:rPr/>
              <w:t>     </w:t>
            </w:r>
          </w:p>
        </w:tc>
      </w:tr>
      <w:tr>
        <w:trPr/>
        <w:tc>
          <w:tcPr>
            <w:tcW w:w="43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rPr>
                <w:sz w:val="20"/>
              </w:rPr>
            </w:pPr>
            <w:r>
              <w:rPr>
                <w:sz w:val="20"/>
              </w:rPr>
              <w:t>(4)</w:t>
            </w:r>
          </w:p>
        </w:tc>
        <w:tc>
          <w:tcPr>
            <w:tcW w:w="219" w:type="dxa"/>
            <w:tcBorders/>
            <w:shd w:fill="auto" w:val="clear"/>
            <w:vAlign w:val="bottom"/>
          </w:tcPr>
          <w:p>
            <w:pPr>
              <w:pStyle w:val="TableContents"/>
              <w:spacing w:before="0" w:after="283"/>
              <w:rPr/>
            </w:pPr>
            <w:r>
              <w:rPr/>
              <w:t>  </w:t>
            </w:r>
          </w:p>
        </w:tc>
        <w:tc>
          <w:tcPr>
            <w:tcW w:w="8805" w:type="dxa"/>
            <w:tcBorders/>
            <w:shd w:fill="auto" w:val="clear"/>
          </w:tcPr>
          <w:p>
            <w:pPr>
              <w:pStyle w:val="TableContents"/>
              <w:spacing w:before="0" w:after="0"/>
              <w:rPr>
                <w:rFonts w:ascii="Times New Roman" w:hAnsi="Times New Roman"/>
                <w:sz w:val="20"/>
              </w:rPr>
            </w:pPr>
            <w:r>
              <w:rPr>
                <w:rFonts w:ascii="Times New Roman" w:hAnsi="Times New Roman"/>
                <w:sz w:val="20"/>
              </w:rPr>
              <w:t>Date Filed:</w:t>
            </w:r>
          </w:p>
          <w:p>
            <w:pPr>
              <w:pStyle w:val="TableContents"/>
              <w:spacing w:before="0" w:after="0"/>
              <w:rPr/>
            </w:pPr>
            <w:r>
              <w:rPr/>
              <w:t> </w:t>
            </w:r>
          </w:p>
          <w:p>
            <w:pPr>
              <w:pStyle w:val="TableContents"/>
              <w:pBdr>
                <w:bottom w:val="single" w:sz="2" w:space="1" w:color="000000"/>
              </w:pBdr>
              <w:spacing w:before="0" w:after="20"/>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pPr>
      <w:r>
        <w:rPr/>
        <w:drawing>
          <wp:inline distT="0" distB="0" distL="0" distR="0">
            <wp:extent cx="151130" cy="457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130" cy="45720"/>
                    </a:xfrm>
                    <a:prstGeom prst="rect">
                      <a:avLst/>
                    </a:prstGeom>
                  </pic:spPr>
                </pic:pic>
              </a:graphicData>
            </a:graphic>
          </wp:inline>
        </w:drawing>
      </w:r>
      <w:r>
        <w:rPr/>
        <w:t xml:space="preserve"> </w:t>
      </w:r>
    </w:p>
    <w:p>
      <w:pPr>
        <w:pStyle w:val="TextBody"/>
        <w:spacing w:before="240" w:after="0"/>
        <w:jc w:val="left"/>
        <w:rPr>
          <w:rFonts w:ascii="Times New Roman" w:hAnsi="Times New Roman"/>
          <w:b/>
          <w:sz w:val="20"/>
        </w:rPr>
      </w:pPr>
      <w:r>
        <w:rPr>
          <w:rFonts w:ascii="Times New Roman" w:hAnsi="Times New Roman"/>
          <w:b/>
          <w:sz w:val="20"/>
        </w:rPr>
        <w:t xml:space="preserve">Sixth Street Specialty Lending, Inc. </w:t>
      </w:r>
    </w:p>
    <w:p>
      <w:pPr>
        <w:pStyle w:val="TextBody"/>
        <w:spacing w:before="0" w:after="0"/>
        <w:jc w:val="left"/>
        <w:rPr>
          <w:rFonts w:ascii="Times New Roman" w:hAnsi="Times New Roman"/>
          <w:sz w:val="20"/>
        </w:rPr>
      </w:pPr>
      <w:r>
        <w:rPr>
          <w:rFonts w:ascii="Times New Roman" w:hAnsi="Times New Roman"/>
          <w:sz w:val="20"/>
        </w:rPr>
        <w:t xml:space="preserve">2100 McKinney Avenue, Suite 1500 </w:t>
      </w:r>
    </w:p>
    <w:p>
      <w:pPr>
        <w:pStyle w:val="TextBody"/>
        <w:spacing w:before="0" w:after="0"/>
        <w:jc w:val="left"/>
        <w:rPr>
          <w:rFonts w:ascii="Times New Roman" w:hAnsi="Times New Roman"/>
          <w:sz w:val="20"/>
        </w:rPr>
      </w:pPr>
      <w:r>
        <w:rPr>
          <w:rFonts w:ascii="Times New Roman" w:hAnsi="Times New Roman"/>
          <w:sz w:val="20"/>
        </w:rPr>
        <w:t xml:space="preserve">Dallas, TX 75201 </w:t>
      </w:r>
    </w:p>
    <w:p>
      <w:pPr>
        <w:pStyle w:val="TextBody"/>
        <w:spacing w:before="240" w:after="0"/>
        <w:jc w:val="left"/>
        <w:rPr/>
      </w:pPr>
      <w:r>
        <w:rPr/>
        <w:t>            </w:t>
      </w:r>
      <w:r>
        <w:rPr>
          <w:rFonts w:ascii="Times New Roman" w:hAnsi="Times New Roman"/>
          <w:sz w:val="20"/>
        </w:rPr>
        <w:t xml:space="preserve">, 2021 </w:t>
      </w:r>
    </w:p>
    <w:p>
      <w:pPr>
        <w:pStyle w:val="TextBody"/>
        <w:spacing w:before="240" w:after="0"/>
        <w:jc w:val="left"/>
        <w:rPr>
          <w:rFonts w:ascii="Times New Roman" w:hAnsi="Times New Roman"/>
          <w:sz w:val="20"/>
        </w:rPr>
      </w:pPr>
      <w:r>
        <w:rPr>
          <w:rFonts w:ascii="Times New Roman" w:hAnsi="Times New Roman"/>
          <w:sz w:val="20"/>
        </w:rPr>
        <w:t xml:space="preserve">To Our Stockholders: </w:t>
      </w:r>
    </w:p>
    <w:p>
      <w:pPr>
        <w:pStyle w:val="TextBody"/>
        <w:spacing w:before="240" w:after="0"/>
        <w:jc w:val="left"/>
        <w:rPr>
          <w:rFonts w:ascii="Times New Roman" w:hAnsi="Times New Roman"/>
          <w:sz w:val="20"/>
        </w:rPr>
      </w:pPr>
      <w:r>
        <w:rPr>
          <w:rFonts w:ascii="Times New Roman" w:hAnsi="Times New Roman"/>
          <w:sz w:val="20"/>
        </w:rPr>
        <w:t xml:space="preserve">We are pleased to invite you to attend a Special Meeting of Stockholders of Sixth Street Specialty Lending, Inc. to be held on                 , 2021, at                 , Eastern Time, on the internet via live webcast at                 . In response to continued public health concerns related to the COVID-19 pandemic, and to support the health and well-being of our shareholders and other meeting participants, the Special Meeting of Stockholders will be a completely virtual meeting, and stockholders will not be able to attend in person. </w:t>
      </w:r>
    </w:p>
    <w:p>
      <w:pPr>
        <w:pStyle w:val="TextBody"/>
        <w:spacing w:before="240" w:after="0"/>
        <w:jc w:val="left"/>
        <w:rPr>
          <w:rFonts w:ascii="Times New Roman" w:hAnsi="Times New Roman"/>
          <w:sz w:val="20"/>
        </w:rPr>
      </w:pPr>
      <w:r>
        <w:rPr>
          <w:rFonts w:ascii="Times New Roman" w:hAnsi="Times New Roman"/>
          <w:sz w:val="20"/>
        </w:rPr>
        <w:t xml:space="preserve">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 </w:t>
      </w:r>
    </w:p>
    <w:p>
      <w:pPr>
        <w:pStyle w:val="TextBody"/>
        <w:spacing w:before="240" w:after="0"/>
        <w:jc w:val="left"/>
        <w:rPr>
          <w:rFonts w:ascii="Times New Roman" w:hAnsi="Times New Roman"/>
          <w:sz w:val="20"/>
        </w:rPr>
      </w:pPr>
      <w:r>
        <w:rPr>
          <w:rFonts w:ascii="Times New Roman" w:hAnsi="Times New Roman"/>
          <w:sz w:val="20"/>
        </w:rPr>
        <w:t xml:space="preserve">Please read these materials so that you will know what we plan to do at the meeting. It is important that your shares be represented at the special meeting, regardless of whether you plan to attend the meeting virtually. Please vote your shares as soon as possible through any of the voting options available to you as described in the Notice of Internet Availability of Proxy Materials and this proxy statement. </w:t>
      </w:r>
    </w:p>
    <w:p>
      <w:pPr>
        <w:pStyle w:val="TextBody"/>
        <w:spacing w:before="240" w:after="0"/>
        <w:jc w:val="left"/>
        <w:rPr>
          <w:rFonts w:ascii="Times New Roman" w:hAnsi="Times New Roman"/>
          <w:sz w:val="20"/>
        </w:rPr>
      </w:pPr>
      <w:r>
        <w:rPr>
          <w:rFonts w:ascii="Times New Roman" w:hAnsi="Times New Roman"/>
          <w:sz w:val="20"/>
        </w:rPr>
        <w:t xml:space="preserve">You will also receive separate proxy materials for the Annual Meeting of Stockholders, which will be held virtually and on the same date stated above, but not at the same time. Please be certain to vote separately each proxy card that you receive from us. </w:t>
      </w:r>
    </w:p>
    <w:p>
      <w:pPr>
        <w:pStyle w:val="TextBody"/>
        <w:spacing w:before="240" w:after="0"/>
        <w:jc w:val="left"/>
        <w:rPr>
          <w:rFonts w:ascii="Times New Roman" w:hAnsi="Times New Roman"/>
          <w:sz w:val="20"/>
        </w:rPr>
      </w:pPr>
      <w:r>
        <w:rPr>
          <w:rFonts w:ascii="Times New Roman" w:hAnsi="Times New Roman"/>
          <w:sz w:val="20"/>
        </w:rPr>
        <w:t xml:space="preserve">On behalf of management and our Board of Directors, we thank you for your continued support of Sixth Street Specialty Lending, Inc.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Sincerely,</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Joshua Easterly</w:t>
            </w:r>
          </w:p>
        </w:tc>
      </w:tr>
      <w:tr>
        <w:trPr/>
        <w:tc>
          <w:tcPr>
            <w:tcW w:w="4082" w:type="dxa"/>
            <w:tcBorders/>
            <w:shd w:fill="auto" w:val="clear"/>
          </w:tcPr>
          <w:p>
            <w:pPr>
              <w:pStyle w:val="TableContents"/>
              <w:spacing w:before="0" w:after="283"/>
              <w:rPr>
                <w:i/>
              </w:rPr>
            </w:pPr>
            <w:r>
              <w:rPr>
                <w:i/>
              </w:rPr>
              <w:t>Chairman of the Board of Directors</w:t>
            </w:r>
          </w:p>
        </w:tc>
      </w:tr>
    </w:tbl>
    <w:p>
      <w:pPr>
        <w:pStyle w:val="TextBody"/>
        <w:spacing w:before="240" w:after="0"/>
        <w:jc w:val="left"/>
        <w:rPr/>
      </w:pPr>
      <w:r>
        <w:rPr/>
        <w:t>            </w:t>
      </w:r>
      <w:r>
        <w:rPr>
          <w:rFonts w:ascii="Times New Roman" w:hAnsi="Times New Roman"/>
          <w:sz w:val="20"/>
        </w:rPr>
        <w:t xml:space="preserve">, 2021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20" w:after="0"/>
        <w:jc w:val="left"/>
        <w:rPr>
          <w:rFonts w:ascii="Times New Roman" w:hAnsi="Times New Roman"/>
          <w:b/>
          <w:sz w:val="20"/>
        </w:rPr>
      </w:pPr>
      <w:r>
        <w:rPr>
          <w:rFonts w:ascii="Times New Roman" w:hAnsi="Times New Roman"/>
          <w:b/>
          <w:sz w:val="20"/>
        </w:rPr>
        <w:t xml:space="preserve">Important Notice Regarding the Availability of Proxy Material for the Special Meeting of Stockholders to Be Held on                 , 2021. </w:t>
      </w:r>
    </w:p>
    <w:p>
      <w:pPr>
        <w:pStyle w:val="TextBody"/>
        <w:spacing w:before="240" w:after="0"/>
        <w:jc w:val="left"/>
        <w:rPr>
          <w:rFonts w:ascii="Times New Roman" w:hAnsi="Times New Roman"/>
          <w:sz w:val="20"/>
        </w:rPr>
      </w:pPr>
      <w:r>
        <w:rPr>
          <w:rFonts w:ascii="Times New Roman" w:hAnsi="Times New Roman"/>
          <w:sz w:val="20"/>
        </w:rPr>
        <w:t xml:space="preserve">Our proxy statement is available online at                 . </w:t>
      </w:r>
    </w:p>
    <w:p>
      <w:pPr>
        <w:pStyle w:val="TextBody"/>
        <w:spacing w:before="240" w:after="0"/>
        <w:jc w:val="left"/>
        <w:rPr>
          <w:rFonts w:ascii="Times New Roman" w:hAnsi="Times New Roman"/>
          <w:sz w:val="20"/>
        </w:rPr>
      </w:pPr>
      <w:r>
        <w:rPr>
          <w:rFonts w:ascii="Times New Roman" w:hAnsi="Times New Roman"/>
          <w:sz w:val="20"/>
        </w:rPr>
        <w:t xml:space="preserve">The following information applicable to the Special Meeting of Stockholders may be found in the proxy statement and accompanying proxy card: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time and location of the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list of the matters intended to be acted on and our recommendations regarding those matters;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control/identification numbers that you need to access proxy material online and to attend and vote at the virtual meeting;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information about attending the meeting and voting virtually. </w:t>
            </w:r>
          </w:p>
        </w:tc>
      </w:tr>
    </w:tbl>
    <w:p>
      <w:pPr>
        <w:pStyle w:val="TextBody"/>
        <w:spacing w:before="240" w:after="0"/>
        <w:jc w:val="left"/>
        <w:rPr>
          <w:rFonts w:ascii="Times New Roman" w:hAnsi="Times New Roman"/>
          <w:b/>
          <w:sz w:val="20"/>
        </w:rPr>
      </w:pPr>
      <w:r>
        <w:rPr>
          <w:rFonts w:ascii="Times New Roman" w:hAnsi="Times New Roman"/>
          <w:b/>
          <w:sz w:val="20"/>
        </w:rPr>
        <w:t xml:space="preserve">Please keep any control/identification number located on your proxy card in a safe place so it is available for the meeting, as you will need to attend and vote at the virtual meeting.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drawing>
          <wp:inline distT="0" distB="0" distL="0" distR="0">
            <wp:extent cx="151130" cy="457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1130" cy="45720"/>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Sixth Street Specialty Lending, Inc. </w:t>
      </w:r>
    </w:p>
    <w:p>
      <w:pPr>
        <w:pStyle w:val="TextBody"/>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spacing w:before="0" w:after="0"/>
        <w:jc w:val="center"/>
        <w:rPr>
          <w:rFonts w:ascii="Times New Roman" w:hAnsi="Times New Roman"/>
          <w:sz w:val="20"/>
        </w:rPr>
      </w:pPr>
      <w:r>
        <w:rPr>
          <w:rFonts w:ascii="Times New Roman" w:hAnsi="Times New Roman"/>
          <w:sz w:val="20"/>
        </w:rPr>
        <w:t xml:space="preserve">Dallas, TX 75201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20"/>
        </w:rPr>
      </w:pPr>
      <w:r>
        <w:rPr>
          <w:rFonts w:ascii="Times New Roman" w:hAnsi="Times New Roman"/>
          <w:b/>
          <w:sz w:val="20"/>
        </w:rPr>
        <w:t xml:space="preserve">Notice of a Special Meeting of Stockholders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sz w:val="20"/>
        </w:rPr>
      </w:pPr>
      <w:r>
        <w:rPr>
          <w:rFonts w:ascii="Times New Roman" w:hAnsi="Times New Roman"/>
          <w:sz w:val="20"/>
        </w:rPr>
        <w:t xml:space="preserve">TO OUR STOCKHOLDERS: </w:t>
      </w:r>
    </w:p>
    <w:p>
      <w:pPr>
        <w:pStyle w:val="TextBody"/>
        <w:spacing w:before="240" w:after="0"/>
        <w:jc w:val="left"/>
        <w:rPr>
          <w:rFonts w:ascii="Times New Roman" w:hAnsi="Times New Roman"/>
          <w:sz w:val="20"/>
        </w:rPr>
      </w:pPr>
      <w:r>
        <w:rPr>
          <w:rFonts w:ascii="Times New Roman" w:hAnsi="Times New Roman"/>
          <w:sz w:val="20"/>
        </w:rPr>
        <w:t xml:space="preserve">NOTICE IS HEREBY GIVEN that a Special Meeting of Stockholders of Sixth Street Specialty Lending, Inc. will be held on the internet via live webcast at                 on                 , 2021, at                 , Eastern Time. In response to continued public health concerns related to the COVID-19 pandemic, and to support the health and well-being of our shareholders and other meeting participants, the Special Meeting of Stockholders will be a completely virtual meeting, and stockholders will not be able to attend in person. The Special Meeting of Stockholders is being held for the following purpose: </w:t>
      </w:r>
    </w:p>
    <w:p>
      <w:pPr>
        <w:pStyle w:val="TextBody"/>
        <w:spacing w:before="120" w:after="0"/>
        <w:jc w:val="left"/>
        <w:rPr>
          <w:rFonts w:ascii="Times New Roman" w:hAnsi="Times New Roman"/>
          <w:sz w:val="20"/>
        </w:rPr>
      </w:pPr>
      <w:r>
        <w:rPr>
          <w:rFonts w:ascii="Times New Roman" w:hAnsi="Times New Roman"/>
          <w:sz w:val="20"/>
        </w:rPr>
        <w:t xml:space="preserve">1. 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 </w:t>
      </w:r>
    </w:p>
    <w:p>
      <w:pPr>
        <w:pStyle w:val="TextBody"/>
        <w:spacing w:before="240" w:after="0"/>
        <w:jc w:val="left"/>
        <w:rPr>
          <w:rFonts w:ascii="Times New Roman" w:hAnsi="Times New Roman"/>
          <w:sz w:val="20"/>
        </w:rPr>
      </w:pPr>
      <w:r>
        <w:rPr>
          <w:rFonts w:ascii="Times New Roman" w:hAnsi="Times New Roman"/>
          <w:sz w:val="20"/>
        </w:rPr>
        <w:t xml:space="preserve">Only stockholders of record at the close of business on                 , 2021, are entitled to notice of and to vote at the Special Meeting of Stockholders or any postponement or adjournment thereof. </w:t>
      </w:r>
    </w:p>
    <w:p>
      <w:pPr>
        <w:pStyle w:val="TextBody"/>
        <w:spacing w:before="240" w:after="0"/>
        <w:jc w:val="left"/>
        <w:rPr>
          <w:rFonts w:ascii="Times New Roman" w:hAnsi="Times New Roman"/>
          <w:sz w:val="20"/>
        </w:rPr>
      </w:pPr>
      <w:r>
        <w:rPr>
          <w:rFonts w:ascii="Times New Roman" w:hAnsi="Times New Roman"/>
          <w:sz w:val="20"/>
        </w:rPr>
        <w:t xml:space="preserve">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 </w:t>
      </w:r>
    </w:p>
    <w:p>
      <w:pPr>
        <w:pStyle w:val="TextBody"/>
        <w:spacing w:before="240" w:after="0"/>
        <w:jc w:val="left"/>
        <w:rPr>
          <w:rFonts w:ascii="Times New Roman" w:hAnsi="Times New Roman"/>
          <w:sz w:val="20"/>
        </w:rPr>
      </w:pPr>
      <w:r>
        <w:rPr>
          <w:rFonts w:ascii="Times New Roman" w:hAnsi="Times New Roman"/>
          <w:sz w:val="20"/>
        </w:rPr>
        <w:t xml:space="preserve">Your vote is extremely important to us. Whether or not you plan to attend the Special Meeting of Stockholders virtually,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 </w:t>
      </w:r>
    </w:p>
    <w:p>
      <w:pPr>
        <w:pStyle w:val="TextBody"/>
        <w:spacing w:before="360" w:after="0"/>
        <w:jc w:val="left"/>
        <w:rPr>
          <w:rFonts w:ascii="Times New Roman" w:hAnsi="Times New Roman"/>
          <w:b/>
          <w:sz w:val="20"/>
        </w:rPr>
      </w:pPr>
      <w:r>
        <w:rPr>
          <w:rFonts w:ascii="Times New Roman" w:hAnsi="Times New Roman"/>
          <w:b/>
          <w:sz w:val="20"/>
        </w:rPr>
        <w:t xml:space="preserve">THE BOARD OF DIRECTORS, INCLUDING THE INDEPENDENT DIRECTORS, UNANIMOUSLY RECOMMENDS THAT YOU VOTE FOR THE PROPOSAL.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By Order of the Board of Directors,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Ian Simmonds</w:t>
            </w:r>
          </w:p>
        </w:tc>
      </w:tr>
      <w:tr>
        <w:trPr/>
        <w:tc>
          <w:tcPr>
            <w:tcW w:w="4082" w:type="dxa"/>
            <w:tcBorders/>
            <w:shd w:fill="auto" w:val="clear"/>
          </w:tcPr>
          <w:p>
            <w:pPr>
              <w:pStyle w:val="TableContents"/>
              <w:spacing w:before="0" w:after="283"/>
              <w:rPr>
                <w:i/>
              </w:rPr>
            </w:pPr>
            <w:r>
              <w:rPr>
                <w:i/>
              </w:rPr>
              <w:t>Chief Financial Officer, Chief Compliance Officer and Secretary</w:t>
            </w:r>
          </w:p>
        </w:tc>
      </w:tr>
    </w:tbl>
    <w:p>
      <w:pPr>
        <w:pStyle w:val="TextBody"/>
        <w:spacing w:before="360" w:after="0"/>
        <w:jc w:val="left"/>
        <w:rPr/>
      </w:pPr>
      <w:r>
        <w:rPr/>
        <w:t>            </w:t>
      </w:r>
      <w:r>
        <w:rPr>
          <w:rFonts w:ascii="Times New Roman" w:hAnsi="Times New Roman"/>
          <w:sz w:val="20"/>
        </w:rPr>
        <w:t xml:space="preserve">, 2021 </w:t>
      </w:r>
    </w:p>
    <w:p>
      <w:pPr>
        <w:pStyle w:val="TextBody"/>
        <w:spacing w:before="240" w:after="0"/>
        <w:jc w:val="left"/>
        <w:rPr>
          <w:rFonts w:ascii="Times New Roman" w:hAnsi="Times New Roman"/>
          <w:b/>
          <w:sz w:val="20"/>
        </w:rPr>
      </w:pPr>
      <w:r>
        <w:rPr>
          <w:rFonts w:ascii="Times New Roman" w:hAnsi="Times New Roman"/>
          <w:b/>
          <w:sz w:val="20"/>
          <w:u w:val="single"/>
        </w:rPr>
        <w:t>YOUR VOTE IS IMPORTANT</w:t>
      </w:r>
      <w:r>
        <w:rPr>
          <w:rFonts w:ascii="Times New Roman" w:hAnsi="Times New Roman"/>
          <w:b/>
          <w:sz w:val="20"/>
        </w:rPr>
        <w:t xml:space="preserve">! WE HOPE YOU WILL VOTE OVER THE INTERNET, BY PHONE OR BY MARKING, SIGNING AND RETURNING YOUR PROXY AS SOON AS POSSIBLE, WHETHER OR NOT YOU PLAN TO ATTEND THE MEETING. EVEN IF YOU VOTE YOUR SHARES PRIOR TO THE MEETING, YOU STILL MAY ATTEND THE MEETING AND VOTE YOUR SHARES VIRTUALLY.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60"/>
        <w:gridCol w:w="359"/>
        <w:gridCol w:w="96"/>
        <w:gridCol w:w="427"/>
        <w:gridCol w:w="63"/>
      </w:tblGrid>
      <w:tr>
        <w:trPr/>
        <w:tc>
          <w:tcPr>
            <w:tcW w:w="9260"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260"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52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9260" w:type="dxa"/>
            <w:tcBorders/>
            <w:shd w:fill="CCEEFF" w:val="clear"/>
          </w:tcPr>
          <w:p>
            <w:pPr>
              <w:pStyle w:val="TableContents"/>
              <w:spacing w:before="0" w:after="0"/>
              <w:rPr/>
            </w:pPr>
            <w:hyperlink w:anchor="toc141711_1">
              <w:r>
                <w:rPr>
                  <w:rStyle w:val="InternetLink"/>
                  <w:rFonts w:ascii="Times New Roman" w:hAnsi="Times New Roman"/>
                  <w:sz w:val="20"/>
                </w:rPr>
                <w:t>Proxy Statement for a Special Meeting of Stockholders</w:t>
              </w:r>
            </w:hyperlink>
          </w:p>
        </w:tc>
        <w:tc>
          <w:tcPr>
            <w:tcW w:w="359"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jc w:val="right"/>
              <w:rPr/>
            </w:pPr>
            <w:r>
              <w:rPr/>
              <w:t>1</w:t>
            </w:r>
          </w:p>
        </w:tc>
        <w:tc>
          <w:tcPr>
            <w:tcW w:w="63" w:type="dxa"/>
            <w:tcBorders/>
            <w:shd w:fill="CCEEFF" w:val="clear"/>
            <w:vAlign w:val="bottom"/>
          </w:tcPr>
          <w:p>
            <w:pPr>
              <w:pStyle w:val="TableContents"/>
              <w:spacing w:before="0" w:after="283"/>
              <w:rPr/>
            </w:pPr>
            <w:r>
              <w:rPr/>
              <w:t> </w:t>
            </w:r>
          </w:p>
        </w:tc>
      </w:tr>
      <w:tr>
        <w:trPr/>
        <w:tc>
          <w:tcPr>
            <w:tcW w:w="9260" w:type="dxa"/>
            <w:tcBorders/>
            <w:shd w:fill="auto" w:val="clear"/>
          </w:tcPr>
          <w:p>
            <w:pPr>
              <w:pStyle w:val="TableContents"/>
              <w:spacing w:before="0" w:after="0"/>
              <w:rPr/>
            </w:pPr>
            <w:hyperlink w:anchor="toc141711_2">
              <w:r>
                <w:rPr>
                  <w:rStyle w:val="InternetLink"/>
                  <w:rFonts w:ascii="Times New Roman" w:hAnsi="Times New Roman"/>
                  <w:sz w:val="20"/>
                </w:rPr>
                <w:t>Security Ownership of Certain Beneficial Owners and Management</w:t>
              </w:r>
            </w:hyperlink>
          </w:p>
        </w:tc>
        <w:tc>
          <w:tcPr>
            <w:tcW w:w="35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260" w:type="dxa"/>
            <w:tcBorders/>
            <w:shd w:fill="CCEEFF" w:val="clear"/>
          </w:tcPr>
          <w:p>
            <w:pPr>
              <w:pStyle w:val="TableContents"/>
              <w:spacing w:before="0" w:after="0"/>
              <w:rPr/>
            </w:pPr>
            <w:hyperlink w:anchor="toc141711_3">
              <w:r>
                <w:rPr>
                  <w:rStyle w:val="InternetLink"/>
                  <w:rFonts w:ascii="Times New Roman" w:hAnsi="Times New Roman"/>
                  <w:sz w:val="20"/>
                </w:rPr>
                <w:t>Proposal No. 1Authorization of the Company to Sell or Otherwise Issue Shares of its Common Stock at a Price Below its Then-Current Net Asset Value Per Share in One or More Offerings, in Each Case Subject to the Approval of its Board of Directors and Subject to the Conditions Set Forth in this Proposal</w:t>
              </w:r>
            </w:hyperlink>
          </w:p>
        </w:tc>
        <w:tc>
          <w:tcPr>
            <w:tcW w:w="359"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jc w:val="right"/>
              <w:rPr/>
            </w:pPr>
            <w:r>
              <w:rPr/>
              <w:t>7</w:t>
            </w:r>
          </w:p>
        </w:tc>
        <w:tc>
          <w:tcPr>
            <w:tcW w:w="63" w:type="dxa"/>
            <w:tcBorders/>
            <w:shd w:fill="CCEEFF" w:val="clear"/>
            <w:vAlign w:val="bottom"/>
          </w:tcPr>
          <w:p>
            <w:pPr>
              <w:pStyle w:val="TableContents"/>
              <w:spacing w:before="0" w:after="283"/>
              <w:rPr/>
            </w:pPr>
            <w:r>
              <w:rPr/>
              <w:t> </w:t>
            </w:r>
          </w:p>
        </w:tc>
      </w:tr>
      <w:tr>
        <w:trPr/>
        <w:tc>
          <w:tcPr>
            <w:tcW w:w="9260" w:type="dxa"/>
            <w:tcBorders/>
            <w:shd w:fill="auto" w:val="clear"/>
          </w:tcPr>
          <w:p>
            <w:pPr>
              <w:pStyle w:val="TableContents"/>
              <w:spacing w:before="0" w:after="0"/>
              <w:rPr/>
            </w:pPr>
            <w:hyperlink w:anchor="toc141711_4">
              <w:r>
                <w:rPr>
                  <w:rStyle w:val="InternetLink"/>
                  <w:rFonts w:ascii="Times New Roman" w:hAnsi="Times New Roman"/>
                  <w:sz w:val="20"/>
                </w:rPr>
                <w:t>Other Business</w:t>
              </w:r>
            </w:hyperlink>
          </w:p>
        </w:tc>
        <w:tc>
          <w:tcPr>
            <w:tcW w:w="35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260" w:type="dxa"/>
            <w:tcBorders/>
            <w:shd w:fill="CCEEFF" w:val="clear"/>
          </w:tcPr>
          <w:p>
            <w:pPr>
              <w:pStyle w:val="TableContents"/>
              <w:spacing w:before="0" w:after="0"/>
              <w:rPr/>
            </w:pPr>
            <w:hyperlink w:anchor="toc141711_5">
              <w:r>
                <w:rPr>
                  <w:rStyle w:val="InternetLink"/>
                  <w:rFonts w:ascii="Times New Roman" w:hAnsi="Times New Roman"/>
                  <w:sz w:val="20"/>
                </w:rPr>
                <w:t xml:space="preserve">Stockholder Proposals and Nominations for the 2022 Annual Meeting of Stockholders </w:t>
              </w:r>
            </w:hyperlink>
          </w:p>
        </w:tc>
        <w:tc>
          <w:tcPr>
            <w:tcW w:w="359"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jc w:val="right"/>
              <w:rPr/>
            </w:pPr>
            <w:r>
              <w:rPr/>
              <w:t>17</w:t>
            </w:r>
          </w:p>
        </w:tc>
        <w:tc>
          <w:tcPr>
            <w:tcW w:w="63" w:type="dxa"/>
            <w:tcBorders/>
            <w:shd w:fill="CCEEFF" w:val="clear"/>
            <w:vAlign w:val="bottom"/>
          </w:tcPr>
          <w:p>
            <w:pPr>
              <w:pStyle w:val="TableContents"/>
              <w:spacing w:before="0" w:after="283"/>
              <w:rPr/>
            </w:pPr>
            <w:r>
              <w:rPr/>
              <w:t> </w:t>
            </w:r>
          </w:p>
        </w:tc>
      </w:tr>
      <w:tr>
        <w:trPr/>
        <w:tc>
          <w:tcPr>
            <w:tcW w:w="9260" w:type="dxa"/>
            <w:tcBorders/>
            <w:shd w:fill="auto" w:val="clear"/>
          </w:tcPr>
          <w:p>
            <w:pPr>
              <w:pStyle w:val="TableContents"/>
              <w:spacing w:before="0" w:after="0"/>
              <w:rPr/>
            </w:pPr>
            <w:hyperlink w:anchor="toc141711_6">
              <w:r>
                <w:rPr>
                  <w:rStyle w:val="InternetLink"/>
                  <w:rFonts w:ascii="Times New Roman" w:hAnsi="Times New Roman"/>
                  <w:sz w:val="20"/>
                </w:rPr>
                <w:t>Annual Report</w:t>
              </w:r>
            </w:hyperlink>
          </w:p>
        </w:tc>
        <w:tc>
          <w:tcPr>
            <w:tcW w:w="35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260" w:type="dxa"/>
            <w:tcBorders/>
            <w:shd w:fill="CCEEFF" w:val="clear"/>
          </w:tcPr>
          <w:p>
            <w:pPr>
              <w:pStyle w:val="TableContents"/>
              <w:spacing w:before="0" w:after="0"/>
              <w:rPr/>
            </w:pPr>
            <w:hyperlink w:anchor="toc141711_7">
              <w:r>
                <w:rPr>
                  <w:rStyle w:val="InternetLink"/>
                  <w:rFonts w:ascii="Times New Roman" w:hAnsi="Times New Roman"/>
                  <w:sz w:val="20"/>
                </w:rPr>
                <w:t>Householding of Proxy Materials</w:t>
              </w:r>
            </w:hyperlink>
          </w:p>
        </w:tc>
        <w:tc>
          <w:tcPr>
            <w:tcW w:w="359"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jc w:val="right"/>
              <w:rPr/>
            </w:pPr>
            <w:r>
              <w:rPr/>
              <w:t>18</w:t>
            </w:r>
          </w:p>
        </w:tc>
        <w:tc>
          <w:tcPr>
            <w:tcW w:w="63" w:type="dxa"/>
            <w:tcBorders/>
            <w:shd w:fill="CCEEFF" w:val="clear"/>
            <w:vAlign w:val="bottom"/>
          </w:tcPr>
          <w:p>
            <w:pPr>
              <w:pStyle w:val="TableContents"/>
              <w:spacing w:before="0" w:after="283"/>
              <w:rPr/>
            </w:pPr>
            <w:r>
              <w:rPr/>
              <w:t> </w:t>
            </w:r>
          </w:p>
        </w:tc>
      </w:tr>
      <w:tr>
        <w:trPr/>
        <w:tc>
          <w:tcPr>
            <w:tcW w:w="9260" w:type="dxa"/>
            <w:tcBorders/>
            <w:shd w:fill="auto" w:val="clear"/>
          </w:tcPr>
          <w:p>
            <w:pPr>
              <w:pStyle w:val="TableContents"/>
              <w:spacing w:before="0" w:after="0"/>
              <w:rPr/>
            </w:pPr>
            <w:hyperlink w:anchor="toc141711_8">
              <w:r>
                <w:rPr>
                  <w:rStyle w:val="InternetLink"/>
                  <w:rFonts w:ascii="Times New Roman" w:hAnsi="Times New Roman"/>
                  <w:sz w:val="20"/>
                </w:rPr>
                <w:t>Privacy Principles</w:t>
              </w:r>
            </w:hyperlink>
          </w:p>
        </w:tc>
        <w:tc>
          <w:tcPr>
            <w:tcW w:w="35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jc w:val="right"/>
              <w:rPr/>
            </w:pPr>
            <w:r>
              <w:rPr/>
              <w:t>19</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pPr>
      <w:r>
        <w:rPr/>
        <w:drawing>
          <wp:inline distT="0" distB="0" distL="0" distR="0">
            <wp:extent cx="151130" cy="457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1130" cy="45720"/>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bookmarkStart w:id="3" w:name="toc141711_1"/>
      <w:bookmarkEnd w:id="3"/>
      <w:r>
        <w:rPr>
          <w:rFonts w:ascii="Times New Roman" w:hAnsi="Times New Roman"/>
          <w:b/>
          <w:sz w:val="20"/>
        </w:rPr>
        <w:t xml:space="preserve">Sixth Street Specialty Lending, Inc. </w:t>
      </w:r>
    </w:p>
    <w:p>
      <w:pPr>
        <w:pStyle w:val="TextBody"/>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spacing w:before="0" w:after="0"/>
        <w:jc w:val="center"/>
        <w:rPr>
          <w:rFonts w:ascii="Times New Roman" w:hAnsi="Times New Roman"/>
          <w:sz w:val="20"/>
        </w:rPr>
      </w:pPr>
      <w:r>
        <w:rPr>
          <w:rFonts w:ascii="Times New Roman" w:hAnsi="Times New Roman"/>
          <w:sz w:val="20"/>
        </w:rPr>
        <w:t xml:space="preserve">Dallas, TX 75201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20"/>
        </w:rPr>
      </w:pPr>
      <w:r>
        <w:rPr>
          <w:rFonts w:ascii="Times New Roman" w:hAnsi="Times New Roman"/>
          <w:b/>
          <w:sz w:val="20"/>
        </w:rPr>
        <w:t xml:space="preserve">PROXY STATEMENT </w:t>
      </w:r>
    </w:p>
    <w:p>
      <w:pPr>
        <w:pStyle w:val="TextBody"/>
        <w:spacing w:before="0" w:after="0"/>
        <w:jc w:val="center"/>
        <w:rPr>
          <w:rFonts w:ascii="Times New Roman" w:hAnsi="Times New Roman"/>
          <w:b/>
          <w:sz w:val="20"/>
        </w:rPr>
      </w:pPr>
      <w:r>
        <w:rPr>
          <w:rFonts w:ascii="Times New Roman" w:hAnsi="Times New Roman"/>
          <w:b/>
          <w:sz w:val="20"/>
        </w:rPr>
        <w:t xml:space="preserve">FOR A </w:t>
      </w:r>
    </w:p>
    <w:p>
      <w:pPr>
        <w:pStyle w:val="TextBody"/>
        <w:spacing w:before="0" w:after="0"/>
        <w:jc w:val="center"/>
        <w:rPr>
          <w:rFonts w:ascii="Times New Roman" w:hAnsi="Times New Roman"/>
          <w:b/>
          <w:sz w:val="20"/>
        </w:rPr>
      </w:pPr>
      <w:r>
        <w:rPr>
          <w:rFonts w:ascii="Times New Roman" w:hAnsi="Times New Roman"/>
          <w:b/>
          <w:sz w:val="20"/>
        </w:rPr>
        <w:t xml:space="preserve">SPECIAL MEETING OF STOCKHOLDERS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sz w:val="20"/>
        </w:rPr>
      </w:pPr>
      <w:r>
        <w:rPr>
          <w:rFonts w:ascii="Times New Roman" w:hAnsi="Times New Roman"/>
          <w:sz w:val="20"/>
        </w:rPr>
        <w:t xml:space="preserve">The accompanying proxy is solicited on behalf of the Board of Directors (the Board) of Sixth Street Specialty Lending, Inc., which is sometimes referred to in this proxy statement as TSLX, we, us, our, or the Company, for use at a Special Meeting of Stockholders (the Meeting or Special Meeting) to be held on the internet via live webcast at                  on                 , 2021, at                 , Eastern Time. In response to continued public health concerns related to the COVID-19 pandemic, and to support the health and well-being of our shareholders and other meeting participants, the Special Meeting of Stockholders will be a completely virtual meeting, and stockholders will not be able to attend in person. Only holders of record of our common stock at the close of business on                 , 2021, which is the record date, will be entitled to vote at the Meeting. At the close of business on the record date, we had                shares of common stock outstanding and entitled to vote. </w:t>
      </w:r>
    </w:p>
    <w:p>
      <w:pPr>
        <w:pStyle w:val="TextBody"/>
        <w:spacing w:before="240" w:after="0"/>
        <w:jc w:val="left"/>
        <w:rPr>
          <w:rFonts w:ascii="Times New Roman" w:hAnsi="Times New Roman"/>
          <w:sz w:val="20"/>
        </w:rPr>
      </w:pPr>
      <w:r>
        <w:rPr>
          <w:rFonts w:ascii="Times New Roman" w:hAnsi="Times New Roman"/>
          <w:sz w:val="20"/>
        </w:rPr>
        <w:t xml:space="preserve">It is anticipated that the Notice of Internet Availability of Proxy Materials will first be sent to Stockholders on or about                 , 2021. This proxy statement, including the accompanying form of proxy (collectively, the Proxy Statement), will first be made available to stockholders on or about                 , 2021. The Proxy Statement can be accessed online at                 . </w:t>
      </w:r>
    </w:p>
    <w:p>
      <w:pPr>
        <w:pStyle w:val="TextBody"/>
        <w:spacing w:before="240" w:after="0"/>
        <w:jc w:val="left"/>
        <w:rPr>
          <w:rFonts w:ascii="Times New Roman" w:hAnsi="Times New Roman"/>
          <w:sz w:val="20"/>
        </w:rPr>
      </w:pPr>
      <w:r>
        <w:rPr>
          <w:rFonts w:ascii="Times New Roman" w:hAnsi="Times New Roman"/>
          <w:sz w:val="20"/>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Times New Roman" w:hAnsi="Times New Roman"/>
          <w:b/>
          <w:sz w:val="20"/>
        </w:rPr>
        <w:t xml:space="preserve">FOR </w:t>
      </w:r>
      <w:r>
        <w:rPr>
          <w:rFonts w:ascii="Times New Roman" w:hAnsi="Times New Roman"/>
          <w:sz w:val="20"/>
        </w:rPr>
        <w:t xml:space="preserve">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 </w:t>
      </w:r>
    </w:p>
    <w:p>
      <w:pPr>
        <w:pStyle w:val="TextBody"/>
        <w:spacing w:before="360" w:after="0"/>
        <w:jc w:val="left"/>
        <w:rPr>
          <w:rFonts w:ascii="Times New Roman" w:hAnsi="Times New Roman"/>
          <w:b/>
          <w:sz w:val="20"/>
        </w:rPr>
      </w:pPr>
      <w:r>
        <w:rPr>
          <w:rFonts w:ascii="Times New Roman" w:hAnsi="Times New Roman"/>
          <w:b/>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 </w:t>
      </w:r>
    </w:p>
    <w:p>
      <w:pPr>
        <w:pStyle w:val="TextBody"/>
        <w:spacing w:before="240" w:after="0"/>
        <w:jc w:val="left"/>
        <w:rPr>
          <w:rFonts w:ascii="Times New Roman" w:hAnsi="Times New Roman"/>
          <w:sz w:val="20"/>
        </w:rPr>
      </w:pPr>
      <w:r>
        <w:rPr>
          <w:rFonts w:ascii="Times New Roman" w:hAnsi="Times New Roman"/>
          <w:sz w:val="20"/>
        </w:rPr>
        <w:t xml:space="preserve">The Special Meeting of Stockholders is being held for the following purpose: </w:t>
      </w:r>
    </w:p>
    <w:p>
      <w:pPr>
        <w:pStyle w:val="TextBody"/>
        <w:spacing w:before="240" w:after="0"/>
        <w:jc w:val="left"/>
        <w:rPr>
          <w:rFonts w:ascii="Times New Roman" w:hAnsi="Times New Roman"/>
          <w:sz w:val="20"/>
        </w:rPr>
      </w:pPr>
      <w:r>
        <w:rPr>
          <w:rFonts w:ascii="Times New Roman" w:hAnsi="Times New Roman"/>
          <w:sz w:val="20"/>
        </w:rPr>
        <w:t xml:space="preserve">1. 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Quorum, Effect of Abstentions and Broker Non-Votes, Vote Required to Approve the Proposal </w:t>
      </w:r>
    </w:p>
    <w:p>
      <w:pPr>
        <w:pStyle w:val="TextBody"/>
        <w:spacing w:before="120" w:after="0"/>
        <w:jc w:val="left"/>
        <w:rPr>
          <w:rFonts w:ascii="Times New Roman" w:hAnsi="Times New Roman"/>
          <w:sz w:val="20"/>
        </w:rPr>
      </w:pPr>
      <w:r>
        <w:rPr>
          <w:rFonts w:ascii="Times New Roman" w:hAnsi="Times New Roman"/>
          <w:sz w:val="20"/>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Times New Roman" w:hAnsi="Times New Roman"/>
          <w:b/>
          <w:sz w:val="20"/>
        </w:rPr>
        <w:t>For this reason, it is imperative that stockholders vote or provide instructions to their broker as to how to vote.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any broker non-votes at the Meeting because there are no routine proposals to be voted on at the Meeting. </w:t>
      </w:r>
    </w:p>
    <w:p>
      <w:pPr>
        <w:pStyle w:val="TextBody"/>
        <w:spacing w:before="360" w:after="0"/>
        <w:jc w:val="left"/>
        <w:rPr>
          <w:rFonts w:ascii="Times New Roman" w:hAnsi="Times New Roman"/>
          <w:b/>
          <w:sz w:val="20"/>
        </w:rPr>
      </w:pPr>
      <w:r>
        <w:rPr>
          <w:rFonts w:ascii="Times New Roman" w:hAnsi="Times New Roman"/>
          <w:b/>
          <w:sz w:val="20"/>
        </w:rPr>
        <w:t xml:space="preserve">Adjournment of Meeting </w:t>
      </w:r>
    </w:p>
    <w:p>
      <w:pPr>
        <w:pStyle w:val="TextBody"/>
        <w:spacing w:before="120" w:after="0"/>
        <w:jc w:val="left"/>
        <w:rPr>
          <w:rFonts w:ascii="Times New Roman" w:hAnsi="Times New Roman"/>
          <w:sz w:val="20"/>
        </w:rPr>
      </w:pPr>
      <w:r>
        <w:rPr>
          <w:rFonts w:ascii="Times New Roman" w:hAnsi="Times New Roman"/>
          <w:sz w:val="20"/>
        </w:rPr>
        <w:t xml:space="preserve">In the event that a quorum shall fail to attend the Meeting, either virtually or represented by proxy, the stockholders entitled to vote at the Meeting (present virtually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virtually or represented by proxy at the Meeting. In addition, pursuant to the bylaws of the Company, if there are not sufficient votes for a quorum or to approve or ratify the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 </w:t>
      </w:r>
    </w:p>
    <w:p>
      <w:pPr>
        <w:pStyle w:val="TextBody"/>
        <w:spacing w:before="240" w:after="0"/>
        <w:jc w:val="left"/>
        <w:rPr>
          <w:rFonts w:ascii="Times New Roman" w:hAnsi="Times New Roman"/>
          <w:sz w:val="20"/>
        </w:rPr>
      </w:pPr>
      <w:r>
        <w:rPr>
          <w:rFonts w:ascii="Times New Roman" w:hAnsi="Times New Roman"/>
          <w:sz w:val="20"/>
        </w:rPr>
        <w:t xml:space="preserve">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w:t>
      </w:r>
    </w:p>
    <w:p>
      <w:pPr>
        <w:pStyle w:val="TextBody"/>
        <w:spacing w:before="360" w:after="0"/>
        <w:jc w:val="left"/>
        <w:rPr>
          <w:rFonts w:ascii="Times New Roman" w:hAnsi="Times New Roman"/>
          <w:b/>
          <w:sz w:val="20"/>
        </w:rPr>
      </w:pPr>
      <w:r>
        <w:rPr>
          <w:rFonts w:ascii="Times New Roman" w:hAnsi="Times New Roman"/>
          <w:b/>
          <w:sz w:val="20"/>
        </w:rPr>
        <w:t xml:space="preserve">Proxies for the Meeting </w:t>
      </w:r>
    </w:p>
    <w:p>
      <w:pPr>
        <w:pStyle w:val="TextBody"/>
        <w:spacing w:before="120" w:after="0"/>
        <w:jc w:val="left"/>
        <w:rPr>
          <w:rFonts w:ascii="Times New Roman" w:hAnsi="Times New Roman"/>
          <w:sz w:val="20"/>
        </w:rPr>
      </w:pPr>
      <w:r>
        <w:rPr>
          <w:rFonts w:ascii="Times New Roman" w:hAnsi="Times New Roman"/>
          <w:sz w:val="20"/>
        </w:rPr>
        <w:t xml:space="preserve">The named proxies for the Meeting are Ian Simmonds and Jennifer Gordon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Other Information Regarding This Proxy </w:t>
      </w:r>
    </w:p>
    <w:p>
      <w:pPr>
        <w:pStyle w:val="TextBody"/>
        <w:spacing w:before="120" w:after="0"/>
        <w:jc w:val="left"/>
        <w:rPr>
          <w:rFonts w:ascii="Times New Roman" w:hAnsi="Times New Roman"/>
          <w:sz w:val="20"/>
        </w:rPr>
      </w:pPr>
      <w:r>
        <w:rPr>
          <w:rFonts w:ascii="Times New Roman" w:hAnsi="Times New Roman"/>
          <w:sz w:val="20"/>
        </w:rPr>
        <w:t xml:space="preserve">The Company will pay the expenses of soliciting proxies to be voted at the Meeting. The Company has retained                  to assist with the distribution and collection of proxies for a fee of approximately $                , plus reimbursement of expenses. </w:t>
      </w:r>
    </w:p>
    <w:p>
      <w:pPr>
        <w:pStyle w:val="TextBody"/>
        <w:spacing w:before="240" w:after="0"/>
        <w:jc w:val="left"/>
        <w:rPr>
          <w:rFonts w:ascii="Times New Roman" w:hAnsi="Times New Roman"/>
          <w:sz w:val="20"/>
        </w:rPr>
      </w:pPr>
      <w:r>
        <w:rPr>
          <w:rFonts w:ascii="Times New Roman" w:hAnsi="Times New Roman"/>
          <w:sz w:val="20"/>
        </w:rPr>
        <w:t xml:space="preserve">In addition to the solicitation of proxies by the use of the internet, proxies may be solicited in person and/or by telephone, mail or facsimile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 </w:t>
      </w:r>
    </w:p>
    <w:p>
      <w:pPr>
        <w:pStyle w:val="TextBody"/>
        <w:spacing w:before="240" w:after="0"/>
        <w:jc w:val="left"/>
        <w:rPr>
          <w:rFonts w:ascii="Times New Roman" w:hAnsi="Times New Roman"/>
          <w:sz w:val="20"/>
        </w:rPr>
      </w:pPr>
      <w:r>
        <w:rPr>
          <w:rFonts w:ascii="Times New Roman" w:hAnsi="Times New Roman"/>
          <w:sz w:val="20"/>
        </w:rPr>
        <w:t xml:space="preserve">The Company has engaged the services of                 to assist in the solicitation of proxies. The Company has estimated that it will pay approximately $                , plus reimbursement of certain expenses and fees for additional services requested. Please note that                  may solicit 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 </w:t>
      </w:r>
    </w:p>
    <w:p>
      <w:pPr>
        <w:pStyle w:val="TextBody"/>
        <w:spacing w:before="360" w:after="0"/>
        <w:jc w:val="left"/>
        <w:rPr>
          <w:rFonts w:ascii="Times New Roman" w:hAnsi="Times New Roman"/>
          <w:b/>
          <w:sz w:val="20"/>
        </w:rPr>
      </w:pPr>
      <w:r>
        <w:rPr>
          <w:rFonts w:ascii="Times New Roman" w:hAnsi="Times New Roman"/>
          <w:b/>
          <w:sz w:val="20"/>
        </w:rPr>
        <w:t xml:space="preserve">Revocability of Proxies </w:t>
      </w:r>
    </w:p>
    <w:p>
      <w:pPr>
        <w:pStyle w:val="TextBody"/>
        <w:spacing w:before="120" w:after="0"/>
        <w:jc w:val="left"/>
        <w:rPr>
          <w:rFonts w:ascii="Times New Roman" w:hAnsi="Times New Roman"/>
          <w:sz w:val="20"/>
        </w:rPr>
      </w:pPr>
      <w:r>
        <w:rPr>
          <w:rFonts w:ascii="Times New Roman" w:hAnsi="Times New Roman"/>
          <w:sz w:val="20"/>
        </w:rPr>
        <w:t xml:space="preserve">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virtually. However, the mere presence of the stockholder at the Meeting does not revoke the proxy. </w:t>
      </w:r>
    </w:p>
    <w:p>
      <w:pPr>
        <w:pStyle w:val="TextBody"/>
        <w:spacing w:before="240" w:after="0"/>
        <w:jc w:val="left"/>
        <w:rPr>
          <w:rFonts w:ascii="Times New Roman" w:hAnsi="Times New Roman"/>
          <w:sz w:val="20"/>
        </w:rPr>
      </w:pPr>
      <w:r>
        <w:rPr>
          <w:rFonts w:ascii="Times New Roman" w:hAnsi="Times New Roman"/>
          <w:sz w:val="20"/>
        </w:rPr>
        <w:t xml:space="preserve">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 </w:t>
      </w:r>
    </w:p>
    <w:p>
      <w:pPr>
        <w:pStyle w:val="TextBody"/>
        <w:spacing w:before="360" w:after="0"/>
        <w:jc w:val="left"/>
        <w:rPr>
          <w:rFonts w:ascii="Times New Roman" w:hAnsi="Times New Roman"/>
          <w:b/>
          <w:sz w:val="20"/>
        </w:rPr>
      </w:pPr>
      <w:r>
        <w:rPr>
          <w:rFonts w:ascii="Times New Roman" w:hAnsi="Times New Roman"/>
          <w:b/>
          <w:sz w:val="20"/>
        </w:rPr>
        <w:t xml:space="preserve">Contact Information for Proxy Solicitation </w:t>
      </w:r>
    </w:p>
    <w:p>
      <w:pPr>
        <w:pStyle w:val="TextBody"/>
        <w:spacing w:before="120" w:after="0"/>
        <w:jc w:val="left"/>
        <w:rPr>
          <w:rFonts w:ascii="Times New Roman" w:hAnsi="Times New Roman"/>
          <w:sz w:val="20"/>
        </w:rPr>
      </w:pPr>
      <w:r>
        <w:rPr>
          <w:rFonts w:ascii="Times New Roman" w:hAnsi="Times New Roman"/>
          <w:sz w:val="20"/>
        </w:rPr>
        <w:t xml:space="preserve">You can contact us by mail sent to the attention of the Secretary of the Company, Ian Simmonds, Sixth Street Specialty Lending, Inc., 888 7th Avenue, 35th Floor, New York, NY 10106, or by email at ISimmonds@sixthstreet.com. You can call us by dialing (212) 601-4753. You can access our proxy materials online at                 . </w:t>
      </w:r>
    </w:p>
    <w:p>
      <w:pPr>
        <w:pStyle w:val="TextBody"/>
        <w:spacing w:before="360" w:after="0"/>
        <w:jc w:val="left"/>
        <w:rPr>
          <w:rFonts w:ascii="Times New Roman" w:hAnsi="Times New Roman"/>
          <w:b/>
          <w:sz w:val="20"/>
        </w:rPr>
      </w:pPr>
      <w:r>
        <w:rPr>
          <w:rFonts w:ascii="Times New Roman" w:hAnsi="Times New Roman"/>
          <w:b/>
          <w:sz w:val="20"/>
        </w:rPr>
        <w:t xml:space="preserve">Attendance and Participation </w:t>
      </w:r>
    </w:p>
    <w:p>
      <w:pPr>
        <w:pStyle w:val="TextBody"/>
        <w:spacing w:before="120" w:after="0"/>
        <w:jc w:val="left"/>
        <w:rPr>
          <w:rFonts w:ascii="Times New Roman" w:hAnsi="Times New Roman"/>
          <w:sz w:val="20"/>
        </w:rPr>
      </w:pPr>
      <w:r>
        <w:rPr>
          <w:rFonts w:ascii="Times New Roman" w:hAnsi="Times New Roman"/>
          <w:sz w:val="20"/>
        </w:rPr>
        <w:t xml:space="preserve">The Companys Meeting will be conducted virtually on the internet via live webcast at                 . Stockholders will not be able to attend the Meeting in person. Stockholders as of the close of business on                 , the record date, are entitled to participate in and vote at the Meeting by logging into the webcast. If you have a question pertaining to the business of the Meeting, please submit it in accordance with the procedures described below. </w:t>
      </w:r>
    </w:p>
    <w:p>
      <w:pPr>
        <w:pStyle w:val="TextBody"/>
        <w:spacing w:before="240" w:after="0"/>
        <w:jc w:val="left"/>
        <w:rPr>
          <w:rFonts w:ascii="Times New Roman" w:hAnsi="Times New Roman"/>
          <w:sz w:val="20"/>
        </w:rPr>
      </w:pPr>
      <w:r>
        <w:rPr>
          <w:rFonts w:ascii="Times New Roman" w:hAnsi="Times New Roman"/>
          <w:sz w:val="20"/>
        </w:rPr>
        <w:t xml:space="preserve">To participate in the virtual Meeting, you will need the 16-digit control number included on your proxy card, your voting instruction form, or the Notice of Internet Availability of Proxy Materials previously mailed or made available to stockholders entitled to vote at the Meeting. If your shares are held for your account by a broker, bank or other institution or nominee, you should follow the instructions provided by your institution or nominee to be able to participate in the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Annual Meeting of Stockholders webcast will begin promptly at                 , and the Special Meeting of Stockholders webcast will begin promptly at                 . Participants should allow plenty of time to log in prior to the start of the meetings. Online access and check-in will begin at                 . </w:t>
      </w:r>
    </w:p>
    <w:p>
      <w:pPr>
        <w:pStyle w:val="TextBody"/>
        <w:spacing w:before="360" w:after="0"/>
        <w:jc w:val="left"/>
        <w:rPr>
          <w:rFonts w:ascii="Times New Roman" w:hAnsi="Times New Roman"/>
          <w:b/>
          <w:sz w:val="20"/>
        </w:rPr>
      </w:pPr>
      <w:r>
        <w:rPr>
          <w:rFonts w:ascii="Times New Roman" w:hAnsi="Times New Roman"/>
          <w:b/>
          <w:sz w:val="20"/>
        </w:rPr>
        <w:t xml:space="preserve">Questions </w:t>
      </w:r>
    </w:p>
    <w:p>
      <w:pPr>
        <w:pStyle w:val="TextBody"/>
        <w:spacing w:before="120" w:after="0"/>
        <w:jc w:val="left"/>
        <w:rPr>
          <w:rFonts w:ascii="Times New Roman" w:hAnsi="Times New Roman"/>
          <w:sz w:val="20"/>
        </w:rPr>
      </w:pPr>
      <w:r>
        <w:rPr>
          <w:rFonts w:ascii="Times New Roman" w:hAnsi="Times New Roman"/>
          <w:sz w:val="20"/>
        </w:rPr>
        <w:t xml:space="preserve">As part of the virtual Meeting, we will hold a live Q&amp;A session, during which we intend to answer questions as time permits. Questions must comply with the Meeting procedures and be pertinent to the Company, our shareholders and the Meeting matters.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If you wish to submit a question in advance of the virtual Meeting,</w:t>
            </w:r>
            <w:r>
              <w:rPr>
                <w:rFonts w:ascii="Times New Roman" w:hAnsi="Times New Roman"/>
                <w:sz w:val="20"/>
              </w:rPr>
              <w:t xml:space="preserve"> you may do so by visiting www.proxyvote.com. You should have your proxy card, voting instruction form or Notice of Internet Availability of Proxy Materials in hand when you access the website and follow the instructions. Questions may be submitted beginning on                 .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If you wish to ask a question during the virtual Meeting,</w:t>
            </w:r>
            <w:r>
              <w:rPr>
                <w:rFonts w:ascii="Times New Roman" w:hAnsi="Times New Roman"/>
                <w:sz w:val="20"/>
              </w:rPr>
              <w:t xml:space="preserve"> log in to the virtual Meeting website using your 16-digit control number included on your proxy card and follow the instructions on the website. </w:t>
            </w:r>
          </w:p>
        </w:tc>
      </w:tr>
    </w:tbl>
    <w:p>
      <w:pPr>
        <w:pStyle w:val="TextBody"/>
        <w:spacing w:before="240" w:after="0"/>
        <w:jc w:val="left"/>
        <w:rPr>
          <w:rFonts w:ascii="Times New Roman" w:hAnsi="Times New Roman"/>
          <w:sz w:val="20"/>
        </w:rPr>
      </w:pPr>
      <w:r>
        <w:rPr>
          <w:rFonts w:ascii="Times New Roman" w:hAnsi="Times New Roman"/>
          <w:sz w:val="20"/>
        </w:rPr>
        <w:t xml:space="preserve">Questions pertinent to the business of the Meeting will be read aloud and answered during the virtual Meeting, subject to time constraints. </w:t>
      </w:r>
    </w:p>
    <w:p>
      <w:pPr>
        <w:pStyle w:val="TextBody"/>
        <w:spacing w:before="360" w:after="0"/>
        <w:jc w:val="left"/>
        <w:rPr>
          <w:rFonts w:ascii="Times New Roman" w:hAnsi="Times New Roman"/>
          <w:b/>
          <w:sz w:val="20"/>
        </w:rPr>
      </w:pPr>
      <w:r>
        <w:rPr>
          <w:rFonts w:ascii="Times New Roman" w:hAnsi="Times New Roman"/>
          <w:b/>
          <w:sz w:val="20"/>
        </w:rPr>
        <w:t xml:space="preserve">Stockholder List </w:t>
      </w:r>
    </w:p>
    <w:p>
      <w:pPr>
        <w:pStyle w:val="TextBody"/>
        <w:spacing w:before="120" w:after="0"/>
        <w:jc w:val="left"/>
        <w:rPr>
          <w:rFonts w:ascii="Times New Roman" w:hAnsi="Times New Roman"/>
          <w:sz w:val="20"/>
        </w:rPr>
      </w:pPr>
      <w:r>
        <w:rPr>
          <w:rFonts w:ascii="Times New Roman" w:hAnsi="Times New Roman"/>
          <w:sz w:val="20"/>
        </w:rPr>
        <w:t xml:space="preserve">The list of our stockholders of record entitled to vote at the Meeting will be made available for viewing by stockholders for any purpose germane to the Meeting. Beginning 15 minutes prior to, and during, the Meeting, the stockholder list will be viewable at                 . </w:t>
      </w:r>
    </w:p>
    <w:p>
      <w:pPr>
        <w:pStyle w:val="TextBody"/>
        <w:spacing w:before="360" w:after="0"/>
        <w:jc w:val="left"/>
        <w:rPr>
          <w:rFonts w:ascii="Times New Roman" w:hAnsi="Times New Roman"/>
          <w:b/>
          <w:sz w:val="20"/>
        </w:rPr>
      </w:pPr>
      <w:r>
        <w:rPr>
          <w:rFonts w:ascii="Times New Roman" w:hAnsi="Times New Roman"/>
          <w:b/>
          <w:sz w:val="20"/>
        </w:rPr>
        <w:t xml:space="preserve">Technical Difficulties </w:t>
      </w:r>
    </w:p>
    <w:p>
      <w:pPr>
        <w:pStyle w:val="TextBody"/>
        <w:spacing w:before="120" w:after="0"/>
        <w:jc w:val="left"/>
        <w:rPr>
          <w:rFonts w:ascii="Times New Roman" w:hAnsi="Times New Roman"/>
          <w:sz w:val="20"/>
        </w:rPr>
      </w:pPr>
      <w:r>
        <w:rPr>
          <w:rFonts w:ascii="Times New Roman" w:hAnsi="Times New Roman"/>
          <w:sz w:val="20"/>
        </w:rPr>
        <w:t xml:space="preserve">Technical support will be available on the virtual meeting platform at                  beginning at                  on                  through the conclusion of the Meeting. You may also contact technical service (toll-free) at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oc141711_2"/>
      <w:bookmarkEnd w:id="4"/>
      <w:r>
        <w:rPr>
          <w:rFonts w:ascii="Times New Roman" w:hAnsi="Times New Roman"/>
          <w:b/>
          <w:sz w:val="20"/>
        </w:rPr>
        <w:t xml:space="preserve">SECURITY OWNERSHIP OF CERTAIN BENEFICIAL OWNERS AND MANAGEMENT </w:t>
      </w:r>
    </w:p>
    <w:p>
      <w:pPr>
        <w:pStyle w:val="TextBody"/>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 2021,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 </w:t>
      </w:r>
    </w:p>
    <w:p>
      <w:pPr>
        <w:pStyle w:val="TextBody"/>
        <w:spacing w:before="240" w:after="0"/>
        <w:jc w:val="left"/>
        <w:rPr>
          <w:rFonts w:ascii="Times New Roman" w:hAnsi="Times New Roman"/>
          <w:sz w:val="20"/>
        </w:rPr>
      </w:pPr>
      <w:r>
        <w:rPr>
          <w:rFonts w:ascii="Times New Roman" w:hAnsi="Times New Roman"/>
          <w:sz w:val="20"/>
        </w:rPr>
        <w:t xml:space="preserve">The percentage ownership is based on                  shares of common stock outstanding as of                 , 2021.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258"/>
        <w:gridCol w:w="392"/>
        <w:gridCol w:w="92"/>
        <w:gridCol w:w="1537"/>
        <w:gridCol w:w="60"/>
        <w:gridCol w:w="392"/>
        <w:gridCol w:w="187"/>
        <w:gridCol w:w="1009"/>
        <w:gridCol w:w="278"/>
      </w:tblGrid>
      <w:tr>
        <w:trPr/>
        <w:tc>
          <w:tcPr>
            <w:tcW w:w="6258"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6258"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Individual or Identity of Group</w:t>
            </w:r>
          </w:p>
        </w:tc>
        <w:tc>
          <w:tcPr>
            <w:tcW w:w="392" w:type="dxa"/>
            <w:tcBorders/>
            <w:shd w:fill="auto" w:val="clear"/>
            <w:vAlign w:val="bottom"/>
          </w:tcPr>
          <w:p>
            <w:pPr>
              <w:pStyle w:val="TableContents"/>
              <w:spacing w:before="0" w:after="283"/>
              <w:rPr/>
            </w:pPr>
            <w:r>
              <w:rPr/>
              <w:t>  </w:t>
            </w:r>
          </w:p>
        </w:tc>
        <w:tc>
          <w:tcPr>
            <w:tcW w:w="16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 of</w:t>
              <w:br/>
              <w:t>Common Stock</w:t>
              <w:br/>
              <w:t>Beneficially</w:t>
              <w:br/>
              <w:t>Owned(1)</w:t>
            </w:r>
          </w:p>
        </w:tc>
        <w:tc>
          <w:tcPr>
            <w:tcW w:w="60"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 of</w:t>
              <w:br/>
              <w:t>Common</w:t>
              <w:br/>
              <w:t>Stock</w:t>
              <w:br/>
              <w:t>Beneficially</w:t>
              <w:br/>
              <w:t>Owned(1)</w:t>
            </w:r>
          </w:p>
        </w:tc>
        <w:tc>
          <w:tcPr>
            <w:tcW w:w="278" w:type="dxa"/>
            <w:tcBorders/>
            <w:shd w:fill="auto" w:val="clear"/>
            <w:vAlign w:val="bottom"/>
          </w:tcPr>
          <w:p>
            <w:pPr>
              <w:pStyle w:val="TableContents"/>
              <w:spacing w:before="0" w:after="283"/>
              <w:rPr/>
            </w:pPr>
            <w:r>
              <w:rPr/>
              <w:t> </w:t>
            </w:r>
          </w:p>
        </w:tc>
      </w:tr>
      <w:tr>
        <w:trPr/>
        <w:tc>
          <w:tcPr>
            <w:tcW w:w="6258" w:type="dxa"/>
            <w:tcBorders/>
            <w:shd w:fill="CCEEFF" w:val="clear"/>
          </w:tcPr>
          <w:p>
            <w:pPr>
              <w:pStyle w:val="TableContents"/>
              <w:spacing w:before="0" w:after="0"/>
              <w:rPr>
                <w:rFonts w:ascii="Times New Roman" w:hAnsi="Times New Roman"/>
                <w:b/>
                <w:sz w:val="20"/>
              </w:rPr>
            </w:pPr>
            <w:r>
              <w:rPr>
                <w:rFonts w:ascii="Times New Roman" w:hAnsi="Times New Roman"/>
                <w:b/>
                <w:sz w:val="20"/>
              </w:rPr>
              <w:t>Directors and Executive Officers:</w:t>
            </w:r>
          </w:p>
        </w:tc>
        <w:tc>
          <w:tcPr>
            <w:tcW w:w="39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sz w:val="4"/>
                <w:szCs w:val="4"/>
              </w:rPr>
            </w:pPr>
            <w:r>
              <w:rPr>
                <w:sz w:val="4"/>
                <w:szCs w:val="4"/>
              </w:rPr>
            </w:r>
          </w:p>
        </w:tc>
        <w:tc>
          <w:tcPr>
            <w:tcW w:w="153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1009"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sz w:val="4"/>
                <w:szCs w:val="4"/>
              </w:rPr>
            </w:pPr>
            <w:r>
              <w:rPr>
                <w:sz w:val="4"/>
                <w:szCs w:val="4"/>
              </w:rPr>
            </w:r>
          </w:p>
        </w:tc>
      </w:tr>
      <w:tr>
        <w:trPr/>
        <w:tc>
          <w:tcPr>
            <w:tcW w:w="6258" w:type="dxa"/>
            <w:tcBorders/>
            <w:shd w:fill="auto" w:val="clear"/>
          </w:tcPr>
          <w:p>
            <w:pPr>
              <w:pStyle w:val="TableContents"/>
              <w:spacing w:before="0" w:after="0"/>
              <w:rPr>
                <w:rFonts w:ascii="Times New Roman" w:hAnsi="Times New Roman"/>
                <w:i/>
                <w:sz w:val="20"/>
              </w:rPr>
            </w:pPr>
            <w:r>
              <w:rPr>
                <w:rFonts w:ascii="Times New Roman" w:hAnsi="Times New Roman"/>
                <w:i/>
                <w:sz w:val="20"/>
              </w:rPr>
              <w:t>Interested Directors</w:t>
            </w:r>
          </w:p>
        </w:tc>
        <w:tc>
          <w:tcPr>
            <w:tcW w:w="3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sz w:val="4"/>
                <w:szCs w:val="4"/>
              </w:rPr>
            </w:pPr>
            <w:r>
              <w:rPr>
                <w:sz w:val="4"/>
                <w:szCs w:val="4"/>
              </w:rPr>
            </w:r>
          </w:p>
        </w:tc>
        <w:tc>
          <w:tcPr>
            <w:tcW w:w="15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sz w:val="4"/>
                <w:szCs w:val="4"/>
              </w:rPr>
            </w:pPr>
            <w:r>
              <w:rPr>
                <w:sz w:val="4"/>
                <w:szCs w:val="4"/>
              </w:rPr>
            </w:r>
          </w:p>
        </w:tc>
        <w:tc>
          <w:tcPr>
            <w:tcW w:w="100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r>
      <w:tr>
        <w:trPr/>
        <w:tc>
          <w:tcPr>
            <w:tcW w:w="6258" w:type="dxa"/>
            <w:tcBorders/>
            <w:shd w:fill="CCEEFF" w:val="clear"/>
          </w:tcPr>
          <w:p>
            <w:pPr>
              <w:pStyle w:val="TableContents"/>
              <w:spacing w:before="0" w:after="0"/>
              <w:rPr>
                <w:rFonts w:ascii="Times New Roman" w:hAnsi="Times New Roman"/>
                <w:sz w:val="20"/>
              </w:rPr>
            </w:pPr>
            <w:r>
              <w:rPr>
                <w:rFonts w:ascii="Times New Roman" w:hAnsi="Times New Roman"/>
                <w:sz w:val="20"/>
              </w:rPr>
              <w:t>Joshua Easterly (2)</w:t>
            </w:r>
          </w:p>
        </w:tc>
        <w:tc>
          <w:tcPr>
            <w:tcW w:w="39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537" w:type="dxa"/>
            <w:tcBorders/>
            <w:shd w:fill="CCEEFF" w:val="clear"/>
            <w:vAlign w:val="bottom"/>
          </w:tcPr>
          <w:p>
            <w:pPr>
              <w:pStyle w:val="TableContents"/>
              <w:spacing w:before="0" w:after="283"/>
              <w:jc w:val="right"/>
              <w:rPr/>
            </w:pPr>
            <w:r>
              <w:rPr/>
              <w:t>50,159</w:t>
            </w:r>
          </w:p>
        </w:tc>
        <w:tc>
          <w:tcPr>
            <w:tcW w:w="60"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0.1</w:t>
            </w:r>
          </w:p>
        </w:tc>
        <w:tc>
          <w:tcPr>
            <w:tcW w:w="278" w:type="dxa"/>
            <w:tcBorders/>
            <w:shd w:fill="CCEEFF" w:val="clear"/>
            <w:vAlign w:val="bottom"/>
          </w:tcPr>
          <w:p>
            <w:pPr>
              <w:pStyle w:val="TableContents"/>
              <w:spacing w:before="0" w:after="283"/>
              <w:rPr/>
            </w:pPr>
            <w:r>
              <w:rPr/>
              <w:t>% </w:t>
            </w:r>
          </w:p>
        </w:tc>
      </w:tr>
      <w:tr>
        <w:trPr/>
        <w:tc>
          <w:tcPr>
            <w:tcW w:w="6258" w:type="dxa"/>
            <w:tcBorders/>
            <w:shd w:fill="auto" w:val="clear"/>
          </w:tcPr>
          <w:p>
            <w:pPr>
              <w:pStyle w:val="TableContents"/>
              <w:spacing w:before="0" w:after="0"/>
              <w:rPr>
                <w:rFonts w:ascii="Times New Roman" w:hAnsi="Times New Roman"/>
                <w:sz w:val="20"/>
              </w:rPr>
            </w:pPr>
            <w:r>
              <w:rPr>
                <w:rFonts w:ascii="Times New Roman" w:hAnsi="Times New Roman"/>
                <w:sz w:val="20"/>
              </w:rPr>
              <w:t>Michael Fishman (3)</w:t>
            </w:r>
          </w:p>
        </w:tc>
        <w:tc>
          <w:tcPr>
            <w:tcW w:w="3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36,366</w:t>
            </w:r>
          </w:p>
        </w:tc>
        <w:tc>
          <w:tcPr>
            <w:tcW w:w="60"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0.1</w:t>
            </w:r>
          </w:p>
        </w:tc>
        <w:tc>
          <w:tcPr>
            <w:tcW w:w="278" w:type="dxa"/>
            <w:tcBorders/>
            <w:shd w:fill="auto" w:val="clear"/>
            <w:vAlign w:val="bottom"/>
          </w:tcPr>
          <w:p>
            <w:pPr>
              <w:pStyle w:val="TableContents"/>
              <w:spacing w:before="0" w:after="283"/>
              <w:rPr/>
            </w:pPr>
            <w:r>
              <w:rPr/>
              <w:t>% </w:t>
            </w:r>
          </w:p>
        </w:tc>
      </w:tr>
      <w:tr>
        <w:trPr/>
        <w:tc>
          <w:tcPr>
            <w:tcW w:w="6258" w:type="dxa"/>
            <w:tcBorders/>
            <w:shd w:fill="CCEEFF" w:val="clear"/>
          </w:tcPr>
          <w:p>
            <w:pPr>
              <w:pStyle w:val="TableContents"/>
              <w:spacing w:before="0" w:after="0"/>
              <w:rPr>
                <w:rFonts w:ascii="Times New Roman" w:hAnsi="Times New Roman"/>
                <w:sz w:val="20"/>
              </w:rPr>
            </w:pPr>
            <w:r>
              <w:rPr>
                <w:rFonts w:ascii="Times New Roman" w:hAnsi="Times New Roman"/>
                <w:sz w:val="20"/>
              </w:rPr>
              <w:t>Jennifer Gordon</w:t>
            </w:r>
          </w:p>
        </w:tc>
        <w:tc>
          <w:tcPr>
            <w:tcW w:w="39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53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  </w:t>
            </w:r>
          </w:p>
        </w:tc>
        <w:tc>
          <w:tcPr>
            <w:tcW w:w="278" w:type="dxa"/>
            <w:tcBorders/>
            <w:shd w:fill="CCEEFF" w:val="clear"/>
            <w:vAlign w:val="bottom"/>
          </w:tcPr>
          <w:p>
            <w:pPr>
              <w:pStyle w:val="TableContents"/>
              <w:spacing w:before="0" w:after="283"/>
              <w:rPr/>
            </w:pPr>
            <w:r>
              <w:rPr/>
              <w:t> </w:t>
            </w:r>
          </w:p>
        </w:tc>
      </w:tr>
      <w:tr>
        <w:trPr/>
        <w:tc>
          <w:tcPr>
            <w:tcW w:w="6258" w:type="dxa"/>
            <w:tcBorders/>
            <w:shd w:fill="auto" w:val="clear"/>
          </w:tcPr>
          <w:p>
            <w:pPr>
              <w:pStyle w:val="TableContents"/>
              <w:spacing w:before="0" w:after="0"/>
              <w:rPr>
                <w:rFonts w:ascii="Times New Roman" w:hAnsi="Times New Roman"/>
                <w:sz w:val="20"/>
              </w:rPr>
            </w:pPr>
            <w:r>
              <w:rPr>
                <w:rFonts w:ascii="Times New Roman" w:hAnsi="Times New Roman"/>
                <w:sz w:val="20"/>
              </w:rPr>
              <w:t>David Stiepleman (Director Nominee) (4)</w:t>
            </w:r>
          </w:p>
        </w:tc>
        <w:tc>
          <w:tcPr>
            <w:tcW w:w="3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11,079</w:t>
            </w:r>
          </w:p>
        </w:tc>
        <w:tc>
          <w:tcPr>
            <w:tcW w:w="60"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w:t>
            </w:r>
          </w:p>
        </w:tc>
        <w:tc>
          <w:tcPr>
            <w:tcW w:w="278" w:type="dxa"/>
            <w:tcBorders/>
            <w:shd w:fill="auto" w:val="clear"/>
            <w:vAlign w:val="bottom"/>
          </w:tcPr>
          <w:p>
            <w:pPr>
              <w:pStyle w:val="TableContents"/>
              <w:spacing w:before="0" w:after="283"/>
              <w:rPr/>
            </w:pPr>
            <w:r>
              <w:rPr/>
              <w:t> </w:t>
            </w:r>
          </w:p>
        </w:tc>
      </w:tr>
      <w:tr>
        <w:trPr/>
        <w:tc>
          <w:tcPr>
            <w:tcW w:w="6258" w:type="dxa"/>
            <w:tcBorders/>
            <w:shd w:fill="CCEEFF" w:val="clear"/>
          </w:tcPr>
          <w:p>
            <w:pPr>
              <w:pStyle w:val="TableContents"/>
              <w:spacing w:before="0" w:after="0"/>
              <w:rPr>
                <w:rFonts w:ascii="Times New Roman" w:hAnsi="Times New Roman"/>
                <w:i/>
                <w:sz w:val="20"/>
              </w:rPr>
            </w:pPr>
            <w:r>
              <w:rPr>
                <w:rFonts w:ascii="Times New Roman" w:hAnsi="Times New Roman"/>
                <w:i/>
                <w:sz w:val="20"/>
              </w:rPr>
              <w:t>Independent Directors</w:t>
            </w:r>
          </w:p>
        </w:tc>
        <w:tc>
          <w:tcPr>
            <w:tcW w:w="39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sz w:val="4"/>
                <w:szCs w:val="4"/>
              </w:rPr>
            </w:pPr>
            <w:r>
              <w:rPr>
                <w:sz w:val="4"/>
                <w:szCs w:val="4"/>
              </w:rPr>
            </w:r>
          </w:p>
        </w:tc>
        <w:tc>
          <w:tcPr>
            <w:tcW w:w="153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1009"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sz w:val="4"/>
                <w:szCs w:val="4"/>
              </w:rPr>
            </w:pPr>
            <w:r>
              <w:rPr>
                <w:sz w:val="4"/>
                <w:szCs w:val="4"/>
              </w:rPr>
            </w:r>
          </w:p>
        </w:tc>
      </w:tr>
      <w:tr>
        <w:trPr/>
        <w:tc>
          <w:tcPr>
            <w:tcW w:w="6258" w:type="dxa"/>
            <w:tcBorders/>
            <w:shd w:fill="auto" w:val="clear"/>
          </w:tcPr>
          <w:p>
            <w:pPr>
              <w:pStyle w:val="TableContents"/>
              <w:spacing w:before="0" w:after="0"/>
              <w:rPr>
                <w:rFonts w:ascii="Times New Roman" w:hAnsi="Times New Roman"/>
                <w:sz w:val="20"/>
              </w:rPr>
            </w:pPr>
            <w:r>
              <w:rPr>
                <w:rFonts w:ascii="Times New Roman" w:hAnsi="Times New Roman"/>
                <w:sz w:val="20"/>
              </w:rPr>
              <w:t>Hurley Doddy</w:t>
            </w:r>
          </w:p>
        </w:tc>
        <w:tc>
          <w:tcPr>
            <w:tcW w:w="3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12,577</w:t>
            </w:r>
          </w:p>
        </w:tc>
        <w:tc>
          <w:tcPr>
            <w:tcW w:w="60"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w:t>
            </w:r>
          </w:p>
        </w:tc>
        <w:tc>
          <w:tcPr>
            <w:tcW w:w="278" w:type="dxa"/>
            <w:tcBorders/>
            <w:shd w:fill="auto" w:val="clear"/>
            <w:vAlign w:val="bottom"/>
          </w:tcPr>
          <w:p>
            <w:pPr>
              <w:pStyle w:val="TableContents"/>
              <w:spacing w:before="0" w:after="283"/>
              <w:rPr/>
            </w:pPr>
            <w:r>
              <w:rPr/>
              <w:t> </w:t>
            </w:r>
          </w:p>
        </w:tc>
      </w:tr>
      <w:tr>
        <w:trPr/>
        <w:tc>
          <w:tcPr>
            <w:tcW w:w="6258" w:type="dxa"/>
            <w:tcBorders/>
            <w:shd w:fill="CCEEFF" w:val="clear"/>
          </w:tcPr>
          <w:p>
            <w:pPr>
              <w:pStyle w:val="TableContents"/>
              <w:spacing w:before="0" w:after="0"/>
              <w:rPr>
                <w:rFonts w:ascii="Times New Roman" w:hAnsi="Times New Roman"/>
                <w:sz w:val="20"/>
              </w:rPr>
            </w:pPr>
            <w:r>
              <w:rPr>
                <w:rFonts w:ascii="Times New Roman" w:hAnsi="Times New Roman"/>
                <w:sz w:val="20"/>
              </w:rPr>
              <w:t>Richard Higginbotham (Director Nominee)</w:t>
            </w:r>
          </w:p>
        </w:tc>
        <w:tc>
          <w:tcPr>
            <w:tcW w:w="39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537" w:type="dxa"/>
            <w:tcBorders/>
            <w:shd w:fill="CCEEFF" w:val="clear"/>
            <w:vAlign w:val="bottom"/>
          </w:tcPr>
          <w:p>
            <w:pPr>
              <w:pStyle w:val="TableContents"/>
              <w:spacing w:before="0" w:after="283"/>
              <w:jc w:val="right"/>
              <w:rPr/>
            </w:pPr>
            <w:r>
              <w:rPr/>
              <w:t>22,000</w:t>
            </w:r>
          </w:p>
        </w:tc>
        <w:tc>
          <w:tcPr>
            <w:tcW w:w="60"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w:t>
            </w:r>
          </w:p>
        </w:tc>
        <w:tc>
          <w:tcPr>
            <w:tcW w:w="278" w:type="dxa"/>
            <w:tcBorders/>
            <w:shd w:fill="CCEEFF" w:val="clear"/>
            <w:vAlign w:val="bottom"/>
          </w:tcPr>
          <w:p>
            <w:pPr>
              <w:pStyle w:val="TableContents"/>
              <w:spacing w:before="0" w:after="283"/>
              <w:rPr/>
            </w:pPr>
            <w:r>
              <w:rPr/>
              <w:t> </w:t>
            </w:r>
          </w:p>
        </w:tc>
      </w:tr>
      <w:tr>
        <w:trPr/>
        <w:tc>
          <w:tcPr>
            <w:tcW w:w="6258" w:type="dxa"/>
            <w:tcBorders/>
            <w:shd w:fill="auto" w:val="clear"/>
          </w:tcPr>
          <w:p>
            <w:pPr>
              <w:pStyle w:val="TableContents"/>
              <w:spacing w:before="0" w:after="0"/>
              <w:rPr>
                <w:rFonts w:ascii="Times New Roman" w:hAnsi="Times New Roman"/>
                <w:sz w:val="20"/>
              </w:rPr>
            </w:pPr>
            <w:r>
              <w:rPr>
                <w:rFonts w:ascii="Times New Roman" w:hAnsi="Times New Roman"/>
                <w:sz w:val="20"/>
              </w:rPr>
              <w:t>John Ross</w:t>
            </w:r>
          </w:p>
        </w:tc>
        <w:tc>
          <w:tcPr>
            <w:tcW w:w="3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35,000</w:t>
            </w:r>
          </w:p>
        </w:tc>
        <w:tc>
          <w:tcPr>
            <w:tcW w:w="60"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w:t>
            </w:r>
          </w:p>
        </w:tc>
        <w:tc>
          <w:tcPr>
            <w:tcW w:w="278" w:type="dxa"/>
            <w:tcBorders/>
            <w:shd w:fill="auto" w:val="clear"/>
            <w:vAlign w:val="bottom"/>
          </w:tcPr>
          <w:p>
            <w:pPr>
              <w:pStyle w:val="TableContents"/>
              <w:spacing w:before="0" w:after="283"/>
              <w:rPr/>
            </w:pPr>
            <w:r>
              <w:rPr/>
              <w:t> </w:t>
            </w:r>
          </w:p>
        </w:tc>
      </w:tr>
      <w:tr>
        <w:trPr/>
        <w:tc>
          <w:tcPr>
            <w:tcW w:w="6258" w:type="dxa"/>
            <w:tcBorders/>
            <w:shd w:fill="CCEEFF" w:val="clear"/>
          </w:tcPr>
          <w:p>
            <w:pPr>
              <w:pStyle w:val="TableContents"/>
              <w:spacing w:before="0" w:after="0"/>
              <w:rPr>
                <w:rFonts w:ascii="Times New Roman" w:hAnsi="Times New Roman"/>
                <w:sz w:val="20"/>
              </w:rPr>
            </w:pPr>
            <w:r>
              <w:rPr>
                <w:rFonts w:ascii="Times New Roman" w:hAnsi="Times New Roman"/>
                <w:sz w:val="20"/>
              </w:rPr>
              <w:t>Judy Slotkin</w:t>
            </w:r>
          </w:p>
        </w:tc>
        <w:tc>
          <w:tcPr>
            <w:tcW w:w="39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537" w:type="dxa"/>
            <w:tcBorders/>
            <w:shd w:fill="CCEEFF" w:val="clear"/>
            <w:vAlign w:val="bottom"/>
          </w:tcPr>
          <w:p>
            <w:pPr>
              <w:pStyle w:val="TableContents"/>
              <w:spacing w:before="0" w:after="283"/>
              <w:jc w:val="right"/>
              <w:rPr/>
            </w:pPr>
            <w:r>
              <w:rPr/>
              <w:t>7,500</w:t>
            </w:r>
          </w:p>
        </w:tc>
        <w:tc>
          <w:tcPr>
            <w:tcW w:w="60"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w:t>
            </w:r>
          </w:p>
        </w:tc>
        <w:tc>
          <w:tcPr>
            <w:tcW w:w="278" w:type="dxa"/>
            <w:tcBorders/>
            <w:shd w:fill="CCEEFF" w:val="clear"/>
            <w:vAlign w:val="bottom"/>
          </w:tcPr>
          <w:p>
            <w:pPr>
              <w:pStyle w:val="TableContents"/>
              <w:spacing w:before="0" w:after="283"/>
              <w:rPr/>
            </w:pPr>
            <w:r>
              <w:rPr/>
              <w:t> </w:t>
            </w:r>
          </w:p>
        </w:tc>
      </w:tr>
      <w:tr>
        <w:trPr/>
        <w:tc>
          <w:tcPr>
            <w:tcW w:w="6258" w:type="dxa"/>
            <w:tcBorders/>
            <w:shd w:fill="auto" w:val="clear"/>
          </w:tcPr>
          <w:p>
            <w:pPr>
              <w:pStyle w:val="TableContents"/>
              <w:spacing w:before="0" w:after="0"/>
              <w:rPr>
                <w:rFonts w:ascii="Times New Roman" w:hAnsi="Times New Roman"/>
                <w:sz w:val="20"/>
              </w:rPr>
            </w:pPr>
            <w:r>
              <w:rPr>
                <w:rFonts w:ascii="Times New Roman" w:hAnsi="Times New Roman"/>
                <w:sz w:val="20"/>
              </w:rPr>
              <w:t>Ronald Tanemura (Director Nominee)</w:t>
            </w:r>
          </w:p>
        </w:tc>
        <w:tc>
          <w:tcPr>
            <w:tcW w:w="3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86,516</w:t>
            </w:r>
          </w:p>
        </w:tc>
        <w:tc>
          <w:tcPr>
            <w:tcW w:w="60"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0.1</w:t>
            </w:r>
          </w:p>
        </w:tc>
        <w:tc>
          <w:tcPr>
            <w:tcW w:w="278" w:type="dxa"/>
            <w:tcBorders/>
            <w:shd w:fill="auto" w:val="clear"/>
            <w:vAlign w:val="bottom"/>
          </w:tcPr>
          <w:p>
            <w:pPr>
              <w:pStyle w:val="TableContents"/>
              <w:spacing w:before="0" w:after="283"/>
              <w:rPr/>
            </w:pPr>
            <w:r>
              <w:rPr/>
              <w:t>% </w:t>
            </w:r>
          </w:p>
        </w:tc>
      </w:tr>
      <w:tr>
        <w:trPr/>
        <w:tc>
          <w:tcPr>
            <w:tcW w:w="6258" w:type="dxa"/>
            <w:tcBorders/>
            <w:shd w:fill="CCEEFF" w:val="clear"/>
          </w:tcPr>
          <w:p>
            <w:pPr>
              <w:pStyle w:val="TableContents"/>
              <w:spacing w:before="0" w:after="0"/>
              <w:rPr>
                <w:rFonts w:ascii="Times New Roman" w:hAnsi="Times New Roman"/>
                <w:i/>
                <w:sz w:val="20"/>
              </w:rPr>
            </w:pPr>
            <w:r>
              <w:rPr>
                <w:rFonts w:ascii="Times New Roman" w:hAnsi="Times New Roman"/>
                <w:i/>
                <w:sz w:val="20"/>
              </w:rPr>
              <w:t>Named Executive Officers Who Are Not Directors</w:t>
            </w:r>
          </w:p>
        </w:tc>
        <w:tc>
          <w:tcPr>
            <w:tcW w:w="39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sz w:val="4"/>
                <w:szCs w:val="4"/>
              </w:rPr>
            </w:pPr>
            <w:r>
              <w:rPr>
                <w:sz w:val="4"/>
                <w:szCs w:val="4"/>
              </w:rPr>
            </w:r>
          </w:p>
        </w:tc>
        <w:tc>
          <w:tcPr>
            <w:tcW w:w="153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1009"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sz w:val="4"/>
                <w:szCs w:val="4"/>
              </w:rPr>
            </w:pPr>
            <w:r>
              <w:rPr>
                <w:sz w:val="4"/>
                <w:szCs w:val="4"/>
              </w:rPr>
            </w:r>
          </w:p>
        </w:tc>
      </w:tr>
      <w:tr>
        <w:trPr/>
        <w:tc>
          <w:tcPr>
            <w:tcW w:w="6258" w:type="dxa"/>
            <w:tcBorders/>
            <w:shd w:fill="auto" w:val="clear"/>
          </w:tcPr>
          <w:p>
            <w:pPr>
              <w:pStyle w:val="TableContents"/>
              <w:spacing w:before="0" w:after="0"/>
              <w:rPr>
                <w:rFonts w:ascii="Times New Roman" w:hAnsi="Times New Roman"/>
                <w:sz w:val="20"/>
              </w:rPr>
            </w:pPr>
            <w:r>
              <w:rPr>
                <w:rFonts w:ascii="Times New Roman" w:hAnsi="Times New Roman"/>
                <w:sz w:val="20"/>
              </w:rPr>
              <w:t>Ian Simmonds</w:t>
            </w:r>
          </w:p>
        </w:tc>
        <w:tc>
          <w:tcPr>
            <w:tcW w:w="3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3,235</w:t>
            </w:r>
          </w:p>
        </w:tc>
        <w:tc>
          <w:tcPr>
            <w:tcW w:w="60"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w:t>
            </w:r>
          </w:p>
        </w:tc>
        <w:tc>
          <w:tcPr>
            <w:tcW w:w="278" w:type="dxa"/>
            <w:tcBorders/>
            <w:shd w:fill="auto" w:val="clear"/>
            <w:vAlign w:val="bottom"/>
          </w:tcPr>
          <w:p>
            <w:pPr>
              <w:pStyle w:val="TableContents"/>
              <w:spacing w:before="0" w:after="283"/>
              <w:rPr/>
            </w:pPr>
            <w:r>
              <w:rPr/>
              <w:t> </w:t>
            </w:r>
          </w:p>
        </w:tc>
      </w:tr>
      <w:tr>
        <w:trPr/>
        <w:tc>
          <w:tcPr>
            <w:tcW w:w="6258" w:type="dxa"/>
            <w:tcBorders/>
            <w:shd w:fill="CCEEFF" w:val="clear"/>
          </w:tcPr>
          <w:p>
            <w:pPr>
              <w:pStyle w:val="TableContents"/>
              <w:spacing w:before="0" w:after="0"/>
              <w:rPr>
                <w:rFonts w:ascii="Times New Roman" w:hAnsi="Times New Roman"/>
                <w:sz w:val="20"/>
              </w:rPr>
            </w:pPr>
            <w:r>
              <w:rPr>
                <w:rFonts w:ascii="Times New Roman" w:hAnsi="Times New Roman"/>
                <w:sz w:val="20"/>
              </w:rPr>
              <w:t>Robert (Bo) Stanley (5)</w:t>
            </w:r>
          </w:p>
        </w:tc>
        <w:tc>
          <w:tcPr>
            <w:tcW w:w="39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pPr>
            <w:r>
              <w:rPr/>
              <w:t> </w:t>
            </w:r>
          </w:p>
        </w:tc>
        <w:tc>
          <w:tcPr>
            <w:tcW w:w="1537" w:type="dxa"/>
            <w:tcBorders/>
            <w:shd w:fill="CCEEFF" w:val="clear"/>
            <w:vAlign w:val="bottom"/>
          </w:tcPr>
          <w:p>
            <w:pPr>
              <w:pStyle w:val="TableContents"/>
              <w:spacing w:before="0" w:after="283"/>
              <w:jc w:val="right"/>
              <w:rPr/>
            </w:pPr>
            <w:r>
              <w:rPr/>
              <w:t>14,907</w:t>
            </w:r>
          </w:p>
        </w:tc>
        <w:tc>
          <w:tcPr>
            <w:tcW w:w="60"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009" w:type="dxa"/>
            <w:tcBorders/>
            <w:shd w:fill="CCEEFF" w:val="clear"/>
            <w:vAlign w:val="bottom"/>
          </w:tcPr>
          <w:p>
            <w:pPr>
              <w:pStyle w:val="TableContents"/>
              <w:spacing w:before="0" w:after="283"/>
              <w:jc w:val="right"/>
              <w:rPr/>
            </w:pPr>
            <w:r>
              <w:rPr/>
              <w:t>*</w:t>
            </w:r>
          </w:p>
        </w:tc>
        <w:tc>
          <w:tcPr>
            <w:tcW w:w="278" w:type="dxa"/>
            <w:tcBorders/>
            <w:shd w:fill="CCEEFF" w:val="clear"/>
            <w:vAlign w:val="bottom"/>
          </w:tcPr>
          <w:p>
            <w:pPr>
              <w:pStyle w:val="TableContents"/>
              <w:spacing w:before="0" w:after="283"/>
              <w:rPr/>
            </w:pPr>
            <w:r>
              <w:rPr/>
              <w:t> </w:t>
            </w:r>
          </w:p>
        </w:tc>
      </w:tr>
      <w:tr>
        <w:trPr/>
        <w:tc>
          <w:tcPr>
            <w:tcW w:w="6258" w:type="dxa"/>
            <w:tcBorders/>
            <w:shd w:fill="auto" w:val="clear"/>
          </w:tcPr>
          <w:p>
            <w:pPr>
              <w:pStyle w:val="TableContents"/>
              <w:spacing w:before="0" w:after="0"/>
              <w:rPr>
                <w:rFonts w:ascii="Times New Roman" w:hAnsi="Times New Roman"/>
                <w:sz w:val="20"/>
              </w:rPr>
            </w:pPr>
            <w:r>
              <w:rPr>
                <w:rFonts w:ascii="Times New Roman" w:hAnsi="Times New Roman"/>
                <w:sz w:val="20"/>
              </w:rPr>
              <w:t>All Directors and Executive Officers as a Group (15 persons) (6)(7)</w:t>
            </w:r>
          </w:p>
        </w:tc>
        <w:tc>
          <w:tcPr>
            <w:tcW w:w="3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2,958,207</w:t>
            </w:r>
          </w:p>
        </w:tc>
        <w:tc>
          <w:tcPr>
            <w:tcW w:w="60"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4.1</w:t>
            </w:r>
          </w:p>
        </w:tc>
        <w:tc>
          <w:tcPr>
            <w:tcW w:w="278" w:type="dxa"/>
            <w:tcBorders/>
            <w:shd w:fill="auto" w:val="clear"/>
            <w:vAlign w:val="bottom"/>
          </w:tcPr>
          <w:p>
            <w:pPr>
              <w:pStyle w:val="TableContents"/>
              <w:spacing w:before="0" w:after="283"/>
              <w:rPr/>
            </w:pPr>
            <w:r>
              <w:rPr/>
              <w:t>% </w:t>
            </w:r>
          </w:p>
        </w:tc>
      </w:tr>
      <w:tr>
        <w:trPr/>
        <w:tc>
          <w:tcPr>
            <w:tcW w:w="6258" w:type="dxa"/>
            <w:tcBorders/>
            <w:shd w:fill="CCEEFF" w:val="clear"/>
          </w:tcPr>
          <w:p>
            <w:pPr>
              <w:pStyle w:val="TableContents"/>
              <w:spacing w:before="0" w:after="0"/>
              <w:rPr>
                <w:rFonts w:ascii="Times New Roman" w:hAnsi="Times New Roman"/>
                <w:b/>
                <w:sz w:val="20"/>
              </w:rPr>
            </w:pPr>
            <w:r>
              <w:rPr>
                <w:rFonts w:ascii="Times New Roman" w:hAnsi="Times New Roman"/>
                <w:b/>
                <w:sz w:val="20"/>
              </w:rPr>
              <w:t>Five-Percent Stockholders:</w:t>
            </w:r>
          </w:p>
        </w:tc>
        <w:tc>
          <w:tcPr>
            <w:tcW w:w="39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rPr>
                <w:sz w:val="4"/>
                <w:szCs w:val="4"/>
              </w:rPr>
            </w:pPr>
            <w:r>
              <w:rPr>
                <w:sz w:val="4"/>
                <w:szCs w:val="4"/>
              </w:rPr>
            </w:r>
          </w:p>
        </w:tc>
        <w:tc>
          <w:tcPr>
            <w:tcW w:w="153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92"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1009" w:type="dxa"/>
            <w:tcBorders/>
            <w:shd w:fill="CCEEFF" w:val="clear"/>
            <w:vAlign w:val="bottom"/>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sz w:val="4"/>
                <w:szCs w:val="4"/>
              </w:rPr>
            </w:pPr>
            <w:r>
              <w:rPr>
                <w:sz w:val="4"/>
                <w:szCs w:val="4"/>
              </w:rPr>
            </w:r>
          </w:p>
        </w:tc>
      </w:tr>
      <w:tr>
        <w:trPr/>
        <w:tc>
          <w:tcPr>
            <w:tcW w:w="6258" w:type="dxa"/>
            <w:tcBorders/>
            <w:shd w:fill="auto" w:val="clear"/>
          </w:tcPr>
          <w:p>
            <w:pPr>
              <w:pStyle w:val="TableContents"/>
              <w:spacing w:before="0" w:after="0"/>
              <w:rPr>
                <w:rFonts w:ascii="Times New Roman" w:hAnsi="Times New Roman"/>
                <w:sz w:val="20"/>
              </w:rPr>
            </w:pPr>
            <w:r>
              <w:rPr>
                <w:rFonts w:ascii="Times New Roman" w:hAnsi="Times New Roman"/>
                <w:sz w:val="20"/>
              </w:rPr>
              <w:t>State Teachers Retirement Board of Ohio (8)</w:t>
            </w:r>
          </w:p>
        </w:tc>
        <w:tc>
          <w:tcPr>
            <w:tcW w:w="3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6,193,363</w:t>
            </w:r>
          </w:p>
        </w:tc>
        <w:tc>
          <w:tcPr>
            <w:tcW w:w="60"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009" w:type="dxa"/>
            <w:tcBorders/>
            <w:shd w:fill="auto" w:val="clear"/>
            <w:vAlign w:val="bottom"/>
          </w:tcPr>
          <w:p>
            <w:pPr>
              <w:pStyle w:val="TableContents"/>
              <w:spacing w:before="0" w:after="283"/>
              <w:jc w:val="right"/>
              <w:rPr/>
            </w:pPr>
            <w:r>
              <w:rPr/>
              <w:t>8.6</w:t>
            </w:r>
          </w:p>
        </w:tc>
        <w:tc>
          <w:tcPr>
            <w:tcW w:w="278"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bookmarkStart w:id="5" w:name="toc141711_21"/>
            <w:bookmarkEnd w:id="5"/>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less than 0.1%.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of more than five percent of common stock and each director and executive officer has sole voting and/or investment power over the shares reported.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18,792 shares of common stock beneficially owned by Mr. Easterly have been pledged as security in connection with a line of credit with a third party financial institution unaffiliated with the Company.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36,366 shares of common stock beneficially owned by Mr. Fishman have been pledged as security in connection with a line of credit with a third party financial institution unaffiliated with the Company.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5,544 shares of common stock beneficially owned by Mr. Stiepleman have been pledged as security in connection with a line of credit with a third party financial institution unaffiliated with the Company.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(5)</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3,907 shares of common stock beneficially owned by Mr. Stanley have been pledged as security in connection with a line of credit with a third party financial institution unaffiliated with the Company.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shares owned by officers that are not Named Executive Officers, as defined in Item 402 of Regulation S-K, as promulgated under the Securities Act of 1933, as amended. 64,609 shares of common stock beneficially owned by certain officers have been pledged as security in connection with lines of credit with a third party financial institution unaffiliated with the Company.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Sixth Street Specialty Lending Advisers, LLC holds 2,716,977 shares of common stock (the Sixth Street Specialty Lending Advisers Shares). The business and affairs of Sixth Street Specialty Lending Advisers are managed by Sixth Street Specialty Lending Advisers Holdings, LLC, a Delaware limited liability company, the sole member of Sixth Street Specialty Lending Advisers. Sixth Street Specialty Lending Holdings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TSSP Holdco Management, he may be deemed to beneficially own the Sixth Street Specialty Lending Advisers Shares. Mr. Waxman disclaims beneficial ownership of the Sixth Street Specialty Lending Advisers Shares except to the extent of his pecuniary interest therein.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(8)</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upon a Schedule 13G filed with the SEC on January 12, 2021 by OTRNominee Name for The State Teachers Retirement Board of Ohio, 31640-1810. The address of the State Teachers Retirement Board of Ohio is 275 East Broad Street, Columbus, OH 43215.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oc141711_3"/>
      <w:bookmarkEnd w:id="6"/>
      <w:r>
        <w:rPr>
          <w:rFonts w:ascii="Times New Roman" w:hAnsi="Times New Roman"/>
          <w:b/>
          <w:sz w:val="20"/>
        </w:rPr>
        <w:t xml:space="preserve">PROPOSAL NO. 1 </w:t>
      </w:r>
    </w:p>
    <w:p>
      <w:pPr>
        <w:pStyle w:val="TextBody"/>
        <w:spacing w:before="0" w:after="0"/>
        <w:jc w:val="center"/>
        <w:rPr>
          <w:rFonts w:ascii="Times New Roman" w:hAnsi="Times New Roman"/>
          <w:b/>
          <w:sz w:val="20"/>
        </w:rPr>
      </w:pPr>
      <w:r>
        <w:rPr>
          <w:rFonts w:ascii="Times New Roman" w:hAnsi="Times New Roman"/>
          <w:b/>
          <w:sz w:val="20"/>
        </w:rPr>
        <w:t xml:space="preserve">AUTHORIZATION OF THE COMPANY TO SELL OR OTHERWISE ISSUE SHARES OF ITS COMMON STOCK AT A PRICE BELOW ITS THEN-CURRENT NET ASSET VALUE PER SHARE IN ONE OR MORE OFFERINGS, IN EACH CASE SUBJECT TO THE APPROVAL OF ITS BOARD OF DIRECTORS AND SUBJECT TO THE CONDITIONS SET FORTH IN THIS PROPOSAL </w:t>
      </w:r>
    </w:p>
    <w:p>
      <w:pPr>
        <w:pStyle w:val="TextBody"/>
        <w:spacing w:before="240" w:after="0"/>
        <w:jc w:val="left"/>
        <w:rPr>
          <w:rFonts w:ascii="Times New Roman" w:hAnsi="Times New Roman"/>
          <w:sz w:val="20"/>
        </w:rPr>
      </w:pPr>
      <w:r>
        <w:rPr>
          <w:rFonts w:ascii="Times New Roman" w:hAnsi="Times New Roman"/>
          <w:sz w:val="20"/>
        </w:rPr>
        <w:t xml:space="preserve">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 </w:t>
      </w:r>
    </w:p>
    <w:p>
      <w:pPr>
        <w:pStyle w:val="TextBody"/>
        <w:spacing w:before="240" w:after="0"/>
        <w:jc w:val="left"/>
        <w:rPr>
          <w:rFonts w:ascii="Times New Roman" w:hAnsi="Times New Roman"/>
          <w:sz w:val="20"/>
        </w:rPr>
      </w:pPr>
      <w:r>
        <w:rPr>
          <w:rFonts w:ascii="Times New Roman" w:hAnsi="Times New Roman"/>
          <w:sz w:val="20"/>
        </w:rPr>
        <w:t xml:space="preserve">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 </w:t>
      </w:r>
    </w:p>
    <w:p>
      <w:pPr>
        <w:pStyle w:val="TextBody"/>
        <w:spacing w:before="240" w:after="0"/>
        <w:jc w:val="left"/>
        <w:rPr>
          <w:rFonts w:ascii="Times New Roman" w:hAnsi="Times New Roman"/>
          <w:sz w:val="20"/>
        </w:rPr>
      </w:pPr>
      <w:r>
        <w:rPr>
          <w:rFonts w:ascii="Times New Roman" w:hAnsi="Times New Roman"/>
          <w:sz w:val="20"/>
        </w:rPr>
        <w:t xml:space="preserve">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 </w:t>
      </w:r>
    </w:p>
    <w:p>
      <w:pPr>
        <w:pStyle w:val="TextBody"/>
        <w:spacing w:before="240" w:after="0"/>
        <w:jc w:val="left"/>
        <w:rPr>
          <w:rFonts w:ascii="Times New Roman" w:hAnsi="Times New Roman"/>
          <w:sz w:val="20"/>
        </w:rPr>
      </w:pPr>
      <w:r>
        <w:rPr>
          <w:rFonts w:ascii="Times New Roman" w:hAnsi="Times New Roman"/>
          <w:sz w:val="20"/>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Times New Roman" w:hAnsi="Times New Roman"/>
          <w:b/>
          <w:sz w:val="20"/>
        </w:rPr>
        <w:t>There will be no limit on the percentage below net asset value per share at which shares may be sold by the Company or number of offerings, each for up to 25% of the Companys then-outstanding common stock, that the Company may conduct under this proposal for the one-year period that authorization is granted.</w:t>
      </w:r>
      <w:r>
        <w:rPr>
          <w:rFonts w:ascii="Times New Roman" w:hAnsi="Times New Roman"/>
          <w:sz w:val="20"/>
        </w:rPr>
        <w:t xml:space="preserve"> Except for such authorizations as otherwise may be required with respect to a particular issuance under applicable law, New York Stock Exchange (NYSE)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Conditions to Sales Below NAV </w:t>
      </w:r>
    </w:p>
    <w:p>
      <w:pPr>
        <w:pStyle w:val="TextBody"/>
        <w:spacing w:before="120" w:after="0"/>
        <w:jc w:val="left"/>
        <w:rPr>
          <w:rFonts w:ascii="Times New Roman" w:hAnsi="Times New Roman"/>
          <w:sz w:val="20"/>
        </w:rPr>
      </w:pPr>
      <w:r>
        <w:rPr>
          <w:rFonts w:ascii="Times New Roman" w:hAnsi="Times New Roman"/>
          <w:sz w:val="20"/>
        </w:rPr>
        <w:t xml:space="preserve">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required majority of the Companys directors have determined that any such sale would be in the best interests of the Company and its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to be issued does not exceed 25% of the Companys then-outstanding common stock immediately prior to each such offering. </w:t>
            </w:r>
          </w:p>
        </w:tc>
      </w:tr>
    </w:tbl>
    <w:p>
      <w:pPr>
        <w:pStyle w:val="TextBody"/>
        <w:spacing w:before="240" w:after="0"/>
        <w:jc w:val="left"/>
        <w:rPr>
          <w:rFonts w:ascii="Times New Roman" w:hAnsi="Times New Roman"/>
          <w:sz w:val="20"/>
        </w:rPr>
      </w:pPr>
      <w:r>
        <w:rPr>
          <w:rFonts w:ascii="Times New Roman" w:hAnsi="Times New Roman"/>
          <w:sz w:val="20"/>
        </w:rPr>
        <w:t xml:space="preserve">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 </w:t>
      </w:r>
    </w:p>
    <w:p>
      <w:pPr>
        <w:pStyle w:val="TextBody"/>
        <w:spacing w:before="360" w:after="0"/>
        <w:jc w:val="left"/>
        <w:rPr>
          <w:rFonts w:ascii="Times New Roman" w:hAnsi="Times New Roman"/>
          <w:b/>
          <w:sz w:val="20"/>
        </w:rPr>
      </w:pPr>
      <w:r>
        <w:rPr>
          <w:rFonts w:ascii="Times New Roman" w:hAnsi="Times New Roman"/>
          <w:b/>
          <w:sz w:val="20"/>
        </w:rPr>
        <w:t xml:space="preserve">Board Approval </w:t>
      </w:r>
    </w:p>
    <w:p>
      <w:pPr>
        <w:pStyle w:val="TextBody"/>
        <w:spacing w:before="120" w:after="0"/>
        <w:jc w:val="left"/>
        <w:rPr>
          <w:rFonts w:ascii="Times New Roman" w:hAnsi="Times New Roman"/>
          <w:sz w:val="20"/>
        </w:rPr>
      </w:pPr>
      <w:r>
        <w:rPr>
          <w:rFonts w:ascii="Times New Roman" w:hAnsi="Times New Roman"/>
          <w:sz w:val="20"/>
        </w:rPr>
        <w:t xml:space="preserve">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 </w:t>
      </w:r>
    </w:p>
    <w:p>
      <w:pPr>
        <w:pStyle w:val="TextBody"/>
        <w:spacing w:before="240" w:after="0"/>
        <w:jc w:val="left"/>
        <w:rPr>
          <w:rFonts w:ascii="Times New Roman" w:hAnsi="Times New Roman"/>
          <w:sz w:val="20"/>
        </w:rPr>
      </w:pPr>
      <w:r>
        <w:rPr>
          <w:rFonts w:ascii="Times New Roman" w:hAnsi="Times New Roman"/>
          <w:sz w:val="20"/>
        </w:rPr>
        <w:t xml:space="preserve">Upon obtaining the requisite stockholder approval, the Company will comply with the conditions described above in connection with any offering undertaken pursuant to this proposal. See below for a discussion of the risks of dilution. </w:t>
      </w:r>
    </w:p>
    <w:p>
      <w:pPr>
        <w:pStyle w:val="TextBody"/>
        <w:spacing w:before="360" w:after="0"/>
        <w:jc w:val="left"/>
        <w:rPr>
          <w:rFonts w:ascii="Times New Roman" w:hAnsi="Times New Roman"/>
          <w:b/>
          <w:sz w:val="20"/>
        </w:rPr>
      </w:pPr>
      <w:r>
        <w:rPr>
          <w:rFonts w:ascii="Times New Roman" w:hAnsi="Times New Roman"/>
          <w:b/>
          <w:sz w:val="20"/>
        </w:rPr>
        <w:t xml:space="preserve">Background and Reasons to Offer Common Stock Below NAV </w:t>
      </w:r>
    </w:p>
    <w:p>
      <w:pPr>
        <w:pStyle w:val="TextBody"/>
        <w:spacing w:before="120" w:after="0"/>
        <w:jc w:val="left"/>
        <w:rPr>
          <w:rFonts w:ascii="Times New Roman" w:hAnsi="Times New Roman"/>
          <w:sz w:val="20"/>
        </w:rPr>
      </w:pPr>
      <w:r>
        <w:rPr>
          <w:rFonts w:ascii="Times New Roman" w:hAnsi="Times New Roman"/>
          <w:sz w:val="20"/>
        </w:rPr>
        <w:t xml:space="preserve">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 </w:t>
      </w:r>
    </w:p>
    <w:p>
      <w:pPr>
        <w:pStyle w:val="TextBody"/>
        <w:spacing w:before="360" w:after="0"/>
        <w:jc w:val="left"/>
        <w:rPr>
          <w:rFonts w:ascii="Times New Roman" w:hAnsi="Times New Roman"/>
          <w:b/>
          <w:i/>
          <w:sz w:val="20"/>
        </w:rPr>
      </w:pPr>
      <w:r>
        <w:rPr>
          <w:rFonts w:ascii="Times New Roman" w:hAnsi="Times New Roman"/>
          <w:b/>
          <w:i/>
          <w:sz w:val="20"/>
        </w:rPr>
        <w:t xml:space="preserve">Market Conditions Have Created, and May in the Future Create, Attractive Investment and Acquisition Opportunities </w:t>
      </w:r>
    </w:p>
    <w:p>
      <w:pPr>
        <w:pStyle w:val="TextBody"/>
        <w:spacing w:before="120" w:after="0"/>
        <w:jc w:val="left"/>
        <w:rPr>
          <w:rFonts w:ascii="Times New Roman" w:hAnsi="Times New Roman"/>
          <w:sz w:val="20"/>
        </w:rPr>
      </w:pPr>
      <w:r>
        <w:rPr>
          <w:rFonts w:ascii="Times New Roman" w:hAnsi="Times New Roman"/>
          <w:sz w:val="20"/>
        </w:rPr>
        <w:t xml:space="preserve">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 </w:t>
      </w:r>
    </w:p>
    <w:p>
      <w:pPr>
        <w:pStyle w:val="TextBody"/>
        <w:spacing w:before="240" w:after="0"/>
        <w:jc w:val="left"/>
        <w:rPr>
          <w:rFonts w:ascii="Times New Roman" w:hAnsi="Times New Roman"/>
          <w:sz w:val="20"/>
        </w:rPr>
      </w:pPr>
      <w:r>
        <w:rPr>
          <w:rFonts w:ascii="Times New Roman" w:hAnsi="Times New Roman"/>
          <w:sz w:val="20"/>
        </w:rPr>
        <w:t xml:space="preserve">Since the events of 2008 and 2009, there have been continuing periods of volatility, some lasting longer and with a greater degree of magnitude than others, including recent market conditions that have been driven by the impact of COVID-19, and the widespread interruption to the functioning of the U.S. and global economies. In addition to the recent environment, the Company has seen periods during the last few years where BDCs, including the Company, have traded below NAV due to such stock market volatility. If adverse market conditions increase in severity and duration or recur,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 </w:t>
      </w:r>
    </w:p>
    <w:p>
      <w:pPr>
        <w:pStyle w:val="TextBody"/>
        <w:spacing w:before="360" w:after="0"/>
        <w:jc w:val="left"/>
        <w:rPr>
          <w:rFonts w:ascii="Times New Roman" w:hAnsi="Times New Roman"/>
          <w:b/>
          <w:i/>
          <w:sz w:val="20"/>
        </w:rPr>
      </w:pPr>
      <w:r>
        <w:rPr>
          <w:rFonts w:ascii="Times New Roman" w:hAnsi="Times New Roman"/>
          <w:b/>
          <w:i/>
          <w:sz w:val="20"/>
        </w:rPr>
        <w:t xml:space="preserve">Greater Investment Opportunities Due to Larger Capital Resources </w:t>
      </w:r>
    </w:p>
    <w:p>
      <w:pPr>
        <w:pStyle w:val="TextBody"/>
        <w:spacing w:before="120" w:after="0"/>
        <w:jc w:val="left"/>
        <w:rPr>
          <w:rFonts w:ascii="Times New Roman" w:hAnsi="Times New Roman"/>
          <w:sz w:val="20"/>
        </w:rPr>
      </w:pPr>
      <w:r>
        <w:rPr>
          <w:rFonts w:ascii="Times New Roman" w:hAnsi="Times New Roman"/>
          <w:sz w:val="20"/>
        </w:rPr>
        <w:t xml:space="preserve">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 </w:t>
      </w:r>
    </w:p>
    <w:p>
      <w:pPr>
        <w:pStyle w:val="TextBody"/>
        <w:spacing w:before="360" w:after="0"/>
        <w:jc w:val="left"/>
        <w:rPr>
          <w:rFonts w:ascii="Times New Roman" w:hAnsi="Times New Roman"/>
          <w:b/>
          <w:i/>
          <w:sz w:val="20"/>
        </w:rPr>
      </w:pPr>
      <w:r>
        <w:rPr>
          <w:rFonts w:ascii="Times New Roman" w:hAnsi="Times New Roman"/>
          <w:b/>
          <w:i/>
          <w:sz w:val="20"/>
        </w:rPr>
        <w:t xml:space="preserve">Higher Market Capitalization and Liquidity May Make the Companys Common Stock More Attractive to Investors </w:t>
      </w:r>
    </w:p>
    <w:p>
      <w:pPr>
        <w:pStyle w:val="TextBody"/>
        <w:spacing w:before="120" w:after="0"/>
        <w:jc w:val="left"/>
        <w:rPr>
          <w:rFonts w:ascii="Times New Roman" w:hAnsi="Times New Roman"/>
          <w:sz w:val="20"/>
        </w:rPr>
      </w:pPr>
      <w:r>
        <w:rPr>
          <w:rFonts w:ascii="Times New Roman" w:hAnsi="Times New Roman"/>
          <w:sz w:val="20"/>
        </w:rPr>
        <w:t xml:space="preserve">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 </w:t>
      </w:r>
    </w:p>
    <w:p>
      <w:pPr>
        <w:pStyle w:val="TextBody"/>
        <w:spacing w:before="360" w:after="0"/>
        <w:jc w:val="left"/>
        <w:rPr>
          <w:rFonts w:ascii="Times New Roman" w:hAnsi="Times New Roman"/>
          <w:b/>
          <w:i/>
          <w:sz w:val="20"/>
        </w:rPr>
      </w:pPr>
      <w:r>
        <w:rPr>
          <w:rFonts w:ascii="Times New Roman" w:hAnsi="Times New Roman"/>
          <w:b/>
          <w:i/>
          <w:sz w:val="20"/>
        </w:rPr>
        <w:t xml:space="preserve">Maintenance or Possible Increase of Dividends </w:t>
      </w:r>
    </w:p>
    <w:p>
      <w:pPr>
        <w:pStyle w:val="TextBody"/>
        <w:spacing w:before="120" w:after="0"/>
        <w:jc w:val="left"/>
        <w:rPr>
          <w:rFonts w:ascii="Times New Roman" w:hAnsi="Times New Roman"/>
          <w:sz w:val="20"/>
        </w:rPr>
      </w:pPr>
      <w:r>
        <w:rPr>
          <w:rFonts w:ascii="Times New Roman" w:hAnsi="Times New Roman"/>
          <w:sz w:val="20"/>
        </w:rPr>
        <w:t xml:space="preserve">A larger and more diversified portfolio could provide the Company with more consistent cash flow, which may support the maintenance and growth of its dividend. The Company generally distributes dividends to its stockholders quarterly and from the earnings generated during the year ended December 31, 2020, the Company declared total dividends of $1.79 per share of its common stock (including a fourth quarter variable supplemental dividend of $0.05 declared in the first quarter of 2021). The Company also declared and paid special dividends totaling $0.50 per share during the year ended December 31, 2020. Although the Company will continue to seek to generate income sufficient to pay dividends in the future, the proceeds of future offerings, and the investments thereof, could enable the Company to maintain and possibly grow its dividends, which may include a return of capital.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Reduced Expenses Per Share </w:t>
      </w:r>
    </w:p>
    <w:p>
      <w:pPr>
        <w:pStyle w:val="TextBody"/>
        <w:spacing w:before="120" w:after="0"/>
        <w:jc w:val="left"/>
        <w:rPr>
          <w:rFonts w:ascii="Times New Roman" w:hAnsi="Times New Roman"/>
          <w:sz w:val="20"/>
        </w:rPr>
      </w:pPr>
      <w:r>
        <w:rPr>
          <w:rFonts w:ascii="Times New Roman" w:hAnsi="Times New Roman"/>
          <w:sz w:val="20"/>
        </w:rPr>
        <w:t xml:space="preserve">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 </w:t>
      </w:r>
    </w:p>
    <w:p>
      <w:pPr>
        <w:pStyle w:val="TextBody"/>
        <w:spacing w:before="360" w:after="0"/>
        <w:jc w:val="left"/>
        <w:rPr>
          <w:rFonts w:ascii="Times New Roman" w:hAnsi="Times New Roman"/>
          <w:b/>
          <w:i/>
          <w:sz w:val="20"/>
        </w:rPr>
      </w:pPr>
      <w:r>
        <w:rPr>
          <w:rFonts w:ascii="Times New Roman" w:hAnsi="Times New Roman"/>
          <w:b/>
          <w:i/>
          <w:sz w:val="20"/>
        </w:rPr>
        <w:t xml:space="preserve">Status as a BDC and RIC and Maintaining a Favorable Debt-to-Equity Ratio </w:t>
      </w:r>
    </w:p>
    <w:p>
      <w:pPr>
        <w:pStyle w:val="TextBody"/>
        <w:spacing w:before="120" w:after="0"/>
        <w:jc w:val="left"/>
        <w:rPr>
          <w:rFonts w:ascii="Times New Roman" w:hAnsi="Times New Roman"/>
          <w:sz w:val="20"/>
        </w:rPr>
      </w:pPr>
      <w:r>
        <w:rPr>
          <w:rFonts w:ascii="Times New Roman" w:hAnsi="Times New Roman"/>
          <w:sz w:val="20"/>
        </w:rPr>
        <w:t xml:space="preserve">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 </w:t>
      </w:r>
    </w:p>
    <w:p>
      <w:pPr>
        <w:pStyle w:val="TextBody"/>
        <w:spacing w:before="240" w:after="0"/>
        <w:jc w:val="left"/>
        <w:rPr>
          <w:rFonts w:ascii="Times New Roman" w:hAnsi="Times New Roman"/>
          <w:sz w:val="20"/>
        </w:rPr>
      </w:pPr>
      <w:r>
        <w:rPr>
          <w:rFonts w:ascii="Times New Roman" w:hAnsi="Times New Roman"/>
          <w:sz w:val="20"/>
        </w:rPr>
        <w:t xml:space="preserve">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Trading History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for each fiscal quarter during the last three fiscal years and the first quarter of the current fiscal year, the NAV of the Companys common stock, the range of high and low closing sales prices of its common stock as reported on the NYSE and the closing sales price as a premium (discount) to NAV. On                 , 2021, the last reported closing sales price of the Companys common stock on the NYSE was $                 per share, which represented a [discount] [premium] of approximately                 % to the NAV reported by the Company as of December 31,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725"/>
        <w:gridCol w:w="171"/>
        <w:gridCol w:w="140"/>
        <w:gridCol w:w="659"/>
        <w:gridCol w:w="60"/>
        <w:gridCol w:w="171"/>
        <w:gridCol w:w="140"/>
        <w:gridCol w:w="604"/>
        <w:gridCol w:w="60"/>
        <w:gridCol w:w="171"/>
        <w:gridCol w:w="140"/>
        <w:gridCol w:w="604"/>
        <w:gridCol w:w="60"/>
        <w:gridCol w:w="171"/>
        <w:gridCol w:w="107"/>
        <w:gridCol w:w="1172"/>
        <w:gridCol w:w="282"/>
        <w:gridCol w:w="115"/>
        <w:gridCol w:w="93"/>
        <w:gridCol w:w="1034"/>
        <w:gridCol w:w="351"/>
        <w:gridCol w:w="116"/>
        <w:gridCol w:w="240"/>
        <w:gridCol w:w="752"/>
        <w:gridCol w:w="67"/>
      </w:tblGrid>
      <w:tr>
        <w:trPr/>
        <w:tc>
          <w:tcPr>
            <w:tcW w:w="272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2725" w:type="dxa"/>
            <w:vMerge w:val="restart"/>
            <w:tcBorders/>
            <w:shd w:fill="auto" w:val="clear"/>
            <w:vAlign w:val="bottom"/>
          </w:tcPr>
          <w:p>
            <w:pPr>
              <w:pStyle w:val="TableContents"/>
              <w:spacing w:before="0" w:after="283"/>
              <w:rPr/>
            </w:pPr>
            <w:r>
              <w:rPr/>
              <w:t> </w:t>
            </w:r>
          </w:p>
        </w:tc>
        <w:tc>
          <w:tcPr>
            <w:tcW w:w="171" w:type="dxa"/>
            <w:vMerge w:val="restart"/>
            <w:tcBorders/>
            <w:shd w:fill="auto" w:val="clear"/>
            <w:vAlign w:val="bottom"/>
          </w:tcPr>
          <w:p>
            <w:pPr>
              <w:pStyle w:val="TableContents"/>
              <w:spacing w:before="0" w:after="283"/>
              <w:rPr/>
            </w:pPr>
            <w:r>
              <w:rPr/>
              <w:t>  </w:t>
            </w:r>
          </w:p>
        </w:tc>
        <w:tc>
          <w:tcPr>
            <w:tcW w:w="799"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NAV(1)</w:t>
            </w:r>
          </w:p>
        </w:tc>
        <w:tc>
          <w:tcPr>
            <w:tcW w:w="60" w:type="dxa"/>
            <w:vMerge w:val="restart"/>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719" w:type="dxa"/>
            <w:gridSpan w:val="6"/>
            <w:tcBorders>
              <w:bottom w:val="single" w:sz="8" w:space="0" w:color="000000"/>
            </w:tcBorders>
            <w:shd w:fill="auto" w:val="clear"/>
            <w:tcMar>
              <w:bottom w:w="28" w:type="dxa"/>
            </w:tcMar>
          </w:tcPr>
          <w:p>
            <w:pPr>
              <w:pStyle w:val="TableContents"/>
              <w:spacing w:before="0" w:after="283"/>
              <w:jc w:val="center"/>
              <w:rPr>
                <w:b/>
              </w:rPr>
            </w:pPr>
            <w:r>
              <w:rPr>
                <w:b/>
              </w:rPr>
              <w:t>Price Range</w:t>
            </w:r>
          </w:p>
        </w:tc>
        <w:tc>
          <w:tcPr>
            <w:tcW w:w="60" w:type="dxa"/>
            <w:tcBorders/>
            <w:shd w:fill="auto" w:val="clear"/>
            <w:vAlign w:val="bottom"/>
          </w:tcPr>
          <w:p>
            <w:pPr>
              <w:pStyle w:val="TableContents"/>
              <w:spacing w:before="0" w:after="283"/>
              <w:rPr/>
            </w:pPr>
            <w:r>
              <w:rPr/>
              <w:t> </w:t>
            </w:r>
          </w:p>
        </w:tc>
        <w:tc>
          <w:tcPr>
            <w:tcW w:w="171" w:type="dxa"/>
            <w:vMerge w:val="restart"/>
            <w:tcBorders/>
            <w:shd w:fill="auto" w:val="clear"/>
            <w:vAlign w:val="bottom"/>
          </w:tcPr>
          <w:p>
            <w:pPr>
              <w:pStyle w:val="TableContents"/>
              <w:spacing w:before="0" w:after="283"/>
              <w:rPr/>
            </w:pPr>
            <w:r>
              <w:rPr/>
              <w:t>  </w:t>
            </w:r>
          </w:p>
        </w:tc>
        <w:tc>
          <w:tcPr>
            <w:tcW w:w="1279"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High Sales</w:t>
              <w:br/>
              <w:t>Price to Net</w:t>
              <w:br/>
              <w:t>Asset</w:t>
              <w:br/>
              <w:t>Value(2)</w:t>
            </w:r>
          </w:p>
        </w:tc>
        <w:tc>
          <w:tcPr>
            <w:tcW w:w="282" w:type="dxa"/>
            <w:vMerge w:val="restart"/>
            <w:tcBorders/>
            <w:shd w:fill="auto" w:val="clear"/>
            <w:vAlign w:val="bottom"/>
          </w:tcPr>
          <w:p>
            <w:pPr>
              <w:pStyle w:val="TableContents"/>
              <w:spacing w:before="0" w:after="283"/>
              <w:rPr/>
            </w:pPr>
            <w:r>
              <w:rPr/>
              <w:t> </w:t>
            </w:r>
          </w:p>
        </w:tc>
        <w:tc>
          <w:tcPr>
            <w:tcW w:w="115" w:type="dxa"/>
            <w:vMerge w:val="restart"/>
            <w:tcBorders/>
            <w:shd w:fill="auto" w:val="clear"/>
            <w:vAlign w:val="bottom"/>
          </w:tcPr>
          <w:p>
            <w:pPr>
              <w:pStyle w:val="TableContents"/>
              <w:spacing w:before="0" w:after="283"/>
              <w:rPr/>
            </w:pPr>
            <w:r>
              <w:rPr/>
              <w:t> </w:t>
            </w:r>
          </w:p>
        </w:tc>
        <w:tc>
          <w:tcPr>
            <w:tcW w:w="1127"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Low Sales</w:t>
              <w:br/>
              <w:t>Price to</w:t>
              <w:br/>
              <w:t>Net Asset</w:t>
              <w:br/>
              <w:t>Value(2)</w:t>
            </w:r>
          </w:p>
        </w:tc>
        <w:tc>
          <w:tcPr>
            <w:tcW w:w="351" w:type="dxa"/>
            <w:vMerge w:val="restart"/>
            <w:tcBorders/>
            <w:shd w:fill="auto" w:val="clear"/>
            <w:vAlign w:val="bottom"/>
          </w:tcPr>
          <w:p>
            <w:pPr>
              <w:pStyle w:val="TableContents"/>
              <w:spacing w:before="0" w:after="283"/>
              <w:rPr/>
            </w:pPr>
            <w:r>
              <w:rPr/>
              <w:t> </w:t>
            </w:r>
          </w:p>
        </w:tc>
        <w:tc>
          <w:tcPr>
            <w:tcW w:w="116" w:type="dxa"/>
            <w:vMerge w:val="restart"/>
            <w:tcBorders/>
            <w:shd w:fill="auto" w:val="clear"/>
            <w:vAlign w:val="bottom"/>
          </w:tcPr>
          <w:p>
            <w:pPr>
              <w:pStyle w:val="TableContents"/>
              <w:spacing w:before="0" w:after="283"/>
              <w:rPr/>
            </w:pPr>
            <w:r>
              <w:rPr/>
              <w:t> </w:t>
            </w:r>
          </w:p>
        </w:tc>
        <w:tc>
          <w:tcPr>
            <w:tcW w:w="992"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Cash</w:t>
              <w:br/>
              <w:t>Dividend</w:t>
              <w:br/>
              <w:t>Per</w:t>
              <w:br/>
              <w:t>Share(3)</w:t>
            </w:r>
          </w:p>
        </w:tc>
        <w:tc>
          <w:tcPr>
            <w:tcW w:w="67" w:type="dxa"/>
            <w:vMerge w:val="restart"/>
            <w:tcBorders/>
            <w:shd w:fill="auto" w:val="clear"/>
            <w:vAlign w:val="bottom"/>
          </w:tcPr>
          <w:p>
            <w:pPr>
              <w:pStyle w:val="TableContents"/>
              <w:spacing w:before="0" w:after="283"/>
              <w:rPr/>
            </w:pPr>
            <w:r>
              <w:rPr/>
              <w:t> </w:t>
            </w:r>
          </w:p>
        </w:tc>
      </w:tr>
      <w:tr>
        <w:trPr/>
        <w:tc>
          <w:tcPr>
            <w:tcW w:w="2725" w:type="dxa"/>
            <w:vMerge w:val="continue"/>
            <w:tcBorders/>
            <w:shd w:fill="auto" w:val="clear"/>
            <w:vAlign w:val="bottom"/>
          </w:tcPr>
          <w:p>
            <w:pPr>
              <w:pStyle w:val="Normal"/>
              <w:rPr/>
            </w:pPr>
            <w:r>
              <w:rPr/>
            </w:r>
          </w:p>
        </w:tc>
        <w:tc>
          <w:tcPr>
            <w:tcW w:w="171" w:type="dxa"/>
            <w:vMerge w:val="continue"/>
            <w:tcBorders/>
            <w:shd w:fill="auto" w:val="clear"/>
            <w:vAlign w:val="bottom"/>
          </w:tcPr>
          <w:p>
            <w:pPr>
              <w:pStyle w:val="Normal"/>
              <w:rPr/>
            </w:pPr>
            <w:r>
              <w:rPr/>
            </w:r>
          </w:p>
        </w:tc>
        <w:tc>
          <w:tcPr>
            <w:tcW w:w="799"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171" w:type="dxa"/>
            <w:tcBorders/>
            <w:shd w:fill="auto" w:val="clear"/>
            <w:vAlign w:val="bottom"/>
          </w:tcPr>
          <w:p>
            <w:pPr>
              <w:pStyle w:val="TableContents"/>
              <w:spacing w:before="0" w:after="283"/>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High</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Low</w:t>
            </w:r>
          </w:p>
        </w:tc>
        <w:tc>
          <w:tcPr>
            <w:tcW w:w="60" w:type="dxa"/>
            <w:tcBorders/>
            <w:shd w:fill="auto" w:val="clear"/>
            <w:vAlign w:val="bottom"/>
          </w:tcPr>
          <w:p>
            <w:pPr>
              <w:pStyle w:val="TableContents"/>
              <w:spacing w:before="0" w:after="283"/>
              <w:rPr/>
            </w:pPr>
            <w:r>
              <w:rPr/>
              <w:t> </w:t>
            </w:r>
          </w:p>
        </w:tc>
        <w:tc>
          <w:tcPr>
            <w:tcW w:w="171" w:type="dxa"/>
            <w:vMerge w:val="continue"/>
            <w:tcBorders/>
            <w:shd w:fill="auto" w:val="clear"/>
            <w:vAlign w:val="bottom"/>
          </w:tcPr>
          <w:p>
            <w:pPr>
              <w:pStyle w:val="Normal"/>
              <w:rPr/>
            </w:pPr>
            <w:r>
              <w:rPr/>
            </w:r>
          </w:p>
        </w:tc>
        <w:tc>
          <w:tcPr>
            <w:tcW w:w="1279" w:type="dxa"/>
            <w:gridSpan w:val="2"/>
            <w:vMerge w:val="continue"/>
            <w:tcBorders>
              <w:bottom w:val="single" w:sz="8" w:space="0" w:color="000000"/>
            </w:tcBorders>
            <w:shd w:fill="auto" w:val="clear"/>
            <w:tcMar>
              <w:bottom w:w="28" w:type="dxa"/>
            </w:tcMar>
            <w:vAlign w:val="bottom"/>
          </w:tcPr>
          <w:p>
            <w:pPr>
              <w:pStyle w:val="Normal"/>
              <w:rPr/>
            </w:pPr>
            <w:r>
              <w:rPr/>
            </w:r>
          </w:p>
        </w:tc>
        <w:tc>
          <w:tcPr>
            <w:tcW w:w="282" w:type="dxa"/>
            <w:vMerge w:val="continue"/>
            <w:tcBorders/>
            <w:shd w:fill="auto" w:val="clear"/>
            <w:vAlign w:val="bottom"/>
          </w:tcPr>
          <w:p>
            <w:pPr>
              <w:pStyle w:val="Normal"/>
              <w:rPr/>
            </w:pPr>
            <w:r>
              <w:rPr/>
            </w:r>
          </w:p>
        </w:tc>
        <w:tc>
          <w:tcPr>
            <w:tcW w:w="115" w:type="dxa"/>
            <w:vMerge w:val="continue"/>
            <w:tcBorders/>
            <w:shd w:fill="auto" w:val="clear"/>
            <w:vAlign w:val="bottom"/>
          </w:tcPr>
          <w:p>
            <w:pPr>
              <w:pStyle w:val="Normal"/>
              <w:rPr/>
            </w:pPr>
            <w:r>
              <w:rPr/>
            </w:r>
          </w:p>
        </w:tc>
        <w:tc>
          <w:tcPr>
            <w:tcW w:w="1127" w:type="dxa"/>
            <w:gridSpan w:val="2"/>
            <w:vMerge w:val="continue"/>
            <w:tcBorders>
              <w:bottom w:val="single" w:sz="8" w:space="0" w:color="000000"/>
            </w:tcBorders>
            <w:shd w:fill="auto" w:val="clear"/>
            <w:tcMar>
              <w:bottom w:w="28" w:type="dxa"/>
            </w:tcMar>
            <w:vAlign w:val="bottom"/>
          </w:tcPr>
          <w:p>
            <w:pPr>
              <w:pStyle w:val="Normal"/>
              <w:rPr/>
            </w:pPr>
            <w:r>
              <w:rPr/>
            </w:r>
          </w:p>
        </w:tc>
        <w:tc>
          <w:tcPr>
            <w:tcW w:w="351" w:type="dxa"/>
            <w:vMerge w:val="continue"/>
            <w:tcBorders/>
            <w:shd w:fill="auto" w:val="clear"/>
            <w:vAlign w:val="bottom"/>
          </w:tcPr>
          <w:p>
            <w:pPr>
              <w:pStyle w:val="Normal"/>
              <w:rPr/>
            </w:pPr>
            <w:r>
              <w:rPr/>
            </w:r>
          </w:p>
        </w:tc>
        <w:tc>
          <w:tcPr>
            <w:tcW w:w="116" w:type="dxa"/>
            <w:vMerge w:val="continue"/>
            <w:tcBorders/>
            <w:shd w:fill="auto" w:val="clear"/>
            <w:vAlign w:val="bottom"/>
          </w:tcPr>
          <w:p>
            <w:pPr>
              <w:pStyle w:val="Normal"/>
              <w:rPr/>
            </w:pPr>
            <w:r>
              <w:rPr/>
            </w:r>
          </w:p>
        </w:tc>
        <w:tc>
          <w:tcPr>
            <w:tcW w:w="992" w:type="dxa"/>
            <w:gridSpan w:val="2"/>
            <w:vMerge w:val="continue"/>
            <w:tcBorders>
              <w:bottom w:val="single" w:sz="8" w:space="0" w:color="000000"/>
            </w:tcBorders>
            <w:shd w:fill="auto" w:val="clear"/>
            <w:tcMar>
              <w:bottom w:w="28" w:type="dxa"/>
            </w:tcMar>
            <w:vAlign w:val="bottom"/>
          </w:tcPr>
          <w:p>
            <w:pPr>
              <w:pStyle w:val="Normal"/>
              <w:rPr/>
            </w:pPr>
            <w:r>
              <w:rPr/>
            </w:r>
          </w:p>
        </w:tc>
        <w:tc>
          <w:tcPr>
            <w:tcW w:w="67" w:type="dxa"/>
            <w:vMerge w:val="continue"/>
            <w:tcBorders/>
            <w:shd w:fill="auto" w:val="clear"/>
            <w:vAlign w:val="bottom"/>
          </w:tcPr>
          <w:p>
            <w:pPr>
              <w:pStyle w:val="Normal"/>
              <w:rPr/>
            </w:pPr>
            <w:r>
              <w:rPr/>
            </w:r>
          </w:p>
        </w:tc>
      </w:tr>
      <w:tr>
        <w:trPr/>
        <w:tc>
          <w:tcPr>
            <w:tcW w:w="2725" w:type="dxa"/>
            <w:tcBorders/>
            <w:shd w:fill="CCEEFF" w:val="clear"/>
          </w:tcPr>
          <w:p>
            <w:pPr>
              <w:pStyle w:val="TableContents"/>
              <w:spacing w:before="0" w:after="0"/>
              <w:rPr>
                <w:rFonts w:ascii="Times New Roman" w:hAnsi="Times New Roman"/>
                <w:b/>
                <w:sz w:val="20"/>
              </w:rPr>
            </w:pPr>
            <w:r>
              <w:rPr>
                <w:rFonts w:ascii="Times New Roman" w:hAnsi="Times New Roman"/>
                <w:b/>
                <w:sz w:val="20"/>
              </w:rPr>
              <w:t>Year ended December 31, 2018</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5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sz w:val="4"/>
                <w:szCs w:val="4"/>
              </w:rPr>
            </w:pPr>
            <w:r>
              <w:rPr>
                <w:sz w:val="4"/>
                <w:szCs w:val="4"/>
              </w:rPr>
            </w:r>
          </w:p>
        </w:tc>
        <w:tc>
          <w:tcPr>
            <w:tcW w:w="1172"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11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1034"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752"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rPr/>
        <w:tc>
          <w:tcPr>
            <w:tcW w:w="2725" w:type="dxa"/>
            <w:tcBorders/>
            <w:shd w:fill="auto" w:val="clear"/>
          </w:tcPr>
          <w:p>
            <w:pPr>
              <w:pStyle w:val="TableContents"/>
              <w:spacing w:before="0" w:after="0"/>
              <w:rPr>
                <w:rFonts w:ascii="Times New Roman" w:hAnsi="Times New Roman"/>
                <w:sz w:val="20"/>
              </w:rPr>
            </w:pPr>
            <w:r>
              <w:rPr>
                <w:rFonts w:ascii="Times New Roman" w:hAnsi="Times New Roman"/>
                <w:sz w:val="20"/>
              </w:rPr>
              <w:t>First Quarter</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59" w:type="dxa"/>
            <w:tcBorders/>
            <w:shd w:fill="auto" w:val="clear"/>
            <w:vAlign w:val="bottom"/>
          </w:tcPr>
          <w:p>
            <w:pPr>
              <w:pStyle w:val="TableContents"/>
              <w:spacing w:before="0" w:after="283"/>
              <w:jc w:val="right"/>
              <w:rPr/>
            </w:pPr>
            <w:r>
              <w:rPr/>
              <w:t>16.27</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4" w:type="dxa"/>
            <w:tcBorders/>
            <w:shd w:fill="auto" w:val="clear"/>
            <w:vAlign w:val="bottom"/>
          </w:tcPr>
          <w:p>
            <w:pPr>
              <w:pStyle w:val="TableContents"/>
              <w:spacing w:before="0" w:after="283"/>
              <w:jc w:val="right"/>
              <w:rPr/>
            </w:pPr>
            <w:r>
              <w:rPr/>
              <w:t>20.06</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4" w:type="dxa"/>
            <w:tcBorders/>
            <w:shd w:fill="auto" w:val="clear"/>
            <w:vAlign w:val="bottom"/>
          </w:tcPr>
          <w:p>
            <w:pPr>
              <w:pStyle w:val="TableContents"/>
              <w:spacing w:before="0" w:after="283"/>
              <w:jc w:val="right"/>
              <w:rPr/>
            </w:pPr>
            <w:r>
              <w:rPr/>
              <w:t>17.47</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spacing w:before="0" w:after="283"/>
              <w:jc w:val="right"/>
              <w:rPr/>
            </w:pPr>
            <w:r>
              <w:rPr/>
              <w:t>23.3</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7.4</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752" w:type="dxa"/>
            <w:tcBorders/>
            <w:shd w:fill="auto" w:val="clear"/>
            <w:vAlign w:val="bottom"/>
          </w:tcPr>
          <w:p>
            <w:pPr>
              <w:pStyle w:val="TableContents"/>
              <w:spacing w:before="0" w:after="283"/>
              <w:jc w:val="right"/>
              <w:rPr/>
            </w:pPr>
            <w:r>
              <w:rPr/>
              <w:t>0.42</w:t>
            </w:r>
          </w:p>
        </w:tc>
        <w:tc>
          <w:tcPr>
            <w:tcW w:w="67" w:type="dxa"/>
            <w:tcBorders/>
            <w:shd w:fill="auto" w:val="clear"/>
            <w:vAlign w:val="bottom"/>
          </w:tcPr>
          <w:p>
            <w:pPr>
              <w:pStyle w:val="TableContents"/>
              <w:spacing w:before="0" w:after="283"/>
              <w:rPr/>
            </w:pPr>
            <w:r>
              <w:rPr/>
              <w:t> </w:t>
            </w:r>
          </w:p>
        </w:tc>
      </w:tr>
      <w:tr>
        <w:trPr/>
        <w:tc>
          <w:tcPr>
            <w:tcW w:w="2725" w:type="dxa"/>
            <w:tcBorders/>
            <w:shd w:fill="CCEEFF" w:val="clear"/>
          </w:tcPr>
          <w:p>
            <w:pPr>
              <w:pStyle w:val="TableContents"/>
              <w:spacing w:before="0" w:after="0"/>
              <w:rPr>
                <w:rFonts w:ascii="Times New Roman" w:hAnsi="Times New Roman"/>
                <w:sz w:val="20"/>
              </w:rPr>
            </w:pPr>
            <w:r>
              <w:rPr>
                <w:rFonts w:ascii="Times New Roman" w:hAnsi="Times New Roman"/>
                <w:sz w:val="20"/>
              </w:rPr>
              <w:t>Second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59" w:type="dxa"/>
            <w:tcBorders/>
            <w:shd w:fill="CCEEFF" w:val="clear"/>
            <w:vAlign w:val="bottom"/>
          </w:tcPr>
          <w:p>
            <w:pPr>
              <w:pStyle w:val="TableContents"/>
              <w:spacing w:before="0" w:after="283"/>
              <w:jc w:val="right"/>
              <w:rPr/>
            </w:pPr>
            <w:r>
              <w:rPr/>
              <w:t>16.36</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19.19</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17.51</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pPr>
            <w:r>
              <w:rPr/>
              <w:t>17.3</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7.0</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752" w:type="dxa"/>
            <w:tcBorders/>
            <w:shd w:fill="CCEEFF" w:val="clear"/>
            <w:vAlign w:val="bottom"/>
          </w:tcPr>
          <w:p>
            <w:pPr>
              <w:pStyle w:val="TableContents"/>
              <w:spacing w:before="0" w:after="283"/>
              <w:jc w:val="right"/>
              <w:rPr/>
            </w:pPr>
            <w:r>
              <w:rPr/>
              <w:t>0.45</w:t>
            </w:r>
          </w:p>
        </w:tc>
        <w:tc>
          <w:tcPr>
            <w:tcW w:w="67" w:type="dxa"/>
            <w:tcBorders/>
            <w:shd w:fill="CCEEFF" w:val="clear"/>
            <w:vAlign w:val="bottom"/>
          </w:tcPr>
          <w:p>
            <w:pPr>
              <w:pStyle w:val="TableContents"/>
              <w:spacing w:before="0" w:after="283"/>
              <w:rPr/>
            </w:pPr>
            <w:r>
              <w:rPr/>
              <w:t> </w:t>
            </w:r>
          </w:p>
        </w:tc>
      </w:tr>
      <w:tr>
        <w:trPr/>
        <w:tc>
          <w:tcPr>
            <w:tcW w:w="2725" w:type="dxa"/>
            <w:tcBorders/>
            <w:shd w:fill="auto" w:val="clear"/>
          </w:tcPr>
          <w:p>
            <w:pPr>
              <w:pStyle w:val="TableContents"/>
              <w:spacing w:before="0" w:after="0"/>
              <w:rPr>
                <w:rFonts w:ascii="Times New Roman" w:hAnsi="Times New Roman"/>
                <w:sz w:val="20"/>
              </w:rPr>
            </w:pPr>
            <w:r>
              <w:rPr>
                <w:rFonts w:ascii="Times New Roman" w:hAnsi="Times New Roman"/>
                <w:sz w:val="20"/>
              </w:rPr>
              <w:t>Third Quarter</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59" w:type="dxa"/>
            <w:tcBorders/>
            <w:shd w:fill="auto" w:val="clear"/>
            <w:vAlign w:val="bottom"/>
          </w:tcPr>
          <w:p>
            <w:pPr>
              <w:pStyle w:val="TableContents"/>
              <w:spacing w:before="0" w:after="283"/>
              <w:jc w:val="right"/>
              <w:rPr/>
            </w:pPr>
            <w:r>
              <w:rPr/>
              <w:t>16.47</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4" w:type="dxa"/>
            <w:tcBorders/>
            <w:shd w:fill="auto" w:val="clear"/>
            <w:vAlign w:val="bottom"/>
          </w:tcPr>
          <w:p>
            <w:pPr>
              <w:pStyle w:val="TableContents"/>
              <w:spacing w:before="0" w:after="283"/>
              <w:jc w:val="right"/>
              <w:rPr/>
            </w:pPr>
            <w:r>
              <w:rPr/>
              <w:t>20.71</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4" w:type="dxa"/>
            <w:tcBorders/>
            <w:shd w:fill="auto" w:val="clear"/>
            <w:vAlign w:val="bottom"/>
          </w:tcPr>
          <w:p>
            <w:pPr>
              <w:pStyle w:val="TableContents"/>
              <w:spacing w:before="0" w:after="283"/>
              <w:jc w:val="right"/>
              <w:rPr/>
            </w:pPr>
            <w:r>
              <w:rPr/>
              <w:t>18.04</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spacing w:before="0" w:after="283"/>
              <w:jc w:val="right"/>
              <w:rPr/>
            </w:pPr>
            <w:r>
              <w:rPr/>
              <w:t>25.7</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9.5</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752" w:type="dxa"/>
            <w:tcBorders/>
            <w:shd w:fill="auto" w:val="clear"/>
            <w:vAlign w:val="bottom"/>
          </w:tcPr>
          <w:p>
            <w:pPr>
              <w:pStyle w:val="TableContents"/>
              <w:spacing w:before="0" w:after="283"/>
              <w:jc w:val="right"/>
              <w:rPr/>
            </w:pPr>
            <w:r>
              <w:rPr/>
              <w:t>0.47</w:t>
            </w:r>
          </w:p>
        </w:tc>
        <w:tc>
          <w:tcPr>
            <w:tcW w:w="67" w:type="dxa"/>
            <w:tcBorders/>
            <w:shd w:fill="auto" w:val="clear"/>
            <w:vAlign w:val="bottom"/>
          </w:tcPr>
          <w:p>
            <w:pPr>
              <w:pStyle w:val="TableContents"/>
              <w:spacing w:before="0" w:after="283"/>
              <w:rPr/>
            </w:pPr>
            <w:r>
              <w:rPr/>
              <w:t> </w:t>
            </w:r>
          </w:p>
        </w:tc>
      </w:tr>
      <w:tr>
        <w:trPr/>
        <w:tc>
          <w:tcPr>
            <w:tcW w:w="2725" w:type="dxa"/>
            <w:tcBorders/>
            <w:shd w:fill="CCEEFF" w:val="clear"/>
          </w:tcPr>
          <w:p>
            <w:pPr>
              <w:pStyle w:val="TableContents"/>
              <w:spacing w:before="0" w:after="0"/>
              <w:rPr>
                <w:rFonts w:ascii="Times New Roman" w:hAnsi="Times New Roman"/>
                <w:sz w:val="20"/>
              </w:rPr>
            </w:pPr>
            <w:r>
              <w:rPr>
                <w:rFonts w:ascii="Times New Roman" w:hAnsi="Times New Roman"/>
                <w:sz w:val="20"/>
              </w:rPr>
              <w:t>Fourth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59" w:type="dxa"/>
            <w:tcBorders/>
            <w:shd w:fill="CCEEFF" w:val="clear"/>
            <w:vAlign w:val="bottom"/>
          </w:tcPr>
          <w:p>
            <w:pPr>
              <w:pStyle w:val="TableContents"/>
              <w:spacing w:before="0" w:after="283"/>
              <w:jc w:val="right"/>
              <w:rPr/>
            </w:pPr>
            <w:r>
              <w:rPr/>
              <w:t>16.25</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21.00</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18.09</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pPr>
            <w:r>
              <w:rPr/>
              <w:t>29.2</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11.3</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752" w:type="dxa"/>
            <w:tcBorders/>
            <w:shd w:fill="CCEEFF" w:val="clear"/>
            <w:vAlign w:val="bottom"/>
          </w:tcPr>
          <w:p>
            <w:pPr>
              <w:pStyle w:val="TableContents"/>
              <w:spacing w:before="0" w:after="283"/>
              <w:jc w:val="right"/>
              <w:rPr/>
            </w:pPr>
            <w:r>
              <w:rPr/>
              <w:t>0.44</w:t>
            </w:r>
          </w:p>
        </w:tc>
        <w:tc>
          <w:tcPr>
            <w:tcW w:w="67" w:type="dxa"/>
            <w:tcBorders/>
            <w:shd w:fill="CCEEFF" w:val="clear"/>
            <w:vAlign w:val="bottom"/>
          </w:tcPr>
          <w:p>
            <w:pPr>
              <w:pStyle w:val="TableContents"/>
              <w:spacing w:before="0" w:after="283"/>
              <w:rPr/>
            </w:pPr>
            <w:r>
              <w:rPr/>
              <w:t> </w:t>
            </w:r>
          </w:p>
        </w:tc>
      </w:tr>
      <w:tr>
        <w:trPr/>
        <w:tc>
          <w:tcPr>
            <w:tcW w:w="2725" w:type="dxa"/>
            <w:tcBorders/>
            <w:shd w:fill="auto" w:val="clear"/>
          </w:tcPr>
          <w:p>
            <w:pPr>
              <w:pStyle w:val="TableContents"/>
              <w:spacing w:before="0" w:after="0"/>
              <w:rPr>
                <w:rFonts w:ascii="Times New Roman" w:hAnsi="Times New Roman"/>
                <w:b/>
                <w:sz w:val="20"/>
              </w:rPr>
            </w:pPr>
            <w:r>
              <w:rPr>
                <w:rFonts w:ascii="Times New Roman" w:hAnsi="Times New Roman"/>
                <w:b/>
                <w:sz w:val="20"/>
              </w:rPr>
              <w:t>Year ended December 31, 2019</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5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sz w:val="4"/>
                <w:szCs w:val="4"/>
              </w:rPr>
            </w:pPr>
            <w:r>
              <w:rPr>
                <w:sz w:val="4"/>
                <w:szCs w:val="4"/>
              </w:rPr>
            </w:r>
          </w:p>
        </w:tc>
        <w:tc>
          <w:tcPr>
            <w:tcW w:w="1172"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1034"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752"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c>
          <w:tcPr>
            <w:tcW w:w="2725" w:type="dxa"/>
            <w:tcBorders/>
            <w:shd w:fill="CCEEFF" w:val="clear"/>
          </w:tcPr>
          <w:p>
            <w:pPr>
              <w:pStyle w:val="TableContents"/>
              <w:spacing w:before="0" w:after="0"/>
              <w:rPr>
                <w:rFonts w:ascii="Times New Roman" w:hAnsi="Times New Roman"/>
                <w:sz w:val="20"/>
              </w:rPr>
            </w:pPr>
            <w:r>
              <w:rPr>
                <w:rFonts w:ascii="Times New Roman" w:hAnsi="Times New Roman"/>
                <w:sz w:val="20"/>
              </w:rPr>
              <w:t>First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59" w:type="dxa"/>
            <w:tcBorders/>
            <w:shd w:fill="CCEEFF" w:val="clear"/>
            <w:vAlign w:val="bottom"/>
          </w:tcPr>
          <w:p>
            <w:pPr>
              <w:pStyle w:val="TableContents"/>
              <w:spacing w:before="0" w:after="283"/>
              <w:jc w:val="right"/>
              <w:rPr/>
            </w:pPr>
            <w:r>
              <w:rPr/>
              <w:t>16.34</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20.99</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18.44</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pPr>
            <w:r>
              <w:rPr/>
              <w:t>28.5</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12.9</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752" w:type="dxa"/>
            <w:tcBorders/>
            <w:shd w:fill="CCEEFF" w:val="clear"/>
            <w:vAlign w:val="bottom"/>
          </w:tcPr>
          <w:p>
            <w:pPr>
              <w:pStyle w:val="TableContents"/>
              <w:spacing w:before="0" w:after="283"/>
              <w:jc w:val="right"/>
              <w:rPr/>
            </w:pPr>
            <w:r>
              <w:rPr/>
              <w:t>0.51</w:t>
            </w:r>
          </w:p>
        </w:tc>
        <w:tc>
          <w:tcPr>
            <w:tcW w:w="67" w:type="dxa"/>
            <w:tcBorders/>
            <w:shd w:fill="CCEEFF" w:val="clear"/>
            <w:vAlign w:val="bottom"/>
          </w:tcPr>
          <w:p>
            <w:pPr>
              <w:pStyle w:val="TableContents"/>
              <w:spacing w:before="0" w:after="283"/>
              <w:rPr/>
            </w:pPr>
            <w:r>
              <w:rPr/>
              <w:t> </w:t>
            </w:r>
          </w:p>
        </w:tc>
      </w:tr>
      <w:tr>
        <w:trPr/>
        <w:tc>
          <w:tcPr>
            <w:tcW w:w="2725" w:type="dxa"/>
            <w:tcBorders/>
            <w:shd w:fill="auto" w:val="clear"/>
          </w:tcPr>
          <w:p>
            <w:pPr>
              <w:pStyle w:val="TableContents"/>
              <w:spacing w:before="0" w:after="0"/>
              <w:rPr>
                <w:rFonts w:ascii="Times New Roman" w:hAnsi="Times New Roman"/>
                <w:sz w:val="20"/>
              </w:rPr>
            </w:pPr>
            <w:r>
              <w:rPr>
                <w:rFonts w:ascii="Times New Roman" w:hAnsi="Times New Roman"/>
                <w:sz w:val="20"/>
              </w:rPr>
              <w:t>Second Quarter</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59" w:type="dxa"/>
            <w:tcBorders/>
            <w:shd w:fill="auto" w:val="clear"/>
            <w:vAlign w:val="bottom"/>
          </w:tcPr>
          <w:p>
            <w:pPr>
              <w:pStyle w:val="TableContents"/>
              <w:spacing w:before="0" w:after="283"/>
              <w:jc w:val="right"/>
              <w:rPr/>
            </w:pPr>
            <w:r>
              <w:rPr/>
              <w:t>16.68</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4" w:type="dxa"/>
            <w:tcBorders/>
            <w:shd w:fill="auto" w:val="clear"/>
            <w:vAlign w:val="bottom"/>
          </w:tcPr>
          <w:p>
            <w:pPr>
              <w:pStyle w:val="TableContents"/>
              <w:spacing w:before="0" w:after="283"/>
              <w:jc w:val="right"/>
              <w:rPr/>
            </w:pPr>
            <w:r>
              <w:rPr/>
              <w:t>20.29</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4" w:type="dxa"/>
            <w:tcBorders/>
            <w:shd w:fill="auto" w:val="clear"/>
            <w:vAlign w:val="bottom"/>
          </w:tcPr>
          <w:p>
            <w:pPr>
              <w:pStyle w:val="TableContents"/>
              <w:spacing w:before="0" w:after="283"/>
              <w:jc w:val="right"/>
              <w:rPr/>
            </w:pPr>
            <w:r>
              <w:rPr/>
              <w:t>19.49</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spacing w:before="0" w:after="283"/>
              <w:jc w:val="right"/>
              <w:rPr/>
            </w:pPr>
            <w:r>
              <w:rPr/>
              <w:t>21.6</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16.8</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752" w:type="dxa"/>
            <w:tcBorders/>
            <w:shd w:fill="auto" w:val="clear"/>
            <w:vAlign w:val="bottom"/>
          </w:tcPr>
          <w:p>
            <w:pPr>
              <w:pStyle w:val="TableContents"/>
              <w:spacing w:before="0" w:after="283"/>
              <w:jc w:val="right"/>
              <w:rPr/>
            </w:pPr>
            <w:r>
              <w:rPr/>
              <w:t>0.40</w:t>
            </w:r>
          </w:p>
        </w:tc>
        <w:tc>
          <w:tcPr>
            <w:tcW w:w="67" w:type="dxa"/>
            <w:tcBorders/>
            <w:shd w:fill="auto" w:val="clear"/>
            <w:vAlign w:val="bottom"/>
          </w:tcPr>
          <w:p>
            <w:pPr>
              <w:pStyle w:val="TableContents"/>
              <w:spacing w:before="0" w:after="283"/>
              <w:rPr/>
            </w:pPr>
            <w:r>
              <w:rPr/>
              <w:t> </w:t>
            </w:r>
          </w:p>
        </w:tc>
      </w:tr>
      <w:tr>
        <w:trPr/>
        <w:tc>
          <w:tcPr>
            <w:tcW w:w="2725" w:type="dxa"/>
            <w:tcBorders/>
            <w:shd w:fill="CCEEFF" w:val="clear"/>
          </w:tcPr>
          <w:p>
            <w:pPr>
              <w:pStyle w:val="TableContents"/>
              <w:spacing w:before="0" w:after="0"/>
              <w:rPr>
                <w:rFonts w:ascii="Times New Roman" w:hAnsi="Times New Roman"/>
                <w:sz w:val="20"/>
              </w:rPr>
            </w:pPr>
            <w:r>
              <w:rPr>
                <w:rFonts w:ascii="Times New Roman" w:hAnsi="Times New Roman"/>
                <w:sz w:val="20"/>
              </w:rPr>
              <w:t>Third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59" w:type="dxa"/>
            <w:tcBorders/>
            <w:shd w:fill="CCEEFF" w:val="clear"/>
            <w:vAlign w:val="bottom"/>
          </w:tcPr>
          <w:p>
            <w:pPr>
              <w:pStyle w:val="TableContents"/>
              <w:spacing w:before="0" w:after="283"/>
              <w:jc w:val="right"/>
              <w:rPr/>
            </w:pPr>
            <w:r>
              <w:rPr/>
              <w:t>16.72</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21.01</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19.36</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pPr>
            <w:r>
              <w:rPr/>
              <w:t>25.7</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15.8</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752" w:type="dxa"/>
            <w:tcBorders/>
            <w:shd w:fill="CCEEFF" w:val="clear"/>
            <w:vAlign w:val="bottom"/>
          </w:tcPr>
          <w:p>
            <w:pPr>
              <w:pStyle w:val="TableContents"/>
              <w:spacing w:before="0" w:after="283"/>
              <w:jc w:val="right"/>
              <w:rPr/>
            </w:pPr>
            <w:r>
              <w:rPr/>
              <w:t>0.43</w:t>
            </w:r>
          </w:p>
        </w:tc>
        <w:tc>
          <w:tcPr>
            <w:tcW w:w="67" w:type="dxa"/>
            <w:tcBorders/>
            <w:shd w:fill="CCEEFF" w:val="clear"/>
            <w:vAlign w:val="bottom"/>
          </w:tcPr>
          <w:p>
            <w:pPr>
              <w:pStyle w:val="TableContents"/>
              <w:spacing w:before="0" w:after="283"/>
              <w:rPr/>
            </w:pPr>
            <w:r>
              <w:rPr/>
              <w:t> </w:t>
            </w:r>
          </w:p>
        </w:tc>
      </w:tr>
      <w:tr>
        <w:trPr/>
        <w:tc>
          <w:tcPr>
            <w:tcW w:w="2725" w:type="dxa"/>
            <w:tcBorders/>
            <w:shd w:fill="auto" w:val="clear"/>
          </w:tcPr>
          <w:p>
            <w:pPr>
              <w:pStyle w:val="TableContents"/>
              <w:spacing w:before="0" w:after="0"/>
              <w:rPr>
                <w:rFonts w:ascii="Times New Roman" w:hAnsi="Times New Roman"/>
                <w:sz w:val="20"/>
              </w:rPr>
            </w:pPr>
            <w:r>
              <w:rPr>
                <w:rFonts w:ascii="Times New Roman" w:hAnsi="Times New Roman"/>
                <w:sz w:val="20"/>
              </w:rPr>
              <w:t>Fourth Quarter</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59" w:type="dxa"/>
            <w:tcBorders/>
            <w:shd w:fill="auto" w:val="clear"/>
            <w:vAlign w:val="bottom"/>
          </w:tcPr>
          <w:p>
            <w:pPr>
              <w:pStyle w:val="TableContents"/>
              <w:spacing w:before="0" w:after="283"/>
              <w:jc w:val="right"/>
              <w:rPr/>
            </w:pPr>
            <w:r>
              <w:rPr/>
              <w:t>16.83</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4" w:type="dxa"/>
            <w:tcBorders/>
            <w:shd w:fill="auto" w:val="clear"/>
            <w:vAlign w:val="bottom"/>
          </w:tcPr>
          <w:p>
            <w:pPr>
              <w:pStyle w:val="TableContents"/>
              <w:spacing w:before="0" w:after="283"/>
              <w:jc w:val="right"/>
              <w:rPr/>
            </w:pPr>
            <w:r>
              <w:rPr/>
              <w:t>21.83</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4" w:type="dxa"/>
            <w:tcBorders/>
            <w:shd w:fill="auto" w:val="clear"/>
            <w:vAlign w:val="bottom"/>
          </w:tcPr>
          <w:p>
            <w:pPr>
              <w:pStyle w:val="TableContents"/>
              <w:spacing w:before="0" w:after="283"/>
              <w:jc w:val="right"/>
              <w:rPr/>
            </w:pPr>
            <w:r>
              <w:rPr/>
              <w:t>20.01</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spacing w:before="0" w:after="283"/>
              <w:jc w:val="right"/>
              <w:rPr/>
            </w:pPr>
            <w:r>
              <w:rPr/>
              <w:t>29.7</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18.9</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752" w:type="dxa"/>
            <w:tcBorders/>
            <w:shd w:fill="auto" w:val="clear"/>
            <w:vAlign w:val="bottom"/>
          </w:tcPr>
          <w:p>
            <w:pPr>
              <w:pStyle w:val="TableContents"/>
              <w:spacing w:before="0" w:after="283"/>
              <w:jc w:val="right"/>
              <w:rPr/>
            </w:pPr>
            <w:r>
              <w:rPr/>
              <w:t>0.47</w:t>
            </w:r>
          </w:p>
        </w:tc>
        <w:tc>
          <w:tcPr>
            <w:tcW w:w="67" w:type="dxa"/>
            <w:tcBorders/>
            <w:shd w:fill="auto" w:val="clear"/>
            <w:vAlign w:val="bottom"/>
          </w:tcPr>
          <w:p>
            <w:pPr>
              <w:pStyle w:val="TableContents"/>
              <w:spacing w:before="0" w:after="283"/>
              <w:rPr/>
            </w:pPr>
            <w:r>
              <w:rPr/>
              <w:t> </w:t>
            </w:r>
          </w:p>
        </w:tc>
      </w:tr>
      <w:tr>
        <w:trPr/>
        <w:tc>
          <w:tcPr>
            <w:tcW w:w="2725" w:type="dxa"/>
            <w:tcBorders/>
            <w:shd w:fill="CCEEFF" w:val="clear"/>
          </w:tcPr>
          <w:p>
            <w:pPr>
              <w:pStyle w:val="TableContents"/>
              <w:spacing w:before="0" w:after="0"/>
              <w:rPr>
                <w:rFonts w:ascii="Times New Roman" w:hAnsi="Times New Roman"/>
                <w:b/>
                <w:sz w:val="20"/>
              </w:rPr>
            </w:pPr>
            <w:r>
              <w:rPr>
                <w:rFonts w:ascii="Times New Roman" w:hAnsi="Times New Roman"/>
                <w:b/>
                <w:sz w:val="20"/>
              </w:rPr>
              <w:t>Year ended December 31, 2020</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5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sz w:val="4"/>
                <w:szCs w:val="4"/>
              </w:rPr>
            </w:pPr>
            <w:r>
              <w:rPr>
                <w:sz w:val="4"/>
                <w:szCs w:val="4"/>
              </w:rPr>
            </w:r>
          </w:p>
        </w:tc>
        <w:tc>
          <w:tcPr>
            <w:tcW w:w="1172"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11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sz w:val="4"/>
                <w:szCs w:val="4"/>
              </w:rPr>
            </w:pPr>
            <w:r>
              <w:rPr>
                <w:sz w:val="4"/>
                <w:szCs w:val="4"/>
              </w:rPr>
            </w:r>
          </w:p>
        </w:tc>
        <w:tc>
          <w:tcPr>
            <w:tcW w:w="1034"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4"/>
                <w:szCs w:val="4"/>
              </w:rPr>
            </w:pPr>
            <w:r>
              <w:rPr>
                <w:sz w:val="4"/>
                <w:szCs w:val="4"/>
              </w:rPr>
            </w:r>
          </w:p>
        </w:tc>
        <w:tc>
          <w:tcPr>
            <w:tcW w:w="752" w:type="dxa"/>
            <w:tcBorders/>
            <w:shd w:fill="CCEEFF" w:val="clear"/>
            <w:vAlign w:val="bottom"/>
          </w:tcPr>
          <w:p>
            <w:pPr>
              <w:pStyle w:val="TableContents"/>
              <w:spacing w:before="0" w:after="283"/>
              <w:rPr>
                <w:sz w:val="4"/>
                <w:szCs w:val="4"/>
              </w:rPr>
            </w:pPr>
            <w:r>
              <w:rPr>
                <w:sz w:val="4"/>
                <w:szCs w:val="4"/>
              </w:rPr>
            </w:r>
          </w:p>
        </w:tc>
        <w:tc>
          <w:tcPr>
            <w:tcW w:w="67" w:type="dxa"/>
            <w:tcBorders/>
            <w:shd w:fill="CCEEFF" w:val="clear"/>
            <w:vAlign w:val="bottom"/>
          </w:tcPr>
          <w:p>
            <w:pPr>
              <w:pStyle w:val="TableContents"/>
              <w:spacing w:before="0" w:after="283"/>
              <w:rPr>
                <w:sz w:val="4"/>
                <w:szCs w:val="4"/>
              </w:rPr>
            </w:pPr>
            <w:r>
              <w:rPr>
                <w:sz w:val="4"/>
                <w:szCs w:val="4"/>
              </w:rPr>
            </w:r>
          </w:p>
        </w:tc>
      </w:tr>
      <w:tr>
        <w:trPr/>
        <w:tc>
          <w:tcPr>
            <w:tcW w:w="2725" w:type="dxa"/>
            <w:tcBorders/>
            <w:shd w:fill="auto" w:val="clear"/>
          </w:tcPr>
          <w:p>
            <w:pPr>
              <w:pStyle w:val="TableContents"/>
              <w:spacing w:before="0" w:after="0"/>
              <w:rPr>
                <w:rFonts w:ascii="Times New Roman" w:hAnsi="Times New Roman"/>
                <w:sz w:val="20"/>
              </w:rPr>
            </w:pPr>
            <w:r>
              <w:rPr>
                <w:rFonts w:ascii="Times New Roman" w:hAnsi="Times New Roman"/>
                <w:sz w:val="20"/>
              </w:rPr>
              <w:t>First Quarter</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59" w:type="dxa"/>
            <w:tcBorders/>
            <w:shd w:fill="auto" w:val="clear"/>
            <w:vAlign w:val="bottom"/>
          </w:tcPr>
          <w:p>
            <w:pPr>
              <w:pStyle w:val="TableContents"/>
              <w:spacing w:before="0" w:after="283"/>
              <w:jc w:val="right"/>
              <w:rPr/>
            </w:pPr>
            <w:r>
              <w:rPr/>
              <w:t>15.57</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4" w:type="dxa"/>
            <w:tcBorders/>
            <w:shd w:fill="auto" w:val="clear"/>
            <w:vAlign w:val="bottom"/>
          </w:tcPr>
          <w:p>
            <w:pPr>
              <w:pStyle w:val="TableContents"/>
              <w:spacing w:before="0" w:after="283"/>
              <w:jc w:val="right"/>
              <w:rPr/>
            </w:pPr>
            <w:r>
              <w:rPr/>
              <w:t>23.28</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4" w:type="dxa"/>
            <w:tcBorders/>
            <w:shd w:fill="auto" w:val="clear"/>
            <w:vAlign w:val="bottom"/>
          </w:tcPr>
          <w:p>
            <w:pPr>
              <w:pStyle w:val="TableContents"/>
              <w:spacing w:before="0" w:after="283"/>
              <w:jc w:val="right"/>
              <w:rPr/>
            </w:pPr>
            <w:r>
              <w:rPr/>
              <w:t>11.30</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spacing w:before="0" w:after="283"/>
              <w:jc w:val="right"/>
              <w:rPr/>
            </w:pPr>
            <w:r>
              <w:rPr/>
              <w:t>49.5</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(27.4</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752" w:type="dxa"/>
            <w:tcBorders/>
            <w:shd w:fill="auto" w:val="clear"/>
            <w:vAlign w:val="bottom"/>
          </w:tcPr>
          <w:p>
            <w:pPr>
              <w:pStyle w:val="TableContents"/>
              <w:spacing w:before="0" w:after="283"/>
              <w:jc w:val="right"/>
              <w:rPr/>
            </w:pPr>
            <w:r>
              <w:rPr/>
              <w:t>0.97</w:t>
            </w:r>
          </w:p>
        </w:tc>
        <w:tc>
          <w:tcPr>
            <w:tcW w:w="67" w:type="dxa"/>
            <w:tcBorders/>
            <w:shd w:fill="auto" w:val="clear"/>
            <w:vAlign w:val="bottom"/>
          </w:tcPr>
          <w:p>
            <w:pPr>
              <w:pStyle w:val="TableContents"/>
              <w:spacing w:before="0" w:after="283"/>
              <w:rPr/>
            </w:pPr>
            <w:r>
              <w:rPr/>
              <w:t> </w:t>
            </w:r>
          </w:p>
        </w:tc>
      </w:tr>
      <w:tr>
        <w:trPr/>
        <w:tc>
          <w:tcPr>
            <w:tcW w:w="2725" w:type="dxa"/>
            <w:tcBorders/>
            <w:shd w:fill="CCEEFF" w:val="clear"/>
          </w:tcPr>
          <w:p>
            <w:pPr>
              <w:pStyle w:val="TableContents"/>
              <w:spacing w:before="0" w:after="0"/>
              <w:rPr>
                <w:rFonts w:ascii="Times New Roman" w:hAnsi="Times New Roman"/>
                <w:sz w:val="20"/>
              </w:rPr>
            </w:pPr>
            <w:r>
              <w:rPr>
                <w:rFonts w:ascii="Times New Roman" w:hAnsi="Times New Roman"/>
                <w:sz w:val="20"/>
              </w:rPr>
              <w:t>Second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59" w:type="dxa"/>
            <w:tcBorders/>
            <w:shd w:fill="CCEEFF" w:val="clear"/>
            <w:vAlign w:val="bottom"/>
          </w:tcPr>
          <w:p>
            <w:pPr>
              <w:pStyle w:val="TableContents"/>
              <w:spacing w:before="0" w:after="283"/>
              <w:jc w:val="right"/>
              <w:rPr/>
            </w:pPr>
            <w:r>
              <w:rPr/>
              <w:t>16.08</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19.51</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12.57</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pPr>
            <w:r>
              <w:rPr/>
              <w:t>21.3</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(21.8</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752" w:type="dxa"/>
            <w:tcBorders/>
            <w:shd w:fill="CCEEFF" w:val="clear"/>
            <w:vAlign w:val="bottom"/>
          </w:tcPr>
          <w:p>
            <w:pPr>
              <w:pStyle w:val="TableContents"/>
              <w:spacing w:before="0" w:after="283"/>
              <w:jc w:val="right"/>
              <w:rPr/>
            </w:pPr>
            <w:r>
              <w:rPr/>
              <w:t>0.41</w:t>
            </w:r>
          </w:p>
        </w:tc>
        <w:tc>
          <w:tcPr>
            <w:tcW w:w="67" w:type="dxa"/>
            <w:tcBorders/>
            <w:shd w:fill="CCEEFF" w:val="clear"/>
            <w:vAlign w:val="bottom"/>
          </w:tcPr>
          <w:p>
            <w:pPr>
              <w:pStyle w:val="TableContents"/>
              <w:spacing w:before="0" w:after="283"/>
              <w:rPr/>
            </w:pPr>
            <w:r>
              <w:rPr/>
              <w:t> </w:t>
            </w:r>
          </w:p>
        </w:tc>
      </w:tr>
      <w:tr>
        <w:trPr/>
        <w:tc>
          <w:tcPr>
            <w:tcW w:w="2725" w:type="dxa"/>
            <w:tcBorders/>
            <w:shd w:fill="auto" w:val="clear"/>
          </w:tcPr>
          <w:p>
            <w:pPr>
              <w:pStyle w:val="TableContents"/>
              <w:spacing w:before="0" w:after="0"/>
              <w:rPr>
                <w:rFonts w:ascii="Times New Roman" w:hAnsi="Times New Roman"/>
                <w:sz w:val="20"/>
              </w:rPr>
            </w:pPr>
            <w:r>
              <w:rPr>
                <w:rFonts w:ascii="Times New Roman" w:hAnsi="Times New Roman"/>
                <w:sz w:val="20"/>
              </w:rPr>
              <w:t>Third Quarter</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59" w:type="dxa"/>
            <w:tcBorders/>
            <w:shd w:fill="auto" w:val="clear"/>
            <w:vAlign w:val="bottom"/>
          </w:tcPr>
          <w:p>
            <w:pPr>
              <w:pStyle w:val="TableContents"/>
              <w:spacing w:before="0" w:after="283"/>
              <w:jc w:val="right"/>
              <w:rPr/>
            </w:pPr>
            <w:r>
              <w:rPr/>
              <w:t>16.87</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4" w:type="dxa"/>
            <w:tcBorders/>
            <w:shd w:fill="auto" w:val="clear"/>
            <w:vAlign w:val="bottom"/>
          </w:tcPr>
          <w:p>
            <w:pPr>
              <w:pStyle w:val="TableContents"/>
              <w:spacing w:before="0" w:after="283"/>
              <w:jc w:val="right"/>
              <w:rPr/>
            </w:pPr>
            <w:r>
              <w:rPr/>
              <w:t>18.48</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04" w:type="dxa"/>
            <w:tcBorders/>
            <w:shd w:fill="auto" w:val="clear"/>
            <w:vAlign w:val="bottom"/>
          </w:tcPr>
          <w:p>
            <w:pPr>
              <w:pStyle w:val="TableContents"/>
              <w:spacing w:before="0" w:after="283"/>
              <w:jc w:val="right"/>
              <w:rPr/>
            </w:pPr>
            <w:r>
              <w:rPr/>
              <w:t>15.68</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172" w:type="dxa"/>
            <w:tcBorders/>
            <w:shd w:fill="auto" w:val="clear"/>
            <w:vAlign w:val="bottom"/>
          </w:tcPr>
          <w:p>
            <w:pPr>
              <w:pStyle w:val="TableContents"/>
              <w:spacing w:before="0" w:after="283"/>
              <w:jc w:val="right"/>
              <w:rPr/>
            </w:pPr>
            <w:r>
              <w:rPr/>
              <w:t>9.5</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(7.1</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w:t>
            </w:r>
          </w:p>
        </w:tc>
        <w:tc>
          <w:tcPr>
            <w:tcW w:w="752" w:type="dxa"/>
            <w:tcBorders/>
            <w:shd w:fill="auto" w:val="clear"/>
            <w:vAlign w:val="bottom"/>
          </w:tcPr>
          <w:p>
            <w:pPr>
              <w:pStyle w:val="TableContents"/>
              <w:spacing w:before="0" w:after="283"/>
              <w:jc w:val="right"/>
              <w:rPr/>
            </w:pPr>
            <w:r>
              <w:rPr/>
              <w:t>0.41</w:t>
            </w:r>
          </w:p>
        </w:tc>
        <w:tc>
          <w:tcPr>
            <w:tcW w:w="67" w:type="dxa"/>
            <w:tcBorders/>
            <w:shd w:fill="auto" w:val="clear"/>
            <w:vAlign w:val="bottom"/>
          </w:tcPr>
          <w:p>
            <w:pPr>
              <w:pStyle w:val="TableContents"/>
              <w:spacing w:before="0" w:after="283"/>
              <w:rPr/>
            </w:pPr>
            <w:r>
              <w:rPr/>
              <w:t> </w:t>
            </w:r>
          </w:p>
        </w:tc>
      </w:tr>
      <w:tr>
        <w:trPr/>
        <w:tc>
          <w:tcPr>
            <w:tcW w:w="2725" w:type="dxa"/>
            <w:tcBorders/>
            <w:shd w:fill="CCEEFF" w:val="clear"/>
          </w:tcPr>
          <w:p>
            <w:pPr>
              <w:pStyle w:val="TableContents"/>
              <w:spacing w:before="0" w:after="0"/>
              <w:rPr>
                <w:rFonts w:ascii="Times New Roman" w:hAnsi="Times New Roman"/>
                <w:sz w:val="20"/>
              </w:rPr>
            </w:pPr>
            <w:r>
              <w:rPr>
                <w:rFonts w:ascii="Times New Roman" w:hAnsi="Times New Roman"/>
                <w:sz w:val="20"/>
              </w:rPr>
              <w:t>Fourth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59" w:type="dxa"/>
            <w:tcBorders/>
            <w:shd w:fill="CCEEFF" w:val="clear"/>
            <w:vAlign w:val="bottom"/>
          </w:tcPr>
          <w:p>
            <w:pPr>
              <w:pStyle w:val="TableContents"/>
              <w:spacing w:before="0" w:after="283"/>
              <w:jc w:val="right"/>
              <w:rPr/>
            </w:pPr>
            <w:r>
              <w:rPr/>
              <w:t>17.16</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21.24</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16.31</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pPr>
            <w:r>
              <w:rPr/>
              <w:t>23.8</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(5.0</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752" w:type="dxa"/>
            <w:tcBorders/>
            <w:shd w:fill="CCEEFF" w:val="clear"/>
            <w:vAlign w:val="bottom"/>
          </w:tcPr>
          <w:p>
            <w:pPr>
              <w:pStyle w:val="TableContents"/>
              <w:spacing w:before="0" w:after="283"/>
              <w:jc w:val="right"/>
              <w:rPr/>
            </w:pPr>
            <w:r>
              <w:rPr/>
              <w:t>0.51</w:t>
            </w:r>
          </w:p>
        </w:tc>
        <w:tc>
          <w:tcPr>
            <w:tcW w:w="67" w:type="dxa"/>
            <w:tcBorders/>
            <w:shd w:fill="CCEEFF" w:val="clear"/>
            <w:vAlign w:val="bottom"/>
          </w:tcPr>
          <w:p>
            <w:pPr>
              <w:pStyle w:val="TableContents"/>
              <w:spacing w:before="0" w:after="283"/>
              <w:rPr/>
            </w:pPr>
            <w:r>
              <w:rPr/>
              <w:t> </w:t>
            </w:r>
          </w:p>
        </w:tc>
      </w:tr>
      <w:tr>
        <w:trPr/>
        <w:tc>
          <w:tcPr>
            <w:tcW w:w="2725" w:type="dxa"/>
            <w:tcBorders/>
            <w:shd w:fill="auto" w:val="clear"/>
          </w:tcPr>
          <w:p>
            <w:pPr>
              <w:pStyle w:val="TableContents"/>
              <w:spacing w:before="0" w:after="0"/>
              <w:rPr>
                <w:rFonts w:ascii="Times New Roman" w:hAnsi="Times New Roman"/>
                <w:b/>
                <w:sz w:val="20"/>
              </w:rPr>
            </w:pPr>
            <w:r>
              <w:rPr>
                <w:rFonts w:ascii="Times New Roman" w:hAnsi="Times New Roman"/>
                <w:b/>
                <w:sz w:val="20"/>
              </w:rPr>
              <w:t>Year ended December 31, 2021</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5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sz w:val="4"/>
                <w:szCs w:val="4"/>
              </w:rPr>
            </w:pPr>
            <w:r>
              <w:rPr>
                <w:sz w:val="4"/>
                <w:szCs w:val="4"/>
              </w:rPr>
            </w:r>
          </w:p>
        </w:tc>
        <w:tc>
          <w:tcPr>
            <w:tcW w:w="1172"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sz w:val="4"/>
                <w:szCs w:val="4"/>
              </w:rPr>
            </w:pPr>
            <w:r>
              <w:rPr>
                <w:sz w:val="4"/>
                <w:szCs w:val="4"/>
              </w:rPr>
            </w:r>
          </w:p>
        </w:tc>
        <w:tc>
          <w:tcPr>
            <w:tcW w:w="1034"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sz w:val="4"/>
                <w:szCs w:val="4"/>
              </w:rPr>
            </w:pPr>
            <w:r>
              <w:rPr>
                <w:sz w:val="4"/>
                <w:szCs w:val="4"/>
              </w:rPr>
            </w:r>
          </w:p>
        </w:tc>
        <w:tc>
          <w:tcPr>
            <w:tcW w:w="752"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r>
      <w:tr>
        <w:trPr/>
        <w:tc>
          <w:tcPr>
            <w:tcW w:w="2725" w:type="dxa"/>
            <w:tcBorders/>
            <w:shd w:fill="CCEEFF" w:val="clear"/>
          </w:tcPr>
          <w:p>
            <w:pPr>
              <w:pStyle w:val="TableContents"/>
              <w:spacing w:before="0" w:after="0"/>
              <w:rPr>
                <w:rFonts w:ascii="Times New Roman" w:hAnsi="Times New Roman"/>
                <w:sz w:val="20"/>
              </w:rPr>
            </w:pPr>
            <w:r>
              <w:rPr>
                <w:rFonts w:ascii="Times New Roman" w:hAnsi="Times New Roman"/>
                <w:sz w:val="20"/>
              </w:rPr>
              <w:t>First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pPr>
            <w:r>
              <w:rPr/>
              <w:t>        </w:t>
            </w:r>
            <w:r>
              <w:rPr/>
              <w:t>*</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172" w:type="dxa"/>
            <w:tcBorders/>
            <w:shd w:fill="CCEEFF" w:val="clear"/>
            <w:vAlign w:val="bottom"/>
          </w:tcPr>
          <w:p>
            <w:pPr>
              <w:pStyle w:val="TableContents"/>
              <w:spacing w:before="0" w:after="283"/>
              <w:jc w:val="right"/>
              <w:rPr/>
            </w:pPr>
            <w:r>
              <w:rPr/>
              <w:t>        </w:t>
            </w:r>
            <w:r>
              <w:rPr/>
              <w:t>*</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        </w:t>
            </w:r>
            <w:r>
              <w:rPr/>
              <w:t>*</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w:t>
            </w:r>
          </w:p>
        </w:tc>
        <w:tc>
          <w:tcPr>
            <w:tcW w:w="752" w:type="dxa"/>
            <w:tcBorders/>
            <w:shd w:fill="CCEEFF" w:val="clear"/>
            <w:vAlign w:val="bottom"/>
          </w:tcPr>
          <w:p>
            <w:pPr>
              <w:pStyle w:val="TableContents"/>
              <w:spacing w:before="0" w:after="283"/>
              <w:jc w:val="right"/>
              <w:rPr/>
            </w:pPr>
            <w:r>
              <w:rPr/>
              <w:t>1.71</w:t>
            </w:r>
          </w:p>
        </w:tc>
        <w:tc>
          <w:tcPr>
            <w:tcW w:w="67"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NAV is determined as of the last day in the relevant quarter and therefore may not reflect NAV on the date of the high and low closing sales prices. The NAVs shown are based on outstanding shares at the end of the relevant quarter.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Calculated as the respective high or low closing sales price less NAV, divided by NAV (in each case, as of the applicable quarter). Does not reflect intraday trading prices.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the dividend or distribution declared in the relevant quarter.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NAV has not yet been calculated for this period. NAV for the first quarter of 2021 will be available with the filing of the Companys Quarterly Report on Form 10-Q for such quarter, which the Company estimates will be filed on or about                , 2021. </w:t>
            </w:r>
          </w:p>
        </w:tc>
      </w:tr>
    </w:tbl>
    <w:p>
      <w:pPr>
        <w:pStyle w:val="TextBody"/>
        <w:spacing w:before="240" w:after="0"/>
        <w:jc w:val="left"/>
        <w:rPr>
          <w:rFonts w:ascii="Times New Roman" w:hAnsi="Times New Roman"/>
          <w:sz w:val="20"/>
        </w:rPr>
      </w:pPr>
      <w:r>
        <w:rPr>
          <w:rFonts w:ascii="Times New Roman" w:hAnsi="Times New Roman"/>
          <w:sz w:val="20"/>
        </w:rPr>
        <w:t xml:space="preserve">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 </w:t>
      </w:r>
    </w:p>
    <w:p>
      <w:pPr>
        <w:pStyle w:val="TextBody"/>
        <w:spacing w:before="360" w:after="0"/>
        <w:jc w:val="left"/>
        <w:rPr>
          <w:rFonts w:ascii="Times New Roman" w:hAnsi="Times New Roman"/>
          <w:b/>
          <w:sz w:val="20"/>
        </w:rPr>
      </w:pPr>
      <w:r>
        <w:rPr>
          <w:rFonts w:ascii="Times New Roman" w:hAnsi="Times New Roman"/>
          <w:b/>
          <w:sz w:val="20"/>
        </w:rPr>
        <w:t xml:space="preserve">Key Stockholder Considerations </w:t>
      </w:r>
    </w:p>
    <w:p>
      <w:pPr>
        <w:pStyle w:val="TextBody"/>
        <w:spacing w:before="120" w:after="0"/>
        <w:jc w:val="left"/>
        <w:rPr>
          <w:rFonts w:ascii="Times New Roman" w:hAnsi="Times New Roman"/>
          <w:b/>
          <w:i/>
          <w:sz w:val="20"/>
        </w:rPr>
      </w:pPr>
      <w:r>
        <w:rPr>
          <w:rFonts w:ascii="Times New Roman" w:hAnsi="Times New Roman"/>
          <w:b/>
          <w:i/>
          <w:sz w:val="20"/>
        </w:rPr>
        <w:t xml:space="preserve">Dilution </w:t>
      </w:r>
    </w:p>
    <w:p>
      <w:pPr>
        <w:pStyle w:val="TextBody"/>
        <w:spacing w:before="120" w:after="0"/>
        <w:jc w:val="left"/>
        <w:rPr>
          <w:rFonts w:ascii="Times New Roman" w:hAnsi="Times New Roman"/>
          <w:sz w:val="20"/>
        </w:rPr>
      </w:pPr>
      <w:r>
        <w:rPr>
          <w:rFonts w:ascii="Times New Roman" w:hAnsi="Times New Roman"/>
          <w:sz w:val="20"/>
        </w:rPr>
        <w:t xml:space="preserve">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Times New Roman" w:hAnsi="Times New Roman"/>
          <w:b/>
          <w:sz w:val="20"/>
        </w:rPr>
        <w:t>There will be no limit on the percentage below net asset value per share at which shares may be sold by the Company or number of offerings, each for up to 25% of the Companys then-outstanding common stock, that the Company may conduct under this proposal for the one-year period that authorization is granted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 </w:t>
      </w:r>
    </w:p>
    <w:p>
      <w:pPr>
        <w:pStyle w:val="TextBody"/>
        <w:spacing w:before="240" w:after="0"/>
        <w:jc w:val="left"/>
        <w:rPr>
          <w:rFonts w:ascii="Times New Roman" w:hAnsi="Times New Roman"/>
          <w:sz w:val="20"/>
        </w:rPr>
      </w:pPr>
      <w:r>
        <w:rPr>
          <w:rFonts w:ascii="Times New Roman" w:hAnsi="Times New Roman"/>
          <w:sz w:val="20"/>
        </w:rPr>
        <w:t xml:space="preserve">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 </w:t>
      </w:r>
    </w:p>
    <w:p>
      <w:pPr>
        <w:pStyle w:val="TextBody"/>
        <w:spacing w:before="240" w:after="0"/>
        <w:jc w:val="left"/>
        <w:rPr>
          <w:rFonts w:ascii="Times New Roman" w:hAnsi="Times New Roman"/>
          <w:sz w:val="20"/>
        </w:rPr>
      </w:pPr>
      <w:r>
        <w:rPr>
          <w:rFonts w:ascii="Times New Roman" w:hAnsi="Times New Roman"/>
          <w:sz w:val="20"/>
        </w:rPr>
        <w:t xml:space="preserve">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 </w:t>
      </w:r>
    </w:p>
    <w:p>
      <w:pPr>
        <w:pStyle w:val="TextBody"/>
        <w:spacing w:before="360" w:after="0"/>
        <w:jc w:val="left"/>
        <w:rPr>
          <w:rFonts w:ascii="Times New Roman" w:hAnsi="Times New Roman"/>
          <w:b/>
          <w:i/>
          <w:sz w:val="20"/>
        </w:rPr>
      </w:pPr>
      <w:r>
        <w:rPr>
          <w:rFonts w:ascii="Times New Roman" w:hAnsi="Times New Roman"/>
          <w:b/>
          <w:i/>
          <w:sz w:val="20"/>
        </w:rPr>
        <w:t xml:space="preserve">Examples of Dilutive Effect of the Issuance of Shares Below NAV </w:t>
      </w:r>
    </w:p>
    <w:p>
      <w:pPr>
        <w:pStyle w:val="TextBody"/>
        <w:spacing w:before="120" w:after="0"/>
        <w:jc w:val="left"/>
        <w:rPr>
          <w:rFonts w:ascii="Times New Roman" w:hAnsi="Times New Roman"/>
          <w:sz w:val="20"/>
        </w:rPr>
      </w:pPr>
      <w:r>
        <w:rPr>
          <w:rFonts w:ascii="Times New Roman" w:hAnsi="Times New Roman"/>
          <w:sz w:val="20"/>
        </w:rPr>
        <w:t xml:space="preserve">The following two headings and accompanying tables explain and provide hypothetical examples on the impact of a public offering of the Companys common stock at a price less than NAV on two different types of investors: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existing stockholders who do not purchase any shares in the offering;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existing stockholders who purchase a relatively small amount of shares in the offering or a relatively large amount of shares in the offering. </w:t>
            </w:r>
          </w:p>
        </w:tc>
      </w:tr>
    </w:tbl>
    <w:p>
      <w:pPr>
        <w:pStyle w:val="TextBody"/>
        <w:spacing w:before="240" w:after="0"/>
        <w:jc w:val="left"/>
        <w:rPr>
          <w:rFonts w:ascii="Times New Roman" w:hAnsi="Times New Roman"/>
          <w:sz w:val="20"/>
        </w:rPr>
      </w:pPr>
      <w:r>
        <w:rPr>
          <w:rFonts w:ascii="Times New Roman" w:hAnsi="Times New Roman"/>
          <w:sz w:val="20"/>
        </w:rPr>
        <w:t xml:space="preserve">A placement of common stock at a price less than NAV to a third party in a private placement would have an impact substantially similar to the impact on existing stockholders who do not purchase any shares in the public offering described below. </w:t>
      </w:r>
    </w:p>
    <w:p>
      <w:pPr>
        <w:pStyle w:val="TextBody"/>
        <w:spacing w:before="360" w:after="0"/>
        <w:jc w:val="left"/>
        <w:rPr>
          <w:rFonts w:ascii="Times New Roman" w:hAnsi="Times New Roman"/>
          <w:i/>
          <w:sz w:val="20"/>
        </w:rPr>
      </w:pPr>
      <w:r>
        <w:rPr>
          <w:rFonts w:ascii="Times New Roman" w:hAnsi="Times New Roman"/>
          <w:i/>
          <w:sz w:val="20"/>
        </w:rPr>
        <w:t xml:space="preserve">Impact on Existing Stockholders Who Do Not Participate in the Offering </w:t>
      </w:r>
    </w:p>
    <w:p>
      <w:pPr>
        <w:pStyle w:val="TextBody"/>
        <w:spacing w:before="120" w:after="0"/>
        <w:jc w:val="left"/>
        <w:rPr>
          <w:rFonts w:ascii="Times New Roman" w:hAnsi="Times New Roman"/>
          <w:sz w:val="20"/>
        </w:rPr>
      </w:pPr>
      <w:r>
        <w:rPr>
          <w:rFonts w:ascii="Times New Roman" w:hAnsi="Times New Roman"/>
          <w:sz w:val="20"/>
        </w:rPr>
        <w:t xml:space="preserve">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 </w:t>
      </w:r>
    </w:p>
    <w:p>
      <w:pPr>
        <w:pStyle w:val="TextBody"/>
        <w:spacing w:before="240" w:after="0"/>
        <w:jc w:val="left"/>
        <w:rPr>
          <w:rFonts w:ascii="Times New Roman" w:hAnsi="Times New Roman"/>
          <w:sz w:val="20"/>
        </w:rPr>
      </w:pPr>
      <w:r>
        <w:rPr>
          <w:rFonts w:ascii="Times New Roman" w:hAnsi="Times New Roman"/>
          <w:sz w:val="20"/>
        </w:rPr>
        <w:t xml:space="preserve">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 </w:t>
      </w:r>
    </w:p>
    <w:p>
      <w:pPr>
        <w:pStyle w:val="TextBody"/>
        <w:spacing w:before="240" w:after="0"/>
        <w:jc w:val="left"/>
        <w:rPr>
          <w:rFonts w:ascii="Times New Roman" w:hAnsi="Times New Roman"/>
          <w:sz w:val="20"/>
        </w:rPr>
      </w:pPr>
      <w:r>
        <w:rPr>
          <w:rFonts w:ascii="Times New Roman" w:hAnsi="Times New Roman"/>
          <w:sz w:val="20"/>
        </w:rPr>
        <w:t xml:space="preserve">The example assumes that the issuer has 67.7 million shares outstanding, $2.3 billion in total assets and $1.2 billion in total liabilities (all figures correspond to actual data for the Company as of December 31, 2020). The net asset value and NAV per share are thus $1.2 billion and $17.16 per share as of December 31, 2020. The chart illustrates the dilutive effect on Stockholder A of (a) an offering of 3.4 million shares of common stock (5% of the outstanding shares) at $16.30 per share after offering expenses and commissions (a 5% discount from NAV per share), (b) an offering of 6.8 million shares of common stock (10% of the outstanding shares) at $15.44 per share after offering expenses and commissions (a 10% discount from NAV per share), (c) an offering of 13.5 million shares of common stock (20% of the outstanding shares) at $13.73 per share after offering expenses and commissions (a 20% discount from NAV per share), and (d) an offering of 16.9 million shares of common stock (25% of the outstanding shares) at $12.87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 </w:t>
      </w:r>
    </w:p>
    <w:p>
      <w:pPr>
        <w:pStyle w:val="TextBody"/>
        <w:spacing w:before="0" w:after="0"/>
        <w:jc w:val="left"/>
        <w:rPr/>
      </w:pPr>
      <w:r>
        <w:rPr/>
        <w:t> </w:t>
      </w:r>
    </w:p>
    <w:tbl>
      <w:tblPr>
        <w:tblW w:w="14040" w:type="dxa"/>
        <w:jc w:val="center"/>
        <w:tblInd w:w="0" w:type="dxa"/>
        <w:tblCellMar>
          <w:top w:w="0" w:type="dxa"/>
          <w:left w:w="0" w:type="dxa"/>
          <w:bottom w:w="0" w:type="dxa"/>
          <w:right w:w="0" w:type="dxa"/>
        </w:tblCellMar>
      </w:tblPr>
      <w:tblGrid>
        <w:gridCol w:w="1265"/>
        <w:gridCol w:w="60"/>
        <w:gridCol w:w="140"/>
        <w:gridCol w:w="1100"/>
        <w:gridCol w:w="275"/>
        <w:gridCol w:w="60"/>
        <w:gridCol w:w="140"/>
        <w:gridCol w:w="1100"/>
        <w:gridCol w:w="275"/>
        <w:gridCol w:w="60"/>
        <w:gridCol w:w="85"/>
        <w:gridCol w:w="730"/>
        <w:gridCol w:w="350"/>
        <w:gridCol w:w="60"/>
        <w:gridCol w:w="140"/>
        <w:gridCol w:w="1100"/>
        <w:gridCol w:w="275"/>
        <w:gridCol w:w="60"/>
        <w:gridCol w:w="85"/>
        <w:gridCol w:w="730"/>
        <w:gridCol w:w="350"/>
        <w:gridCol w:w="60"/>
        <w:gridCol w:w="140"/>
        <w:gridCol w:w="1100"/>
        <w:gridCol w:w="275"/>
        <w:gridCol w:w="60"/>
        <w:gridCol w:w="70"/>
        <w:gridCol w:w="745"/>
        <w:gridCol w:w="350"/>
        <w:gridCol w:w="60"/>
        <w:gridCol w:w="140"/>
        <w:gridCol w:w="1100"/>
        <w:gridCol w:w="275"/>
        <w:gridCol w:w="60"/>
        <w:gridCol w:w="70"/>
        <w:gridCol w:w="745"/>
        <w:gridCol w:w="350"/>
      </w:tblGrid>
      <w:tr>
        <w:trPr/>
        <w:tc>
          <w:tcPr>
            <w:tcW w:w="12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r>
      <w:tr>
        <w:trPr/>
        <w:tc>
          <w:tcPr>
            <w:tcW w:w="1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1</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2</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3</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4</w:t>
            </w:r>
          </w:p>
        </w:tc>
        <w:tc>
          <w:tcPr>
            <w:tcW w:w="350" w:type="dxa"/>
            <w:tcBorders/>
            <w:shd w:fill="auto" w:val="clear"/>
            <w:vAlign w:val="bottom"/>
          </w:tcPr>
          <w:p>
            <w:pPr>
              <w:pStyle w:val="TableContents"/>
              <w:spacing w:before="0" w:after="283"/>
              <w:rPr/>
            </w:pPr>
            <w:r>
              <w:rPr/>
              <w:t> </w:t>
            </w:r>
          </w:p>
        </w:tc>
      </w:tr>
      <w:tr>
        <w:trPr/>
        <w:tc>
          <w:tcPr>
            <w:tcW w:w="1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5% Offering at</w:t>
              <w:br/>
              <w:t>5% Discount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10% Offering at</w:t>
              <w:br/>
              <w:t>10% Discount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 Offering at</w:t>
              <w:br/>
              <w:t>20% Discount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25% Offering at</w:t>
              <w:br/>
              <w:t>25% Discount</w:t>
            </w:r>
          </w:p>
        </w:tc>
        <w:tc>
          <w:tcPr>
            <w:tcW w:w="350" w:type="dxa"/>
            <w:tcBorders/>
            <w:shd w:fill="auto" w:val="clear"/>
            <w:vAlign w:val="bottom"/>
          </w:tcPr>
          <w:p>
            <w:pPr>
              <w:pStyle w:val="TableContents"/>
              <w:spacing w:before="0" w:after="283"/>
              <w:rPr/>
            </w:pPr>
            <w:r>
              <w:rPr/>
              <w:t> </w:t>
            </w:r>
          </w:p>
        </w:tc>
      </w:tr>
      <w:tr>
        <w:trPr/>
        <w:tc>
          <w:tcPr>
            <w:tcW w:w="1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Prior to</w:t>
              <w:br/>
              <w:t>Sale Below</w:t>
              <w:br/>
              <w:t>NAV</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w:t>
              <w:b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w:t>
              <w:b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w:t>
              <w:b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w:t>
              <w:b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0" w:type="dxa"/>
            <w:tcBorders/>
            <w:shd w:fill="auto" w:val="clear"/>
            <w:vAlign w:val="bottom"/>
          </w:tcPr>
          <w:p>
            <w:pPr>
              <w:pStyle w:val="TableContents"/>
              <w:spacing w:before="0" w:after="283"/>
              <w:rPr/>
            </w:pPr>
            <w:r>
              <w:rPr/>
              <w:t> </w:t>
            </w:r>
          </w:p>
        </w:tc>
      </w:tr>
      <w:tr>
        <w:trPr/>
        <w:tc>
          <w:tcPr>
            <w:tcW w:w="1265" w:type="dxa"/>
            <w:tcBorders/>
            <w:shd w:fill="CCEEFF" w:val="clear"/>
          </w:tcPr>
          <w:p>
            <w:pPr>
              <w:pStyle w:val="TableContents"/>
              <w:spacing w:before="0" w:after="0"/>
              <w:rPr>
                <w:rFonts w:ascii="Times New Roman" w:hAnsi="Times New Roman"/>
                <w:b/>
                <w:sz w:val="16"/>
              </w:rPr>
            </w:pPr>
            <w:r>
              <w:rPr>
                <w:rFonts w:ascii="Times New Roman" w:hAnsi="Times New Roman"/>
                <w:b/>
                <w:sz w:val="16"/>
              </w:rPr>
              <w:t>Offering Price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265" w:type="dxa"/>
            <w:tcBorders/>
            <w:shd w:fill="auto" w:val="clear"/>
          </w:tcPr>
          <w:p>
            <w:pPr>
              <w:pStyle w:val="TableContents"/>
              <w:spacing w:before="0" w:after="0"/>
              <w:rPr>
                <w:rFonts w:ascii="Times New Roman" w:hAnsi="Times New Roman"/>
                <w:sz w:val="16"/>
              </w:rPr>
            </w:pPr>
            <w:r>
              <w:rPr>
                <w:rFonts w:ascii="Times New Roman" w:hAnsi="Times New Roman"/>
                <w:sz w:val="16"/>
              </w:rPr>
              <w:t>Price per Share to Public</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17.16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16.26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14.45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13.55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Net Proceeds per Share to Issuer</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16.30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15.44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13.73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12.87</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265" w:type="dxa"/>
            <w:tcBorders/>
            <w:shd w:fill="auto" w:val="clear"/>
          </w:tcPr>
          <w:p>
            <w:pPr>
              <w:pStyle w:val="TableContents"/>
              <w:spacing w:before="0" w:after="0"/>
              <w:rPr>
                <w:rFonts w:ascii="Times New Roman" w:hAnsi="Times New Roman"/>
                <w:b/>
                <w:sz w:val="16"/>
              </w:rPr>
            </w:pPr>
            <w:r>
              <w:rPr>
                <w:rFonts w:ascii="Times New Roman" w:hAnsi="Times New Roman"/>
                <w:b/>
                <w:sz w:val="16"/>
              </w:rPr>
              <w:t>Decrease/Increase to Net Asset Value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Shares Offered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3,384,210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6,768,421</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13,536,842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16,921,052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265" w:type="dxa"/>
            <w:tcBorders/>
            <w:shd w:fill="auto" w:val="clear"/>
          </w:tcPr>
          <w:p>
            <w:pPr>
              <w:pStyle w:val="TableContents"/>
              <w:spacing w:before="0" w:after="0"/>
              <w:rPr>
                <w:rFonts w:ascii="Times New Roman" w:hAnsi="Times New Roman"/>
                <w:sz w:val="16"/>
              </w:rPr>
            </w:pPr>
            <w:r>
              <w:rPr>
                <w:rFonts w:ascii="Times New Roman" w:hAnsi="Times New Roman"/>
                <w:sz w:val="16"/>
              </w:rPr>
              <w:t>Total Shares Outstanding</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67,684,209</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71,068,419</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74,452,630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81,221,051</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84,605,261</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Net Asset Value per Share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17.16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17.12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(0.25</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17.00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(0.92</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16.59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(3.34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16.30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(5.01</w:t>
            </w:r>
          </w:p>
        </w:tc>
        <w:tc>
          <w:tcPr>
            <w:tcW w:w="350" w:type="dxa"/>
            <w:tcBorders/>
            <w:shd w:fill="CCEEFF" w:val="clear"/>
            <w:vAlign w:val="bottom"/>
          </w:tcPr>
          <w:p>
            <w:pPr>
              <w:pStyle w:val="TableContents"/>
              <w:spacing w:before="0" w:after="283"/>
              <w:rPr/>
            </w:pPr>
            <w:r>
              <w:rPr/>
              <w:t>%) </w:t>
            </w:r>
          </w:p>
        </w:tc>
      </w:tr>
      <w:tr>
        <w:trPr/>
        <w:tc>
          <w:tcPr>
            <w:tcW w:w="1265" w:type="dxa"/>
            <w:tcBorders/>
            <w:shd w:fill="auto" w:val="clear"/>
          </w:tcPr>
          <w:p>
            <w:pPr>
              <w:pStyle w:val="TableContents"/>
              <w:spacing w:before="0" w:after="0"/>
              <w:rPr>
                <w:rFonts w:ascii="Times New Roman" w:hAnsi="Times New Roman"/>
                <w:b/>
                <w:sz w:val="16"/>
              </w:rPr>
            </w:pPr>
            <w:r>
              <w:rPr>
                <w:rFonts w:ascii="Times New Roman" w:hAnsi="Times New Roman"/>
                <w:b/>
                <w:sz w:val="16"/>
              </w:rPr>
              <w:t>Dilution to Nonparticipating Stockholder</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Shares Held by Stockholder A</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67,684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67,684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0.00</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67,684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0.00</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67,684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0.00</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67,684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0.00</w:t>
            </w:r>
          </w:p>
        </w:tc>
        <w:tc>
          <w:tcPr>
            <w:tcW w:w="350" w:type="dxa"/>
            <w:tcBorders/>
            <w:shd w:fill="CCEEFF" w:val="clear"/>
            <w:vAlign w:val="bottom"/>
          </w:tcPr>
          <w:p>
            <w:pPr>
              <w:pStyle w:val="TableContents"/>
              <w:spacing w:before="0" w:after="283"/>
              <w:rPr/>
            </w:pPr>
            <w:r>
              <w:rPr/>
              <w:t>% </w:t>
            </w:r>
          </w:p>
        </w:tc>
      </w:tr>
      <w:tr>
        <w:trPr/>
        <w:tc>
          <w:tcPr>
            <w:tcW w:w="1265" w:type="dxa"/>
            <w:tcBorders/>
            <w:shd w:fill="auto" w:val="clear"/>
          </w:tcPr>
          <w:p>
            <w:pPr>
              <w:pStyle w:val="TableContents"/>
              <w:spacing w:before="0" w:after="0"/>
              <w:rPr>
                <w:rFonts w:ascii="Times New Roman" w:hAnsi="Times New Roman"/>
                <w:sz w:val="16"/>
              </w:rPr>
            </w:pPr>
            <w:r>
              <w:rPr>
                <w:rFonts w:ascii="Times New Roman" w:hAnsi="Times New Roman"/>
                <w:sz w:val="16"/>
              </w:rPr>
              <w:t>Percentage Held by Stockholder A</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0.10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0.10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(4.76</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0.09</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(9.09</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0.08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(16.67</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0.08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(20.00</w:t>
            </w:r>
          </w:p>
        </w:tc>
        <w:tc>
          <w:tcPr>
            <w:tcW w:w="350" w:type="dxa"/>
            <w:tcBorders/>
            <w:shd w:fill="auto" w:val="clear"/>
            <w:vAlign w:val="bottom"/>
          </w:tcPr>
          <w:p>
            <w:pPr>
              <w:pStyle w:val="TableContents"/>
              <w:spacing w:before="0" w:after="283"/>
              <w:rPr/>
            </w:pPr>
            <w:r>
              <w:rPr/>
              <w:t>%) </w:t>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Total Net Asset Value Held by Stockholder A</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1,161,315</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1,158,553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(0.24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1,150,766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(0.91</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1,122,620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(3.33</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1,103,268</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(5.00</w:t>
            </w:r>
          </w:p>
        </w:tc>
        <w:tc>
          <w:tcPr>
            <w:tcW w:w="350" w:type="dxa"/>
            <w:tcBorders/>
            <w:shd w:fill="CCEEFF" w:val="clear"/>
            <w:vAlign w:val="bottom"/>
          </w:tcPr>
          <w:p>
            <w:pPr>
              <w:pStyle w:val="TableContents"/>
              <w:spacing w:before="0" w:after="283"/>
              <w:rPr/>
            </w:pPr>
            <w:r>
              <w:rPr/>
              <w:t>%) </w:t>
            </w:r>
          </w:p>
        </w:tc>
      </w:tr>
      <w:tr>
        <w:trPr/>
        <w:tc>
          <w:tcPr>
            <w:tcW w:w="1265" w:type="dxa"/>
            <w:tcBorders/>
            <w:shd w:fill="auto" w:val="clear"/>
          </w:tcPr>
          <w:p>
            <w:pPr>
              <w:pStyle w:val="TableContents"/>
              <w:spacing w:before="0" w:after="0"/>
              <w:rPr>
                <w:rFonts w:ascii="Times New Roman" w:hAnsi="Times New Roman"/>
                <w:sz w:val="16"/>
              </w:rPr>
            </w:pPr>
            <w:r>
              <w:rPr>
                <w:rFonts w:ascii="Times New Roman" w:hAnsi="Times New Roman"/>
                <w:sz w:val="16"/>
              </w:rPr>
              <w:t>Total Investment by Stockholder A (Assumed to be $17.16 per Share)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1,161,315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1,161,315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1,161,315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1,161,315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1,161,315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Total Dilution to Stockholder A (Total Net Asset Value Less Total Investment)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(2,762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(10,549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(38,694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(58,047</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265" w:type="dxa"/>
            <w:tcBorders/>
            <w:shd w:fill="auto" w:val="clear"/>
          </w:tcPr>
          <w:p>
            <w:pPr>
              <w:pStyle w:val="TableContents"/>
              <w:spacing w:before="0" w:after="0"/>
              <w:rPr>
                <w:rFonts w:ascii="Times New Roman" w:hAnsi="Times New Roman"/>
                <w:sz w:val="16"/>
              </w:rPr>
            </w:pPr>
            <w:r>
              <w:rPr>
                <w:rFonts w:ascii="Times New Roman" w:hAnsi="Times New Roman"/>
                <w:sz w:val="16"/>
              </w:rPr>
              <w:t>Investment per Share Held by Stockholder A (Assumed to be $17.16 per Share on Shares Held Prior to Sale)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17.16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17.16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0.00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17.16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0.00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17.16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0.00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17.16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0.00</w:t>
            </w:r>
          </w:p>
        </w:tc>
        <w:tc>
          <w:tcPr>
            <w:tcW w:w="350" w:type="dxa"/>
            <w:tcBorders/>
            <w:shd w:fill="auto" w:val="clear"/>
            <w:vAlign w:val="bottom"/>
          </w:tcPr>
          <w:p>
            <w:pPr>
              <w:pStyle w:val="TableContents"/>
              <w:spacing w:before="0" w:after="283"/>
              <w:rPr/>
            </w:pPr>
            <w:r>
              <w:rPr/>
              <w:t>% </w:t>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Net Asset Value per Share Held by Stockholder A</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17.12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17.00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16.59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16.30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265" w:type="dxa"/>
            <w:tcBorders/>
            <w:shd w:fill="auto" w:val="clear"/>
          </w:tcPr>
          <w:p>
            <w:pPr>
              <w:pStyle w:val="TableContents"/>
              <w:spacing w:before="0" w:after="0"/>
              <w:rPr>
                <w:rFonts w:ascii="Times New Roman" w:hAnsi="Times New Roman"/>
                <w:sz w:val="16"/>
              </w:rPr>
            </w:pPr>
            <w:r>
              <w:rPr>
                <w:rFonts w:ascii="Times New Roman" w:hAnsi="Times New Roman"/>
                <w:sz w:val="16"/>
              </w:rPr>
              <w:t>Dilution per Share Held by Stockholder A (Net Asset Value per Share Less Investment per Share)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(0.04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(0.16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(0.57</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(0.86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265" w:type="dxa"/>
            <w:tcBorders/>
            <w:shd w:fill="CCEEFF" w:val="clear"/>
          </w:tcPr>
          <w:p>
            <w:pPr>
              <w:pStyle w:val="TableContents"/>
              <w:spacing w:before="0" w:after="0"/>
              <w:rPr>
                <w:rFonts w:ascii="Times New Roman" w:hAnsi="Times New Roman"/>
                <w:sz w:val="16"/>
              </w:rPr>
            </w:pPr>
            <w:r>
              <w:rPr>
                <w:rFonts w:ascii="Times New Roman" w:hAnsi="Times New Roman"/>
                <w:sz w:val="16"/>
              </w:rPr>
              <w:t>Percentage Dilution to Stockholder A (Dilution per Share Divided by Investment per Share)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(0.25</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(0.92</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(3.34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(5.01</w:t>
            </w:r>
          </w:p>
        </w:tc>
        <w:tc>
          <w:tcPr>
            <w:tcW w:w="350"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Impact on Existing Stockholders Who Do Participate in the Offering </w:t>
      </w:r>
    </w:p>
    <w:p>
      <w:pPr>
        <w:pStyle w:val="TextBody"/>
        <w:spacing w:before="120" w:after="0"/>
        <w:jc w:val="left"/>
        <w:rPr>
          <w:rFonts w:ascii="Times New Roman" w:hAnsi="Times New Roman"/>
          <w:sz w:val="20"/>
        </w:rPr>
      </w:pPr>
      <w:r>
        <w:rPr>
          <w:rFonts w:ascii="Times New Roman" w:hAnsi="Times New Roman"/>
          <w:sz w:val="20"/>
        </w:rPr>
        <w:t xml:space="preserve">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chart illustrates the level of dilution and accretion in the hypothetical 20% discount offering from the prior chart (Example 3) for a stockholder that acquires shares equal to (a) 50% of its proportionate share of the offering (i.e., 0.05% of an offering of 13.5 million shares) rather than its 0.10% proportionate share and (b) 150% of such percentage (i.e., 0.15% of an offering of 13.5 million shares) rather than its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40"/>
        <w:gridCol w:w="210"/>
        <w:gridCol w:w="140"/>
        <w:gridCol w:w="1127"/>
        <w:gridCol w:w="281"/>
        <w:gridCol w:w="154"/>
        <w:gridCol w:w="140"/>
        <w:gridCol w:w="1152"/>
        <w:gridCol w:w="281"/>
        <w:gridCol w:w="154"/>
        <w:gridCol w:w="77"/>
        <w:gridCol w:w="738"/>
        <w:gridCol w:w="352"/>
        <w:gridCol w:w="154"/>
        <w:gridCol w:w="140"/>
        <w:gridCol w:w="1152"/>
        <w:gridCol w:w="281"/>
        <w:gridCol w:w="154"/>
        <w:gridCol w:w="78"/>
        <w:gridCol w:w="738"/>
        <w:gridCol w:w="362"/>
      </w:tblGrid>
      <w:tr>
        <w:trPr/>
        <w:tc>
          <w:tcPr>
            <w:tcW w:w="234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234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67" w:type="dxa"/>
            <w:gridSpan w:val="2"/>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542"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50% Participation</w:t>
            </w:r>
          </w:p>
        </w:tc>
        <w:tc>
          <w:tcPr>
            <w:tcW w:w="3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54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150% Participation</w:t>
            </w:r>
          </w:p>
        </w:tc>
        <w:tc>
          <w:tcPr>
            <w:tcW w:w="362" w:type="dxa"/>
            <w:tcBorders/>
            <w:shd w:fill="auto" w:val="clear"/>
            <w:vAlign w:val="bottom"/>
          </w:tcPr>
          <w:p>
            <w:pPr>
              <w:pStyle w:val="TableContents"/>
              <w:spacing w:before="0" w:after="283"/>
              <w:rPr/>
            </w:pPr>
            <w:r>
              <w:rPr/>
              <w:t> </w:t>
            </w:r>
          </w:p>
        </w:tc>
      </w:tr>
      <w:tr>
        <w:trPr/>
        <w:tc>
          <w:tcPr>
            <w:tcW w:w="234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2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Prior to Sale</w:t>
              <w:br/>
              <w:t>Below NAV</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29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 Sale</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29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 Sale</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81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62" w:type="dxa"/>
            <w:tcBorders/>
            <w:shd w:fill="auto" w:val="clear"/>
            <w:vAlign w:val="bottom"/>
          </w:tcPr>
          <w:p>
            <w:pPr>
              <w:pStyle w:val="TableContents"/>
              <w:spacing w:before="0" w:after="283"/>
              <w:rPr/>
            </w:pPr>
            <w:r>
              <w:rPr/>
              <w:t> </w:t>
            </w:r>
          </w:p>
        </w:tc>
      </w:tr>
      <w:tr>
        <w:trPr/>
        <w:tc>
          <w:tcPr>
            <w:tcW w:w="2340" w:type="dxa"/>
            <w:tcBorders/>
            <w:shd w:fill="CCEEFF" w:val="clear"/>
          </w:tcPr>
          <w:p>
            <w:pPr>
              <w:pStyle w:val="TableContents"/>
              <w:spacing w:before="0" w:after="0"/>
              <w:rPr>
                <w:rFonts w:ascii="Times New Roman" w:hAnsi="Times New Roman"/>
                <w:b/>
                <w:sz w:val="20"/>
              </w:rPr>
            </w:pPr>
            <w:r>
              <w:rPr>
                <w:rFonts w:ascii="Times New Roman" w:hAnsi="Times New Roman"/>
                <w:b/>
                <w:sz w:val="20"/>
              </w:rPr>
              <w:t>Offering Price</w:t>
            </w:r>
          </w:p>
        </w:tc>
        <w:tc>
          <w:tcPr>
            <w:tcW w:w="2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27"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52"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738" w:type="dxa"/>
            <w:tcBorders/>
            <w:shd w:fill="CCEEFF" w:val="clear"/>
            <w:vAlign w:val="bottom"/>
          </w:tcPr>
          <w:p>
            <w:pPr>
              <w:pStyle w:val="TableContents"/>
              <w:spacing w:before="0" w:after="283"/>
              <w:rPr>
                <w:sz w:val="4"/>
                <w:szCs w:val="4"/>
              </w:rPr>
            </w:pPr>
            <w:r>
              <w:rPr>
                <w:sz w:val="4"/>
                <w:szCs w:val="4"/>
              </w:rPr>
            </w:r>
          </w:p>
        </w:tc>
        <w:tc>
          <w:tcPr>
            <w:tcW w:w="352"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52"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8" w:type="dxa"/>
            <w:tcBorders/>
            <w:shd w:fill="CCEEFF" w:val="clear"/>
            <w:vAlign w:val="bottom"/>
          </w:tcPr>
          <w:p>
            <w:pPr>
              <w:pStyle w:val="TableContents"/>
              <w:spacing w:before="0" w:after="283"/>
              <w:rPr>
                <w:sz w:val="4"/>
                <w:szCs w:val="4"/>
              </w:rPr>
            </w:pPr>
            <w:r>
              <w:rPr>
                <w:sz w:val="4"/>
                <w:szCs w:val="4"/>
              </w:rPr>
            </w:r>
          </w:p>
        </w:tc>
        <w:tc>
          <w:tcPr>
            <w:tcW w:w="362" w:type="dxa"/>
            <w:tcBorders/>
            <w:shd w:fill="CCEEFF" w:val="clear"/>
            <w:vAlign w:val="bottom"/>
          </w:tcPr>
          <w:p>
            <w:pPr>
              <w:pStyle w:val="TableContents"/>
              <w:spacing w:before="0" w:after="283"/>
              <w:rPr>
                <w:sz w:val="4"/>
                <w:szCs w:val="4"/>
              </w:rPr>
            </w:pPr>
            <w:r>
              <w:rPr>
                <w:sz w:val="4"/>
                <w:szCs w:val="4"/>
              </w:rPr>
            </w:r>
          </w:p>
        </w:tc>
      </w:tr>
      <w:tr>
        <w:trPr/>
        <w:tc>
          <w:tcPr>
            <w:tcW w:w="2340" w:type="dxa"/>
            <w:tcBorders/>
            <w:shd w:fill="auto" w:val="clear"/>
          </w:tcPr>
          <w:p>
            <w:pPr>
              <w:pStyle w:val="TableContents"/>
              <w:spacing w:before="0" w:after="0"/>
              <w:rPr>
                <w:rFonts w:ascii="Times New Roman" w:hAnsi="Times New Roman"/>
                <w:sz w:val="20"/>
              </w:rPr>
            </w:pPr>
            <w:r>
              <w:rPr>
                <w:rFonts w:ascii="Times New Roman" w:hAnsi="Times New Roman"/>
                <w:sz w:val="20"/>
              </w:rPr>
              <w:t>Price per Share to Public</w:t>
            </w:r>
          </w:p>
        </w:tc>
        <w:tc>
          <w:tcPr>
            <w:tcW w:w="2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27"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52" w:type="dxa"/>
            <w:tcBorders/>
            <w:shd w:fill="auto" w:val="clear"/>
            <w:vAlign w:val="bottom"/>
          </w:tcPr>
          <w:p>
            <w:pPr>
              <w:pStyle w:val="TableContents"/>
              <w:spacing w:before="0" w:after="283"/>
              <w:jc w:val="right"/>
              <w:rPr/>
            </w:pPr>
            <w:r>
              <w:rPr/>
              <w:t>14.45</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52" w:type="dxa"/>
            <w:tcBorders/>
            <w:shd w:fill="auto" w:val="clear"/>
            <w:vAlign w:val="bottom"/>
          </w:tcPr>
          <w:p>
            <w:pPr>
              <w:pStyle w:val="TableContents"/>
              <w:spacing w:before="0" w:after="283"/>
              <w:jc w:val="right"/>
              <w:rPr/>
            </w:pPr>
            <w:r>
              <w:rPr/>
              <w:t>14.45</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r>
      <w:tr>
        <w:trPr/>
        <w:tc>
          <w:tcPr>
            <w:tcW w:w="2340" w:type="dxa"/>
            <w:tcBorders/>
            <w:shd w:fill="CCEEFF" w:val="clear"/>
          </w:tcPr>
          <w:p>
            <w:pPr>
              <w:pStyle w:val="TableContents"/>
              <w:spacing w:before="0" w:after="0"/>
              <w:rPr>
                <w:rFonts w:ascii="Times New Roman" w:hAnsi="Times New Roman"/>
                <w:sz w:val="20"/>
              </w:rPr>
            </w:pPr>
            <w:r>
              <w:rPr>
                <w:rFonts w:ascii="Times New Roman" w:hAnsi="Times New Roman"/>
                <w:sz w:val="20"/>
              </w:rPr>
              <w:t>Net Proceeds per Share to Issuer</w:t>
            </w:r>
          </w:p>
        </w:tc>
        <w:tc>
          <w:tcPr>
            <w:tcW w:w="2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27"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52" w:type="dxa"/>
            <w:tcBorders/>
            <w:shd w:fill="CCEEFF" w:val="clear"/>
            <w:vAlign w:val="bottom"/>
          </w:tcPr>
          <w:p>
            <w:pPr>
              <w:pStyle w:val="TableContents"/>
              <w:spacing w:before="0" w:after="283"/>
              <w:jc w:val="right"/>
              <w:rPr/>
            </w:pPr>
            <w:r>
              <w:rPr/>
              <w:t>13.73</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738" w:type="dxa"/>
            <w:tcBorders/>
            <w:shd w:fill="CCEEFF" w:val="clear"/>
            <w:vAlign w:val="bottom"/>
          </w:tcPr>
          <w:p>
            <w:pPr>
              <w:pStyle w:val="TableContents"/>
              <w:spacing w:before="0" w:after="283"/>
              <w:rPr>
                <w:sz w:val="4"/>
                <w:szCs w:val="4"/>
              </w:rPr>
            </w:pPr>
            <w:r>
              <w:rPr>
                <w:sz w:val="4"/>
                <w:szCs w:val="4"/>
              </w:rPr>
            </w:r>
          </w:p>
        </w:tc>
        <w:tc>
          <w:tcPr>
            <w:tcW w:w="352"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52" w:type="dxa"/>
            <w:tcBorders/>
            <w:shd w:fill="CCEEFF" w:val="clear"/>
            <w:vAlign w:val="bottom"/>
          </w:tcPr>
          <w:p>
            <w:pPr>
              <w:pStyle w:val="TableContents"/>
              <w:spacing w:before="0" w:after="283"/>
              <w:jc w:val="right"/>
              <w:rPr/>
            </w:pPr>
            <w:r>
              <w:rPr/>
              <w:t>13.73</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8" w:type="dxa"/>
            <w:tcBorders/>
            <w:shd w:fill="CCEEFF" w:val="clear"/>
            <w:vAlign w:val="bottom"/>
          </w:tcPr>
          <w:p>
            <w:pPr>
              <w:pStyle w:val="TableContents"/>
              <w:spacing w:before="0" w:after="283"/>
              <w:rPr>
                <w:sz w:val="4"/>
                <w:szCs w:val="4"/>
              </w:rPr>
            </w:pPr>
            <w:r>
              <w:rPr>
                <w:sz w:val="4"/>
                <w:szCs w:val="4"/>
              </w:rPr>
            </w:r>
          </w:p>
        </w:tc>
        <w:tc>
          <w:tcPr>
            <w:tcW w:w="362" w:type="dxa"/>
            <w:tcBorders/>
            <w:shd w:fill="CCEEFF" w:val="clear"/>
            <w:vAlign w:val="bottom"/>
          </w:tcPr>
          <w:p>
            <w:pPr>
              <w:pStyle w:val="TableContents"/>
              <w:spacing w:before="0" w:after="283"/>
              <w:rPr>
                <w:sz w:val="4"/>
                <w:szCs w:val="4"/>
              </w:rPr>
            </w:pPr>
            <w:r>
              <w:rPr>
                <w:sz w:val="4"/>
                <w:szCs w:val="4"/>
              </w:rPr>
            </w:r>
          </w:p>
        </w:tc>
      </w:tr>
      <w:tr>
        <w:trPr/>
        <w:tc>
          <w:tcPr>
            <w:tcW w:w="2340" w:type="dxa"/>
            <w:tcBorders/>
            <w:shd w:fill="auto" w:val="clear"/>
          </w:tcPr>
          <w:p>
            <w:pPr>
              <w:pStyle w:val="TableContents"/>
              <w:spacing w:before="0" w:after="0"/>
              <w:rPr>
                <w:rFonts w:ascii="Times New Roman" w:hAnsi="Times New Roman"/>
                <w:b/>
                <w:sz w:val="20"/>
              </w:rPr>
            </w:pPr>
            <w:r>
              <w:rPr>
                <w:rFonts w:ascii="Times New Roman" w:hAnsi="Times New Roman"/>
                <w:b/>
                <w:sz w:val="20"/>
              </w:rPr>
              <w:t>Decrease/Increase to Net Asset Value</w:t>
            </w:r>
          </w:p>
        </w:tc>
        <w:tc>
          <w:tcPr>
            <w:tcW w:w="2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27"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52"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52"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r>
      <w:tr>
        <w:trPr/>
        <w:tc>
          <w:tcPr>
            <w:tcW w:w="2340" w:type="dxa"/>
            <w:tcBorders/>
            <w:shd w:fill="CCEEFF" w:val="clear"/>
          </w:tcPr>
          <w:p>
            <w:pPr>
              <w:pStyle w:val="TableContents"/>
              <w:spacing w:before="0" w:after="0"/>
              <w:rPr>
                <w:rFonts w:ascii="Times New Roman" w:hAnsi="Times New Roman"/>
                <w:sz w:val="20"/>
              </w:rPr>
            </w:pPr>
            <w:r>
              <w:rPr>
                <w:rFonts w:ascii="Times New Roman" w:hAnsi="Times New Roman"/>
                <w:sz w:val="20"/>
              </w:rPr>
              <w:t>Shares Offered</w:t>
            </w:r>
          </w:p>
        </w:tc>
        <w:tc>
          <w:tcPr>
            <w:tcW w:w="2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27"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13,536,842</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738" w:type="dxa"/>
            <w:tcBorders/>
            <w:shd w:fill="CCEEFF" w:val="clear"/>
            <w:vAlign w:val="bottom"/>
          </w:tcPr>
          <w:p>
            <w:pPr>
              <w:pStyle w:val="TableContents"/>
              <w:spacing w:before="0" w:after="283"/>
              <w:rPr>
                <w:sz w:val="4"/>
                <w:szCs w:val="4"/>
              </w:rPr>
            </w:pPr>
            <w:r>
              <w:rPr>
                <w:sz w:val="4"/>
                <w:szCs w:val="4"/>
              </w:rPr>
            </w:r>
          </w:p>
        </w:tc>
        <w:tc>
          <w:tcPr>
            <w:tcW w:w="352"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13,536,842</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8" w:type="dxa"/>
            <w:tcBorders/>
            <w:shd w:fill="CCEEFF" w:val="clear"/>
            <w:vAlign w:val="bottom"/>
          </w:tcPr>
          <w:p>
            <w:pPr>
              <w:pStyle w:val="TableContents"/>
              <w:spacing w:before="0" w:after="283"/>
              <w:rPr>
                <w:sz w:val="4"/>
                <w:szCs w:val="4"/>
              </w:rPr>
            </w:pPr>
            <w:r>
              <w:rPr>
                <w:sz w:val="4"/>
                <w:szCs w:val="4"/>
              </w:rPr>
            </w:r>
          </w:p>
        </w:tc>
        <w:tc>
          <w:tcPr>
            <w:tcW w:w="362" w:type="dxa"/>
            <w:tcBorders/>
            <w:shd w:fill="CCEEFF" w:val="clear"/>
            <w:vAlign w:val="bottom"/>
          </w:tcPr>
          <w:p>
            <w:pPr>
              <w:pStyle w:val="TableContents"/>
              <w:spacing w:before="0" w:after="283"/>
              <w:rPr>
                <w:sz w:val="4"/>
                <w:szCs w:val="4"/>
              </w:rPr>
            </w:pPr>
            <w:r>
              <w:rPr>
                <w:sz w:val="4"/>
                <w:szCs w:val="4"/>
              </w:rPr>
            </w:r>
          </w:p>
        </w:tc>
      </w:tr>
      <w:tr>
        <w:trPr/>
        <w:tc>
          <w:tcPr>
            <w:tcW w:w="2340" w:type="dxa"/>
            <w:tcBorders/>
            <w:shd w:fill="auto" w:val="clear"/>
          </w:tcPr>
          <w:p>
            <w:pPr>
              <w:pStyle w:val="TableContents"/>
              <w:spacing w:before="0" w:after="0"/>
              <w:rPr>
                <w:rFonts w:ascii="Times New Roman" w:hAnsi="Times New Roman"/>
                <w:sz w:val="20"/>
              </w:rPr>
            </w:pPr>
            <w:r>
              <w:rPr>
                <w:rFonts w:ascii="Times New Roman" w:hAnsi="Times New Roman"/>
                <w:sz w:val="20"/>
              </w:rPr>
              <w:t>Total Shares Outstanding</w:t>
            </w:r>
          </w:p>
        </w:tc>
        <w:tc>
          <w:tcPr>
            <w:tcW w:w="2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67,684,209</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81,221,051</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20.00</w:t>
            </w:r>
          </w:p>
        </w:tc>
        <w:tc>
          <w:tcPr>
            <w:tcW w:w="3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81,221,051</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20.00</w:t>
            </w:r>
          </w:p>
        </w:tc>
        <w:tc>
          <w:tcPr>
            <w:tcW w:w="362" w:type="dxa"/>
            <w:tcBorders/>
            <w:shd w:fill="auto" w:val="clear"/>
            <w:vAlign w:val="bottom"/>
          </w:tcPr>
          <w:p>
            <w:pPr>
              <w:pStyle w:val="TableContents"/>
              <w:spacing w:before="0" w:after="283"/>
              <w:rPr/>
            </w:pPr>
            <w:r>
              <w:rPr/>
              <w:t>% </w:t>
            </w:r>
          </w:p>
        </w:tc>
      </w:tr>
      <w:tr>
        <w:trPr/>
        <w:tc>
          <w:tcPr>
            <w:tcW w:w="2340" w:type="dxa"/>
            <w:tcBorders/>
            <w:shd w:fill="CCEEFF" w:val="clear"/>
          </w:tcPr>
          <w:p>
            <w:pPr>
              <w:pStyle w:val="TableContents"/>
              <w:spacing w:before="0" w:after="0"/>
              <w:rPr>
                <w:rFonts w:ascii="Times New Roman" w:hAnsi="Times New Roman"/>
                <w:sz w:val="20"/>
              </w:rPr>
            </w:pPr>
            <w:r>
              <w:rPr>
                <w:rFonts w:ascii="Times New Roman" w:hAnsi="Times New Roman"/>
                <w:sz w:val="20"/>
              </w:rPr>
              <w:t>Net Asset Value per Share</w:t>
            </w:r>
          </w:p>
        </w:tc>
        <w:tc>
          <w:tcPr>
            <w:tcW w:w="2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27" w:type="dxa"/>
            <w:tcBorders/>
            <w:shd w:fill="CCEEFF" w:val="clear"/>
            <w:vAlign w:val="bottom"/>
          </w:tcPr>
          <w:p>
            <w:pPr>
              <w:pStyle w:val="TableContents"/>
              <w:spacing w:before="0" w:after="283"/>
              <w:jc w:val="right"/>
              <w:rPr/>
            </w:pPr>
            <w:r>
              <w:rPr/>
              <w:t>17.16</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52" w:type="dxa"/>
            <w:tcBorders/>
            <w:shd w:fill="CCEEFF" w:val="clear"/>
            <w:vAlign w:val="bottom"/>
          </w:tcPr>
          <w:p>
            <w:pPr>
              <w:pStyle w:val="TableContents"/>
              <w:spacing w:before="0" w:after="283"/>
              <w:jc w:val="right"/>
              <w:rPr/>
            </w:pPr>
            <w:r>
              <w:rPr/>
              <w:t>16.59</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(3.34</w:t>
            </w:r>
          </w:p>
        </w:tc>
        <w:tc>
          <w:tcPr>
            <w:tcW w:w="3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52" w:type="dxa"/>
            <w:tcBorders/>
            <w:shd w:fill="CCEEFF" w:val="clear"/>
            <w:vAlign w:val="bottom"/>
          </w:tcPr>
          <w:p>
            <w:pPr>
              <w:pStyle w:val="TableContents"/>
              <w:spacing w:before="0" w:after="283"/>
              <w:jc w:val="right"/>
              <w:rPr/>
            </w:pPr>
            <w:r>
              <w:rPr/>
              <w:t>16.59</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(3.34</w:t>
            </w:r>
          </w:p>
        </w:tc>
        <w:tc>
          <w:tcPr>
            <w:tcW w:w="362" w:type="dxa"/>
            <w:tcBorders/>
            <w:shd w:fill="CCEEFF" w:val="clear"/>
            <w:vAlign w:val="bottom"/>
          </w:tcPr>
          <w:p>
            <w:pPr>
              <w:pStyle w:val="TableContents"/>
              <w:spacing w:before="0" w:after="283"/>
              <w:rPr/>
            </w:pPr>
            <w:r>
              <w:rPr/>
              <w:t>)% </w:t>
            </w:r>
          </w:p>
        </w:tc>
      </w:tr>
      <w:tr>
        <w:trPr/>
        <w:tc>
          <w:tcPr>
            <w:tcW w:w="2340" w:type="dxa"/>
            <w:tcBorders/>
            <w:shd w:fill="auto" w:val="clear"/>
          </w:tcPr>
          <w:p>
            <w:pPr>
              <w:pStyle w:val="TableContents"/>
              <w:spacing w:before="0" w:after="0"/>
              <w:rPr>
                <w:rFonts w:ascii="Times New Roman" w:hAnsi="Times New Roman"/>
                <w:b/>
                <w:sz w:val="20"/>
              </w:rPr>
            </w:pPr>
            <w:r>
              <w:rPr>
                <w:rFonts w:ascii="Times New Roman" w:hAnsi="Times New Roman"/>
                <w:b/>
                <w:sz w:val="20"/>
              </w:rPr>
              <w:t>Dilution/Accretion to Participating Stockholder Shares Held by Stockholder A</w:t>
            </w:r>
          </w:p>
        </w:tc>
        <w:tc>
          <w:tcPr>
            <w:tcW w:w="2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27"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52"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52"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r>
      <w:tr>
        <w:trPr/>
        <w:tc>
          <w:tcPr>
            <w:tcW w:w="2340" w:type="dxa"/>
            <w:tcBorders/>
            <w:shd w:fill="CCEEFF" w:val="clear"/>
          </w:tcPr>
          <w:p>
            <w:pPr>
              <w:pStyle w:val="TableContents"/>
              <w:spacing w:before="0" w:after="0"/>
              <w:rPr>
                <w:rFonts w:ascii="Times New Roman" w:hAnsi="Times New Roman"/>
                <w:sz w:val="20"/>
              </w:rPr>
            </w:pPr>
            <w:r>
              <w:rPr>
                <w:rFonts w:ascii="Times New Roman" w:hAnsi="Times New Roman"/>
                <w:sz w:val="20"/>
              </w:rPr>
              <w:t>Shares Held by Stockholder A</w:t>
            </w:r>
          </w:p>
        </w:tc>
        <w:tc>
          <w:tcPr>
            <w:tcW w:w="2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27" w:type="dxa"/>
            <w:tcBorders/>
            <w:shd w:fill="CCEEFF" w:val="clear"/>
            <w:vAlign w:val="bottom"/>
          </w:tcPr>
          <w:p>
            <w:pPr>
              <w:pStyle w:val="TableContents"/>
              <w:spacing w:before="0" w:after="283"/>
              <w:jc w:val="right"/>
              <w:rPr/>
            </w:pPr>
            <w:r>
              <w:rPr/>
              <w:t>67,684</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74,452</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10.00</w:t>
            </w:r>
          </w:p>
        </w:tc>
        <w:tc>
          <w:tcPr>
            <w:tcW w:w="3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52" w:type="dxa"/>
            <w:tcBorders/>
            <w:shd w:fill="CCEEFF" w:val="clear"/>
            <w:vAlign w:val="bottom"/>
          </w:tcPr>
          <w:p>
            <w:pPr>
              <w:pStyle w:val="TableContents"/>
              <w:spacing w:before="0" w:after="283"/>
              <w:jc w:val="right"/>
              <w:rPr/>
            </w:pPr>
            <w:r>
              <w:rPr/>
              <w:t>87,989</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30.00</w:t>
            </w:r>
          </w:p>
        </w:tc>
        <w:tc>
          <w:tcPr>
            <w:tcW w:w="362" w:type="dxa"/>
            <w:tcBorders/>
            <w:shd w:fill="CCEEFF" w:val="clear"/>
            <w:vAlign w:val="bottom"/>
          </w:tcPr>
          <w:p>
            <w:pPr>
              <w:pStyle w:val="TableContents"/>
              <w:spacing w:before="0" w:after="283"/>
              <w:rPr/>
            </w:pPr>
            <w:r>
              <w:rPr/>
              <w:t>% </w:t>
            </w:r>
          </w:p>
        </w:tc>
      </w:tr>
      <w:tr>
        <w:trPr/>
        <w:tc>
          <w:tcPr>
            <w:tcW w:w="2340" w:type="dxa"/>
            <w:tcBorders/>
            <w:shd w:fill="auto" w:val="clear"/>
          </w:tcPr>
          <w:p>
            <w:pPr>
              <w:pStyle w:val="TableContents"/>
              <w:spacing w:before="0" w:after="0"/>
              <w:rPr>
                <w:rFonts w:ascii="Times New Roman" w:hAnsi="Times New Roman"/>
                <w:sz w:val="20"/>
              </w:rPr>
            </w:pPr>
            <w:r>
              <w:rPr>
                <w:rFonts w:ascii="Times New Roman" w:hAnsi="Times New Roman"/>
                <w:sz w:val="20"/>
              </w:rPr>
              <w:t>Percentage Held by Stockholder A</w:t>
            </w:r>
          </w:p>
        </w:tc>
        <w:tc>
          <w:tcPr>
            <w:tcW w:w="2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27" w:type="dxa"/>
            <w:tcBorders/>
            <w:shd w:fill="auto" w:val="clear"/>
            <w:vAlign w:val="bottom"/>
          </w:tcPr>
          <w:p>
            <w:pPr>
              <w:pStyle w:val="TableContents"/>
              <w:spacing w:before="0" w:after="283"/>
              <w:jc w:val="right"/>
              <w:rPr/>
            </w:pPr>
            <w:r>
              <w:rPr/>
              <w:t>0.10</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0.09</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(8.33</w:t>
            </w:r>
          </w:p>
        </w:tc>
        <w:tc>
          <w:tcPr>
            <w:tcW w:w="3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52" w:type="dxa"/>
            <w:tcBorders/>
            <w:shd w:fill="auto" w:val="clear"/>
            <w:vAlign w:val="bottom"/>
          </w:tcPr>
          <w:p>
            <w:pPr>
              <w:pStyle w:val="TableContents"/>
              <w:spacing w:before="0" w:after="283"/>
              <w:jc w:val="right"/>
              <w:rPr/>
            </w:pPr>
            <w:r>
              <w:rPr/>
              <w:t>0.11</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8.33</w:t>
            </w:r>
          </w:p>
        </w:tc>
        <w:tc>
          <w:tcPr>
            <w:tcW w:w="362" w:type="dxa"/>
            <w:tcBorders/>
            <w:shd w:fill="auto" w:val="clear"/>
            <w:vAlign w:val="bottom"/>
          </w:tcPr>
          <w:p>
            <w:pPr>
              <w:pStyle w:val="TableContents"/>
              <w:spacing w:before="0" w:after="283"/>
              <w:rPr/>
            </w:pPr>
            <w:r>
              <w:rPr/>
              <w:t>% </w:t>
            </w:r>
          </w:p>
        </w:tc>
      </w:tr>
      <w:tr>
        <w:trPr/>
        <w:tc>
          <w:tcPr>
            <w:tcW w:w="2340" w:type="dxa"/>
            <w:tcBorders/>
            <w:shd w:fill="CCEEFF" w:val="clear"/>
          </w:tcPr>
          <w:p>
            <w:pPr>
              <w:pStyle w:val="TableContents"/>
              <w:spacing w:before="0" w:after="0"/>
              <w:rPr>
                <w:rFonts w:ascii="Times New Roman" w:hAnsi="Times New Roman"/>
                <w:sz w:val="20"/>
              </w:rPr>
            </w:pPr>
            <w:r>
              <w:rPr>
                <w:rFonts w:ascii="Times New Roman" w:hAnsi="Times New Roman"/>
                <w:sz w:val="20"/>
              </w:rPr>
              <w:t>Total Net Asset Value Held by Stockholder A</w:t>
            </w:r>
          </w:p>
        </w:tc>
        <w:tc>
          <w:tcPr>
            <w:tcW w:w="2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27" w:type="dxa"/>
            <w:tcBorders/>
            <w:shd w:fill="CCEEFF" w:val="clear"/>
            <w:vAlign w:val="bottom"/>
          </w:tcPr>
          <w:p>
            <w:pPr>
              <w:pStyle w:val="TableContents"/>
              <w:spacing w:before="0" w:after="283"/>
              <w:jc w:val="right"/>
              <w:rPr/>
            </w:pPr>
            <w:r>
              <w:rPr/>
              <w:t>1,161,315</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52" w:type="dxa"/>
            <w:tcBorders/>
            <w:shd w:fill="CCEEFF" w:val="clear"/>
            <w:vAlign w:val="bottom"/>
          </w:tcPr>
          <w:p>
            <w:pPr>
              <w:pStyle w:val="TableContents"/>
              <w:spacing w:before="0" w:after="283"/>
              <w:jc w:val="right"/>
              <w:rPr/>
            </w:pPr>
            <w:r>
              <w:rPr/>
              <w:t>1,234,883</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6.34</w:t>
            </w:r>
          </w:p>
        </w:tc>
        <w:tc>
          <w:tcPr>
            <w:tcW w:w="3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52" w:type="dxa"/>
            <w:tcBorders/>
            <w:shd w:fill="CCEEFF" w:val="clear"/>
            <w:vAlign w:val="bottom"/>
          </w:tcPr>
          <w:p>
            <w:pPr>
              <w:pStyle w:val="TableContents"/>
              <w:spacing w:before="0" w:after="283"/>
              <w:jc w:val="right"/>
              <w:rPr/>
            </w:pPr>
            <w:r>
              <w:rPr/>
              <w:t>1,459,407</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25.67</w:t>
            </w:r>
          </w:p>
        </w:tc>
        <w:tc>
          <w:tcPr>
            <w:tcW w:w="362" w:type="dxa"/>
            <w:tcBorders/>
            <w:shd w:fill="CCEEFF" w:val="clear"/>
            <w:vAlign w:val="bottom"/>
          </w:tcPr>
          <w:p>
            <w:pPr>
              <w:pStyle w:val="TableContents"/>
              <w:spacing w:before="0" w:after="283"/>
              <w:rPr/>
            </w:pPr>
            <w:r>
              <w:rPr/>
              <w:t>% </w:t>
            </w:r>
          </w:p>
        </w:tc>
      </w:tr>
      <w:tr>
        <w:trPr/>
        <w:tc>
          <w:tcPr>
            <w:tcW w:w="2340" w:type="dxa"/>
            <w:tcBorders/>
            <w:shd w:fill="auto" w:val="clear"/>
          </w:tcPr>
          <w:p>
            <w:pPr>
              <w:pStyle w:val="TableContents"/>
              <w:spacing w:before="0" w:after="0"/>
              <w:rPr>
                <w:rFonts w:ascii="Times New Roman" w:hAnsi="Times New Roman"/>
                <w:sz w:val="20"/>
              </w:rPr>
            </w:pPr>
            <w:r>
              <w:rPr>
                <w:rFonts w:ascii="Times New Roman" w:hAnsi="Times New Roman"/>
                <w:sz w:val="20"/>
              </w:rPr>
              <w:t>Total Investment by Stockholder A (Assumed to be $17.16 per Share on Shares Held Prior to Sale)</w:t>
            </w:r>
          </w:p>
        </w:tc>
        <w:tc>
          <w:tcPr>
            <w:tcW w:w="2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27" w:type="dxa"/>
            <w:tcBorders/>
            <w:shd w:fill="auto" w:val="clear"/>
            <w:vAlign w:val="bottom"/>
          </w:tcPr>
          <w:p>
            <w:pPr>
              <w:pStyle w:val="TableContents"/>
              <w:spacing w:before="0" w:after="283"/>
              <w:jc w:val="right"/>
              <w:rPr/>
            </w:pPr>
            <w:r>
              <w:rPr/>
              <w:t>1,161,315</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52" w:type="dxa"/>
            <w:tcBorders/>
            <w:shd w:fill="auto" w:val="clear"/>
            <w:vAlign w:val="bottom"/>
          </w:tcPr>
          <w:p>
            <w:pPr>
              <w:pStyle w:val="TableContents"/>
              <w:spacing w:before="0" w:after="283"/>
              <w:jc w:val="right"/>
              <w:rPr/>
            </w:pPr>
            <w:r>
              <w:rPr/>
              <w:t>1,259,122</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52" w:type="dxa"/>
            <w:tcBorders/>
            <w:shd w:fill="auto" w:val="clear"/>
            <w:vAlign w:val="bottom"/>
          </w:tcPr>
          <w:p>
            <w:pPr>
              <w:pStyle w:val="TableContents"/>
              <w:spacing w:before="0" w:after="283"/>
              <w:jc w:val="right"/>
              <w:rPr/>
            </w:pPr>
            <w:r>
              <w:rPr/>
              <w:t>1,454,737</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r>
      <w:tr>
        <w:trPr/>
        <w:tc>
          <w:tcPr>
            <w:tcW w:w="2340" w:type="dxa"/>
            <w:tcBorders/>
            <w:shd w:fill="CCEEFF" w:val="clear"/>
          </w:tcPr>
          <w:p>
            <w:pPr>
              <w:pStyle w:val="TableContents"/>
              <w:spacing w:before="0" w:after="0"/>
              <w:rPr>
                <w:rFonts w:ascii="Times New Roman" w:hAnsi="Times New Roman"/>
                <w:sz w:val="20"/>
              </w:rPr>
            </w:pPr>
            <w:r>
              <w:rPr>
                <w:rFonts w:ascii="Times New Roman" w:hAnsi="Times New Roman"/>
                <w:sz w:val="20"/>
              </w:rPr>
              <w:t>Total Dilution/Accretion to Stockholder A (Total Net Asset Value Less Total Investment)</w:t>
            </w:r>
          </w:p>
        </w:tc>
        <w:tc>
          <w:tcPr>
            <w:tcW w:w="2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27"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52" w:type="dxa"/>
            <w:tcBorders/>
            <w:shd w:fill="CCEEFF" w:val="clear"/>
            <w:vAlign w:val="bottom"/>
          </w:tcPr>
          <w:p>
            <w:pPr>
              <w:pStyle w:val="TableContents"/>
              <w:spacing w:before="0" w:after="283"/>
              <w:jc w:val="right"/>
              <w:rPr/>
            </w:pPr>
            <w:r>
              <w:rPr/>
              <w:t>(24,239)</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738" w:type="dxa"/>
            <w:tcBorders/>
            <w:shd w:fill="CCEEFF" w:val="clear"/>
            <w:vAlign w:val="bottom"/>
          </w:tcPr>
          <w:p>
            <w:pPr>
              <w:pStyle w:val="TableContents"/>
              <w:spacing w:before="0" w:after="283"/>
              <w:rPr>
                <w:sz w:val="4"/>
                <w:szCs w:val="4"/>
              </w:rPr>
            </w:pPr>
            <w:r>
              <w:rPr>
                <w:sz w:val="4"/>
                <w:szCs w:val="4"/>
              </w:rPr>
            </w:r>
          </w:p>
        </w:tc>
        <w:tc>
          <w:tcPr>
            <w:tcW w:w="352"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52" w:type="dxa"/>
            <w:tcBorders/>
            <w:shd w:fill="CCEEFF" w:val="clear"/>
            <w:vAlign w:val="bottom"/>
          </w:tcPr>
          <w:p>
            <w:pPr>
              <w:pStyle w:val="TableContents"/>
              <w:spacing w:before="0" w:after="283"/>
              <w:jc w:val="right"/>
              <w:rPr/>
            </w:pPr>
            <w:r>
              <w:rPr/>
              <w:t>4,671</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8" w:type="dxa"/>
            <w:tcBorders/>
            <w:shd w:fill="CCEEFF" w:val="clear"/>
            <w:vAlign w:val="bottom"/>
          </w:tcPr>
          <w:p>
            <w:pPr>
              <w:pStyle w:val="TableContents"/>
              <w:spacing w:before="0" w:after="283"/>
              <w:rPr>
                <w:sz w:val="4"/>
                <w:szCs w:val="4"/>
              </w:rPr>
            </w:pPr>
            <w:r>
              <w:rPr>
                <w:sz w:val="4"/>
                <w:szCs w:val="4"/>
              </w:rPr>
            </w:r>
          </w:p>
        </w:tc>
        <w:tc>
          <w:tcPr>
            <w:tcW w:w="362" w:type="dxa"/>
            <w:tcBorders/>
            <w:shd w:fill="CCEEFF" w:val="clear"/>
            <w:vAlign w:val="bottom"/>
          </w:tcPr>
          <w:p>
            <w:pPr>
              <w:pStyle w:val="TableContents"/>
              <w:spacing w:before="0" w:after="283"/>
              <w:rPr>
                <w:sz w:val="4"/>
                <w:szCs w:val="4"/>
              </w:rPr>
            </w:pPr>
            <w:r>
              <w:rPr>
                <w:sz w:val="4"/>
                <w:szCs w:val="4"/>
              </w:rPr>
            </w:r>
          </w:p>
        </w:tc>
      </w:tr>
      <w:tr>
        <w:trPr/>
        <w:tc>
          <w:tcPr>
            <w:tcW w:w="2340" w:type="dxa"/>
            <w:tcBorders/>
            <w:shd w:fill="auto" w:val="clear"/>
          </w:tcPr>
          <w:p>
            <w:pPr>
              <w:pStyle w:val="TableContents"/>
              <w:spacing w:before="0" w:after="0"/>
              <w:rPr>
                <w:rFonts w:ascii="Times New Roman" w:hAnsi="Times New Roman"/>
                <w:sz w:val="20"/>
              </w:rPr>
            </w:pPr>
            <w:r>
              <w:rPr>
                <w:rFonts w:ascii="Times New Roman" w:hAnsi="Times New Roman"/>
                <w:sz w:val="20"/>
              </w:rPr>
              <w:t>Investment per Share Held by Stockholder A (Assumed to be $17.16 per Share on Shares Held Prior to Sale)</w:t>
            </w:r>
          </w:p>
        </w:tc>
        <w:tc>
          <w:tcPr>
            <w:tcW w:w="2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27" w:type="dxa"/>
            <w:tcBorders/>
            <w:shd w:fill="auto" w:val="clear"/>
            <w:vAlign w:val="bottom"/>
          </w:tcPr>
          <w:p>
            <w:pPr>
              <w:pStyle w:val="TableContents"/>
              <w:spacing w:before="0" w:after="283"/>
              <w:jc w:val="right"/>
              <w:rPr/>
            </w:pPr>
            <w:r>
              <w:rPr/>
              <w:t>17.16</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52" w:type="dxa"/>
            <w:tcBorders/>
            <w:shd w:fill="auto" w:val="clear"/>
            <w:vAlign w:val="bottom"/>
          </w:tcPr>
          <w:p>
            <w:pPr>
              <w:pStyle w:val="TableContents"/>
              <w:spacing w:before="0" w:after="283"/>
              <w:jc w:val="right"/>
              <w:rPr/>
            </w:pPr>
            <w:r>
              <w:rPr/>
              <w:t>16.91</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(1.45</w:t>
            </w:r>
          </w:p>
        </w:tc>
        <w:tc>
          <w:tcPr>
            <w:tcW w:w="35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52" w:type="dxa"/>
            <w:tcBorders/>
            <w:shd w:fill="auto" w:val="clear"/>
            <w:vAlign w:val="bottom"/>
          </w:tcPr>
          <w:p>
            <w:pPr>
              <w:pStyle w:val="TableContents"/>
              <w:spacing w:before="0" w:after="283"/>
              <w:jc w:val="right"/>
              <w:rPr/>
            </w:pPr>
            <w:r>
              <w:rPr/>
              <w:t>16.53</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pPr>
            <w:r>
              <w:rPr/>
              <w:t>(3.65</w:t>
            </w:r>
          </w:p>
        </w:tc>
        <w:tc>
          <w:tcPr>
            <w:tcW w:w="362" w:type="dxa"/>
            <w:tcBorders/>
            <w:shd w:fill="auto" w:val="clear"/>
            <w:vAlign w:val="bottom"/>
          </w:tcPr>
          <w:p>
            <w:pPr>
              <w:pStyle w:val="TableContents"/>
              <w:spacing w:before="0" w:after="283"/>
              <w:rPr/>
            </w:pPr>
            <w:r>
              <w:rPr/>
              <w:t>)% </w:t>
            </w:r>
          </w:p>
        </w:tc>
      </w:tr>
      <w:tr>
        <w:trPr/>
        <w:tc>
          <w:tcPr>
            <w:tcW w:w="2340" w:type="dxa"/>
            <w:tcBorders/>
            <w:shd w:fill="CCEEFF" w:val="clear"/>
          </w:tcPr>
          <w:p>
            <w:pPr>
              <w:pStyle w:val="TableContents"/>
              <w:spacing w:before="0" w:after="0"/>
              <w:rPr>
                <w:rFonts w:ascii="Times New Roman" w:hAnsi="Times New Roman"/>
                <w:sz w:val="20"/>
              </w:rPr>
            </w:pPr>
            <w:r>
              <w:rPr>
                <w:rFonts w:ascii="Times New Roman" w:hAnsi="Times New Roman"/>
                <w:sz w:val="20"/>
              </w:rPr>
              <w:t>Net Asset Value per Share Held by Stockholder A</w:t>
            </w:r>
          </w:p>
        </w:tc>
        <w:tc>
          <w:tcPr>
            <w:tcW w:w="2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27"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52" w:type="dxa"/>
            <w:tcBorders/>
            <w:shd w:fill="CCEEFF" w:val="clear"/>
            <w:vAlign w:val="bottom"/>
          </w:tcPr>
          <w:p>
            <w:pPr>
              <w:pStyle w:val="TableContents"/>
              <w:spacing w:before="0" w:after="283"/>
              <w:jc w:val="right"/>
              <w:rPr/>
            </w:pPr>
            <w:r>
              <w:rPr/>
              <w:t>16.59</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738" w:type="dxa"/>
            <w:tcBorders/>
            <w:shd w:fill="CCEEFF" w:val="clear"/>
            <w:vAlign w:val="bottom"/>
          </w:tcPr>
          <w:p>
            <w:pPr>
              <w:pStyle w:val="TableContents"/>
              <w:spacing w:before="0" w:after="283"/>
              <w:rPr>
                <w:sz w:val="4"/>
                <w:szCs w:val="4"/>
              </w:rPr>
            </w:pPr>
            <w:r>
              <w:rPr>
                <w:sz w:val="4"/>
                <w:szCs w:val="4"/>
              </w:rPr>
            </w:r>
          </w:p>
        </w:tc>
        <w:tc>
          <w:tcPr>
            <w:tcW w:w="352"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52" w:type="dxa"/>
            <w:tcBorders/>
            <w:shd w:fill="CCEEFF" w:val="clear"/>
            <w:vAlign w:val="bottom"/>
          </w:tcPr>
          <w:p>
            <w:pPr>
              <w:pStyle w:val="TableContents"/>
              <w:spacing w:before="0" w:after="283"/>
              <w:jc w:val="right"/>
              <w:rPr/>
            </w:pPr>
            <w:r>
              <w:rPr/>
              <w:t>16.59</w:t>
            </w:r>
          </w:p>
        </w:tc>
        <w:tc>
          <w:tcPr>
            <w:tcW w:w="28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8" w:type="dxa"/>
            <w:tcBorders/>
            <w:shd w:fill="CCEEFF" w:val="clear"/>
            <w:vAlign w:val="bottom"/>
          </w:tcPr>
          <w:p>
            <w:pPr>
              <w:pStyle w:val="TableContents"/>
              <w:spacing w:before="0" w:after="283"/>
              <w:rPr>
                <w:sz w:val="4"/>
                <w:szCs w:val="4"/>
              </w:rPr>
            </w:pPr>
            <w:r>
              <w:rPr>
                <w:sz w:val="4"/>
                <w:szCs w:val="4"/>
              </w:rPr>
            </w:r>
          </w:p>
        </w:tc>
        <w:tc>
          <w:tcPr>
            <w:tcW w:w="362" w:type="dxa"/>
            <w:tcBorders/>
            <w:shd w:fill="CCEEFF" w:val="clear"/>
            <w:vAlign w:val="bottom"/>
          </w:tcPr>
          <w:p>
            <w:pPr>
              <w:pStyle w:val="TableContents"/>
              <w:spacing w:before="0" w:after="283"/>
              <w:rPr>
                <w:sz w:val="4"/>
                <w:szCs w:val="4"/>
              </w:rPr>
            </w:pPr>
            <w:r>
              <w:rPr>
                <w:sz w:val="4"/>
                <w:szCs w:val="4"/>
              </w:rPr>
            </w:r>
          </w:p>
        </w:tc>
      </w:tr>
      <w:tr>
        <w:trPr/>
        <w:tc>
          <w:tcPr>
            <w:tcW w:w="2340" w:type="dxa"/>
            <w:tcBorders/>
            <w:shd w:fill="auto" w:val="clear"/>
          </w:tcPr>
          <w:p>
            <w:pPr>
              <w:pStyle w:val="TableContents"/>
              <w:spacing w:before="0" w:after="0"/>
              <w:rPr>
                <w:rFonts w:ascii="Times New Roman" w:hAnsi="Times New Roman"/>
                <w:sz w:val="20"/>
              </w:rPr>
            </w:pPr>
            <w:r>
              <w:rPr>
                <w:rFonts w:ascii="Times New Roman" w:hAnsi="Times New Roman"/>
                <w:sz w:val="20"/>
              </w:rPr>
              <w:t>Dilution/Accretion per Share Held by Stockholder A (Net Asset Value per Share Less Investment per Share)</w:t>
            </w:r>
          </w:p>
        </w:tc>
        <w:tc>
          <w:tcPr>
            <w:tcW w:w="21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27"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52" w:type="dxa"/>
            <w:tcBorders/>
            <w:shd w:fill="auto" w:val="clear"/>
            <w:vAlign w:val="bottom"/>
          </w:tcPr>
          <w:p>
            <w:pPr>
              <w:pStyle w:val="TableContents"/>
              <w:spacing w:before="0" w:after="283"/>
              <w:jc w:val="right"/>
              <w:rPr/>
            </w:pPr>
            <w:r>
              <w:rPr/>
              <w:t>(0.33)</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52" w:type="dxa"/>
            <w:tcBorders/>
            <w:shd w:fill="auto" w:val="clear"/>
            <w:vAlign w:val="bottom"/>
          </w:tcPr>
          <w:p>
            <w:pPr>
              <w:pStyle w:val="TableContents"/>
              <w:spacing w:before="0" w:after="283"/>
              <w:jc w:val="right"/>
              <w:rPr/>
            </w:pPr>
            <w:r>
              <w:rPr/>
              <w:t>0.05</w:t>
            </w:r>
          </w:p>
        </w:tc>
        <w:tc>
          <w:tcPr>
            <w:tcW w:w="281"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r>
      <w:tr>
        <w:trPr/>
        <w:tc>
          <w:tcPr>
            <w:tcW w:w="2340" w:type="dxa"/>
            <w:tcBorders/>
            <w:shd w:fill="CCEEFF" w:val="clear"/>
          </w:tcPr>
          <w:p>
            <w:pPr>
              <w:pStyle w:val="TableContents"/>
              <w:spacing w:before="0" w:after="0"/>
              <w:rPr>
                <w:rFonts w:ascii="Times New Roman" w:hAnsi="Times New Roman"/>
                <w:sz w:val="20"/>
              </w:rPr>
            </w:pPr>
            <w:r>
              <w:rPr>
                <w:rFonts w:ascii="Times New Roman" w:hAnsi="Times New Roman"/>
                <w:sz w:val="20"/>
              </w:rPr>
              <w:t>Percentage Dilution/Accretion to Stockholder A (Dilution per Share Divided by Investment per Share)</w:t>
            </w:r>
          </w:p>
        </w:tc>
        <w:tc>
          <w:tcPr>
            <w:tcW w:w="21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27"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52"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(1.93</w:t>
            </w:r>
          </w:p>
        </w:tc>
        <w:tc>
          <w:tcPr>
            <w:tcW w:w="352"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52" w:type="dxa"/>
            <w:tcBorders/>
            <w:shd w:fill="CCEEFF" w:val="clear"/>
            <w:vAlign w:val="bottom"/>
          </w:tcPr>
          <w:p>
            <w:pPr>
              <w:pStyle w:val="TableContents"/>
              <w:spacing w:before="0" w:after="283"/>
              <w:rPr>
                <w:sz w:val="4"/>
                <w:szCs w:val="4"/>
              </w:rPr>
            </w:pPr>
            <w:r>
              <w:rPr>
                <w:sz w:val="4"/>
                <w:szCs w:val="4"/>
              </w:rPr>
            </w:r>
          </w:p>
        </w:tc>
        <w:tc>
          <w:tcPr>
            <w:tcW w:w="281"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pPr>
            <w:r>
              <w:rPr/>
              <w:t>0.32</w:t>
            </w:r>
          </w:p>
        </w:tc>
        <w:tc>
          <w:tcPr>
            <w:tcW w:w="362"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i/>
          <w:sz w:val="20"/>
        </w:rPr>
      </w:pPr>
      <w:r>
        <w:rPr>
          <w:rFonts w:ascii="Times New Roman" w:hAnsi="Times New Roman"/>
          <w:b/>
          <w:i/>
          <w:sz w:val="20"/>
        </w:rPr>
        <w:t xml:space="preserve">Other Considerations </w:t>
      </w:r>
    </w:p>
    <w:p>
      <w:pPr>
        <w:pStyle w:val="TextBody"/>
        <w:spacing w:before="120" w:after="0"/>
        <w:jc w:val="left"/>
        <w:rPr>
          <w:rFonts w:ascii="Times New Roman" w:hAnsi="Times New Roman"/>
          <w:i/>
          <w:sz w:val="20"/>
        </w:rPr>
      </w:pPr>
      <w:r>
        <w:rPr>
          <w:rFonts w:ascii="Times New Roman" w:hAnsi="Times New Roman"/>
          <w:i/>
          <w:sz w:val="20"/>
        </w:rPr>
        <w:t xml:space="preserve">Underwritten Offerings </w:t>
      </w:r>
    </w:p>
    <w:p>
      <w:pPr>
        <w:pStyle w:val="TextBody"/>
        <w:spacing w:before="120" w:after="0"/>
        <w:jc w:val="left"/>
        <w:rPr>
          <w:rFonts w:ascii="Times New Roman" w:hAnsi="Times New Roman"/>
          <w:sz w:val="20"/>
        </w:rPr>
      </w:pPr>
      <w:r>
        <w:rPr>
          <w:rFonts w:ascii="Times New Roman" w:hAnsi="Times New Roman"/>
          <w:sz w:val="20"/>
        </w:rPr>
        <w:t xml:space="preserve">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Consideration of Potential Conflicts of Interest </w:t>
      </w:r>
    </w:p>
    <w:p>
      <w:pPr>
        <w:pStyle w:val="TextBody"/>
        <w:spacing w:before="120" w:after="0"/>
        <w:jc w:val="left"/>
        <w:rPr>
          <w:rFonts w:ascii="Times New Roman" w:hAnsi="Times New Roman"/>
          <w:sz w:val="20"/>
        </w:rPr>
      </w:pPr>
      <w:r>
        <w:rPr>
          <w:rFonts w:ascii="Times New Roman" w:hAnsi="Times New Roman"/>
          <w:sz w:val="20"/>
        </w:rPr>
        <w:t xml:space="preserve">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Sixth Street Specialty Lending Advisers, as such fees are based on the amount of the Companys gross assets, and considered the effect of the following factors: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costs and benefits of a common stock offering below NAV compared to other possible means for raising capital or concluding not to raise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size of a common stock offering in relation to the number of shares outstanding;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general condition of the securities markets;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impact on operating expenses associated with an increase in capital. </w:t>
            </w:r>
          </w:p>
        </w:tc>
      </w:tr>
    </w:tbl>
    <w:p>
      <w:pPr>
        <w:pStyle w:val="TextBody"/>
        <w:spacing w:before="240" w:after="0"/>
        <w:jc w:val="left"/>
        <w:rPr>
          <w:rFonts w:ascii="Times New Roman" w:hAnsi="Times New Roman"/>
          <w:sz w:val="20"/>
        </w:rPr>
      </w:pPr>
      <w:r>
        <w:rPr>
          <w:rFonts w:ascii="Times New Roman" w:hAnsi="Times New Roman"/>
          <w:sz w:val="20"/>
        </w:rPr>
        <w:t xml:space="preserve">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 </w:t>
      </w:r>
    </w:p>
    <w:p>
      <w:pPr>
        <w:pStyle w:val="TextBody"/>
        <w:spacing w:before="360" w:after="0"/>
        <w:jc w:val="left"/>
        <w:rPr>
          <w:rFonts w:ascii="Times New Roman" w:hAnsi="Times New Roman"/>
          <w:b/>
          <w:sz w:val="20"/>
        </w:rPr>
      </w:pPr>
      <w:r>
        <w:rPr>
          <w:rFonts w:ascii="Times New Roman" w:hAnsi="Times New Roman"/>
          <w:b/>
          <w:sz w:val="20"/>
        </w:rPr>
        <w:t xml:space="preserve">Required Vote </w:t>
      </w:r>
    </w:p>
    <w:p>
      <w:pPr>
        <w:pStyle w:val="TextBody"/>
        <w:spacing w:before="120" w:after="0"/>
        <w:jc w:val="left"/>
        <w:rPr>
          <w:rFonts w:ascii="Times New Roman" w:hAnsi="Times New Roman"/>
          <w:sz w:val="20"/>
        </w:rPr>
      </w:pPr>
      <w:r>
        <w:rPr>
          <w:rFonts w:ascii="Times New Roman" w:hAnsi="Times New Roman"/>
          <w:sz w:val="20"/>
        </w:rPr>
        <w:t xml:space="preserve">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 </w:t>
      </w:r>
    </w:p>
    <w:p>
      <w:pPr>
        <w:pStyle w:val="TextBody"/>
        <w:spacing w:before="360" w:after="0"/>
        <w:jc w:val="left"/>
        <w:rPr>
          <w:rFonts w:ascii="Times New Roman" w:hAnsi="Times New Roman"/>
          <w:b/>
          <w:sz w:val="20"/>
        </w:rPr>
      </w:pPr>
      <w:r>
        <w:rPr>
          <w:rFonts w:ascii="Times New Roman" w:hAnsi="Times New Roman"/>
          <w:b/>
          <w:sz w:val="20"/>
        </w:rPr>
        <w:t xml:space="preserve">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oc141711_4"/>
      <w:bookmarkEnd w:id="7"/>
      <w:r>
        <w:rPr>
          <w:rFonts w:ascii="Times New Roman" w:hAnsi="Times New Roman"/>
          <w:b/>
          <w:sz w:val="20"/>
        </w:rPr>
        <w:t xml:space="preserve">OTHER BUSINESS </w:t>
      </w:r>
    </w:p>
    <w:p>
      <w:pPr>
        <w:pStyle w:val="TextBody"/>
        <w:spacing w:before="120" w:after="0"/>
        <w:jc w:val="left"/>
        <w:rPr>
          <w:rFonts w:ascii="Times New Roman" w:hAnsi="Times New Roman"/>
          <w:sz w:val="20"/>
        </w:rPr>
      </w:pPr>
      <w:r>
        <w:rPr>
          <w:rFonts w:ascii="Times New Roman" w:hAnsi="Times New Roman"/>
          <w:sz w:val="20"/>
        </w:rPr>
        <w:t xml:space="preserve">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 </w:t>
      </w:r>
    </w:p>
    <w:p>
      <w:pPr>
        <w:pStyle w:val="TextBody"/>
        <w:spacing w:before="480" w:after="0"/>
        <w:jc w:val="center"/>
        <w:rPr>
          <w:rFonts w:ascii="Times New Roman" w:hAnsi="Times New Roman"/>
          <w:b/>
          <w:sz w:val="20"/>
        </w:rPr>
      </w:pPr>
      <w:bookmarkStart w:id="8" w:name="toc141711_5"/>
      <w:bookmarkEnd w:id="8"/>
      <w:r>
        <w:rPr>
          <w:rFonts w:ascii="Times New Roman" w:hAnsi="Times New Roman"/>
          <w:b/>
          <w:sz w:val="20"/>
        </w:rPr>
        <w:t xml:space="preserve">STOCKHOLDER PROPOSALS AND NOMINATIONS FOR THE 2022 ANNUAL MEETING OF STOCKHOLDERS </w:t>
      </w:r>
    </w:p>
    <w:p>
      <w:pPr>
        <w:pStyle w:val="TextBody"/>
        <w:spacing w:before="240" w:after="0"/>
        <w:jc w:val="left"/>
        <w:rPr>
          <w:rFonts w:ascii="Times New Roman" w:hAnsi="Times New Roman"/>
          <w:b/>
          <w:sz w:val="20"/>
        </w:rPr>
      </w:pPr>
      <w:r>
        <w:rPr>
          <w:rFonts w:ascii="Times New Roman" w:hAnsi="Times New Roman"/>
          <w:b/>
          <w:sz w:val="20"/>
        </w:rPr>
        <w:t xml:space="preserve">Inclusion of Proposals in Our Proxy Statement and Proxy Card Under the SECs Rules </w:t>
      </w:r>
    </w:p>
    <w:p>
      <w:pPr>
        <w:pStyle w:val="TextBody"/>
        <w:spacing w:before="120" w:after="0"/>
        <w:jc w:val="left"/>
        <w:rPr>
          <w:rFonts w:ascii="Times New Roman" w:hAnsi="Times New Roman"/>
          <w:sz w:val="20"/>
        </w:rPr>
      </w:pPr>
      <w:r>
        <w:rPr>
          <w:rFonts w:ascii="Times New Roman" w:hAnsi="Times New Roman"/>
          <w:sz w:val="20"/>
        </w:rPr>
        <w:t xml:space="preserve">Any proposal of a stockholder intended to be included in our proxy statement and form of proxy/voting instruction card for the 2022 annual meeting of stockholders pursuant to Rule 14a-8 of the SECs rules must be received by us at our principal executive offices no later than                 , 2021.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Ian Simmonds, Sixth Street Specialty Lending, Inc., 2100 McKinney Avenue, Suite 1500, Dallas, TX 75201. </w:t>
      </w:r>
    </w:p>
    <w:p>
      <w:pPr>
        <w:pStyle w:val="TextBody"/>
        <w:spacing w:before="360" w:after="0"/>
        <w:jc w:val="left"/>
        <w:rPr>
          <w:rFonts w:ascii="Times New Roman" w:hAnsi="Times New Roman"/>
          <w:b/>
          <w:sz w:val="20"/>
        </w:rPr>
      </w:pPr>
      <w:r>
        <w:rPr>
          <w:rFonts w:ascii="Times New Roman" w:hAnsi="Times New Roman"/>
          <w:b/>
          <w:sz w:val="20"/>
        </w:rPr>
        <w:t xml:space="preserve">Bylaw Requirements for Stockholder Submission of Nominations and Proposals </w:t>
      </w:r>
    </w:p>
    <w:p>
      <w:pPr>
        <w:pStyle w:val="TextBody"/>
        <w:spacing w:before="120" w:after="0"/>
        <w:jc w:val="left"/>
        <w:rPr>
          <w:rFonts w:ascii="Times New Roman" w:hAnsi="Times New Roman"/>
          <w:sz w:val="20"/>
        </w:rPr>
      </w:pPr>
      <w:r>
        <w:rPr>
          <w:rFonts w:ascii="Times New Roman" w:hAnsi="Times New Roman"/>
          <w:sz w:val="20"/>
        </w:rPr>
        <w:t xml:space="preserve">A stockholder recommendation for nomination of a person for election to our Board or a proposal for consideration at our 2022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w:t>
      </w:r>
    </w:p>
    <w:p>
      <w:pPr>
        <w:pStyle w:val="TextBody"/>
        <w:spacing w:before="240" w:after="0"/>
        <w:jc w:val="left"/>
        <w:rPr>
          <w:rFonts w:ascii="Times New Roman" w:hAnsi="Times New Roman"/>
          <w:sz w:val="20"/>
        </w:rPr>
      </w:pPr>
      <w:r>
        <w:rPr>
          <w:rFonts w:ascii="Times New Roman" w:hAnsi="Times New Roman"/>
          <w:sz w:val="20"/>
        </w:rPr>
        <w:t xml:space="preserve">Our Bylaws require that the proposal or recommendation for nomination must be received by our Secretary at our principal executive offices at the above address no later than                 , 2022, unless the date of our 2022 annual meeting is more than 30 days before or more than 60 days after                 , 2022, the anniversary of our 2021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 </w:t>
      </w:r>
    </w:p>
    <w:p>
      <w:pPr>
        <w:pStyle w:val="TextBody"/>
        <w:spacing w:before="480" w:after="0"/>
        <w:jc w:val="center"/>
        <w:rPr>
          <w:rFonts w:ascii="Times New Roman" w:hAnsi="Times New Roman"/>
          <w:b/>
          <w:sz w:val="20"/>
        </w:rPr>
      </w:pPr>
      <w:bookmarkStart w:id="9" w:name="toc141711_6"/>
      <w:bookmarkEnd w:id="9"/>
      <w:r>
        <w:rPr>
          <w:rFonts w:ascii="Times New Roman" w:hAnsi="Times New Roman"/>
          <w:b/>
          <w:sz w:val="20"/>
        </w:rPr>
        <w:t xml:space="preserve">ANNUAL REPORT </w:t>
      </w:r>
    </w:p>
    <w:p>
      <w:pPr>
        <w:pStyle w:val="TextBody"/>
        <w:spacing w:before="240" w:after="0"/>
        <w:jc w:val="left"/>
        <w:rPr>
          <w:rFonts w:ascii="Times New Roman" w:hAnsi="Times New Roman"/>
          <w:sz w:val="20"/>
        </w:rPr>
      </w:pPr>
      <w:r>
        <w:rPr>
          <w:rFonts w:ascii="Times New Roman" w:hAnsi="Times New Roman"/>
          <w:sz w:val="20"/>
        </w:rPr>
        <w:t xml:space="preserve">We will furnish, without charge, a copy of our Annual Report on Form 10-K for the fiscal year ended December 31, 2020 to any stockholder upon request. Requests should be directed to the Secretary of the Company, Ian Simmonds, Sixth Street Specialty Lending, Inc., 888 7th Avenue, 35th Floor, New York, NY 10106, Attention: TSLX Investor Relations, or by emailing us at IRTSLX@sixthstreet.com.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oc141711_7"/>
      <w:bookmarkEnd w:id="10"/>
      <w:r>
        <w:rPr>
          <w:rFonts w:ascii="Times New Roman" w:hAnsi="Times New Roman"/>
          <w:b/>
          <w:sz w:val="20"/>
        </w:rPr>
        <w:t xml:space="preserve">HOUSEHOLDING OF PROXY MATERIALS </w:t>
      </w:r>
    </w:p>
    <w:p>
      <w:pPr>
        <w:pStyle w:val="TextBody"/>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 </w:t>
      </w:r>
    </w:p>
    <w:p>
      <w:pPr>
        <w:pStyle w:val="TextBody"/>
        <w:spacing w:before="240" w:after="0"/>
        <w:jc w:val="left"/>
        <w:rPr>
          <w:rFonts w:ascii="Times New Roman" w:hAnsi="Times New Roman"/>
          <w:sz w:val="20"/>
        </w:rPr>
      </w:pPr>
      <w:r>
        <w:rPr>
          <w:rFonts w:ascii="Times New Roman" w:hAnsi="Times New Roman"/>
          <w:sz w:val="20"/>
        </w:rPr>
        <w:t xml:space="preserve">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888 7th Avenue, 35th Floor, New York, NY 10106, Attention: TSLX Investor Relations, by email at IRTSLX@sixthstreet.com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 </w:t>
      </w:r>
    </w:p>
    <w:p>
      <w:pPr>
        <w:pStyle w:val="TextBody"/>
        <w:spacing w:before="240" w:after="0"/>
        <w:jc w:val="left"/>
        <w:rPr>
          <w:rFonts w:ascii="Times New Roman" w:hAnsi="Times New Roman"/>
          <w:b/>
          <w:sz w:val="20"/>
        </w:rPr>
      </w:pPr>
      <w:r>
        <w:rPr>
          <w:rFonts w:ascii="Times New Roman" w:hAnsi="Times New Roman"/>
          <w:b/>
          <w:sz w:val="20"/>
        </w:rPr>
        <w:t xml:space="preserve">WHETHER OR NOT YOU PLAN TO ATTEND THE MEETING VIRTUALLY, WE URGE YOU TO VOTE OVER THE INTERNET, BY PHONE, OR BY MARKING, SIGNING AND RETURNING YOUR PROXY OR VOTING INSTRUCTION CARD AS SOON AS POSSIBLE. NO POSTAGE IS NECESSARY IF MAILED IN THE UNITED STATES.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By Order of the Board of Directors,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pPr>
            <w:r>
              <w:rPr/>
              <w:t> </w:t>
            </w:r>
          </w:p>
        </w:tc>
      </w:tr>
      <w:tr>
        <w:trPr/>
        <w:tc>
          <w:tcPr>
            <w:tcW w:w="4082" w:type="dxa"/>
            <w:tcBorders/>
            <w:shd w:fill="auto" w:val="clear"/>
          </w:tcPr>
          <w:p>
            <w:pPr>
              <w:pStyle w:val="TableContents"/>
              <w:spacing w:before="0" w:after="283"/>
              <w:rPr/>
            </w:pPr>
            <w:r>
              <w:rPr/>
              <w:t>Ian Simmonds</w:t>
            </w:r>
          </w:p>
        </w:tc>
      </w:tr>
      <w:tr>
        <w:trPr/>
        <w:tc>
          <w:tcPr>
            <w:tcW w:w="4082" w:type="dxa"/>
            <w:tcBorders/>
            <w:shd w:fill="auto" w:val="clear"/>
          </w:tcPr>
          <w:p>
            <w:pPr>
              <w:pStyle w:val="TableContents"/>
              <w:spacing w:before="0" w:after="283"/>
              <w:rPr>
                <w:i/>
              </w:rPr>
            </w:pPr>
            <w:r>
              <w:rPr>
                <w:i/>
              </w:rPr>
              <w:t>Chief Financial Officer, Chief Compliance Officer and Secretary</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oc141711_8"/>
      <w:bookmarkEnd w:id="11"/>
      <w:r>
        <w:rPr>
          <w:rFonts w:ascii="Times New Roman" w:hAnsi="Times New Roman"/>
          <w:b/>
          <w:sz w:val="20"/>
        </w:rPr>
        <w:t xml:space="preserve">PRIVACY PRINCIPLES </w:t>
      </w:r>
    </w:p>
    <w:p>
      <w:pPr>
        <w:pStyle w:val="TextBody"/>
        <w:spacing w:before="240" w:after="0"/>
        <w:jc w:val="left"/>
        <w:rPr>
          <w:rFonts w:ascii="Times New Roman" w:hAnsi="Times New Roman"/>
          <w:sz w:val="20"/>
        </w:rPr>
      </w:pPr>
      <w:r>
        <w:rPr>
          <w:rFonts w:ascii="Times New Roman" w:hAnsi="Times New Roman"/>
          <w:sz w:val="20"/>
        </w:rPr>
        <w:t xml:space="preserve">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 </w:t>
      </w:r>
    </w:p>
    <w:p>
      <w:pPr>
        <w:pStyle w:val="TextBody"/>
        <w:spacing w:before="240" w:after="0"/>
        <w:jc w:val="left"/>
        <w:rPr>
          <w:rFonts w:ascii="Times New Roman" w:hAnsi="Times New Roman"/>
          <w:sz w:val="20"/>
        </w:rPr>
      </w:pPr>
      <w:r>
        <w:rPr>
          <w:rFonts w:ascii="Times New Roman" w:hAnsi="Times New Roman"/>
          <w:sz w:val="20"/>
        </w:rPr>
        <w:t xml:space="preserve">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 </w:t>
      </w:r>
    </w:p>
    <w:p>
      <w:pPr>
        <w:pStyle w:val="TextBody"/>
        <w:spacing w:before="240" w:after="0"/>
        <w:jc w:val="left"/>
        <w:rPr>
          <w:rFonts w:ascii="Times New Roman" w:hAnsi="Times New Roman"/>
          <w:sz w:val="20"/>
        </w:rPr>
      </w:pPr>
      <w:r>
        <w:rPr>
          <w:rFonts w:ascii="Times New Roman" w:hAnsi="Times New Roman"/>
          <w:sz w:val="20"/>
        </w:rPr>
        <w:t xml:space="preserve">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SIXTH STREET SPECIALTY LENDING </w:t>
      </w:r>
    </w:p>
    <w:p>
      <w:pPr>
        <w:pStyle w:val="TextBody"/>
        <w:spacing w:before="240" w:after="0"/>
        <w:jc w:val="left"/>
        <w:rPr>
          <w:rFonts w:ascii="Times New Roman" w:hAnsi="Times New Roman"/>
          <w:sz w:val="20"/>
        </w:rPr>
      </w:pPr>
      <w:r>
        <w:rPr>
          <w:rFonts w:ascii="Times New Roman" w:hAnsi="Times New Roman"/>
          <w:b/>
          <w:sz w:val="20"/>
        </w:rPr>
        <w:t>Important Notice Regarding the Availability of Proxy Materials for the Special Meeting:</w:t>
      </w:r>
      <w:r>
        <w:rPr>
          <w:rFonts w:ascii="Times New Roman" w:hAnsi="Times New Roman"/>
          <w:sz w:val="20"/>
        </w:rPr>
        <w:t xml:space="preserve"> The Notice and Proxy Statement is available at                 . </w:t>
      </w:r>
    </w:p>
    <w:p>
      <w:pPr>
        <w:pStyle w:val="TextBody"/>
        <w:spacing w:before="480" w:after="0"/>
        <w:jc w:val="center"/>
        <w:rPr>
          <w:rFonts w:ascii="Times New Roman" w:hAnsi="Times New Roman"/>
          <w:b/>
          <w:sz w:val="20"/>
        </w:rPr>
      </w:pPr>
      <w:r>
        <w:rPr>
          <w:rFonts w:ascii="Times New Roman" w:hAnsi="Times New Roman"/>
          <w:b/>
          <w:sz w:val="20"/>
        </w:rPr>
        <w:t xml:space="preserve">SIXTH STREET SPECIALTY LENDING, INC. </w:t>
      </w:r>
    </w:p>
    <w:p>
      <w:pPr>
        <w:pStyle w:val="TextBody"/>
        <w:spacing w:before="240" w:after="0"/>
        <w:jc w:val="center"/>
        <w:rPr>
          <w:rFonts w:ascii="Times New Roman" w:hAnsi="Times New Roman"/>
          <w:b/>
          <w:sz w:val="20"/>
        </w:rPr>
      </w:pPr>
      <w:r>
        <w:rPr>
          <w:rFonts w:ascii="Times New Roman" w:hAnsi="Times New Roman"/>
          <w:b/>
          <w:sz w:val="20"/>
        </w:rPr>
        <w:t xml:space="preserve">Special Meeting of Stockholders </w:t>
      </w:r>
    </w:p>
    <w:p>
      <w:pPr>
        <w:pStyle w:val="TextBody"/>
        <w:spacing w:before="240" w:after="0"/>
        <w:jc w:val="center"/>
        <w:rPr/>
      </w:pPr>
      <w:r>
        <w:rPr/>
        <w:t>            </w:t>
      </w:r>
      <w:r>
        <w:rPr>
          <w:rFonts w:ascii="Times New Roman" w:hAnsi="Times New Roman"/>
          <w:b/>
          <w:sz w:val="20"/>
        </w:rPr>
        <w:t>, 2021                 EDT</w:t>
      </w:r>
    </w:p>
    <w:p>
      <w:pPr>
        <w:pStyle w:val="TextBody"/>
        <w:spacing w:before="240" w:after="0"/>
        <w:jc w:val="center"/>
        <w:rPr>
          <w:rFonts w:ascii="Times New Roman" w:hAnsi="Times New Roman"/>
          <w:b/>
          <w:sz w:val="20"/>
        </w:rPr>
      </w:pPr>
      <w:r>
        <w:rPr>
          <w:rFonts w:ascii="Times New Roman" w:hAnsi="Times New Roman"/>
          <w:b/>
          <w:sz w:val="20"/>
        </w:rPr>
        <w:t xml:space="preserve">This proxy is solicited by the Board of Directors </w:t>
      </w:r>
    </w:p>
    <w:p>
      <w:pPr>
        <w:pStyle w:val="TextBody"/>
        <w:spacing w:before="240" w:after="0"/>
        <w:jc w:val="left"/>
        <w:rPr>
          <w:rFonts w:ascii="Times New Roman" w:hAnsi="Times New Roman"/>
          <w:sz w:val="20"/>
        </w:rPr>
      </w:pPr>
      <w:r>
        <w:rPr>
          <w:rFonts w:ascii="Times New Roman" w:hAnsi="Times New Roman"/>
          <w:sz w:val="20"/>
        </w:rPr>
        <w:t xml:space="preserve">The stockholders hereby appoint Ian Simmonds and Jennifer Gordon, or either of them, as proxies, each with the power to appoint his/her substitute, and hereby authorize them to represent and to vote, as designated on the reverse side of this ballot, all of the shares of common stock of SIXTH STREET SPECIALTY LENDING, INC. that the stockholders are entitled to vote at a Special Meeting of Stockholders to be held virtually at                 , at                  EDT on                 , 2021 and any adjournment or postponement thereof. </w:t>
      </w:r>
    </w:p>
    <w:p>
      <w:pPr>
        <w:pStyle w:val="TextBody"/>
        <w:spacing w:before="240" w:after="0"/>
        <w:jc w:val="left"/>
        <w:rPr>
          <w:rFonts w:ascii="Times New Roman" w:hAnsi="Times New Roman"/>
          <w:b/>
          <w:sz w:val="20"/>
        </w:rPr>
      </w:pPr>
      <w:r>
        <w:rPr>
          <w:rFonts w:ascii="Times New Roman" w:hAnsi="Times New Roman"/>
          <w:b/>
          <w:sz w:val="20"/>
        </w:rPr>
        <w:t xml:space="preserve">This proxy, when properly executed, will be voted in the manner directed herein. If no such direction is made, this proxy will be voted in accordance with the Board of Directors recommendations. </w:t>
      </w:r>
    </w:p>
    <w:p>
      <w:pPr>
        <w:pStyle w:val="TextBody"/>
        <w:spacing w:before="240" w:after="0"/>
        <w:jc w:val="center"/>
        <w:rPr>
          <w:rFonts w:ascii="Times New Roman" w:hAnsi="Times New Roman"/>
          <w:b/>
          <w:sz w:val="20"/>
        </w:rPr>
      </w:pPr>
      <w:r>
        <w:rPr>
          <w:rFonts w:ascii="Times New Roman" w:hAnsi="Times New Roman"/>
          <w:b/>
          <w:sz w:val="20"/>
        </w:rPr>
        <w:t xml:space="preserve">Continued and to be signed on reverse side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sz w:val="20"/>
        </w:rPr>
        <w:t xml:space="preserve">VOTE BY INTERNET </w:t>
      </w:r>
      <w:r>
        <w:rPr>
          <w:rFonts w:ascii="Times New Roman" w:hAnsi="Times New Roman"/>
          <w:i/>
          <w:sz w:val="20"/>
        </w:rPr>
        <w:t>Before The Meeting</w:t>
      </w:r>
      <w:r>
        <w:rPr>
          <w:rFonts w:ascii="Times New Roman" w:hAnsi="Times New Roman"/>
          <w:sz w:val="20"/>
        </w:rPr>
        <w:t xml:space="preserve">  Go to                  </w:t>
      </w:r>
    </w:p>
    <w:p>
      <w:pPr>
        <w:pStyle w:val="TextBody"/>
        <w:spacing w:before="120" w:after="0"/>
        <w:jc w:val="left"/>
        <w:rPr>
          <w:rFonts w:ascii="Times New Roman" w:hAnsi="Times New Roman"/>
          <w:sz w:val="20"/>
        </w:rPr>
      </w:pPr>
      <w:r>
        <w:rPr>
          <w:rFonts w:ascii="Times New Roman" w:hAnsi="Times New Roman"/>
          <w:sz w:val="20"/>
        </w:rPr>
        <w:t xml:space="preserve">Use the Internet to transmit your voting instructions and for electronic delivery of information up until 11:59 P.M. Eastern Time on                 . Have your proxy card in hand when you access the web site and follow the instructions to obtain your records and to create an electronic voting instruction form. </w:t>
      </w:r>
    </w:p>
    <w:p>
      <w:pPr>
        <w:pStyle w:val="TextBody"/>
        <w:spacing w:before="360" w:after="0"/>
        <w:jc w:val="left"/>
        <w:rPr>
          <w:rFonts w:ascii="Times New Roman" w:hAnsi="Times New Roman"/>
          <w:sz w:val="20"/>
        </w:rPr>
      </w:pPr>
      <w:r>
        <w:rPr>
          <w:rFonts w:ascii="Times New Roman" w:hAnsi="Times New Roman"/>
          <w:i/>
          <w:sz w:val="20"/>
        </w:rPr>
        <w:t>During The Meeting</w:t>
      </w:r>
      <w:r>
        <w:rPr>
          <w:rFonts w:ascii="Times New Roman" w:hAnsi="Times New Roman"/>
          <w:sz w:val="20"/>
        </w:rPr>
        <w:t xml:space="preserve">  Go to                  </w:t>
      </w:r>
    </w:p>
    <w:p>
      <w:pPr>
        <w:pStyle w:val="TextBody"/>
        <w:spacing w:before="120" w:after="0"/>
        <w:jc w:val="left"/>
        <w:rPr>
          <w:rFonts w:ascii="Times New Roman" w:hAnsi="Times New Roman"/>
          <w:sz w:val="20"/>
        </w:rPr>
      </w:pPr>
      <w:r>
        <w:rPr>
          <w:rFonts w:ascii="Times New Roman" w:hAnsi="Times New Roman"/>
          <w:sz w:val="20"/>
        </w:rPr>
        <w:t xml:space="preserve">You may attend the meeting via the Internet and vote during the meeting. Have the information that is printed in the box marked by the arrow available and follow the instructions. </w:t>
      </w:r>
    </w:p>
    <w:p>
      <w:pPr>
        <w:pStyle w:val="TextBody"/>
        <w:spacing w:before="360" w:after="0"/>
        <w:jc w:val="left"/>
        <w:rPr>
          <w:rFonts w:ascii="Times New Roman" w:hAnsi="Times New Roman"/>
          <w:b/>
          <w:sz w:val="20"/>
        </w:rPr>
      </w:pPr>
      <w:r>
        <w:rPr>
          <w:rFonts w:ascii="Times New Roman" w:hAnsi="Times New Roman"/>
          <w:b/>
          <w:sz w:val="20"/>
        </w:rPr>
        <w:t xml:space="preserve">VOTE BY PHONE                   </w:t>
      </w:r>
    </w:p>
    <w:p>
      <w:pPr>
        <w:pStyle w:val="TextBody"/>
        <w:spacing w:before="240" w:after="0"/>
        <w:jc w:val="left"/>
        <w:rPr>
          <w:rFonts w:ascii="Times New Roman" w:hAnsi="Times New Roman"/>
          <w:sz w:val="20"/>
        </w:rPr>
      </w:pPr>
      <w:r>
        <w:rPr>
          <w:rFonts w:ascii="Times New Roman" w:hAnsi="Times New Roman"/>
          <w:sz w:val="20"/>
        </w:rPr>
        <w:t xml:space="preserve">Use any touch-tone telephone to transmit your voting instructions up until 11:59 P.M. Eastern Time on                 . Have your proxy card in hand when you call and then follow the instructions. </w:t>
      </w:r>
    </w:p>
    <w:p>
      <w:pPr>
        <w:pStyle w:val="TextBody"/>
        <w:spacing w:before="360" w:after="0"/>
        <w:jc w:val="left"/>
        <w:rPr>
          <w:rFonts w:ascii="Times New Roman" w:hAnsi="Times New Roman"/>
          <w:b/>
          <w:sz w:val="20"/>
        </w:rPr>
      </w:pPr>
      <w:r>
        <w:rPr>
          <w:rFonts w:ascii="Times New Roman" w:hAnsi="Times New Roman"/>
          <w:b/>
          <w:sz w:val="20"/>
        </w:rPr>
        <w:t xml:space="preserve">VOTE BY MAIL </w:t>
      </w:r>
    </w:p>
    <w:p>
      <w:pPr>
        <w:pStyle w:val="TextBody"/>
        <w:spacing w:before="120" w:after="0"/>
        <w:jc w:val="left"/>
        <w:rPr>
          <w:rFonts w:ascii="Times New Roman" w:hAnsi="Times New Roman"/>
          <w:sz w:val="20"/>
        </w:rPr>
      </w:pPr>
      <w:r>
        <w:rPr>
          <w:rFonts w:ascii="Times New Roman" w:hAnsi="Times New Roman"/>
          <w:sz w:val="20"/>
        </w:rPr>
        <w:t xml:space="preserve">Mark, sign and date your proxy card and return it in the postage-paid envelope we have provided or return it to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pPr>
            <w:r>
              <w:rPr/>
              <w:t>        </w:t>
            </w:r>
            <w:r>
              <w:rPr>
                <w:rFonts w:ascii="Times New Roman" w:hAnsi="Times New Roman"/>
                <w:b/>
                <w:sz w:val="20"/>
              </w:rPr>
              <w:t>TO VOTE, MARK BLOCKS BELOW IN BLUE OR BLACK INK AS FOLLOWS:</w:t>
            </w:r>
          </w:p>
        </w:tc>
      </w:tr>
    </w:tbl>
    <w:p>
      <w:pPr>
        <w:pStyle w:val="TextBody"/>
        <w:spacing w:before="120" w:after="0"/>
        <w:jc w:val="right"/>
        <w:rPr>
          <w:rFonts w:ascii="Times New Roman" w:hAnsi="Times New Roman"/>
          <w:sz w:val="20"/>
        </w:rPr>
      </w:pPr>
      <w:r>
        <w:rPr>
          <w:rFonts w:ascii="Times New Roman" w:hAnsi="Times New Roman"/>
          <w:sz w:val="20"/>
        </w:rPr>
        <w:t xml:space="preserve">KEEP THIS PORTION FOR YOUR RECORDS </w:t>
      </w:r>
    </w:p>
    <w:p>
      <w:pPr>
        <w:pStyle w:val="TextBody"/>
        <w:spacing w:before="0" w:after="0"/>
        <w:jc w:val="right"/>
        <w:rPr>
          <w:rFonts w:ascii="Times New Roman" w:hAnsi="Times New Roman"/>
          <w:sz w:val="20"/>
        </w:rPr>
      </w:pPr>
      <w:r>
        <w:rPr>
          <w:rFonts w:ascii="Times New Roman" w:hAnsi="Times New Roman"/>
          <w:sz w:val="20"/>
        </w:rPr>
        <w:t xml:space="preserve">DETACH AND RETURN THIS PORTION ONLY </w:t>
      </w:r>
    </w:p>
    <w:p>
      <w:pPr>
        <w:pStyle w:val="TextBody"/>
        <w:spacing w:before="240" w:after="0"/>
        <w:jc w:val="center"/>
        <w:rPr>
          <w:rFonts w:ascii="Times New Roman" w:hAnsi="Times New Roman"/>
          <w:b/>
          <w:sz w:val="20"/>
        </w:rPr>
      </w:pPr>
      <w:r>
        <w:rPr>
          <w:rFonts w:ascii="Times New Roman" w:hAnsi="Times New Roman"/>
          <w:b/>
          <w:sz w:val="20"/>
        </w:rPr>
        <w:t xml:space="preserve">THIS PROXY CARD IS VALID ONLY WHEN SIGNED AND DATED. </w:t>
      </w:r>
    </w:p>
    <w:p>
      <w:pPr>
        <w:pStyle w:val="TextBody"/>
        <w:spacing w:before="240" w:after="0"/>
        <w:jc w:val="left"/>
        <w:rPr>
          <w:rFonts w:ascii="Times New Roman" w:hAnsi="Times New Roman"/>
          <w:b/>
          <w:sz w:val="20"/>
        </w:rPr>
      </w:pPr>
      <w:r>
        <w:rPr>
          <w:rFonts w:ascii="Times New Roman" w:hAnsi="Times New Roman"/>
          <w:b/>
          <w:sz w:val="20"/>
        </w:rPr>
        <w:t xml:space="preserve">SIXTH STREET SPECIALTY LENDING, INC.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79"/>
        <w:gridCol w:w="113"/>
        <w:gridCol w:w="5750"/>
        <w:gridCol w:w="113"/>
        <w:gridCol w:w="380"/>
        <w:gridCol w:w="113"/>
        <w:gridCol w:w="609"/>
        <w:gridCol w:w="113"/>
        <w:gridCol w:w="1075"/>
        <w:gridCol w:w="113"/>
        <w:gridCol w:w="935"/>
        <w:gridCol w:w="113"/>
        <w:gridCol w:w="499"/>
      </w:tblGrid>
      <w:tr>
        <w:trPr/>
        <w:tc>
          <w:tcPr>
            <w:tcW w:w="27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575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r>
      <w:tr>
        <w:trPr/>
        <w:tc>
          <w:tcPr>
            <w:tcW w:w="10205" w:type="dxa"/>
            <w:gridSpan w:val="13"/>
            <w:tcBorders/>
            <w:shd w:fill="auto" w:val="clear"/>
          </w:tcPr>
          <w:p>
            <w:pPr>
              <w:pStyle w:val="TableContents"/>
              <w:spacing w:before="0" w:after="283"/>
              <w:rPr>
                <w:b/>
              </w:rPr>
            </w:pPr>
            <w:r>
              <w:rPr>
                <w:b/>
              </w:rPr>
              <w:t>The Board of Directors recommends you vote FOR the following:</w:t>
            </w:r>
          </w:p>
        </w:tc>
      </w:tr>
      <w:tr>
        <w:trPr>
          <w:trHeight w:val="120" w:hRule="atLeast"/>
        </w:trPr>
        <w:tc>
          <w:tcPr>
            <w:tcW w:w="279" w:type="dxa"/>
            <w:tcBorders/>
            <w:shd w:fill="auto" w:val="clear"/>
            <w:vAlign w:val="center"/>
          </w:tcPr>
          <w:p>
            <w:pPr>
              <w:pStyle w:val="TableContents"/>
              <w:spacing w:before="0" w:after="283"/>
              <w:rPr>
                <w:sz w:val="4"/>
                <w:szCs w:val="4"/>
              </w:rPr>
            </w:pPr>
            <w:r>
              <w:rPr>
                <w:sz w:val="4"/>
                <w:szCs w:val="4"/>
              </w:rPr>
            </w:r>
          </w:p>
        </w:tc>
        <w:tc>
          <w:tcPr>
            <w:tcW w:w="5863" w:type="dxa"/>
            <w:gridSpan w:val="2"/>
            <w:tcBorders/>
            <w:shd w:fill="auto" w:val="clear"/>
            <w:vAlign w:val="center"/>
          </w:tcPr>
          <w:p>
            <w:pPr>
              <w:pStyle w:val="TableContents"/>
              <w:spacing w:before="0" w:after="283"/>
              <w:rPr>
                <w:sz w:val="4"/>
                <w:szCs w:val="4"/>
              </w:rPr>
            </w:pPr>
            <w:r>
              <w:rPr>
                <w:sz w:val="4"/>
                <w:szCs w:val="4"/>
              </w:rPr>
            </w:r>
          </w:p>
        </w:tc>
        <w:tc>
          <w:tcPr>
            <w:tcW w:w="493" w:type="dxa"/>
            <w:gridSpan w:val="2"/>
            <w:tcBorders/>
            <w:shd w:fill="auto" w:val="clear"/>
            <w:vAlign w:val="center"/>
          </w:tcPr>
          <w:p>
            <w:pPr>
              <w:pStyle w:val="TableContents"/>
              <w:spacing w:before="0" w:after="283"/>
              <w:rPr>
                <w:sz w:val="4"/>
                <w:szCs w:val="4"/>
              </w:rPr>
            </w:pPr>
            <w:r>
              <w:rPr>
                <w:sz w:val="4"/>
                <w:szCs w:val="4"/>
              </w:rPr>
            </w:r>
          </w:p>
        </w:tc>
        <w:tc>
          <w:tcPr>
            <w:tcW w:w="722" w:type="dxa"/>
            <w:gridSpan w:val="2"/>
            <w:tcBorders/>
            <w:shd w:fill="auto" w:val="clear"/>
            <w:vAlign w:val="center"/>
          </w:tcPr>
          <w:p>
            <w:pPr>
              <w:pStyle w:val="TableContents"/>
              <w:spacing w:before="0" w:after="283"/>
              <w:rPr>
                <w:sz w:val="4"/>
                <w:szCs w:val="4"/>
              </w:rPr>
            </w:pPr>
            <w:r>
              <w:rPr>
                <w:sz w:val="4"/>
                <w:szCs w:val="4"/>
              </w:rPr>
            </w:r>
          </w:p>
        </w:tc>
        <w:tc>
          <w:tcPr>
            <w:tcW w:w="1188" w:type="dxa"/>
            <w:gridSpan w:val="2"/>
            <w:tcBorders/>
            <w:shd w:fill="auto" w:val="clear"/>
            <w:vAlign w:val="center"/>
          </w:tcPr>
          <w:p>
            <w:pPr>
              <w:pStyle w:val="TableContents"/>
              <w:spacing w:before="0" w:after="283"/>
              <w:rPr>
                <w:sz w:val="4"/>
                <w:szCs w:val="4"/>
              </w:rPr>
            </w:pPr>
            <w:r>
              <w:rPr>
                <w:sz w:val="4"/>
                <w:szCs w:val="4"/>
              </w:rPr>
            </w:r>
          </w:p>
        </w:tc>
        <w:tc>
          <w:tcPr>
            <w:tcW w:w="1048" w:type="dxa"/>
            <w:gridSpan w:val="2"/>
            <w:tcBorders/>
            <w:shd w:fill="auto" w:val="clear"/>
            <w:vAlign w:val="center"/>
          </w:tcPr>
          <w:p>
            <w:pPr>
              <w:pStyle w:val="TableContents"/>
              <w:spacing w:before="0" w:after="283"/>
              <w:rPr>
                <w:sz w:val="4"/>
                <w:szCs w:val="4"/>
              </w:rPr>
            </w:pPr>
            <w:r>
              <w:rPr>
                <w:sz w:val="4"/>
                <w:szCs w:val="4"/>
              </w:rPr>
            </w:r>
          </w:p>
        </w:tc>
        <w:tc>
          <w:tcPr>
            <w:tcW w:w="612" w:type="dxa"/>
            <w:gridSpan w:val="2"/>
            <w:tcBorders/>
            <w:shd w:fill="auto" w:val="clear"/>
            <w:vAlign w:val="center"/>
          </w:tcPr>
          <w:p>
            <w:pPr>
              <w:pStyle w:val="TableContents"/>
              <w:spacing w:before="0" w:after="283"/>
              <w:rPr>
                <w:sz w:val="4"/>
                <w:szCs w:val="4"/>
              </w:rPr>
            </w:pPr>
            <w:r>
              <w:rPr>
                <w:sz w:val="4"/>
                <w:szCs w:val="4"/>
              </w:rPr>
            </w:r>
          </w:p>
        </w:tc>
      </w:tr>
      <w:tr>
        <w:trPr/>
        <w:tc>
          <w:tcPr>
            <w:tcW w:w="279" w:type="dxa"/>
            <w:tcBorders/>
            <w:shd w:fill="auto" w:val="clear"/>
          </w:tcPr>
          <w:p>
            <w:pPr>
              <w:pStyle w:val="TableContents"/>
              <w:spacing w:before="0" w:after="0"/>
              <w:rPr>
                <w:rFonts w:ascii="Times New Roman" w:hAnsi="Times New Roman"/>
                <w:sz w:val="20"/>
              </w:rPr>
            </w:pPr>
            <w:r>
              <w:rPr>
                <w:rFonts w:ascii="Times New Roman" w:hAnsi="Times New Roman"/>
                <w:sz w:val="20"/>
              </w:rPr>
              <w:t>1.  </w:t>
            </w:r>
          </w:p>
        </w:tc>
        <w:tc>
          <w:tcPr>
            <w:tcW w:w="113" w:type="dxa"/>
            <w:tcBorders/>
            <w:shd w:fill="auto" w:val="clear"/>
            <w:vAlign w:val="bottom"/>
          </w:tcPr>
          <w:p>
            <w:pPr>
              <w:pStyle w:val="TableContents"/>
              <w:spacing w:before="0" w:after="283"/>
              <w:rPr/>
            </w:pPr>
            <w:r>
              <w:rPr/>
              <w:t> </w:t>
            </w:r>
          </w:p>
        </w:tc>
        <w:tc>
          <w:tcPr>
            <w:tcW w:w="5750" w:type="dxa"/>
            <w:tcBorders/>
            <w:shd w:fill="auto" w:val="clear"/>
          </w:tcPr>
          <w:p>
            <w:pPr>
              <w:pStyle w:val="TableContents"/>
              <w:spacing w:before="0" w:after="283"/>
              <w:rPr/>
            </w:pPr>
            <w:r>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tc>
        <w:tc>
          <w:tcPr>
            <w:tcW w:w="113"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0"/>
              <w:rPr/>
            </w:pPr>
            <w:r>
              <w:rPr/>
              <w:t>     </w:t>
            </w:r>
          </w:p>
        </w:tc>
        <w:tc>
          <w:tcPr>
            <w:tcW w:w="113" w:type="dxa"/>
            <w:tcBorders/>
            <w:shd w:fill="auto" w:val="clear"/>
            <w:vAlign w:val="bottom"/>
          </w:tcPr>
          <w:p>
            <w:pPr>
              <w:pStyle w:val="TableContents"/>
              <w:spacing w:before="0" w:after="283"/>
              <w:rPr/>
            </w:pPr>
            <w:r>
              <w:rPr/>
              <w:t> </w:t>
            </w:r>
          </w:p>
        </w:tc>
        <w:tc>
          <w:tcPr>
            <w:tcW w:w="609" w:type="dxa"/>
            <w:tcBorders/>
            <w:shd w:fill="auto" w:val="clear"/>
          </w:tcPr>
          <w:p>
            <w:pPr>
              <w:pStyle w:val="TableContents"/>
              <w:spacing w:before="0" w:after="0"/>
              <w:rPr>
                <w:rFonts w:ascii="Times New Roman" w:hAnsi="Times New Roman"/>
                <w:b/>
                <w:sz w:val="20"/>
              </w:rPr>
            </w:pPr>
            <w:r>
              <w:rPr>
                <w:rFonts w:ascii="Times New Roman" w:hAnsi="Times New Roman"/>
                <w:b/>
                <w:sz w:val="20"/>
              </w:rPr>
              <w:t>For  </w:t>
            </w:r>
          </w:p>
          <w:p>
            <w:pPr>
              <w:pStyle w:val="TableContents"/>
              <w:spacing w:before="0" w:after="0"/>
              <w:rPr/>
            </w:pPr>
            <w:r>
              <w:rPr/>
              <w:t> </w:t>
            </w:r>
          </w:p>
          <w:p>
            <w:pPr>
              <w:pStyle w:val="TableContents"/>
              <w:spacing w:before="0" w:after="20"/>
              <w:rPr/>
            </w:pPr>
            <w:r>
              <w:rPr/>
              <w:t>☐</w:t>
            </w:r>
          </w:p>
        </w:tc>
        <w:tc>
          <w:tcPr>
            <w:tcW w:w="113" w:type="dxa"/>
            <w:tcBorders/>
            <w:shd w:fill="auto" w:val="clear"/>
            <w:vAlign w:val="bottom"/>
          </w:tcPr>
          <w:p>
            <w:pPr>
              <w:pStyle w:val="TableContents"/>
              <w:spacing w:before="0" w:after="283"/>
              <w:rPr/>
            </w:pPr>
            <w:r>
              <w:rPr/>
              <w:t> </w:t>
            </w:r>
          </w:p>
        </w:tc>
        <w:tc>
          <w:tcPr>
            <w:tcW w:w="1075" w:type="dxa"/>
            <w:tcBorders/>
            <w:shd w:fill="auto" w:val="clear"/>
          </w:tcPr>
          <w:p>
            <w:pPr>
              <w:pStyle w:val="TableContents"/>
              <w:spacing w:before="0" w:after="0"/>
              <w:rPr>
                <w:rFonts w:ascii="Times New Roman" w:hAnsi="Times New Roman"/>
                <w:b/>
                <w:sz w:val="20"/>
              </w:rPr>
            </w:pPr>
            <w:r>
              <w:rPr>
                <w:rFonts w:ascii="Times New Roman" w:hAnsi="Times New Roman"/>
                <w:b/>
                <w:sz w:val="20"/>
              </w:rPr>
              <w:t>Against  </w:t>
            </w:r>
          </w:p>
          <w:p>
            <w:pPr>
              <w:pStyle w:val="TableContents"/>
              <w:spacing w:before="0" w:after="0"/>
              <w:rPr/>
            </w:pPr>
            <w:r>
              <w:rPr/>
              <w:t> </w:t>
            </w:r>
          </w:p>
          <w:p>
            <w:pPr>
              <w:pStyle w:val="TableContents"/>
              <w:spacing w:before="0" w:after="20"/>
              <w:rPr/>
            </w:pPr>
            <w:r>
              <w:rPr/>
              <w:t xml:space="preserve"> ☐</w:t>
            </w:r>
          </w:p>
        </w:tc>
        <w:tc>
          <w:tcPr>
            <w:tcW w:w="113" w:type="dxa"/>
            <w:tcBorders/>
            <w:shd w:fill="auto" w:val="clear"/>
            <w:vAlign w:val="bottom"/>
          </w:tcPr>
          <w:p>
            <w:pPr>
              <w:pStyle w:val="TableContents"/>
              <w:spacing w:before="0" w:after="283"/>
              <w:rPr/>
            </w:pPr>
            <w:r>
              <w:rPr/>
              <w:t> </w:t>
            </w:r>
          </w:p>
        </w:tc>
        <w:tc>
          <w:tcPr>
            <w:tcW w:w="935" w:type="dxa"/>
            <w:tcBorders/>
            <w:shd w:fill="auto" w:val="clear"/>
          </w:tcPr>
          <w:p>
            <w:pPr>
              <w:pStyle w:val="TableContents"/>
              <w:spacing w:before="0" w:after="0"/>
              <w:rPr>
                <w:rFonts w:ascii="Times New Roman" w:hAnsi="Times New Roman"/>
                <w:b/>
                <w:sz w:val="20"/>
              </w:rPr>
            </w:pPr>
            <w:r>
              <w:rPr>
                <w:rFonts w:ascii="Times New Roman" w:hAnsi="Times New Roman"/>
                <w:b/>
                <w:sz w:val="20"/>
              </w:rPr>
              <w:t>Abstain</w:t>
            </w:r>
          </w:p>
          <w:p>
            <w:pPr>
              <w:pStyle w:val="TableContents"/>
              <w:spacing w:before="0" w:after="0"/>
              <w:rPr/>
            </w:pPr>
            <w:r>
              <w:rPr/>
              <w:t> </w:t>
            </w:r>
          </w:p>
          <w:p>
            <w:pPr>
              <w:pStyle w:val="TableContents"/>
              <w:spacing w:before="0" w:after="20"/>
              <w:rPr/>
            </w:pPr>
            <w:r>
              <w:rPr/>
              <w:t>☐</w:t>
            </w:r>
          </w:p>
        </w:tc>
        <w:tc>
          <w:tcPr>
            <w:tcW w:w="113"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0"/>
              <w:rPr/>
            </w:pPr>
            <w:r>
              <w:rPr/>
              <w:t>      </w:t>
            </w:r>
          </w:p>
          <w:p>
            <w:pPr>
              <w:pStyle w:val="TableContents"/>
              <w:spacing w:before="0" w:after="0"/>
              <w:rPr/>
            </w:pPr>
            <w:r>
              <w:rPr/>
              <w:t> </w:t>
            </w:r>
          </w:p>
        </w:tc>
      </w:tr>
      <w:tr>
        <w:trPr>
          <w:trHeight w:val="240" w:hRule="atLeast"/>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10205" w:type="dxa"/>
            <w:gridSpan w:val="13"/>
            <w:tcBorders/>
            <w:shd w:fill="auto" w:val="clear"/>
          </w:tcPr>
          <w:p>
            <w:pPr>
              <w:pStyle w:val="TableContents"/>
              <w:spacing w:before="0" w:after="283"/>
              <w:rPr/>
            </w:pPr>
            <w:r>
              <w:rPr>
                <w:b/>
              </w:rPr>
              <w:t>NOTE:</w:t>
            </w:r>
            <w:r>
              <w:rPr/>
              <w:t xml:space="preserve"> The named proxies are also authorized to transact such other business as may properly come before the Special Meeting of Stockholders or any postponement or adjournment thereof.</w:t>
            </w:r>
          </w:p>
        </w:tc>
      </w:tr>
    </w:tbl>
    <w:p>
      <w:pPr>
        <w:pStyle w:val="TextBody"/>
        <w:spacing w:before="240" w:after="0"/>
        <w:jc w:val="left"/>
        <w:rPr>
          <w:rFonts w:ascii="Times New Roman" w:hAnsi="Times New Roman"/>
          <w:sz w:val="20"/>
        </w:rPr>
      </w:pPr>
      <w:r>
        <w:rPr>
          <w:rFonts w:ascii="Times New Roman" w:hAnsi="Times New Roman"/>
          <w:sz w:val="20"/>
        </w:rPr>
        <w:t xml:space="preserve">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w:t>
      </w:r>
    </w:p>
    <w:p>
      <w:pPr>
        <w:pStyle w:val="TextBody"/>
        <w:spacing w:before="0" w:after="0"/>
        <w:jc w:val="left"/>
        <w:rPr/>
      </w:pPr>
      <w:r>
        <w:rPr/>
        <w:t> </w:t>
      </w:r>
    </w:p>
    <w:tbl>
      <w:tblPr>
        <w:tblW w:w="4600" w:type="pct"/>
        <w:jc w:val="right"/>
        <w:tblInd w:w="0" w:type="dxa"/>
        <w:tblCellMar>
          <w:top w:w="0" w:type="dxa"/>
          <w:left w:w="0" w:type="dxa"/>
          <w:bottom w:w="0" w:type="dxa"/>
          <w:right w:w="0" w:type="dxa"/>
        </w:tblCellMar>
      </w:tblPr>
      <w:tblGrid>
        <w:gridCol w:w="4340"/>
        <w:gridCol w:w="89"/>
        <w:gridCol w:w="1344"/>
        <w:gridCol w:w="89"/>
        <w:gridCol w:w="1680"/>
        <w:gridCol w:w="89"/>
        <w:gridCol w:w="1344"/>
        <w:gridCol w:w="89"/>
        <w:gridCol w:w="324"/>
      </w:tblGrid>
      <w:tr>
        <w:trPr/>
        <w:tc>
          <w:tcPr>
            <w:tcW w:w="434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168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4340" w:type="dxa"/>
            <w:tcBorders/>
            <w:shd w:fill="auto" w:val="clear"/>
          </w:tcPr>
          <w:p>
            <w:pPr>
              <w:pStyle w:val="TableContents"/>
              <w:pBdr>
                <w:bottom w:val="single" w:sz="2" w:space="1" w:color="000000"/>
              </w:pBdr>
              <w:spacing w:before="0" w:after="20"/>
              <w:rPr/>
            </w:pPr>
            <w:r>
              <w:rPr/>
              <w:t> </w:t>
            </w:r>
          </w:p>
        </w:tc>
        <w:tc>
          <w:tcPr>
            <w:tcW w:w="89" w:type="dxa"/>
            <w:tcBorders/>
            <w:shd w:fill="auto" w:val="clear"/>
            <w:vAlign w:val="bottom"/>
          </w:tcPr>
          <w:p>
            <w:pPr>
              <w:pStyle w:val="TableContents"/>
              <w:spacing w:before="0" w:after="283"/>
              <w:rPr/>
            </w:pPr>
            <w:r>
              <w:rPr/>
              <w:t> </w:t>
            </w:r>
          </w:p>
        </w:tc>
        <w:tc>
          <w:tcPr>
            <w:tcW w:w="1344" w:type="dxa"/>
            <w:tcBorders/>
            <w:shd w:fill="auto" w:val="clear"/>
          </w:tcPr>
          <w:p>
            <w:pPr>
              <w:pStyle w:val="TableContents"/>
              <w:pBdr>
                <w:bottom w:val="single" w:sz="2" w:space="1" w:color="000000"/>
              </w:pBdr>
              <w:spacing w:before="0" w:after="20"/>
              <w:rPr/>
            </w:pPr>
            <w:r>
              <w:rPr/>
              <w:t> </w:t>
            </w:r>
          </w:p>
        </w:tc>
        <w:tc>
          <w:tcPr>
            <w:tcW w:w="89" w:type="dxa"/>
            <w:tcBorders/>
            <w:shd w:fill="auto" w:val="clear"/>
            <w:vAlign w:val="bottom"/>
          </w:tcPr>
          <w:p>
            <w:pPr>
              <w:pStyle w:val="TableContents"/>
              <w:spacing w:before="0" w:after="283"/>
              <w:rPr/>
            </w:pPr>
            <w:r>
              <w:rPr/>
              <w:t> </w:t>
            </w:r>
          </w:p>
        </w:tc>
        <w:tc>
          <w:tcPr>
            <w:tcW w:w="1680" w:type="dxa"/>
            <w:tcBorders/>
            <w:shd w:fill="auto" w:val="clear"/>
          </w:tcPr>
          <w:p>
            <w:pPr>
              <w:pStyle w:val="TableContents"/>
              <w:pBdr>
                <w:bottom w:val="single" w:sz="2" w:space="1" w:color="000000"/>
              </w:pBdr>
              <w:spacing w:before="0" w:after="20"/>
              <w:rPr/>
            </w:pPr>
            <w:r>
              <w:rPr/>
              <w:t> </w:t>
            </w:r>
          </w:p>
        </w:tc>
        <w:tc>
          <w:tcPr>
            <w:tcW w:w="89" w:type="dxa"/>
            <w:tcBorders/>
            <w:shd w:fill="auto" w:val="clear"/>
            <w:vAlign w:val="bottom"/>
          </w:tcPr>
          <w:p>
            <w:pPr>
              <w:pStyle w:val="TableContents"/>
              <w:spacing w:before="0" w:after="283"/>
              <w:rPr/>
            </w:pPr>
            <w:r>
              <w:rPr/>
              <w:t> </w:t>
            </w:r>
          </w:p>
        </w:tc>
        <w:tc>
          <w:tcPr>
            <w:tcW w:w="1344" w:type="dxa"/>
            <w:tcBorders/>
            <w:shd w:fill="auto" w:val="clear"/>
          </w:tcPr>
          <w:p>
            <w:pPr>
              <w:pStyle w:val="TableContents"/>
              <w:pBdr>
                <w:bottom w:val="single" w:sz="2" w:space="1" w:color="000000"/>
              </w:pBdr>
              <w:spacing w:before="0" w:after="20"/>
              <w:rPr/>
            </w:pPr>
            <w:r>
              <w:rPr/>
              <w:t> </w:t>
            </w:r>
          </w:p>
        </w:tc>
        <w:tc>
          <w:tcPr>
            <w:tcW w:w="89"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sz w:val="4"/>
                <w:szCs w:val="4"/>
              </w:rPr>
            </w:pPr>
            <w:r>
              <w:rPr>
                <w:sz w:val="4"/>
                <w:szCs w:val="4"/>
              </w:rPr>
            </w:r>
          </w:p>
        </w:tc>
      </w:tr>
      <w:tr>
        <w:trPr/>
        <w:tc>
          <w:tcPr>
            <w:tcW w:w="4340" w:type="dxa"/>
            <w:tcBorders/>
            <w:shd w:fill="auto" w:val="clear"/>
          </w:tcPr>
          <w:p>
            <w:pPr>
              <w:pStyle w:val="TableContents"/>
              <w:spacing w:before="0" w:after="283"/>
              <w:rPr>
                <w:b/>
              </w:rPr>
            </w:pPr>
            <w:r>
              <w:rPr>
                <w:b/>
              </w:rPr>
              <w:t>Signature [PLEASE SIGN WITHIN BOX]</w:t>
            </w:r>
          </w:p>
        </w:tc>
        <w:tc>
          <w:tcPr>
            <w:tcW w:w="89" w:type="dxa"/>
            <w:tcBorders/>
            <w:shd w:fill="auto" w:val="clear"/>
            <w:vAlign w:val="bottom"/>
          </w:tcPr>
          <w:p>
            <w:pPr>
              <w:pStyle w:val="TableContents"/>
              <w:spacing w:before="0" w:after="283"/>
              <w:rPr/>
            </w:pPr>
            <w:r>
              <w:rPr/>
              <w:t> </w:t>
            </w:r>
          </w:p>
        </w:tc>
        <w:tc>
          <w:tcPr>
            <w:tcW w:w="1344" w:type="dxa"/>
            <w:tcBorders/>
            <w:shd w:fill="auto" w:val="clear"/>
          </w:tcPr>
          <w:p>
            <w:pPr>
              <w:pStyle w:val="TableContents"/>
              <w:spacing w:before="0" w:after="283"/>
              <w:rPr>
                <w:b/>
              </w:rPr>
            </w:pPr>
            <w:r>
              <w:rPr>
                <w:b/>
              </w:rPr>
              <w:t>Date</w:t>
            </w:r>
          </w:p>
        </w:tc>
        <w:tc>
          <w:tcPr>
            <w:tcW w:w="89" w:type="dxa"/>
            <w:tcBorders/>
            <w:shd w:fill="auto" w:val="clear"/>
            <w:vAlign w:val="bottom"/>
          </w:tcPr>
          <w:p>
            <w:pPr>
              <w:pStyle w:val="TableContents"/>
              <w:spacing w:before="0" w:after="283"/>
              <w:rPr/>
            </w:pPr>
            <w:r>
              <w:rPr/>
              <w:t> </w:t>
            </w:r>
          </w:p>
        </w:tc>
        <w:tc>
          <w:tcPr>
            <w:tcW w:w="1680" w:type="dxa"/>
            <w:tcBorders/>
            <w:shd w:fill="auto" w:val="clear"/>
          </w:tcPr>
          <w:p>
            <w:pPr>
              <w:pStyle w:val="TableContents"/>
              <w:spacing w:before="0" w:after="0"/>
              <w:rPr>
                <w:rFonts w:ascii="Times New Roman" w:hAnsi="Times New Roman"/>
                <w:b/>
                <w:sz w:val="20"/>
              </w:rPr>
            </w:pPr>
            <w:r>
              <w:rPr>
                <w:rFonts w:ascii="Times New Roman" w:hAnsi="Times New Roman"/>
                <w:b/>
                <w:sz w:val="20"/>
              </w:rPr>
              <w:t>Signature</w:t>
            </w:r>
          </w:p>
          <w:p>
            <w:pPr>
              <w:pStyle w:val="TableContents"/>
              <w:spacing w:before="0" w:after="20"/>
              <w:rPr>
                <w:rFonts w:ascii="Times New Roman" w:hAnsi="Times New Roman"/>
                <w:b/>
                <w:sz w:val="20"/>
              </w:rPr>
            </w:pPr>
            <w:r>
              <w:rPr>
                <w:rFonts w:ascii="Times New Roman" w:hAnsi="Times New Roman"/>
                <w:b/>
                <w:sz w:val="20"/>
              </w:rPr>
              <w:t>(Joint Owners)</w:t>
            </w:r>
          </w:p>
        </w:tc>
        <w:tc>
          <w:tcPr>
            <w:tcW w:w="89" w:type="dxa"/>
            <w:tcBorders/>
            <w:shd w:fill="auto" w:val="clear"/>
            <w:vAlign w:val="bottom"/>
          </w:tcPr>
          <w:p>
            <w:pPr>
              <w:pStyle w:val="TableContents"/>
              <w:spacing w:before="0" w:after="283"/>
              <w:rPr/>
            </w:pPr>
            <w:r>
              <w:rPr/>
              <w:t> </w:t>
            </w:r>
          </w:p>
        </w:tc>
        <w:tc>
          <w:tcPr>
            <w:tcW w:w="1344" w:type="dxa"/>
            <w:tcBorders/>
            <w:shd w:fill="auto" w:val="clear"/>
          </w:tcPr>
          <w:p>
            <w:pPr>
              <w:pStyle w:val="TableContents"/>
              <w:spacing w:before="0" w:after="283"/>
              <w:rPr>
                <w:b/>
              </w:rPr>
            </w:pPr>
            <w:r>
              <w:rPr>
                <w:b/>
              </w:rPr>
              <w:t>Date</w:t>
            </w:r>
          </w:p>
        </w:tc>
        <w:tc>
          <w:tcPr>
            <w:tcW w:w="89"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rPr>
                <w:sz w:val="4"/>
                <w:szCs w:val="4"/>
              </w:rPr>
            </w:pPr>
            <w:r>
              <w:rPr>
                <w:sz w:val="4"/>
                <w:szCs w:val="4"/>
              </w:rPr>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27</Pages>
  <Words>12300</Words>
  <CharactersWithSpaces>74797</CharactersWithSpaces>
  <Paragraphs>1823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 14A</dc:title>
</cp:coreProperties>
</file>