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158750</wp:posOffset>
            </wp:positionV>
            <wp:extent cx="16459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1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161290</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Pursuant to Section 13 or 15(d)</w:t>
      </w:r>
    </w:p>
    <w:p>
      <w:pPr>
        <w:jc w:val="center"/>
        <w:ind w:right="-1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May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88265</wp:posOffset>
            </wp:positionV>
            <wp:extent cx="1645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05"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Sixth Street Specialty Lending,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90170</wp:posOffset>
            </wp:positionV>
            <wp:extent cx="1645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53" w:lineRule="exact"/>
        <w:rPr>
          <w:sz w:val="24"/>
          <w:szCs w:val="24"/>
          <w:color w:val="auto"/>
        </w:rPr>
      </w:pPr>
    </w:p>
    <w:tbl>
      <w:tblPr>
        <w:tblLayout w:type="fixed"/>
        <w:tblInd w:w="560" w:type="dxa"/>
        <w:tblCellMar>
          <w:top w:w="0" w:type="dxa"/>
          <w:left w:w="0" w:type="dxa"/>
          <w:bottom w:w="0" w:type="dxa"/>
          <w:right w:w="0" w:type="dxa"/>
        </w:tblCellMar>
      </w:tblPr>
      <w:tr>
        <w:trPr>
          <w:trHeight w:val="212"/>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3"/>
              </w:rPr>
              <w:t>Delaware</w:t>
            </w:r>
          </w:p>
        </w:tc>
        <w:tc>
          <w:tcPr>
            <w:tcW w:w="3220" w:type="dxa"/>
            <w:vAlign w:val="bottom"/>
          </w:tcPr>
          <w:p>
            <w:pPr>
              <w:ind w:left="1060"/>
              <w:spacing w:after="0"/>
              <w:rPr>
                <w:sz w:val="20"/>
                <w:szCs w:val="20"/>
                <w:color w:val="auto"/>
              </w:rPr>
            </w:pPr>
            <w:r>
              <w:rPr>
                <w:rFonts w:ascii="Arial" w:cs="Arial" w:eastAsia="Arial" w:hAnsi="Arial"/>
                <w:sz w:val="18"/>
                <w:szCs w:val="18"/>
                <w:b w:val="1"/>
                <w:bCs w:val="1"/>
                <w:color w:val="auto"/>
              </w:rPr>
              <w:t>001-36364</w:t>
            </w:r>
          </w:p>
        </w:tc>
        <w:tc>
          <w:tcPr>
            <w:tcW w:w="250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8"/>
        </w:trPr>
        <w:tc>
          <w:tcPr>
            <w:tcW w:w="3740" w:type="dxa"/>
            <w:vAlign w:val="bottom"/>
          </w:tcPr>
          <w:p>
            <w:pPr>
              <w:jc w:val="center"/>
              <w:ind w:right="9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220" w:type="dxa"/>
            <w:vAlign w:val="bottom"/>
          </w:tcPr>
          <w:p>
            <w:pPr>
              <w:ind w:left="1040"/>
              <w:spacing w:after="0" w:line="149" w:lineRule="exact"/>
              <w:rPr>
                <w:sz w:val="20"/>
                <w:szCs w:val="20"/>
                <w:color w:val="auto"/>
              </w:rPr>
            </w:pPr>
            <w:r>
              <w:rPr>
                <w:rFonts w:ascii="Arial" w:cs="Arial" w:eastAsia="Arial" w:hAnsi="Arial"/>
                <w:sz w:val="14"/>
                <w:szCs w:val="14"/>
                <w:b w:val="1"/>
                <w:bCs w:val="1"/>
                <w:color w:val="auto"/>
              </w:rPr>
              <w:t>(Commission</w:t>
            </w:r>
          </w:p>
        </w:tc>
        <w:tc>
          <w:tcPr>
            <w:tcW w:w="2500" w:type="dxa"/>
            <w:vAlign w:val="bottom"/>
          </w:tcPr>
          <w:p>
            <w:pPr>
              <w:jc w:val="center"/>
              <w:ind w:left="1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740" w:type="dxa"/>
            <w:vAlign w:val="bottom"/>
          </w:tcPr>
          <w:p>
            <w:pPr>
              <w:jc w:val="center"/>
              <w:ind w:right="959"/>
              <w:spacing w:after="0"/>
              <w:rPr>
                <w:sz w:val="20"/>
                <w:szCs w:val="20"/>
                <w:color w:val="auto"/>
              </w:rPr>
            </w:pPr>
            <w:r>
              <w:rPr>
                <w:rFonts w:ascii="Arial" w:cs="Arial" w:eastAsia="Arial" w:hAnsi="Arial"/>
                <w:sz w:val="14"/>
                <w:szCs w:val="14"/>
                <w:b w:val="1"/>
                <w:bCs w:val="1"/>
                <w:color w:val="auto"/>
                <w:w w:val="94"/>
              </w:rPr>
              <w:t>of Incorporation)</w:t>
            </w:r>
          </w:p>
        </w:tc>
        <w:tc>
          <w:tcPr>
            <w:tcW w:w="3220" w:type="dxa"/>
            <w:vAlign w:val="bottom"/>
          </w:tcPr>
          <w:p>
            <w:pPr>
              <w:ind w:left="1040"/>
              <w:spacing w:after="0"/>
              <w:rPr>
                <w:sz w:val="20"/>
                <w:szCs w:val="20"/>
                <w:color w:val="auto"/>
              </w:rPr>
            </w:pPr>
            <w:r>
              <w:rPr>
                <w:rFonts w:ascii="Arial" w:cs="Arial" w:eastAsia="Arial" w:hAnsi="Arial"/>
                <w:sz w:val="14"/>
                <w:szCs w:val="14"/>
                <w:b w:val="1"/>
                <w:bCs w:val="1"/>
                <w:color w:val="auto"/>
              </w:rPr>
              <w:t>File Number)</w:t>
            </w: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0"/>
              </w:rPr>
              <w:t>2100 McKinney Avenue, Suite 1500</w:t>
            </w:r>
          </w:p>
        </w:tc>
        <w:tc>
          <w:tcPr>
            <w:tcW w:w="32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2"/>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5"/>
              </w:rPr>
              <w:t>Dallas, TX</w:t>
            </w:r>
          </w:p>
        </w:tc>
        <w:tc>
          <w:tcPr>
            <w:tcW w:w="3220" w:type="dxa"/>
            <w:vAlign w:val="bottom"/>
          </w:tcPr>
          <w:p>
            <w:pPr>
              <w:spacing w:after="0"/>
              <w:rPr>
                <w:sz w:val="18"/>
                <w:szCs w:val="18"/>
                <w:color w:val="auto"/>
              </w:rPr>
            </w:pPr>
          </w:p>
        </w:tc>
        <w:tc>
          <w:tcPr>
            <w:tcW w:w="2500" w:type="dxa"/>
            <w:vAlign w:val="bottom"/>
          </w:tcPr>
          <w:p>
            <w:pPr>
              <w:jc w:val="right"/>
              <w:ind w:right="261"/>
              <w:spacing w:after="0"/>
              <w:rPr>
                <w:sz w:val="20"/>
                <w:szCs w:val="20"/>
                <w:color w:val="auto"/>
              </w:rPr>
            </w:pPr>
            <w:r>
              <w:rPr>
                <w:rFonts w:ascii="Arial" w:cs="Arial" w:eastAsia="Arial" w:hAnsi="Arial"/>
                <w:sz w:val="18"/>
                <w:szCs w:val="18"/>
                <w:b w:val="1"/>
                <w:bCs w:val="1"/>
                <w:color w:val="auto"/>
              </w:rPr>
              <w:t>75201</w:t>
            </w:r>
          </w:p>
        </w:tc>
      </w:tr>
      <w:tr>
        <w:trPr>
          <w:trHeight w:val="186"/>
        </w:trPr>
        <w:tc>
          <w:tcPr>
            <w:tcW w:w="3740" w:type="dxa"/>
            <w:vAlign w:val="bottom"/>
          </w:tcPr>
          <w:p>
            <w:pPr>
              <w:jc w:val="center"/>
              <w:ind w:right="9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20" w:type="dxa"/>
            <w:vAlign w:val="bottom"/>
          </w:tcPr>
          <w:p>
            <w:pPr>
              <w:spacing w:after="0"/>
              <w:rPr>
                <w:sz w:val="16"/>
                <w:szCs w:val="16"/>
                <w:color w:val="auto"/>
              </w:rPr>
            </w:pP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88"/>
              </w:rPr>
              <w:t>(zip code)</w:t>
            </w:r>
          </w:p>
        </w:tc>
      </w:tr>
    </w:tbl>
    <w:p>
      <w:pPr>
        <w:spacing w:after="0" w:line="18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68580</wp:posOffset>
            </wp:positionV>
            <wp:extent cx="1645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5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2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141" w:lineRule="exact"/>
        <w:rPr>
          <w:sz w:val="24"/>
          <w:szCs w:val="24"/>
          <w:color w:val="auto"/>
        </w:rPr>
      </w:pPr>
    </w:p>
    <w:tbl>
      <w:tblPr>
        <w:tblLayout w:type="fixed"/>
        <w:tblInd w:w="600" w:type="dxa"/>
        <w:tblCellMar>
          <w:top w:w="0" w:type="dxa"/>
          <w:left w:w="0" w:type="dxa"/>
          <w:bottom w:w="0" w:type="dxa"/>
          <w:right w:w="0" w:type="dxa"/>
        </w:tblCellMar>
      </w:tblPr>
      <w:tr>
        <w:trPr>
          <w:trHeight w:val="162"/>
        </w:trPr>
        <w:tc>
          <w:tcPr>
            <w:tcW w:w="3520" w:type="dxa"/>
            <w:vAlign w:val="bottom"/>
          </w:tcPr>
          <w:p>
            <w:pPr>
              <w:jc w:val="center"/>
              <w:ind w:right="848"/>
              <w:spacing w:after="0"/>
              <w:rPr>
                <w:sz w:val="20"/>
                <w:szCs w:val="20"/>
                <w:color w:val="auto"/>
              </w:rPr>
            </w:pPr>
            <w:r>
              <w:rPr>
                <w:rFonts w:ascii="Arial" w:cs="Arial" w:eastAsia="Arial" w:hAnsi="Arial"/>
                <w:sz w:val="14"/>
                <w:szCs w:val="14"/>
                <w:b w:val="1"/>
                <w:bCs w:val="1"/>
                <w:color w:val="auto"/>
                <w:w w:val="89"/>
              </w:rPr>
              <w:t>Title of each class</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580" w:type="dxa"/>
            <w:vAlign w:val="bottom"/>
          </w:tcPr>
          <w:p>
            <w:pPr>
              <w:jc w:val="center"/>
              <w:ind w:left="848"/>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6"/>
        </w:trPr>
        <w:tc>
          <w:tcPr>
            <w:tcW w:w="3520" w:type="dxa"/>
            <w:vAlign w:val="bottom"/>
          </w:tcPr>
          <w:p>
            <w:pPr>
              <w:jc w:val="center"/>
              <w:ind w:right="868"/>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rPr>
              <w:t>TSLX</w:t>
            </w:r>
          </w:p>
        </w:tc>
        <w:tc>
          <w:tcPr>
            <w:tcW w:w="3580" w:type="dxa"/>
            <w:vAlign w:val="bottom"/>
          </w:tcPr>
          <w:p>
            <w:pPr>
              <w:jc w:val="center"/>
              <w:ind w:left="848"/>
              <w:spacing w:after="0"/>
              <w:rPr>
                <w:sz w:val="20"/>
                <w:szCs w:val="20"/>
                <w:color w:val="auto"/>
              </w:rPr>
            </w:pPr>
            <w:r>
              <w:rPr>
                <w:rFonts w:ascii="Arial" w:cs="Arial" w:eastAsia="Arial" w:hAnsi="Arial"/>
                <w:sz w:val="14"/>
                <w:szCs w:val="14"/>
                <w:b w:val="1"/>
                <w:bCs w:val="1"/>
                <w:color w:val="auto"/>
                <w:w w:val="92"/>
              </w:rPr>
              <w:t>The 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86" w:lineRule="exact"/>
        <w:rPr>
          <w:sz w:val="24"/>
          <w:szCs w:val="24"/>
          <w:color w:val="auto"/>
        </w:rPr>
      </w:pPr>
    </w:p>
    <w:p>
      <w:pPr>
        <w:jc w:val="both"/>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472440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20" w:top="665"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May 4, 2021, the registrant issued a press release announcing its financial results for the quarter ended March 31, 2021. The text of the press release is included as Exhibit 99.1 to this Form 8-K.</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May 4, 2021, the registrant issued a press release, included herewith as Exhibit 99.1, announcing the declaration of a second quarter 2021 base dividend per share of $0.41 to shareholders of record as of June 15, 2021, payable on July 15, 2021, and a first quarter 2021 supplemental dividend per share of $0.06 to shareholders of record as of May 28, 2021, payable on June 30, 2021.</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20"/>
        <w:spacing w:after="0"/>
        <w:tabs>
          <w:tab w:leader="none" w:pos="12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1" w:lineRule="exact"/>
        <w:rPr>
          <w:sz w:val="20"/>
          <w:szCs w:val="20"/>
          <w:color w:val="auto"/>
        </w:rPr>
      </w:pPr>
    </w:p>
    <w:p>
      <w:pPr>
        <w:spacing w:after="0"/>
        <w:tabs>
          <w:tab w:leader="none" w:pos="12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May 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480" w:type="dxa"/>
            <w:vAlign w:val="bottom"/>
          </w:tcPr>
          <w:p>
            <w:pPr>
              <w:spacing w:after="0"/>
              <w:rPr>
                <w:sz w:val="20"/>
                <w:szCs w:val="20"/>
                <w:color w:val="auto"/>
              </w:rPr>
            </w:pPr>
          </w:p>
        </w:tc>
        <w:tc>
          <w:tcPr>
            <w:tcW w:w="7760" w:type="dxa"/>
            <w:vAlign w:val="bottom"/>
            <w:gridSpan w:val="2"/>
          </w:tcPr>
          <w:p>
            <w:pPr>
              <w:ind w:left="2140"/>
              <w:spacing w:after="0"/>
              <w:rPr>
                <w:sz w:val="20"/>
                <w:szCs w:val="20"/>
                <w:color w:val="auto"/>
              </w:rPr>
            </w:pPr>
            <w:r>
              <w:rPr>
                <w:rFonts w:ascii="Arial" w:cs="Arial" w:eastAsia="Arial" w:hAnsi="Arial"/>
                <w:sz w:val="20"/>
                <w:szCs w:val="20"/>
                <w:color w:val="auto"/>
              </w:rPr>
              <w:t>SIXTH STREET SPECIALTY LENDING, INC.</w:t>
            </w:r>
          </w:p>
        </w:tc>
      </w:tr>
      <w:tr>
        <w:trPr>
          <w:trHeight w:val="230"/>
        </w:trPr>
        <w:tc>
          <w:tcPr>
            <w:tcW w:w="34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00" w:type="dxa"/>
            <w:vAlign w:val="bottom"/>
          </w:tcPr>
          <w:p>
            <w:pPr>
              <w:ind w:left="580"/>
              <w:spacing w:after="0"/>
              <w:rPr>
                <w:sz w:val="20"/>
                <w:szCs w:val="20"/>
                <w:color w:val="auto"/>
              </w:rPr>
            </w:pPr>
            <w:r>
              <w:rPr>
                <w:rFonts w:ascii="Arial" w:cs="Arial" w:eastAsia="Arial" w:hAnsi="Arial"/>
                <w:sz w:val="18"/>
                <w:szCs w:val="18"/>
                <w:color w:val="auto"/>
              </w:rPr>
              <w:t>(Registrant)</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May 4, 2021</w:t>
            </w:r>
          </w:p>
        </w:tc>
        <w:tc>
          <w:tcPr>
            <w:tcW w:w="7760" w:type="dxa"/>
            <w:vAlign w:val="bottom"/>
            <w:gridSpan w:val="2"/>
          </w:tcPr>
          <w:p>
            <w:pPr>
              <w:ind w:left="2140"/>
              <w:spacing w:after="0"/>
              <w:rPr>
                <w:sz w:val="20"/>
                <w:szCs w:val="20"/>
                <w:color w:val="auto"/>
              </w:rPr>
            </w:pPr>
            <w:r>
              <w:rPr>
                <w:rFonts w:ascii="Arial" w:cs="Arial" w:eastAsia="Arial" w:hAnsi="Arial"/>
                <w:sz w:val="18"/>
                <w:szCs w:val="18"/>
                <w:color w:val="auto"/>
              </w:rPr>
              <w:t>By: /s/ Ian Simmonds</w:t>
            </w:r>
          </w:p>
        </w:tc>
      </w:tr>
      <w:tr>
        <w:trPr>
          <w:trHeight w:val="195"/>
        </w:trPr>
        <w:tc>
          <w:tcPr>
            <w:tcW w:w="34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4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57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371600" cy="402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FIRST QUARTER 2021 EARNINGS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Sixth Street Specialty Lending, Inc. Reports First Quarter Adjusted Net Investment Income Per Share of $0.53 and NAV Per Share of $16.47; Declares a Second Quarter Base Dividend Per Share of $0.41 and a First Quarter Supplemental Dividend Per Share of $0.06</w:t>
      </w:r>
    </w:p>
    <w:p>
      <w:pPr>
        <w:spacing w:after="0" w:line="5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NEW YORK—May 4, 2021— Sixth Street Specialty Lending, Inc. (NYSE: TSLX, or the “Company”) today reported adjusted net investment income of $0.53 per share and adjusted net income of $0.88 per share for the first quarter ended March 31, 2021. These results correspond to an annualized return on equity (ROE) on adjusted net investment income and adjusted net income of 13.3% and 22.1%,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57150</wp:posOffset>
            </wp:positionV>
            <wp:extent cx="2348865" cy="248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Both adjusted net investment income per share and adjusted net income per share exclude approximately $0.07 per share of capital gains incentive fee expenses that were accrued, but not paid or payable, related to cumulative unrealized capital gains in excess of cumulative net realized capital gains less any cumulative unrealized losses and capital gains incentive fees paid inception-to-date. Including the impact of the accrued capital gains incentive fee expenses, the Company’s net investment income and net income for the quarter ended March 31, 2021 were $32.3 million, or $0.46 per share, and $56.7 million, or $0.81 per share, respectively. The Company’s strong net investment income in the first quarter continued to be a function of robust net interest margin attributable to its floating rate liability structure in a low-rate environment, in conjunction with the LIBOR floors on its debt investments. Net investment income was also supported by higher interest and dividend income from an increase in the average size of the portfolio, as well as fee income from portfolio prepayment activity.</w:t>
      </w:r>
    </w:p>
    <w:p>
      <w:pPr>
        <w:spacing w:after="0" w:line="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Reported net asset value (NAV) per share was $16.47 at March 31, 2021 as compared to $17.16 or a pro forma NAV per share of $15.86 at December 31, 2020 (which accounts for the impact of the $1.25 per share special dividend and $0.05 per share fourth quarter 2020 supplemental dividend). The drivers of this quarter’s NAV per share growth were the accretion from the Company’s follow-on equity raise, the continued overearning of the Company’s base quarterly dividend, net realized and unrealized gains related to portfolio-company specific events, and net unrealized gains from the impact of credit spread tightening on the valuation of the Company’s investments.</w:t>
      </w:r>
    </w:p>
    <w:p>
      <w:pPr>
        <w:spacing w:after="0" w:line="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announced that its Board of Directors has declared a second quarter 2021 base dividend of $0.41 per share to shareholders of record as of June 15, 2021, payable on July 15, 2021, and a first quarter supplemental dividend of $0.06 per share to shareholders of record as of May 28, 2021, payable on June 30, 2021. Adjusted for the impact of the supplemental dividend related to this quarter’s earnings, the Company’s Q1 pro forma NAV per share was $16.41.</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2021, the Company issued a total of 4,000,000 shares of common stock at $21.30 per share. Net of underwriting fees and offering costs, the Company received total cash proceeds of $84.9 million. Subsequent to the offering, the Company issued an additional 49,689 shares in March 2021 pursuant to the overallotment option granted to underwriters and received, net of underwriting fees, total cash proceeds of $1.0 million.</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FFFFFF"/>
        </w:rPr>
        <w:t>Net Investment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23488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2021</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(adjusted):</w:t>
            </w:r>
          </w:p>
        </w:tc>
        <w:tc>
          <w:tcPr>
            <w:tcW w:w="860" w:type="dxa"/>
            <w:vAlign w:val="bottom"/>
          </w:tcPr>
          <w:p>
            <w:pPr>
              <w:jc w:val="right"/>
              <w:ind w:right="210"/>
              <w:spacing w:after="0"/>
              <w:rPr>
                <w:sz w:val="20"/>
                <w:szCs w:val="20"/>
                <w:color w:val="auto"/>
              </w:rPr>
            </w:pPr>
            <w:r>
              <w:rPr>
                <w:rFonts w:ascii="Arial" w:cs="Arial" w:eastAsia="Arial" w:hAnsi="Arial"/>
                <w:sz w:val="18"/>
                <w:szCs w:val="18"/>
                <w:b w:val="1"/>
                <w:bCs w:val="1"/>
                <w:color w:val="auto"/>
              </w:rPr>
              <w:t>$0.53</w:t>
            </w:r>
          </w:p>
        </w:tc>
      </w:tr>
      <w:tr>
        <w:trPr>
          <w:trHeight w:val="81"/>
        </w:trPr>
        <w:tc>
          <w:tcPr>
            <w:tcW w:w="320" w:type="dxa"/>
            <w:vAlign w:val="bottom"/>
            <w:tcBorders>
              <w:bottom w:val="single" w:sz="8" w:color="D9DDE1"/>
            </w:tcBorders>
          </w:tcPr>
          <w:p>
            <w:pPr>
              <w:spacing w:after="0"/>
              <w:rPr>
                <w:sz w:val="7"/>
                <w:szCs w:val="7"/>
                <w:color w:val="auto"/>
              </w:rPr>
            </w:pPr>
          </w:p>
        </w:tc>
        <w:tc>
          <w:tcPr>
            <w:tcW w:w="2520" w:type="dxa"/>
            <w:vAlign w:val="bottom"/>
            <w:tcBorders>
              <w:bottom w:val="single" w:sz="8" w:color="D9DDE1"/>
            </w:tcBorders>
            <w:gridSpan w:val="2"/>
          </w:tcPr>
          <w:p>
            <w:pPr>
              <w:spacing w:after="0"/>
              <w:rPr>
                <w:sz w:val="7"/>
                <w:szCs w:val="7"/>
                <w:color w:val="auto"/>
              </w:rPr>
            </w:pPr>
          </w:p>
        </w:tc>
        <w:tc>
          <w:tcPr>
            <w:tcW w:w="860" w:type="dxa"/>
            <w:vAlign w:val="bottom"/>
            <w:tcBorders>
              <w:bottom w:val="single" w:sz="8" w:color="D9DDE1"/>
            </w:tcBorders>
          </w:tcPr>
          <w:p>
            <w:pPr>
              <w:spacing w:after="0"/>
              <w:rPr>
                <w:sz w:val="7"/>
                <w:szCs w:val="7"/>
                <w:color w:val="auto"/>
              </w:rPr>
            </w:pPr>
          </w:p>
        </w:tc>
      </w:tr>
      <w:tr>
        <w:trPr>
          <w:trHeight w:val="290"/>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2520" w:type="dxa"/>
            <w:vAlign w:val="bottom"/>
            <w:gridSpan w:val="2"/>
          </w:tcPr>
          <w:p>
            <w:pPr>
              <w:ind w:left="20"/>
              <w:spacing w:after="0"/>
              <w:rPr>
                <w:sz w:val="20"/>
                <w:szCs w:val="20"/>
                <w:color w:val="auto"/>
              </w:rPr>
            </w:pPr>
            <w:r>
              <w:rPr>
                <w:rFonts w:ascii="Arial" w:cs="Arial" w:eastAsia="Arial" w:hAnsi="Arial"/>
                <w:sz w:val="18"/>
                <w:szCs w:val="18"/>
                <w:b w:val="1"/>
                <w:bCs w:val="1"/>
                <w:color w:val="auto"/>
              </w:rPr>
              <w:t>2021:</w:t>
            </w:r>
          </w:p>
        </w:tc>
        <w:tc>
          <w:tcPr>
            <w:tcW w:w="860" w:type="dxa"/>
            <w:vAlign w:val="bottom"/>
          </w:tcPr>
          <w:p>
            <w:pPr>
              <w:jc w:val="right"/>
              <w:ind w:right="210"/>
              <w:spacing w:after="0"/>
              <w:rPr>
                <w:sz w:val="20"/>
                <w:szCs w:val="20"/>
                <w:color w:val="auto"/>
              </w:rPr>
            </w:pPr>
            <w:r>
              <w:rPr>
                <w:rFonts w:ascii="Arial" w:cs="Arial" w:eastAsia="Arial" w:hAnsi="Arial"/>
                <w:sz w:val="18"/>
                <w:szCs w:val="18"/>
                <w:b w:val="1"/>
                <w:bCs w:val="1"/>
                <w:color w:val="auto"/>
              </w:rPr>
              <w:t>$0.46</w:t>
            </w:r>
          </w:p>
        </w:tc>
      </w:tr>
      <w:tr>
        <w:trPr>
          <w:trHeight w:val="324"/>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7"/>
        </w:trPr>
        <w:tc>
          <w:tcPr>
            <w:tcW w:w="320" w:type="dxa"/>
            <w:vAlign w:val="bottom"/>
            <w:shd w:val="clear" w:color="auto" w:fill="0F2F50"/>
          </w:tcPr>
          <w:p>
            <w:pPr>
              <w:spacing w:after="0"/>
              <w:rPr>
                <w:sz w:val="24"/>
                <w:szCs w:val="24"/>
                <w:color w:val="auto"/>
              </w:rPr>
            </w:pPr>
          </w:p>
        </w:tc>
        <w:tc>
          <w:tcPr>
            <w:tcW w:w="400" w:type="dxa"/>
            <w:vAlign w:val="bottom"/>
            <w:shd w:val="clear" w:color="auto" w:fill="0F2F50"/>
          </w:tcPr>
          <w:p>
            <w:pPr>
              <w:spacing w:after="0"/>
              <w:rPr>
                <w:sz w:val="24"/>
                <w:szCs w:val="24"/>
                <w:color w:val="auto"/>
              </w:rPr>
            </w:pPr>
          </w:p>
        </w:tc>
        <w:tc>
          <w:tcPr>
            <w:tcW w:w="2120" w:type="dxa"/>
            <w:vAlign w:val="bottom"/>
            <w:shd w:val="clear" w:color="auto" w:fill="0F2F50"/>
          </w:tcPr>
          <w:p>
            <w:pPr>
              <w:jc w:val="center"/>
              <w:ind w:left="50"/>
              <w:spacing w:after="0"/>
              <w:rPr>
                <w:sz w:val="20"/>
                <w:szCs w:val="20"/>
                <w:color w:val="auto"/>
              </w:rPr>
            </w:pPr>
            <w:r>
              <w:rPr>
                <w:rFonts w:ascii="Arial" w:cs="Arial" w:eastAsia="Arial" w:hAnsi="Arial"/>
                <w:sz w:val="18"/>
                <w:szCs w:val="18"/>
                <w:b w:val="1"/>
                <w:bCs w:val="1"/>
                <w:color w:val="FFFFFF"/>
                <w:w w:val="91"/>
              </w:rPr>
              <w:t>Net Income Per Share</w:t>
            </w:r>
          </w:p>
        </w:tc>
        <w:tc>
          <w:tcPr>
            <w:tcW w:w="860" w:type="dxa"/>
            <w:vAlign w:val="bottom"/>
            <w:shd w:val="clear" w:color="auto" w:fill="0F2F50"/>
          </w:tcPr>
          <w:p>
            <w:pPr>
              <w:spacing w:after="0"/>
              <w:rPr>
                <w:sz w:val="24"/>
                <w:szCs w:val="24"/>
                <w:color w:val="auto"/>
              </w:rPr>
            </w:pPr>
          </w:p>
        </w:tc>
      </w:tr>
      <w:tr>
        <w:trPr>
          <w:trHeight w:val="108"/>
        </w:trPr>
        <w:tc>
          <w:tcPr>
            <w:tcW w:w="320" w:type="dxa"/>
            <w:vAlign w:val="bottom"/>
            <w:shd w:val="clear" w:color="auto" w:fill="0F2F50"/>
          </w:tcPr>
          <w:p>
            <w:pPr>
              <w:spacing w:after="0"/>
              <w:rPr>
                <w:sz w:val="9"/>
                <w:szCs w:val="9"/>
                <w:color w:val="auto"/>
              </w:rPr>
            </w:pPr>
          </w:p>
        </w:tc>
        <w:tc>
          <w:tcPr>
            <w:tcW w:w="400" w:type="dxa"/>
            <w:vAlign w:val="bottom"/>
            <w:shd w:val="clear" w:color="auto" w:fill="0F2F50"/>
          </w:tcPr>
          <w:p>
            <w:pPr>
              <w:spacing w:after="0"/>
              <w:rPr>
                <w:sz w:val="9"/>
                <w:szCs w:val="9"/>
                <w:color w:val="auto"/>
              </w:rPr>
            </w:pPr>
          </w:p>
        </w:tc>
        <w:tc>
          <w:tcPr>
            <w:tcW w:w="2120" w:type="dxa"/>
            <w:vAlign w:val="bottom"/>
            <w:shd w:val="clear" w:color="auto" w:fill="0F2F50"/>
          </w:tcPr>
          <w:p>
            <w:pPr>
              <w:spacing w:after="0"/>
              <w:rPr>
                <w:sz w:val="9"/>
                <w:szCs w:val="9"/>
                <w:color w:val="auto"/>
              </w:rPr>
            </w:pPr>
          </w:p>
        </w:tc>
        <w:tc>
          <w:tcPr>
            <w:tcW w:w="860" w:type="dxa"/>
            <w:vAlign w:val="bottom"/>
            <w:shd w:val="clear" w:color="auto" w:fill="0F2F50"/>
          </w:tcPr>
          <w:p>
            <w:pPr>
              <w:spacing w:after="0"/>
              <w:rPr>
                <w:sz w:val="9"/>
                <w:szCs w:val="9"/>
                <w:color w:val="auto"/>
              </w:rPr>
            </w:pPr>
          </w:p>
        </w:tc>
      </w:tr>
      <w:tr>
        <w:trPr>
          <w:trHeight w:val="297"/>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2021</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(adjusted):</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$0.88</w:t>
            </w:r>
          </w:p>
        </w:tc>
      </w:tr>
      <w:tr>
        <w:trPr>
          <w:trHeight w:val="81"/>
        </w:trPr>
        <w:tc>
          <w:tcPr>
            <w:tcW w:w="320" w:type="dxa"/>
            <w:vAlign w:val="bottom"/>
            <w:tcBorders>
              <w:bottom w:val="single" w:sz="8" w:color="D9DDE1"/>
            </w:tcBorders>
          </w:tcPr>
          <w:p>
            <w:pPr>
              <w:spacing w:after="0"/>
              <w:rPr>
                <w:sz w:val="7"/>
                <w:szCs w:val="7"/>
                <w:color w:val="auto"/>
              </w:rPr>
            </w:pPr>
          </w:p>
        </w:tc>
        <w:tc>
          <w:tcPr>
            <w:tcW w:w="2520" w:type="dxa"/>
            <w:vAlign w:val="bottom"/>
            <w:tcBorders>
              <w:bottom w:val="single" w:sz="8" w:color="D9DDE1"/>
            </w:tcBorders>
            <w:gridSpan w:val="2"/>
          </w:tcPr>
          <w:p>
            <w:pPr>
              <w:spacing w:after="0"/>
              <w:rPr>
                <w:sz w:val="7"/>
                <w:szCs w:val="7"/>
                <w:color w:val="auto"/>
              </w:rPr>
            </w:pPr>
          </w:p>
        </w:tc>
        <w:tc>
          <w:tcPr>
            <w:tcW w:w="860" w:type="dxa"/>
            <w:vAlign w:val="bottom"/>
            <w:tcBorders>
              <w:bottom w:val="single" w:sz="8" w:color="D9DDE1"/>
            </w:tcBorders>
          </w:tcPr>
          <w:p>
            <w:pPr>
              <w:spacing w:after="0"/>
              <w:rPr>
                <w:sz w:val="7"/>
                <w:szCs w:val="7"/>
                <w:color w:val="auto"/>
              </w:rPr>
            </w:pPr>
          </w:p>
        </w:tc>
      </w:tr>
      <w:tr>
        <w:trPr>
          <w:trHeight w:val="290"/>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2520" w:type="dxa"/>
            <w:vAlign w:val="bottom"/>
            <w:gridSpan w:val="2"/>
          </w:tcPr>
          <w:p>
            <w:pPr>
              <w:ind w:left="20"/>
              <w:spacing w:after="0"/>
              <w:rPr>
                <w:sz w:val="20"/>
                <w:szCs w:val="20"/>
                <w:color w:val="auto"/>
              </w:rPr>
            </w:pPr>
            <w:r>
              <w:rPr>
                <w:rFonts w:ascii="Arial" w:cs="Arial" w:eastAsia="Arial" w:hAnsi="Arial"/>
                <w:sz w:val="18"/>
                <w:szCs w:val="18"/>
                <w:b w:val="1"/>
                <w:bCs w:val="1"/>
                <w:color w:val="auto"/>
              </w:rPr>
              <w:t>2021:</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$0.81</w:t>
            </w:r>
          </w:p>
        </w:tc>
      </w:tr>
      <w:tr>
        <w:trPr>
          <w:trHeight w:val="324"/>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7"/>
        </w:trPr>
        <w:tc>
          <w:tcPr>
            <w:tcW w:w="320" w:type="dxa"/>
            <w:vAlign w:val="bottom"/>
            <w:shd w:val="clear" w:color="auto" w:fill="0F2F50"/>
          </w:tcPr>
          <w:p>
            <w:pPr>
              <w:spacing w:after="0"/>
              <w:rPr>
                <w:sz w:val="24"/>
                <w:szCs w:val="24"/>
                <w:color w:val="auto"/>
              </w:rPr>
            </w:pPr>
          </w:p>
        </w:tc>
        <w:tc>
          <w:tcPr>
            <w:tcW w:w="400" w:type="dxa"/>
            <w:vAlign w:val="bottom"/>
            <w:shd w:val="clear" w:color="auto" w:fill="0F2F50"/>
          </w:tcPr>
          <w:p>
            <w:pPr>
              <w:spacing w:after="0"/>
              <w:rPr>
                <w:sz w:val="24"/>
                <w:szCs w:val="24"/>
                <w:color w:val="auto"/>
              </w:rPr>
            </w:pPr>
          </w:p>
        </w:tc>
        <w:tc>
          <w:tcPr>
            <w:tcW w:w="2120" w:type="dxa"/>
            <w:vAlign w:val="bottom"/>
            <w:shd w:val="clear" w:color="auto" w:fill="0F2F50"/>
          </w:tcPr>
          <w:p>
            <w:pPr>
              <w:jc w:val="center"/>
              <w:ind w:left="30"/>
              <w:spacing w:after="0"/>
              <w:rPr>
                <w:sz w:val="20"/>
                <w:szCs w:val="20"/>
                <w:color w:val="auto"/>
              </w:rPr>
            </w:pPr>
            <w:r>
              <w:rPr>
                <w:rFonts w:ascii="Arial" w:cs="Arial" w:eastAsia="Arial" w:hAnsi="Arial"/>
                <w:sz w:val="18"/>
                <w:szCs w:val="18"/>
                <w:b w:val="1"/>
                <w:bCs w:val="1"/>
                <w:color w:val="FFFFFF"/>
                <w:w w:val="94"/>
              </w:rPr>
              <w:t>Annualized ROE</w:t>
            </w:r>
          </w:p>
        </w:tc>
        <w:tc>
          <w:tcPr>
            <w:tcW w:w="860" w:type="dxa"/>
            <w:vAlign w:val="bottom"/>
            <w:shd w:val="clear" w:color="auto" w:fill="0F2F50"/>
          </w:tcPr>
          <w:p>
            <w:pPr>
              <w:spacing w:after="0"/>
              <w:rPr>
                <w:sz w:val="24"/>
                <w:szCs w:val="24"/>
                <w:color w:val="auto"/>
              </w:rPr>
            </w:pPr>
          </w:p>
        </w:tc>
      </w:tr>
      <w:tr>
        <w:trPr>
          <w:trHeight w:val="95"/>
        </w:trPr>
        <w:tc>
          <w:tcPr>
            <w:tcW w:w="320" w:type="dxa"/>
            <w:vAlign w:val="bottom"/>
            <w:shd w:val="clear" w:color="auto" w:fill="0F2F50"/>
          </w:tcPr>
          <w:p>
            <w:pPr>
              <w:spacing w:after="0"/>
              <w:rPr>
                <w:sz w:val="8"/>
                <w:szCs w:val="8"/>
                <w:color w:val="auto"/>
              </w:rPr>
            </w:pPr>
          </w:p>
        </w:tc>
        <w:tc>
          <w:tcPr>
            <w:tcW w:w="400" w:type="dxa"/>
            <w:vAlign w:val="bottom"/>
            <w:shd w:val="clear" w:color="auto" w:fill="0F2F50"/>
          </w:tcPr>
          <w:p>
            <w:pPr>
              <w:spacing w:after="0"/>
              <w:rPr>
                <w:sz w:val="8"/>
                <w:szCs w:val="8"/>
                <w:color w:val="auto"/>
              </w:rPr>
            </w:pPr>
          </w:p>
        </w:tc>
        <w:tc>
          <w:tcPr>
            <w:tcW w:w="2120" w:type="dxa"/>
            <w:vAlign w:val="bottom"/>
            <w:shd w:val="clear" w:color="auto" w:fill="0F2F50"/>
          </w:tcPr>
          <w:p>
            <w:pPr>
              <w:spacing w:after="0"/>
              <w:rPr>
                <w:sz w:val="8"/>
                <w:szCs w:val="8"/>
                <w:color w:val="auto"/>
              </w:rPr>
            </w:pPr>
          </w:p>
        </w:tc>
        <w:tc>
          <w:tcPr>
            <w:tcW w:w="860" w:type="dxa"/>
            <w:vAlign w:val="bottom"/>
            <w:shd w:val="clear" w:color="auto" w:fill="0F2F50"/>
          </w:tcPr>
          <w:p>
            <w:pPr>
              <w:spacing w:after="0"/>
              <w:rPr>
                <w:sz w:val="8"/>
                <w:szCs w:val="8"/>
                <w:color w:val="auto"/>
              </w:rPr>
            </w:pPr>
          </w:p>
        </w:tc>
      </w:tr>
      <w:tr>
        <w:trPr>
          <w:trHeight w:val="32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2021</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(Adj NII):</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13.3%</w:t>
            </w:r>
          </w:p>
        </w:tc>
      </w:tr>
      <w:tr>
        <w:trPr>
          <w:trHeight w:val="108"/>
        </w:trPr>
        <w:tc>
          <w:tcPr>
            <w:tcW w:w="320" w:type="dxa"/>
            <w:vAlign w:val="bottom"/>
            <w:tcBorders>
              <w:bottom w:val="single" w:sz="8" w:color="D9DDE1"/>
            </w:tcBorders>
          </w:tcPr>
          <w:p>
            <w:pPr>
              <w:spacing w:after="0"/>
              <w:rPr>
                <w:sz w:val="9"/>
                <w:szCs w:val="9"/>
                <w:color w:val="auto"/>
              </w:rPr>
            </w:pPr>
          </w:p>
        </w:tc>
        <w:tc>
          <w:tcPr>
            <w:tcW w:w="400" w:type="dxa"/>
            <w:vAlign w:val="bottom"/>
            <w:tcBorders>
              <w:bottom w:val="single" w:sz="8" w:color="D9DDE1"/>
            </w:tcBorders>
          </w:tcPr>
          <w:p>
            <w:pPr>
              <w:spacing w:after="0"/>
              <w:rPr>
                <w:sz w:val="9"/>
                <w:szCs w:val="9"/>
                <w:color w:val="auto"/>
              </w:rPr>
            </w:pPr>
          </w:p>
        </w:tc>
        <w:tc>
          <w:tcPr>
            <w:tcW w:w="2120" w:type="dxa"/>
            <w:vAlign w:val="bottom"/>
            <w:tcBorders>
              <w:bottom w:val="single" w:sz="8" w:color="D9DDE1"/>
            </w:tcBorders>
          </w:tcPr>
          <w:p>
            <w:pPr>
              <w:spacing w:after="0"/>
              <w:rPr>
                <w:sz w:val="9"/>
                <w:szCs w:val="9"/>
                <w:color w:val="auto"/>
              </w:rPr>
            </w:pPr>
          </w:p>
        </w:tc>
        <w:tc>
          <w:tcPr>
            <w:tcW w:w="860" w:type="dxa"/>
            <w:vAlign w:val="bottom"/>
            <w:tcBorders>
              <w:bottom w:val="single" w:sz="8" w:color="D9DDE1"/>
            </w:tcBorders>
          </w:tcPr>
          <w:p>
            <w:pPr>
              <w:spacing w:after="0"/>
              <w:rPr>
                <w:sz w:val="9"/>
                <w:szCs w:val="9"/>
                <w:color w:val="auto"/>
              </w:rPr>
            </w:pPr>
          </w:p>
        </w:tc>
      </w:tr>
      <w:tr>
        <w:trPr>
          <w:trHeight w:val="290"/>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2021</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(Adj NI):</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22.1%</w:t>
            </w:r>
          </w:p>
        </w:tc>
      </w:tr>
      <w:tr>
        <w:trPr>
          <w:trHeight w:val="81"/>
        </w:trPr>
        <w:tc>
          <w:tcPr>
            <w:tcW w:w="320" w:type="dxa"/>
            <w:vAlign w:val="bottom"/>
            <w:tcBorders>
              <w:bottom w:val="single" w:sz="8" w:color="D9DDE1"/>
            </w:tcBorders>
          </w:tcPr>
          <w:p>
            <w:pPr>
              <w:spacing w:after="0"/>
              <w:rPr>
                <w:sz w:val="7"/>
                <w:szCs w:val="7"/>
                <w:color w:val="auto"/>
              </w:rPr>
            </w:pPr>
          </w:p>
        </w:tc>
        <w:tc>
          <w:tcPr>
            <w:tcW w:w="400" w:type="dxa"/>
            <w:vAlign w:val="bottom"/>
            <w:tcBorders>
              <w:bottom w:val="single" w:sz="8" w:color="D9DDE1"/>
            </w:tcBorders>
          </w:tcPr>
          <w:p>
            <w:pPr>
              <w:spacing w:after="0"/>
              <w:rPr>
                <w:sz w:val="7"/>
                <w:szCs w:val="7"/>
                <w:color w:val="auto"/>
              </w:rPr>
            </w:pPr>
          </w:p>
        </w:tc>
        <w:tc>
          <w:tcPr>
            <w:tcW w:w="2120" w:type="dxa"/>
            <w:vAlign w:val="bottom"/>
            <w:tcBorders>
              <w:bottom w:val="single" w:sz="8" w:color="D9DDE1"/>
            </w:tcBorders>
          </w:tcPr>
          <w:p>
            <w:pPr>
              <w:spacing w:after="0"/>
              <w:rPr>
                <w:sz w:val="7"/>
                <w:szCs w:val="7"/>
                <w:color w:val="auto"/>
              </w:rPr>
            </w:pPr>
          </w:p>
        </w:tc>
        <w:tc>
          <w:tcPr>
            <w:tcW w:w="860" w:type="dxa"/>
            <w:vAlign w:val="bottom"/>
            <w:tcBorders>
              <w:bottom w:val="single" w:sz="8" w:color="D9DDE1"/>
            </w:tcBorders>
          </w:tcPr>
          <w:p>
            <w:pPr>
              <w:spacing w:after="0"/>
              <w:rPr>
                <w:sz w:val="7"/>
                <w:szCs w:val="7"/>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2021</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(NII):</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11.7%</w:t>
            </w:r>
          </w:p>
        </w:tc>
      </w:tr>
      <w:tr>
        <w:trPr>
          <w:trHeight w:val="81"/>
        </w:trPr>
        <w:tc>
          <w:tcPr>
            <w:tcW w:w="320" w:type="dxa"/>
            <w:vAlign w:val="bottom"/>
            <w:tcBorders>
              <w:bottom w:val="single" w:sz="8" w:color="D9DDE1"/>
            </w:tcBorders>
          </w:tcPr>
          <w:p>
            <w:pPr>
              <w:spacing w:after="0"/>
              <w:rPr>
                <w:sz w:val="7"/>
                <w:szCs w:val="7"/>
                <w:color w:val="auto"/>
              </w:rPr>
            </w:pPr>
          </w:p>
        </w:tc>
        <w:tc>
          <w:tcPr>
            <w:tcW w:w="400" w:type="dxa"/>
            <w:vAlign w:val="bottom"/>
            <w:tcBorders>
              <w:bottom w:val="single" w:sz="8" w:color="D9DDE1"/>
            </w:tcBorders>
          </w:tcPr>
          <w:p>
            <w:pPr>
              <w:spacing w:after="0"/>
              <w:rPr>
                <w:sz w:val="7"/>
                <w:szCs w:val="7"/>
                <w:color w:val="auto"/>
              </w:rPr>
            </w:pPr>
          </w:p>
        </w:tc>
        <w:tc>
          <w:tcPr>
            <w:tcW w:w="2120" w:type="dxa"/>
            <w:vAlign w:val="bottom"/>
            <w:tcBorders>
              <w:bottom w:val="single" w:sz="8" w:color="D9DDE1"/>
            </w:tcBorders>
          </w:tcPr>
          <w:p>
            <w:pPr>
              <w:spacing w:after="0"/>
              <w:rPr>
                <w:sz w:val="7"/>
                <w:szCs w:val="7"/>
                <w:color w:val="auto"/>
              </w:rPr>
            </w:pPr>
          </w:p>
        </w:tc>
        <w:tc>
          <w:tcPr>
            <w:tcW w:w="860" w:type="dxa"/>
            <w:vAlign w:val="bottom"/>
            <w:tcBorders>
              <w:bottom w:val="single" w:sz="8" w:color="D9DDE1"/>
            </w:tcBorders>
          </w:tcPr>
          <w:p>
            <w:pPr>
              <w:spacing w:after="0"/>
              <w:rPr>
                <w:sz w:val="7"/>
                <w:szCs w:val="7"/>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2021</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(NI):</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20.5%</w:t>
            </w:r>
          </w:p>
        </w:tc>
      </w:tr>
      <w:tr>
        <w:trPr>
          <w:trHeight w:val="324"/>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7"/>
        </w:trPr>
        <w:tc>
          <w:tcPr>
            <w:tcW w:w="320" w:type="dxa"/>
            <w:vAlign w:val="bottom"/>
            <w:shd w:val="clear" w:color="auto" w:fill="0F2F50"/>
          </w:tcPr>
          <w:p>
            <w:pPr>
              <w:spacing w:after="0"/>
              <w:rPr>
                <w:sz w:val="24"/>
                <w:szCs w:val="24"/>
                <w:color w:val="auto"/>
              </w:rPr>
            </w:pPr>
          </w:p>
        </w:tc>
        <w:tc>
          <w:tcPr>
            <w:tcW w:w="400" w:type="dxa"/>
            <w:vAlign w:val="bottom"/>
            <w:shd w:val="clear" w:color="auto" w:fill="0F2F50"/>
          </w:tcPr>
          <w:p>
            <w:pPr>
              <w:spacing w:after="0"/>
              <w:rPr>
                <w:sz w:val="24"/>
                <w:szCs w:val="24"/>
                <w:color w:val="auto"/>
              </w:rPr>
            </w:pPr>
          </w:p>
        </w:tc>
        <w:tc>
          <w:tcPr>
            <w:tcW w:w="2120" w:type="dxa"/>
            <w:vAlign w:val="bottom"/>
            <w:shd w:val="clear" w:color="auto" w:fill="0F2F50"/>
          </w:tcPr>
          <w:p>
            <w:pPr>
              <w:jc w:val="center"/>
              <w:ind w:left="50"/>
              <w:spacing w:after="0"/>
              <w:rPr>
                <w:sz w:val="20"/>
                <w:szCs w:val="20"/>
                <w:color w:val="auto"/>
              </w:rPr>
            </w:pPr>
            <w:r>
              <w:rPr>
                <w:rFonts w:ascii="Arial" w:cs="Arial" w:eastAsia="Arial" w:hAnsi="Arial"/>
                <w:sz w:val="18"/>
                <w:szCs w:val="18"/>
                <w:b w:val="1"/>
                <w:bCs w:val="1"/>
                <w:color w:val="FFFFFF"/>
                <w:w w:val="99"/>
              </w:rPr>
              <w:t>NAV</w:t>
            </w:r>
          </w:p>
        </w:tc>
        <w:tc>
          <w:tcPr>
            <w:tcW w:w="860" w:type="dxa"/>
            <w:vAlign w:val="bottom"/>
            <w:shd w:val="clear" w:color="auto" w:fill="0F2F50"/>
          </w:tcPr>
          <w:p>
            <w:pPr>
              <w:spacing w:after="0"/>
              <w:rPr>
                <w:sz w:val="24"/>
                <w:szCs w:val="24"/>
                <w:color w:val="auto"/>
              </w:rPr>
            </w:pPr>
          </w:p>
        </w:tc>
      </w:tr>
      <w:tr>
        <w:trPr>
          <w:trHeight w:val="94"/>
        </w:trPr>
        <w:tc>
          <w:tcPr>
            <w:tcW w:w="320" w:type="dxa"/>
            <w:vAlign w:val="bottom"/>
            <w:shd w:val="clear" w:color="auto" w:fill="0F2F50"/>
          </w:tcPr>
          <w:p>
            <w:pPr>
              <w:spacing w:after="0"/>
              <w:rPr>
                <w:sz w:val="8"/>
                <w:szCs w:val="8"/>
                <w:color w:val="auto"/>
              </w:rPr>
            </w:pPr>
          </w:p>
        </w:tc>
        <w:tc>
          <w:tcPr>
            <w:tcW w:w="400" w:type="dxa"/>
            <w:vAlign w:val="bottom"/>
            <w:shd w:val="clear" w:color="auto" w:fill="0F2F50"/>
          </w:tcPr>
          <w:p>
            <w:pPr>
              <w:spacing w:after="0"/>
              <w:rPr>
                <w:sz w:val="8"/>
                <w:szCs w:val="8"/>
                <w:color w:val="auto"/>
              </w:rPr>
            </w:pPr>
          </w:p>
        </w:tc>
        <w:tc>
          <w:tcPr>
            <w:tcW w:w="2120" w:type="dxa"/>
            <w:vAlign w:val="bottom"/>
            <w:shd w:val="clear" w:color="auto" w:fill="0F2F50"/>
          </w:tcPr>
          <w:p>
            <w:pPr>
              <w:spacing w:after="0"/>
              <w:rPr>
                <w:sz w:val="8"/>
                <w:szCs w:val="8"/>
                <w:color w:val="auto"/>
              </w:rPr>
            </w:pPr>
          </w:p>
        </w:tc>
        <w:tc>
          <w:tcPr>
            <w:tcW w:w="860" w:type="dxa"/>
            <w:vAlign w:val="bottom"/>
            <w:shd w:val="clear" w:color="auto" w:fill="0F2F50"/>
          </w:tcPr>
          <w:p>
            <w:pPr>
              <w:spacing w:after="0"/>
              <w:rPr>
                <w:sz w:val="8"/>
                <w:szCs w:val="8"/>
                <w:color w:val="auto"/>
              </w:rPr>
            </w:pPr>
          </w:p>
        </w:tc>
      </w:tr>
      <w:tr>
        <w:trPr>
          <w:trHeight w:val="31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2021</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($MM):</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$1,185.3</w:t>
            </w:r>
          </w:p>
        </w:tc>
      </w:tr>
      <w:tr>
        <w:trPr>
          <w:trHeight w:val="94"/>
        </w:trPr>
        <w:tc>
          <w:tcPr>
            <w:tcW w:w="320" w:type="dxa"/>
            <w:vAlign w:val="bottom"/>
            <w:tcBorders>
              <w:bottom w:val="single" w:sz="8" w:color="D9DDE1"/>
            </w:tcBorders>
          </w:tcPr>
          <w:p>
            <w:pPr>
              <w:spacing w:after="0"/>
              <w:rPr>
                <w:sz w:val="8"/>
                <w:szCs w:val="8"/>
                <w:color w:val="auto"/>
              </w:rPr>
            </w:pPr>
          </w:p>
        </w:tc>
        <w:tc>
          <w:tcPr>
            <w:tcW w:w="400" w:type="dxa"/>
            <w:vAlign w:val="bottom"/>
            <w:tcBorders>
              <w:bottom w:val="single" w:sz="8" w:color="D9DDE1"/>
            </w:tcBorders>
          </w:tcPr>
          <w:p>
            <w:pPr>
              <w:spacing w:after="0"/>
              <w:rPr>
                <w:sz w:val="8"/>
                <w:szCs w:val="8"/>
                <w:color w:val="auto"/>
              </w:rPr>
            </w:pPr>
          </w:p>
        </w:tc>
        <w:tc>
          <w:tcPr>
            <w:tcW w:w="2120" w:type="dxa"/>
            <w:vAlign w:val="bottom"/>
            <w:tcBorders>
              <w:bottom w:val="single" w:sz="8" w:color="D9DDE1"/>
            </w:tcBorders>
          </w:tcPr>
          <w:p>
            <w:pPr>
              <w:spacing w:after="0"/>
              <w:rPr>
                <w:sz w:val="8"/>
                <w:szCs w:val="8"/>
                <w:color w:val="auto"/>
              </w:rPr>
            </w:pPr>
          </w:p>
        </w:tc>
        <w:tc>
          <w:tcPr>
            <w:tcW w:w="860" w:type="dxa"/>
            <w:vAlign w:val="bottom"/>
            <w:tcBorders>
              <w:bottom w:val="single" w:sz="8" w:color="D9DDE1"/>
            </w:tcBorders>
          </w:tcPr>
          <w:p>
            <w:pPr>
              <w:spacing w:after="0"/>
              <w:rPr>
                <w:sz w:val="8"/>
                <w:szCs w:val="8"/>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2021</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(per share)</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$16.47</w:t>
            </w:r>
          </w:p>
        </w:tc>
      </w:tr>
      <w:tr>
        <w:trPr>
          <w:trHeight w:val="81"/>
        </w:trPr>
        <w:tc>
          <w:tcPr>
            <w:tcW w:w="320" w:type="dxa"/>
            <w:vAlign w:val="bottom"/>
            <w:tcBorders>
              <w:bottom w:val="single" w:sz="8" w:color="D9DDE1"/>
            </w:tcBorders>
          </w:tcPr>
          <w:p>
            <w:pPr>
              <w:spacing w:after="0"/>
              <w:rPr>
                <w:sz w:val="7"/>
                <w:szCs w:val="7"/>
                <w:color w:val="auto"/>
              </w:rPr>
            </w:pPr>
          </w:p>
        </w:tc>
        <w:tc>
          <w:tcPr>
            <w:tcW w:w="400" w:type="dxa"/>
            <w:vAlign w:val="bottom"/>
            <w:tcBorders>
              <w:bottom w:val="single" w:sz="8" w:color="D9DDE1"/>
            </w:tcBorders>
          </w:tcPr>
          <w:p>
            <w:pPr>
              <w:spacing w:after="0"/>
              <w:rPr>
                <w:sz w:val="7"/>
                <w:szCs w:val="7"/>
                <w:color w:val="auto"/>
              </w:rPr>
            </w:pPr>
          </w:p>
        </w:tc>
        <w:tc>
          <w:tcPr>
            <w:tcW w:w="2120" w:type="dxa"/>
            <w:vAlign w:val="bottom"/>
            <w:tcBorders>
              <w:bottom w:val="single" w:sz="8" w:color="D9DDE1"/>
            </w:tcBorders>
          </w:tcPr>
          <w:p>
            <w:pPr>
              <w:spacing w:after="0"/>
              <w:rPr>
                <w:sz w:val="7"/>
                <w:szCs w:val="7"/>
                <w:color w:val="auto"/>
              </w:rPr>
            </w:pPr>
          </w:p>
        </w:tc>
        <w:tc>
          <w:tcPr>
            <w:tcW w:w="860" w:type="dxa"/>
            <w:vAlign w:val="bottom"/>
            <w:tcBorders>
              <w:bottom w:val="single" w:sz="8" w:color="D9DDE1"/>
            </w:tcBorders>
          </w:tcPr>
          <w:p>
            <w:pPr>
              <w:spacing w:after="0"/>
              <w:rPr>
                <w:sz w:val="7"/>
                <w:szCs w:val="7"/>
                <w:color w:val="auto"/>
              </w:rPr>
            </w:pPr>
          </w:p>
        </w:tc>
      </w:tr>
      <w:tr>
        <w:trPr>
          <w:trHeight w:val="250"/>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2021</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(per share, PF):</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$16.41</w:t>
            </w:r>
          </w:p>
        </w:tc>
      </w:tr>
      <w:tr>
        <w:trPr>
          <w:trHeight w:val="283"/>
        </w:trPr>
        <w:tc>
          <w:tcPr>
            <w:tcW w:w="320" w:type="dxa"/>
            <w:vAlign w:val="bottom"/>
          </w:tcPr>
          <w:p>
            <w:pPr>
              <w:spacing w:after="0"/>
              <w:rPr>
                <w:sz w:val="24"/>
                <w:szCs w:val="24"/>
                <w:color w:val="auto"/>
              </w:rPr>
            </w:pPr>
          </w:p>
        </w:tc>
        <w:tc>
          <w:tcPr>
            <w:tcW w:w="3380" w:type="dxa"/>
            <w:vAlign w:val="bottom"/>
            <w:gridSpan w:val="3"/>
          </w:tcPr>
          <w:p>
            <w:pPr>
              <w:spacing w:after="0"/>
              <w:rPr>
                <w:sz w:val="24"/>
                <w:szCs w:val="24"/>
                <w:color w:val="auto"/>
              </w:rPr>
            </w:pPr>
          </w:p>
        </w:tc>
      </w:tr>
      <w:tr>
        <w:trPr>
          <w:trHeight w:val="297"/>
        </w:trPr>
        <w:tc>
          <w:tcPr>
            <w:tcW w:w="320" w:type="dxa"/>
            <w:vAlign w:val="bottom"/>
            <w:shd w:val="clear" w:color="auto" w:fill="0F2F50"/>
          </w:tcPr>
          <w:p>
            <w:pPr>
              <w:spacing w:after="0"/>
              <w:rPr>
                <w:sz w:val="24"/>
                <w:szCs w:val="24"/>
                <w:color w:val="auto"/>
              </w:rPr>
            </w:pPr>
          </w:p>
        </w:tc>
        <w:tc>
          <w:tcPr>
            <w:tcW w:w="3380" w:type="dxa"/>
            <w:vAlign w:val="bottom"/>
            <w:gridSpan w:val="3"/>
            <w:shd w:val="clear" w:color="auto" w:fill="0F2F50"/>
          </w:tcPr>
          <w:p>
            <w:pPr>
              <w:jc w:val="center"/>
              <w:ind w:right="230"/>
              <w:spacing w:after="0"/>
              <w:rPr>
                <w:sz w:val="20"/>
                <w:szCs w:val="20"/>
                <w:color w:val="auto"/>
              </w:rPr>
            </w:pPr>
            <w:r>
              <w:rPr>
                <w:rFonts w:ascii="Arial" w:cs="Arial" w:eastAsia="Arial" w:hAnsi="Arial"/>
                <w:sz w:val="18"/>
                <w:szCs w:val="18"/>
                <w:b w:val="1"/>
                <w:bCs w:val="1"/>
                <w:color w:val="FFFFFF"/>
                <w:w w:val="89"/>
              </w:rPr>
              <w:t>Dividends Declared (per share)</w:t>
            </w:r>
          </w:p>
        </w:tc>
      </w:tr>
      <w:tr>
        <w:trPr>
          <w:trHeight w:val="94"/>
        </w:trPr>
        <w:tc>
          <w:tcPr>
            <w:tcW w:w="320" w:type="dxa"/>
            <w:vAlign w:val="bottom"/>
            <w:shd w:val="clear" w:color="auto" w:fill="0F2F50"/>
          </w:tcPr>
          <w:p>
            <w:pPr>
              <w:spacing w:after="0"/>
              <w:rPr>
                <w:sz w:val="8"/>
                <w:szCs w:val="8"/>
                <w:color w:val="auto"/>
              </w:rPr>
            </w:pPr>
          </w:p>
        </w:tc>
        <w:tc>
          <w:tcPr>
            <w:tcW w:w="400" w:type="dxa"/>
            <w:vAlign w:val="bottom"/>
            <w:shd w:val="clear" w:color="auto" w:fill="0F2F50"/>
          </w:tcPr>
          <w:p>
            <w:pPr>
              <w:spacing w:after="0"/>
              <w:rPr>
                <w:sz w:val="8"/>
                <w:szCs w:val="8"/>
                <w:color w:val="auto"/>
              </w:rPr>
            </w:pPr>
          </w:p>
        </w:tc>
        <w:tc>
          <w:tcPr>
            <w:tcW w:w="2120" w:type="dxa"/>
            <w:vAlign w:val="bottom"/>
            <w:shd w:val="clear" w:color="auto" w:fill="0F2F50"/>
          </w:tcPr>
          <w:p>
            <w:pPr>
              <w:spacing w:after="0"/>
              <w:rPr>
                <w:sz w:val="8"/>
                <w:szCs w:val="8"/>
                <w:color w:val="auto"/>
              </w:rPr>
            </w:pPr>
          </w:p>
        </w:tc>
        <w:tc>
          <w:tcPr>
            <w:tcW w:w="860" w:type="dxa"/>
            <w:vAlign w:val="bottom"/>
            <w:shd w:val="clear" w:color="auto" w:fill="0F2F50"/>
          </w:tcPr>
          <w:p>
            <w:pPr>
              <w:spacing w:after="0"/>
              <w:rPr>
                <w:sz w:val="8"/>
                <w:szCs w:val="8"/>
                <w:color w:val="auto"/>
              </w:rPr>
            </w:pPr>
          </w:p>
        </w:tc>
      </w:tr>
      <w:tr>
        <w:trPr>
          <w:trHeight w:val="257"/>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2021</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(Base):</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$0.41</w:t>
            </w:r>
          </w:p>
        </w:tc>
      </w:tr>
      <w:tr>
        <w:trPr>
          <w:trHeight w:val="54"/>
        </w:trPr>
        <w:tc>
          <w:tcPr>
            <w:tcW w:w="2840" w:type="dxa"/>
            <w:vAlign w:val="bottom"/>
            <w:tcBorders>
              <w:bottom w:val="single" w:sz="8" w:color="D9DDE1"/>
            </w:tcBorders>
            <w:gridSpan w:val="3"/>
          </w:tcPr>
          <w:p>
            <w:pPr>
              <w:spacing w:after="0"/>
              <w:rPr>
                <w:sz w:val="4"/>
                <w:szCs w:val="4"/>
                <w:color w:val="auto"/>
              </w:rPr>
            </w:pPr>
          </w:p>
        </w:tc>
        <w:tc>
          <w:tcPr>
            <w:tcW w:w="860" w:type="dxa"/>
            <w:vAlign w:val="bottom"/>
            <w:tcBorders>
              <w:bottom w:val="single" w:sz="8" w:color="D9DDE1"/>
            </w:tcBorders>
          </w:tcPr>
          <w:p>
            <w:pPr>
              <w:spacing w:after="0"/>
              <w:rPr>
                <w:sz w:val="4"/>
                <w:szCs w:val="4"/>
                <w:color w:val="auto"/>
              </w:rPr>
            </w:pPr>
          </w:p>
        </w:tc>
      </w:tr>
      <w:tr>
        <w:trPr>
          <w:trHeight w:val="250"/>
        </w:trPr>
        <w:tc>
          <w:tcPr>
            <w:tcW w:w="2840" w:type="dxa"/>
            <w:vAlign w:val="bottom"/>
            <w:gridSpan w:val="3"/>
          </w:tcPr>
          <w:p>
            <w:pPr>
              <w:ind w:left="60"/>
              <w:spacing w:after="0"/>
              <w:rPr>
                <w:sz w:val="20"/>
                <w:szCs w:val="20"/>
                <w:color w:val="auto"/>
              </w:rPr>
            </w:pPr>
            <w:r>
              <w:rPr>
                <w:rFonts w:ascii="Arial" w:cs="Arial" w:eastAsia="Arial" w:hAnsi="Arial"/>
                <w:sz w:val="18"/>
                <w:szCs w:val="18"/>
                <w:b w:val="1"/>
                <w:bCs w:val="1"/>
                <w:color w:val="auto"/>
              </w:rPr>
              <w:t>LTM Q1’21 (Base):</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$1.64</w:t>
            </w:r>
          </w:p>
        </w:tc>
      </w:tr>
      <w:tr>
        <w:trPr>
          <w:trHeight w:val="54"/>
        </w:trPr>
        <w:tc>
          <w:tcPr>
            <w:tcW w:w="2840" w:type="dxa"/>
            <w:vAlign w:val="bottom"/>
            <w:tcBorders>
              <w:bottom w:val="single" w:sz="8" w:color="D9DDE1"/>
            </w:tcBorders>
            <w:gridSpan w:val="3"/>
          </w:tcPr>
          <w:p>
            <w:pPr>
              <w:spacing w:after="0"/>
              <w:rPr>
                <w:sz w:val="4"/>
                <w:szCs w:val="4"/>
                <w:color w:val="auto"/>
              </w:rPr>
            </w:pPr>
          </w:p>
        </w:tc>
        <w:tc>
          <w:tcPr>
            <w:tcW w:w="860" w:type="dxa"/>
            <w:vAlign w:val="bottom"/>
            <w:tcBorders>
              <w:bottom w:val="single" w:sz="8" w:color="D9DDE1"/>
            </w:tcBorders>
          </w:tcPr>
          <w:p>
            <w:pPr>
              <w:spacing w:after="0"/>
              <w:rPr>
                <w:sz w:val="4"/>
                <w:szCs w:val="4"/>
                <w:color w:val="auto"/>
              </w:rPr>
            </w:pPr>
          </w:p>
        </w:tc>
      </w:tr>
      <w:tr>
        <w:trPr>
          <w:trHeight w:val="250"/>
        </w:trPr>
        <w:tc>
          <w:tcPr>
            <w:tcW w:w="2840" w:type="dxa"/>
            <w:vAlign w:val="bottom"/>
            <w:gridSpan w:val="3"/>
          </w:tcPr>
          <w:p>
            <w:pPr>
              <w:ind w:left="60"/>
              <w:spacing w:after="0"/>
              <w:rPr>
                <w:sz w:val="20"/>
                <w:szCs w:val="20"/>
                <w:color w:val="auto"/>
              </w:rPr>
            </w:pPr>
            <w:r>
              <w:rPr>
                <w:rFonts w:ascii="Arial" w:cs="Arial" w:eastAsia="Arial" w:hAnsi="Arial"/>
                <w:sz w:val="18"/>
                <w:szCs w:val="18"/>
                <w:b w:val="1"/>
                <w:bCs w:val="1"/>
                <w:color w:val="auto"/>
              </w:rPr>
              <w:t>LTM Q1’21 (Supp/Special):</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$1.40</w:t>
            </w:r>
          </w:p>
        </w:tc>
      </w:tr>
      <w:tr>
        <w:trPr>
          <w:trHeight w:val="40"/>
        </w:trPr>
        <w:tc>
          <w:tcPr>
            <w:tcW w:w="2840" w:type="dxa"/>
            <w:vAlign w:val="bottom"/>
            <w:tcBorders>
              <w:bottom w:val="single" w:sz="8" w:color="D9DDE1"/>
            </w:tcBorders>
            <w:gridSpan w:val="3"/>
          </w:tcPr>
          <w:p>
            <w:pPr>
              <w:spacing w:after="0"/>
              <w:rPr>
                <w:sz w:val="3"/>
                <w:szCs w:val="3"/>
                <w:color w:val="auto"/>
              </w:rPr>
            </w:pPr>
          </w:p>
        </w:tc>
        <w:tc>
          <w:tcPr>
            <w:tcW w:w="860" w:type="dxa"/>
            <w:vAlign w:val="bottom"/>
            <w:tcBorders>
              <w:bottom w:val="single" w:sz="8" w:color="D9DDE1"/>
            </w:tcBorders>
          </w:tcPr>
          <w:p>
            <w:pPr>
              <w:spacing w:after="0"/>
              <w:rPr>
                <w:sz w:val="3"/>
                <w:szCs w:val="3"/>
                <w:color w:val="auto"/>
              </w:rPr>
            </w:pPr>
          </w:p>
        </w:tc>
      </w:tr>
      <w:tr>
        <w:trPr>
          <w:trHeight w:val="237"/>
        </w:trPr>
        <w:tc>
          <w:tcPr>
            <w:tcW w:w="2840" w:type="dxa"/>
            <w:vAlign w:val="bottom"/>
            <w:gridSpan w:val="3"/>
          </w:tcPr>
          <w:p>
            <w:pPr>
              <w:ind w:left="60"/>
              <w:spacing w:after="0"/>
              <w:rPr>
                <w:sz w:val="20"/>
                <w:szCs w:val="20"/>
                <w:color w:val="auto"/>
              </w:rPr>
            </w:pPr>
            <w:r>
              <w:rPr>
                <w:rFonts w:ascii="Arial" w:cs="Arial" w:eastAsia="Arial" w:hAnsi="Arial"/>
                <w:sz w:val="18"/>
                <w:szCs w:val="18"/>
                <w:b w:val="1"/>
                <w:bCs w:val="1"/>
                <w:color w:val="auto"/>
              </w:rPr>
              <w:t>LTM Q1’21 (Total):</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$3.04</w:t>
            </w:r>
          </w:p>
        </w:tc>
      </w:tr>
    </w:tbl>
    <w:p>
      <w:pPr>
        <w:spacing w:after="0" w:line="200" w:lineRule="exact"/>
        <w:rPr>
          <w:sz w:val="20"/>
          <w:szCs w:val="20"/>
          <w:color w:val="auto"/>
        </w:rPr>
      </w:pPr>
    </w:p>
    <w:p>
      <w:pPr>
        <w:sectPr>
          <w:pgSz w:w="11900" w:h="16838" w:orient="portrait"/>
          <w:cols w:equalWidth="0" w:num="2">
            <w:col w:w="7200" w:space="340"/>
            <w:col w:w="3700"/>
          </w:cols>
          <w:pgMar w:left="320" w:top="121" w:right="339" w:bottom="1440" w:gutter="0" w:footer="0" w:header="0"/>
          <w:type w:val="continuous"/>
        </w:sectPr>
      </w:pPr>
    </w:p>
    <w:p>
      <w:pPr>
        <w:spacing w:after="0" w:line="299"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252730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PORTFOLIO AND INVESTMENT ACTIVITY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quarter ended March 31, 2021, new investment commitments totaled $145.4 million. This compares to $526.0 million for the quarter ended December 31, 2020.</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quarter ended March 31, 2021, the principal amount of new investments funded was $130.4 million in two new portfolio companies and six existing portfolio companies. For this period, the Company had $85.1 million aggregate principal amount in exits and repayments. For the quarter ended December 31, 2020, the principal amount of new investments funded was $449.8 million in ten new portfolio companies and ten existing portfolio companies. For that period, the Company had $265.7 million aggregate principal amount in exits and repayments.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2021 and December 31, 2020, the Company had investments in 68 and 70 portfolio companies, respectively, with an aggregate fair value of $2,382.7 million and $2,298.9 million, respectively. As of March 31, 2021, the average investment size in each portfolio company was $35.0 million based on fair value.</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March 31, 2021, the Company’s portfolio based on fair value consisted of 94.9% first-lien debt investments, 0.2% second-lien debt investments, 0.6% mezzanine investments, and 4.3% equity and other investments. As of December 31, 2020, the Company’s portfolio based on fair value consisted of 95.6% first-lien debt investments, 0.2% second-lien debt investments, 0.5% mezzanine investments, and 3.7% equity and other investments.</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and December 31, 2020 approximately 95.1% and 95.8% of the portfolio was invested in secured debt, respectively.</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2021, 99.0% of debt investments based on fair value in the portfolio bore interest at floating rates (when including investment specific hedges), with 99.2% of these subject to LIBOR floors. The Company’s credit facilities also bear interest at floating rates. In connection with the Company’s Convertible Notes and other Notes, which bear interest at fixed rates, the Company has entered into fixed-to-floating interest rate swaps in order to align the nature of the interest rates of its liabilities with its investment portfolio.</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2021 and December 31, 2020, the weighted average total yield of debt and income-producing securities at fair value (which includes interest income and amortization of fees and discounts) was 9.8% and 10.0%, respectively, and the weighted average total yield of debt and income-producing securities at amortized cost (which includes interest income and amortization of fees and discounts) was 10.1% and 10.2% for the quarter ended March 31, 2021 and December 31, 2020, respectively.</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0.02% of the portfolio at fair value was on non-accrual status, as compared to 0.9% at December 31, 2020. No new portfolio companies were added to non-accrual during the quarter.</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Calculation includes income earning debt investments only.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FFFFFF"/>
        </w:rPr>
        <w:t>Origination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-170815</wp:posOffset>
            </wp:positionV>
            <wp:extent cx="2348865" cy="248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48865" cy="24828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ind w:left="80"/>
              <w:spacing w:after="0"/>
              <w:rPr>
                <w:sz w:val="20"/>
                <w:szCs w:val="20"/>
                <w:color w:val="auto"/>
              </w:rPr>
            </w:pPr>
            <w:r>
              <w:rPr>
                <w:rFonts w:ascii="Arial" w:cs="Arial" w:eastAsia="Arial" w:hAnsi="Arial"/>
                <w:sz w:val="18"/>
                <w:szCs w:val="18"/>
                <w:b w:val="1"/>
                <w:bCs w:val="1"/>
                <w:color w:val="auto"/>
              </w:rPr>
              <w:t>Commitments:</w:t>
            </w:r>
          </w:p>
        </w:tc>
        <w:tc>
          <w:tcPr>
            <w:tcW w:w="1760" w:type="dxa"/>
            <w:vAlign w:val="bottom"/>
          </w:tcPr>
          <w:p>
            <w:pPr>
              <w:jc w:val="center"/>
              <w:ind w:left="390"/>
              <w:spacing w:after="0"/>
              <w:rPr>
                <w:sz w:val="20"/>
                <w:szCs w:val="20"/>
                <w:color w:val="auto"/>
              </w:rPr>
            </w:pPr>
            <w:r>
              <w:rPr>
                <w:rFonts w:ascii="Arial" w:cs="Arial" w:eastAsia="Arial" w:hAnsi="Arial"/>
                <w:sz w:val="18"/>
                <w:szCs w:val="18"/>
                <w:b w:val="1"/>
                <w:bCs w:val="1"/>
                <w:color w:val="auto"/>
                <w:w w:val="98"/>
              </w:rPr>
              <w:t>$145.4MM</w:t>
            </w:r>
          </w:p>
        </w:tc>
      </w:tr>
      <w:tr>
        <w:trPr>
          <w:trHeight w:val="27"/>
        </w:trPr>
        <w:tc>
          <w:tcPr>
            <w:tcW w:w="1940" w:type="dxa"/>
            <w:vAlign w:val="bottom"/>
            <w:tcBorders>
              <w:bottom w:val="single" w:sz="8" w:color="E7E6E6"/>
            </w:tcBorders>
          </w:tcPr>
          <w:p>
            <w:pPr>
              <w:spacing w:after="0"/>
              <w:rPr>
                <w:sz w:val="2"/>
                <w:szCs w:val="2"/>
                <w:color w:val="auto"/>
              </w:rPr>
            </w:pPr>
          </w:p>
        </w:tc>
        <w:tc>
          <w:tcPr>
            <w:tcW w:w="1760" w:type="dxa"/>
            <w:vAlign w:val="bottom"/>
            <w:tcBorders>
              <w:bottom w:val="single" w:sz="8" w:color="E7E6E6"/>
            </w:tcBorders>
          </w:tcPr>
          <w:p>
            <w:pPr>
              <w:spacing w:after="0"/>
              <w:rPr>
                <w:sz w:val="2"/>
                <w:szCs w:val="2"/>
                <w:color w:val="auto"/>
              </w:rPr>
            </w:pPr>
          </w:p>
        </w:tc>
      </w:tr>
      <w:tr>
        <w:trPr>
          <w:trHeight w:val="237"/>
        </w:trPr>
        <w:tc>
          <w:tcPr>
            <w:tcW w:w="1940" w:type="dxa"/>
            <w:vAlign w:val="bottom"/>
          </w:tcPr>
          <w:p>
            <w:pPr>
              <w:ind w:left="80"/>
              <w:spacing w:after="0"/>
              <w:rPr>
                <w:sz w:val="20"/>
                <w:szCs w:val="20"/>
                <w:color w:val="auto"/>
              </w:rPr>
            </w:pPr>
            <w:r>
              <w:rPr>
                <w:rFonts w:ascii="Arial" w:cs="Arial" w:eastAsia="Arial" w:hAnsi="Arial"/>
                <w:sz w:val="18"/>
                <w:szCs w:val="18"/>
                <w:b w:val="1"/>
                <w:bCs w:val="1"/>
                <w:color w:val="auto"/>
              </w:rPr>
              <w:t>Fundings:</w:t>
            </w:r>
          </w:p>
        </w:tc>
        <w:tc>
          <w:tcPr>
            <w:tcW w:w="1760" w:type="dxa"/>
            <w:vAlign w:val="bottom"/>
          </w:tcPr>
          <w:p>
            <w:pPr>
              <w:jc w:val="center"/>
              <w:ind w:left="390"/>
              <w:spacing w:after="0"/>
              <w:rPr>
                <w:sz w:val="20"/>
                <w:szCs w:val="20"/>
                <w:color w:val="auto"/>
              </w:rPr>
            </w:pPr>
            <w:r>
              <w:rPr>
                <w:rFonts w:ascii="Arial" w:cs="Arial" w:eastAsia="Arial" w:hAnsi="Arial"/>
                <w:sz w:val="18"/>
                <w:szCs w:val="18"/>
                <w:b w:val="1"/>
                <w:bCs w:val="1"/>
                <w:color w:val="auto"/>
                <w:w w:val="98"/>
              </w:rPr>
              <w:t>$130.4MM</w:t>
            </w:r>
          </w:p>
        </w:tc>
      </w:tr>
      <w:tr>
        <w:trPr>
          <w:trHeight w:val="27"/>
        </w:trPr>
        <w:tc>
          <w:tcPr>
            <w:tcW w:w="1940" w:type="dxa"/>
            <w:vAlign w:val="bottom"/>
            <w:tcBorders>
              <w:bottom w:val="single" w:sz="8" w:color="E7E6E6"/>
            </w:tcBorders>
          </w:tcPr>
          <w:p>
            <w:pPr>
              <w:spacing w:after="0"/>
              <w:rPr>
                <w:sz w:val="2"/>
                <w:szCs w:val="2"/>
                <w:color w:val="auto"/>
              </w:rPr>
            </w:pPr>
          </w:p>
        </w:tc>
        <w:tc>
          <w:tcPr>
            <w:tcW w:w="1760" w:type="dxa"/>
            <w:vAlign w:val="bottom"/>
            <w:tcBorders>
              <w:bottom w:val="single" w:sz="8" w:color="E7E6E6"/>
            </w:tcBorders>
          </w:tcPr>
          <w:p>
            <w:pPr>
              <w:spacing w:after="0"/>
              <w:rPr>
                <w:sz w:val="2"/>
                <w:szCs w:val="2"/>
                <w:color w:val="auto"/>
              </w:rPr>
            </w:pPr>
          </w:p>
        </w:tc>
      </w:tr>
      <w:tr>
        <w:trPr>
          <w:trHeight w:val="237"/>
        </w:trPr>
        <w:tc>
          <w:tcPr>
            <w:tcW w:w="1940" w:type="dxa"/>
            <w:vAlign w:val="bottom"/>
          </w:tcPr>
          <w:p>
            <w:pPr>
              <w:ind w:left="80"/>
              <w:spacing w:after="0"/>
              <w:rPr>
                <w:sz w:val="20"/>
                <w:szCs w:val="20"/>
                <w:color w:val="auto"/>
              </w:rPr>
            </w:pPr>
            <w:r>
              <w:rPr>
                <w:rFonts w:ascii="Arial" w:cs="Arial" w:eastAsia="Arial" w:hAnsi="Arial"/>
                <w:sz w:val="18"/>
                <w:szCs w:val="18"/>
                <w:b w:val="1"/>
                <w:bCs w:val="1"/>
                <w:color w:val="auto"/>
              </w:rPr>
              <w:t>Net Fundings:</w:t>
            </w:r>
          </w:p>
        </w:tc>
        <w:tc>
          <w:tcPr>
            <w:tcW w:w="1760" w:type="dxa"/>
            <w:vAlign w:val="bottom"/>
          </w:tcPr>
          <w:p>
            <w:pPr>
              <w:jc w:val="center"/>
              <w:ind w:left="410"/>
              <w:spacing w:after="0"/>
              <w:rPr>
                <w:sz w:val="20"/>
                <w:szCs w:val="20"/>
                <w:color w:val="auto"/>
              </w:rPr>
            </w:pPr>
            <w:r>
              <w:rPr>
                <w:rFonts w:ascii="Arial" w:cs="Arial" w:eastAsia="Arial" w:hAnsi="Arial"/>
                <w:sz w:val="18"/>
                <w:szCs w:val="18"/>
                <w:b w:val="1"/>
                <w:bCs w:val="1"/>
                <w:color w:val="auto"/>
                <w:w w:val="98"/>
              </w:rPr>
              <w:t>$45.3MM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325755</wp:posOffset>
            </wp:positionV>
            <wp:extent cx="2348865" cy="248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Average Investment Size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$35.0MM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(1.5% of the portfolio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331470</wp:posOffset>
            </wp:positionV>
            <wp:extent cx="2348865" cy="248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First Lien Debt Investments (% FV)</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94.9%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231775</wp:posOffset>
            </wp:positionV>
            <wp:extent cx="2348865" cy="248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Secured Debt Investments (% FV)</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386080</wp:posOffset>
            </wp:positionV>
            <wp:extent cx="2348865"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48865" cy="30861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Floating Rate Debt Investments</w:t>
      </w:r>
      <w:r>
        <w:rPr>
          <w:rFonts w:ascii="Arial" w:cs="Arial" w:eastAsia="Arial" w:hAnsi="Arial"/>
          <w:sz w:val="15"/>
          <w:szCs w:val="15"/>
          <w:b w:val="1"/>
          <w:bCs w:val="1"/>
          <w:color w:val="FFFFFF"/>
        </w:rPr>
        <w:t>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 FV)</w:t>
      </w:r>
    </w:p>
    <w:p>
      <w:pPr>
        <w:spacing w:after="0" w:line="99"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231775</wp:posOffset>
            </wp:positionV>
            <wp:extent cx="2348865"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48865" cy="308610"/>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Weighted Average Yield of Debt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Incoming-Producing Securities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ind w:left="80"/>
              <w:spacing w:after="0"/>
              <w:rPr>
                <w:sz w:val="20"/>
                <w:szCs w:val="20"/>
                <w:color w:val="auto"/>
              </w:rPr>
            </w:pPr>
            <w:r>
              <w:rPr>
                <w:rFonts w:ascii="Arial" w:cs="Arial" w:eastAsia="Arial" w:hAnsi="Arial"/>
                <w:sz w:val="18"/>
                <w:szCs w:val="18"/>
                <w:b w:val="1"/>
                <w:bCs w:val="1"/>
                <w:color w:val="auto"/>
              </w:rPr>
              <w:t>Yield at Fair Value:</w:t>
            </w:r>
          </w:p>
        </w:tc>
        <w:tc>
          <w:tcPr>
            <w:tcW w:w="1200" w:type="dxa"/>
            <w:vAlign w:val="bottom"/>
          </w:tcPr>
          <w:p>
            <w:pPr>
              <w:ind w:left="500"/>
              <w:spacing w:after="0"/>
              <w:rPr>
                <w:sz w:val="20"/>
                <w:szCs w:val="20"/>
                <w:color w:val="auto"/>
              </w:rPr>
            </w:pPr>
            <w:r>
              <w:rPr>
                <w:rFonts w:ascii="Arial" w:cs="Arial" w:eastAsia="Arial" w:hAnsi="Arial"/>
                <w:sz w:val="18"/>
                <w:szCs w:val="18"/>
                <w:b w:val="1"/>
                <w:bCs w:val="1"/>
                <w:color w:val="auto"/>
              </w:rPr>
              <w:t>9.8%</w:t>
            </w:r>
          </w:p>
        </w:tc>
      </w:tr>
      <w:tr>
        <w:trPr>
          <w:trHeight w:val="81"/>
        </w:trPr>
        <w:tc>
          <w:tcPr>
            <w:tcW w:w="2500" w:type="dxa"/>
            <w:vAlign w:val="bottom"/>
            <w:tcBorders>
              <w:bottom w:val="single" w:sz="8" w:color="D9DDE1"/>
            </w:tcBorders>
          </w:tcPr>
          <w:p>
            <w:pPr>
              <w:spacing w:after="0"/>
              <w:rPr>
                <w:sz w:val="7"/>
                <w:szCs w:val="7"/>
                <w:color w:val="auto"/>
              </w:rPr>
            </w:pPr>
          </w:p>
        </w:tc>
        <w:tc>
          <w:tcPr>
            <w:tcW w:w="1200" w:type="dxa"/>
            <w:vAlign w:val="bottom"/>
            <w:tcBorders>
              <w:bottom w:val="single" w:sz="8" w:color="D9DDE1"/>
            </w:tcBorders>
          </w:tcPr>
          <w:p>
            <w:pPr>
              <w:spacing w:after="0"/>
              <w:rPr>
                <w:sz w:val="7"/>
                <w:szCs w:val="7"/>
                <w:color w:val="auto"/>
              </w:rPr>
            </w:pPr>
          </w:p>
        </w:tc>
      </w:tr>
      <w:tr>
        <w:trPr>
          <w:trHeight w:val="290"/>
        </w:trPr>
        <w:tc>
          <w:tcPr>
            <w:tcW w:w="2500" w:type="dxa"/>
            <w:vAlign w:val="bottom"/>
          </w:tcPr>
          <w:p>
            <w:pPr>
              <w:ind w:left="80"/>
              <w:spacing w:after="0"/>
              <w:rPr>
                <w:sz w:val="20"/>
                <w:szCs w:val="20"/>
                <w:color w:val="auto"/>
              </w:rPr>
            </w:pPr>
            <w:r>
              <w:rPr>
                <w:rFonts w:ascii="Arial" w:cs="Arial" w:eastAsia="Arial" w:hAnsi="Arial"/>
                <w:sz w:val="18"/>
                <w:szCs w:val="18"/>
                <w:b w:val="1"/>
                <w:bCs w:val="1"/>
                <w:color w:val="auto"/>
              </w:rPr>
              <w:t>Yield at Amortized Cost:</w:t>
            </w:r>
          </w:p>
        </w:tc>
        <w:tc>
          <w:tcPr>
            <w:tcW w:w="1200" w:type="dxa"/>
            <w:vAlign w:val="bottom"/>
          </w:tcPr>
          <w:p>
            <w:pPr>
              <w:ind w:left="500"/>
              <w:spacing w:after="0"/>
              <w:rPr>
                <w:sz w:val="20"/>
                <w:szCs w:val="20"/>
                <w:color w:val="auto"/>
              </w:rPr>
            </w:pPr>
            <w:r>
              <w:rPr>
                <w:rFonts w:ascii="Arial" w:cs="Arial" w:eastAsia="Arial" w:hAnsi="Arial"/>
                <w:sz w:val="18"/>
                <w:szCs w:val="18"/>
                <w:b w:val="1"/>
                <w:bCs w:val="1"/>
                <w:color w:val="auto"/>
              </w:rPr>
              <w:t>10.1%</w:t>
            </w:r>
          </w:p>
        </w:tc>
      </w:tr>
    </w:tbl>
    <w:p>
      <w:pPr>
        <w:spacing w:after="0" w:line="1800" w:lineRule="exact"/>
        <w:rPr>
          <w:sz w:val="20"/>
          <w:szCs w:val="20"/>
          <w:color w:val="auto"/>
        </w:rPr>
      </w:pPr>
    </w:p>
    <w:p>
      <w:pPr>
        <w:sectPr>
          <w:pgSz w:w="11900" w:h="16838" w:orient="portrait"/>
          <w:cols w:equalWidth="0" w:num="2">
            <w:col w:w="7200" w:space="320"/>
            <w:col w:w="3720"/>
          </w:cols>
          <w:pgMar w:left="320" w:top="14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252730</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RESULTS OF OPERATIONS FOR THE THREE MONTHS ENDED MARCH 31, 2021</w:t>
      </w:r>
    </w:p>
    <w:p>
      <w:pPr>
        <w:sectPr>
          <w:pgSz w:w="11900" w:h="16838" w:orient="portrait"/>
          <w:cols w:equalWidth="0" w:num="1">
            <w:col w:w="11240"/>
          </w:cols>
          <w:pgMar w:left="320" w:top="1435"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Investment Income</w:t>
      </w:r>
    </w:p>
    <w:p>
      <w:pPr>
        <w:spacing w:after="0" w:line="3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March 31, 2021 and 2020, investment income remained relatively flat at $66.2 million and $66.3 million,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Expenses</w:t>
      </w:r>
    </w:p>
    <w:p>
      <w:pPr>
        <w:spacing w:after="0" w:line="3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expenses totaled $33.4 million and $31.6 million for the three months ended March 31, 2021 and 2020, respectively. The increase in expenses was primarily driven by accrued capital gains incentive fees related to cumulative unrealized capital gains in excess of cumulative net realized capital gains less cumulative unrealized losses and capital gains incentive fees paid inception-to-date. This was partially offset by lower interest expense resulting from a decrease in the average interest rate on debt outstanding.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Capital Resources</w:t>
      </w:r>
    </w:p>
    <w:p>
      <w:pPr>
        <w:spacing w:after="0" w:line="35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March 31, 2021, the Company had $20.0 million in cash and cash equivalents (including $16.3 million of restricted cash), total principal value of debt outstanding of $1,095.7 million, and $1,329.6 million of undrawn capacity on its revolving credit facility, subject to borrowing base and other limitations. The Company’s weighted average interest rate on debt outstanding was 2.3% for both the three-month periods ended March 31, 2021 and December 31, 2020. At March 31, 2021, the Company’s debt to equity ratio was 0.92x, compared to 0.95x at December 31, 2020. Average debt to equity was 0.93x for the three-month period ended March 31, 2021, compared to 0.87x for the three-month period ended December 31, 2020.</w:t>
      </w:r>
    </w:p>
    <w:p>
      <w:pPr>
        <w:spacing w:after="0" w:line="160"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Pro-forma for the payment of the special dividend with record date in Q1 2021, quarter end leverage is 1.00x</w:t>
      </w:r>
    </w:p>
    <w:p>
      <w:pPr>
        <w:jc w:val="both"/>
        <w:ind w:left="260" w:right="20" w:hanging="252"/>
        <w:spacing w:after="0" w:line="232" w:lineRule="auto"/>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Daily average debt outstanding during the quarter divided by the daily average net assets during the quarter. Daily average net assets is calculated by starting with the prior quarter end net asset value and adjusting for capital activity during the quarter (adding common stock offerings / DRIP contributions).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-170815</wp:posOffset>
            </wp:positionV>
            <wp:extent cx="2348865" cy="2482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48865" cy="248285"/>
                    </a:xfrm>
                    <a:prstGeom prst="rect">
                      <a:avLst/>
                    </a:prstGeom>
                    <a:noFill/>
                  </pic:spPr>
                </pic:pic>
              </a:graphicData>
            </a:graphic>
          </wp:anchor>
        </w:drawing>
      </w:r>
    </w:p>
    <w:p>
      <w:pPr>
        <w:spacing w:after="0" w:line="205"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$66.2MM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565785</wp:posOffset>
            </wp:positionV>
            <wp:extent cx="2348865" cy="248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Net Expenses</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$33.4MM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831850</wp:posOffset>
            </wp:positionV>
            <wp:extent cx="2348865" cy="248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Total Principal Debt Outstanding</w:t>
      </w:r>
    </w:p>
    <w:p>
      <w:pPr>
        <w:spacing w:after="0" w:line="185"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$1,095.7MM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231775</wp:posOffset>
            </wp:positionV>
            <wp:extent cx="2348865" cy="248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FFFFFF"/>
        </w:rPr>
        <w:t>Debt-to-Equity Ratio</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2021 Quarter End</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1240" w:type="dxa"/>
            <w:vAlign w:val="bottom"/>
          </w:tcPr>
          <w:p>
            <w:pPr>
              <w:ind w:left="580"/>
              <w:spacing w:after="0"/>
              <w:rPr>
                <w:sz w:val="20"/>
                <w:szCs w:val="20"/>
                <w:color w:val="auto"/>
              </w:rPr>
            </w:pPr>
            <w:r>
              <w:rPr>
                <w:rFonts w:ascii="Arial" w:cs="Arial" w:eastAsia="Arial" w:hAnsi="Arial"/>
                <w:sz w:val="18"/>
                <w:szCs w:val="18"/>
                <w:b w:val="1"/>
                <w:bCs w:val="1"/>
                <w:color w:val="auto"/>
              </w:rPr>
              <w:t>0.92x</w:t>
            </w:r>
          </w:p>
        </w:tc>
      </w:tr>
      <w:tr>
        <w:trPr>
          <w:trHeight w:val="40"/>
        </w:trPr>
        <w:tc>
          <w:tcPr>
            <w:tcW w:w="320" w:type="dxa"/>
            <w:vAlign w:val="bottom"/>
            <w:tcBorders>
              <w:bottom w:val="single" w:sz="8" w:color="D9DDE1"/>
            </w:tcBorders>
          </w:tcPr>
          <w:p>
            <w:pPr>
              <w:spacing w:after="0"/>
              <w:rPr>
                <w:sz w:val="3"/>
                <w:szCs w:val="3"/>
                <w:color w:val="auto"/>
              </w:rPr>
            </w:pPr>
          </w:p>
        </w:tc>
        <w:tc>
          <w:tcPr>
            <w:tcW w:w="2140" w:type="dxa"/>
            <w:vAlign w:val="bottom"/>
            <w:tcBorders>
              <w:bottom w:val="single" w:sz="8" w:color="D9DDE1"/>
            </w:tcBorders>
          </w:tcPr>
          <w:p>
            <w:pPr>
              <w:spacing w:after="0"/>
              <w:rPr>
                <w:sz w:val="3"/>
                <w:szCs w:val="3"/>
                <w:color w:val="auto"/>
              </w:rPr>
            </w:pPr>
          </w:p>
        </w:tc>
        <w:tc>
          <w:tcPr>
            <w:tcW w:w="1240" w:type="dxa"/>
            <w:vAlign w:val="bottom"/>
            <w:tcBorders>
              <w:bottom w:val="single" w:sz="8" w:color="D9DDE1"/>
            </w:tcBorders>
          </w:tcPr>
          <w:p>
            <w:pPr>
              <w:spacing w:after="0"/>
              <w:rPr>
                <w:sz w:val="3"/>
                <w:szCs w:val="3"/>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2021 Average</w:t>
            </w:r>
            <w:r>
              <w:rPr>
                <w:rFonts w:ascii="Arial" w:cs="Arial" w:eastAsia="Arial" w:hAnsi="Arial"/>
                <w:sz w:val="15"/>
                <w:szCs w:val="15"/>
                <w:b w:val="1"/>
                <w:bCs w:val="1"/>
                <w:color w:val="auto"/>
              </w:rPr>
              <w:t>2</w:t>
            </w:r>
            <w:r>
              <w:rPr>
                <w:rFonts w:ascii="Arial" w:cs="Arial" w:eastAsia="Arial" w:hAnsi="Arial"/>
                <w:sz w:val="18"/>
                <w:szCs w:val="18"/>
                <w:b w:val="1"/>
                <w:bCs w:val="1"/>
                <w:color w:val="auto"/>
              </w:rPr>
              <w:t>:</w:t>
            </w:r>
          </w:p>
        </w:tc>
        <w:tc>
          <w:tcPr>
            <w:tcW w:w="1240" w:type="dxa"/>
            <w:vAlign w:val="bottom"/>
          </w:tcPr>
          <w:p>
            <w:pPr>
              <w:ind w:left="580"/>
              <w:spacing w:after="0"/>
              <w:rPr>
                <w:sz w:val="20"/>
                <w:szCs w:val="20"/>
                <w:color w:val="auto"/>
              </w:rPr>
            </w:pPr>
            <w:r>
              <w:rPr>
                <w:rFonts w:ascii="Arial" w:cs="Arial" w:eastAsia="Arial" w:hAnsi="Arial"/>
                <w:sz w:val="18"/>
                <w:szCs w:val="18"/>
                <w:b w:val="1"/>
                <w:bCs w:val="1"/>
                <w:color w:val="auto"/>
              </w:rPr>
              <w:t>0.93x</w:t>
            </w:r>
          </w:p>
        </w:tc>
      </w:tr>
    </w:tbl>
    <w:p>
      <w:pPr>
        <w:spacing w:after="0" w:line="1227" w:lineRule="exact"/>
        <w:rPr>
          <w:sz w:val="20"/>
          <w:szCs w:val="20"/>
          <w:color w:val="auto"/>
        </w:rPr>
      </w:pPr>
    </w:p>
    <w:p>
      <w:pPr>
        <w:sectPr>
          <w:pgSz w:w="11900" w:h="16838" w:orient="portrait"/>
          <w:cols w:equalWidth="0" w:num="2">
            <w:col w:w="7200" w:space="340"/>
            <w:col w:w="3700"/>
          </w:cols>
          <w:pgMar w:left="320" w:top="14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252730</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LIQUIDITY AND FUNDING PROFILE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Company’s liquidity at March 31, 2021 and changes to unfunded commitments since December 31,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40" w:type="dxa"/>
            <w:vAlign w:val="bottom"/>
            <w:shd w:val="clear" w:color="auto" w:fill="0F2F50"/>
          </w:tcPr>
          <w:p>
            <w:pPr>
              <w:ind w:left="1820"/>
              <w:spacing w:after="0"/>
              <w:rPr>
                <w:sz w:val="20"/>
                <w:szCs w:val="20"/>
                <w:color w:val="auto"/>
              </w:rPr>
            </w:pPr>
            <w:r>
              <w:rPr>
                <w:rFonts w:ascii="Arial" w:cs="Arial" w:eastAsia="Arial" w:hAnsi="Arial"/>
                <w:sz w:val="18"/>
                <w:szCs w:val="18"/>
                <w:b w:val="1"/>
                <w:bCs w:val="1"/>
                <w:color w:val="FFFFFF"/>
              </w:rPr>
              <w:t>Revolving Credit Facility</w:t>
            </w:r>
          </w:p>
        </w:tc>
        <w:tc>
          <w:tcPr>
            <w:tcW w:w="1120" w:type="dxa"/>
            <w:vAlign w:val="bottom"/>
            <w:shd w:val="clear" w:color="auto" w:fill="0F2F50"/>
          </w:tcPr>
          <w:p>
            <w:pPr>
              <w:spacing w:after="0"/>
              <w:rPr>
                <w:sz w:val="23"/>
                <w:szCs w:val="23"/>
                <w:color w:val="auto"/>
              </w:rPr>
            </w:pPr>
          </w:p>
        </w:tc>
        <w:tc>
          <w:tcPr>
            <w:tcW w:w="220" w:type="dxa"/>
            <w:vAlign w:val="bottom"/>
          </w:tcPr>
          <w:p>
            <w:pPr>
              <w:spacing w:after="0"/>
              <w:rPr>
                <w:sz w:val="23"/>
                <w:szCs w:val="23"/>
                <w:color w:val="auto"/>
              </w:rPr>
            </w:pPr>
          </w:p>
        </w:tc>
        <w:tc>
          <w:tcPr>
            <w:tcW w:w="4560" w:type="dxa"/>
            <w:vAlign w:val="bottom"/>
            <w:shd w:val="clear" w:color="auto" w:fill="0F2F50"/>
          </w:tcPr>
          <w:p>
            <w:pPr>
              <w:ind w:left="1480"/>
              <w:spacing w:after="0"/>
              <w:rPr>
                <w:sz w:val="20"/>
                <w:szCs w:val="20"/>
                <w:color w:val="auto"/>
              </w:rPr>
            </w:pPr>
            <w:r>
              <w:rPr>
                <w:rFonts w:ascii="Arial" w:cs="Arial" w:eastAsia="Arial" w:hAnsi="Arial"/>
                <w:sz w:val="18"/>
                <w:szCs w:val="18"/>
                <w:b w:val="1"/>
                <w:bCs w:val="1"/>
                <w:color w:val="FFFFFF"/>
              </w:rPr>
              <w:t>Unfunded Commitment Activity</w:t>
            </w:r>
          </w:p>
        </w:tc>
        <w:tc>
          <w:tcPr>
            <w:tcW w:w="900" w:type="dxa"/>
            <w:vAlign w:val="bottom"/>
            <w:shd w:val="clear" w:color="auto" w:fill="0F2F50"/>
          </w:tcPr>
          <w:p>
            <w:pPr>
              <w:spacing w:after="0"/>
              <w:rPr>
                <w:sz w:val="23"/>
                <w:szCs w:val="23"/>
                <w:color w:val="auto"/>
              </w:rPr>
            </w:pPr>
          </w:p>
        </w:tc>
      </w:tr>
      <w:tr>
        <w:trPr>
          <w:trHeight w:val="203"/>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Revolver Capacity</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$1,485</w:t>
            </w:r>
          </w:p>
        </w:tc>
        <w:tc>
          <w:tcPr>
            <w:tcW w:w="2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b w:val="1"/>
                <w:bCs w:val="1"/>
                <w:color w:val="auto"/>
              </w:rPr>
              <w:t>Unfunded Commitments (See Note 8 in 12/31/20 10-K)</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$193</w:t>
            </w:r>
          </w:p>
        </w:tc>
      </w:tr>
    </w:tbl>
    <w:p>
      <w:pPr>
        <w:spacing w:after="0" w:line="1" w:lineRule="exact"/>
        <w:rPr>
          <w:sz w:val="20"/>
          <w:szCs w:val="20"/>
          <w:color w:val="auto"/>
        </w:rPr>
      </w:pPr>
    </w:p>
    <w:p>
      <w:pPr>
        <w:sectPr>
          <w:pgSz w:w="11900" w:h="16838" w:orient="portrait"/>
          <w:cols w:equalWidth="0" w:num="1">
            <w:col w:w="11240"/>
          </w:cols>
          <w:pgMar w:left="320" w:top="1435"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4500" w:type="dxa"/>
            <w:vAlign w:val="bottom"/>
            <w:tcBorders>
              <w:top w:val="single" w:sz="8" w:color="ECEEF0"/>
              <w:bottom w:val="single" w:sz="8" w:color="ECEEF0"/>
            </w:tcBorders>
          </w:tcPr>
          <w:p>
            <w:pPr>
              <w:ind w:left="20"/>
              <w:spacing w:after="0"/>
              <w:rPr>
                <w:sz w:val="20"/>
                <w:szCs w:val="20"/>
                <w:color w:val="auto"/>
              </w:rPr>
            </w:pPr>
            <w:r>
              <w:rPr>
                <w:rFonts w:ascii="Arial" w:cs="Arial" w:eastAsia="Arial" w:hAnsi="Arial"/>
                <w:sz w:val="16"/>
                <w:szCs w:val="16"/>
                <w:color w:val="auto"/>
              </w:rPr>
              <w:t>Drawn on Revolver</w:t>
            </w:r>
          </w:p>
        </w:tc>
        <w:tc>
          <w:tcPr>
            <w:tcW w:w="1060" w:type="dxa"/>
            <w:vAlign w:val="bottom"/>
            <w:tcBorders>
              <w:top w:val="single" w:sz="8" w:color="ECEEF0"/>
              <w:bottom w:val="single" w:sz="8" w:color="ECEEF0"/>
            </w:tcBorders>
          </w:tcPr>
          <w:p>
            <w:pPr>
              <w:jc w:val="right"/>
              <w:spacing w:after="0"/>
              <w:rPr>
                <w:sz w:val="20"/>
                <w:szCs w:val="20"/>
                <w:color w:val="auto"/>
              </w:rPr>
            </w:pPr>
            <w:r>
              <w:rPr>
                <w:rFonts w:ascii="Arial" w:cs="Arial" w:eastAsia="Arial" w:hAnsi="Arial"/>
                <w:sz w:val="16"/>
                <w:szCs w:val="16"/>
                <w:color w:val="auto"/>
              </w:rPr>
              <w:t>($155)</w:t>
            </w:r>
          </w:p>
        </w:tc>
      </w:tr>
      <w:tr>
        <w:trPr>
          <w:trHeight w:val="196"/>
        </w:trPr>
        <w:tc>
          <w:tcPr>
            <w:tcW w:w="4500" w:type="dxa"/>
            <w:vAlign w:val="bottom"/>
            <w:tcBorders>
              <w:bottom w:val="single" w:sz="8" w:color="ECEEF0"/>
            </w:tcBorders>
          </w:tcPr>
          <w:p>
            <w:pPr>
              <w:ind w:left="20"/>
              <w:spacing w:after="0"/>
              <w:rPr>
                <w:sz w:val="20"/>
                <w:szCs w:val="20"/>
                <w:color w:val="auto"/>
              </w:rPr>
            </w:pPr>
            <w:r>
              <w:rPr>
                <w:rFonts w:ascii="Arial" w:cs="Arial" w:eastAsia="Arial" w:hAnsi="Arial"/>
                <w:sz w:val="16"/>
                <w:szCs w:val="16"/>
                <w:color w:val="auto"/>
              </w:rPr>
              <w:t>Unrestricted Cash Balance</w:t>
            </w:r>
          </w:p>
        </w:tc>
        <w:tc>
          <w:tcPr>
            <w:tcW w:w="106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$4</w:t>
            </w:r>
          </w:p>
        </w:tc>
      </w:tr>
      <w:tr>
        <w:trPr>
          <w:trHeight w:val="196"/>
        </w:trPr>
        <w:tc>
          <w:tcPr>
            <w:tcW w:w="4500" w:type="dxa"/>
            <w:vAlign w:val="bottom"/>
            <w:tcBorders>
              <w:bottom w:val="single" w:sz="8" w:color="ECEEF0"/>
            </w:tcBorders>
          </w:tcPr>
          <w:p>
            <w:pPr>
              <w:ind w:left="20"/>
              <w:spacing w:after="0"/>
              <w:rPr>
                <w:sz w:val="20"/>
                <w:szCs w:val="20"/>
                <w:color w:val="auto"/>
              </w:rPr>
            </w:pPr>
            <w:r>
              <w:rPr>
                <w:rFonts w:ascii="Arial" w:cs="Arial" w:eastAsia="Arial" w:hAnsi="Arial"/>
                <w:sz w:val="16"/>
                <w:szCs w:val="16"/>
                <w:b w:val="1"/>
                <w:bCs w:val="1"/>
                <w:color w:val="auto"/>
              </w:rPr>
              <w:t>Total Liquidity (Pre-Unfunded Commitments)</w:t>
            </w:r>
          </w:p>
        </w:tc>
        <w:tc>
          <w:tcPr>
            <w:tcW w:w="106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$1,334</w:t>
            </w:r>
          </w:p>
        </w:tc>
      </w:tr>
      <w:tr>
        <w:trPr>
          <w:trHeight w:val="196"/>
        </w:trPr>
        <w:tc>
          <w:tcPr>
            <w:tcW w:w="4500" w:type="dxa"/>
            <w:vAlign w:val="bottom"/>
            <w:tcBorders>
              <w:bottom w:val="single" w:sz="8" w:color="ECEEF0"/>
            </w:tcBorders>
          </w:tcPr>
          <w:p>
            <w:pPr>
              <w:ind w:left="20"/>
              <w:spacing w:after="0" w:line="195" w:lineRule="exact"/>
              <w:rPr>
                <w:sz w:val="20"/>
                <w:szCs w:val="20"/>
                <w:color w:val="auto"/>
              </w:rPr>
            </w:pPr>
            <w:r>
              <w:rPr>
                <w:rFonts w:ascii="Arial" w:cs="Arial" w:eastAsia="Arial" w:hAnsi="Arial"/>
                <w:sz w:val="14"/>
                <w:szCs w:val="14"/>
                <w:color w:val="auto"/>
              </w:rPr>
              <w:t>Available Unfunded Commitments</w:t>
            </w:r>
            <w:r>
              <w:rPr>
                <w:rFonts w:ascii="Arial" w:cs="Arial" w:eastAsia="Arial" w:hAnsi="Arial"/>
                <w:sz w:val="22"/>
                <w:szCs w:val="22"/>
                <w:color w:val="auto"/>
                <w:vertAlign w:val="superscript"/>
              </w:rPr>
              <w:t>1</w:t>
            </w:r>
          </w:p>
        </w:tc>
        <w:tc>
          <w:tcPr>
            <w:tcW w:w="106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($93)</w:t>
            </w:r>
          </w:p>
        </w:tc>
      </w:tr>
      <w:tr>
        <w:trPr>
          <w:trHeight w:val="196"/>
        </w:trPr>
        <w:tc>
          <w:tcPr>
            <w:tcW w:w="4500" w:type="dxa"/>
            <w:vAlign w:val="bottom"/>
            <w:tcBorders>
              <w:bottom w:val="single" w:sz="8" w:color="ECEEF0"/>
            </w:tcBorders>
          </w:tcPr>
          <w:p>
            <w:pPr>
              <w:ind w:left="20"/>
              <w:spacing w:after="0"/>
              <w:rPr>
                <w:sz w:val="20"/>
                <w:szCs w:val="20"/>
                <w:color w:val="auto"/>
              </w:rPr>
            </w:pPr>
            <w:r>
              <w:rPr>
                <w:rFonts w:ascii="Arial" w:cs="Arial" w:eastAsia="Arial" w:hAnsi="Arial"/>
                <w:sz w:val="16"/>
                <w:szCs w:val="16"/>
                <w:b w:val="1"/>
                <w:bCs w:val="1"/>
                <w:color w:val="auto"/>
              </w:rPr>
              <w:t>Total Liquidity (Burdened for Unfunded Commitments)</w:t>
            </w:r>
          </w:p>
        </w:tc>
        <w:tc>
          <w:tcPr>
            <w:tcW w:w="106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$1,241</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3960" w:type="dxa"/>
            <w:vAlign w:val="bottom"/>
            <w:tcBorders>
              <w:top w:val="single" w:sz="8" w:color="ECEEF0"/>
            </w:tcBorders>
          </w:tcPr>
          <w:p>
            <w:pPr>
              <w:spacing w:after="0"/>
              <w:rPr>
                <w:sz w:val="20"/>
                <w:szCs w:val="20"/>
                <w:color w:val="auto"/>
              </w:rPr>
            </w:pPr>
            <w:r>
              <w:rPr>
                <w:rFonts w:ascii="Arial" w:cs="Arial" w:eastAsia="Arial" w:hAnsi="Arial"/>
                <w:sz w:val="16"/>
                <w:szCs w:val="16"/>
                <w:color w:val="auto"/>
              </w:rPr>
              <w:t>Extinguished Unfunded Commitments</w:t>
            </w:r>
          </w:p>
        </w:tc>
        <w:tc>
          <w:tcPr>
            <w:tcW w:w="1520" w:type="dxa"/>
            <w:vAlign w:val="bottom"/>
            <w:tcBorders>
              <w:top w:val="single" w:sz="8" w:color="ECEEF0"/>
            </w:tcBorders>
            <w:gridSpan w:val="2"/>
          </w:tcPr>
          <w:p>
            <w:pPr>
              <w:jc w:val="right"/>
              <w:ind w:right="20"/>
              <w:spacing w:after="0"/>
              <w:rPr>
                <w:sz w:val="20"/>
                <w:szCs w:val="20"/>
                <w:color w:val="auto"/>
              </w:rPr>
            </w:pPr>
            <w:r>
              <w:rPr>
                <w:rFonts w:ascii="Arial" w:cs="Arial" w:eastAsia="Arial" w:hAnsi="Arial"/>
                <w:sz w:val="16"/>
                <w:szCs w:val="16"/>
                <w:color w:val="auto"/>
              </w:rPr>
              <w:t>($21)</w:t>
            </w:r>
          </w:p>
        </w:tc>
      </w:tr>
      <w:tr>
        <w:trPr>
          <w:trHeight w:val="196"/>
        </w:trPr>
        <w:tc>
          <w:tcPr>
            <w:tcW w:w="3960" w:type="dxa"/>
            <w:vAlign w:val="bottom"/>
            <w:tcBorders>
              <w:top w:val="single" w:sz="8" w:color="ECEEF0"/>
              <w:bottom w:val="single" w:sz="8" w:color="ECEEF0"/>
            </w:tcBorders>
          </w:tcPr>
          <w:p>
            <w:pPr>
              <w:spacing w:after="0"/>
              <w:rPr>
                <w:sz w:val="20"/>
                <w:szCs w:val="20"/>
                <w:color w:val="auto"/>
              </w:rPr>
            </w:pPr>
            <w:r>
              <w:rPr>
                <w:rFonts w:ascii="Arial" w:cs="Arial" w:eastAsia="Arial" w:hAnsi="Arial"/>
                <w:sz w:val="16"/>
                <w:szCs w:val="16"/>
                <w:color w:val="auto"/>
              </w:rPr>
              <w:t>New Unfunded Commitments</w:t>
            </w:r>
          </w:p>
        </w:tc>
        <w:tc>
          <w:tcPr>
            <w:tcW w:w="1500" w:type="dxa"/>
            <w:vAlign w:val="bottom"/>
            <w:tcBorders>
              <w:top w:val="single" w:sz="8" w:color="ECEEF0"/>
              <w:bottom w:val="single" w:sz="8" w:color="ECEEF0"/>
            </w:tcBorders>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7"/>
                <w:szCs w:val="17"/>
                <w:color w:val="auto"/>
              </w:rPr>
            </w:pPr>
          </w:p>
        </w:tc>
      </w:tr>
      <w:tr>
        <w:trPr>
          <w:trHeight w:val="196"/>
        </w:trPr>
        <w:tc>
          <w:tcPr>
            <w:tcW w:w="3960" w:type="dxa"/>
            <w:vAlign w:val="bottom"/>
            <w:tcBorders>
              <w:bottom w:val="single" w:sz="8" w:color="ECEEF0"/>
            </w:tcBorders>
          </w:tcPr>
          <w:p>
            <w:pPr>
              <w:spacing w:after="0"/>
              <w:rPr>
                <w:sz w:val="20"/>
                <w:szCs w:val="20"/>
                <w:color w:val="auto"/>
              </w:rPr>
            </w:pPr>
            <w:r>
              <w:rPr>
                <w:rFonts w:ascii="Arial" w:cs="Arial" w:eastAsia="Arial" w:hAnsi="Arial"/>
                <w:sz w:val="16"/>
                <w:szCs w:val="16"/>
                <w:color w:val="auto"/>
              </w:rPr>
              <w:t>Net Drawdown of Unfunded Commitments</w:t>
            </w:r>
          </w:p>
        </w:tc>
        <w:tc>
          <w:tcPr>
            <w:tcW w:w="150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7"/>
                <w:szCs w:val="17"/>
                <w:color w:val="auto"/>
              </w:rPr>
            </w:pPr>
          </w:p>
        </w:tc>
      </w:tr>
      <w:tr>
        <w:trPr>
          <w:trHeight w:val="196"/>
        </w:trPr>
        <w:tc>
          <w:tcPr>
            <w:tcW w:w="3960" w:type="dxa"/>
            <w:vAlign w:val="bottom"/>
            <w:tcBorders>
              <w:bottom w:val="single" w:sz="8" w:color="ECEEF0"/>
            </w:tcBorders>
          </w:tcPr>
          <w:p>
            <w:pPr>
              <w:spacing w:after="0"/>
              <w:rPr>
                <w:sz w:val="20"/>
                <w:szCs w:val="20"/>
                <w:color w:val="auto"/>
              </w:rPr>
            </w:pPr>
            <w:r>
              <w:rPr>
                <w:rFonts w:ascii="Arial" w:cs="Arial" w:eastAsia="Arial" w:hAnsi="Arial"/>
                <w:sz w:val="16"/>
                <w:szCs w:val="16"/>
                <w:b w:val="1"/>
                <w:bCs w:val="1"/>
                <w:color w:val="auto"/>
              </w:rPr>
              <w:t>Total Unfunded Commitments</w:t>
            </w:r>
          </w:p>
        </w:tc>
        <w:tc>
          <w:tcPr>
            <w:tcW w:w="150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$162</w:t>
            </w:r>
          </w:p>
        </w:tc>
        <w:tc>
          <w:tcPr>
            <w:tcW w:w="20" w:type="dxa"/>
            <w:vAlign w:val="bottom"/>
          </w:tcPr>
          <w:p>
            <w:pPr>
              <w:spacing w:after="0"/>
              <w:rPr>
                <w:sz w:val="17"/>
                <w:szCs w:val="17"/>
                <w:color w:val="auto"/>
              </w:rPr>
            </w:pPr>
          </w:p>
        </w:tc>
      </w:tr>
      <w:tr>
        <w:trPr>
          <w:trHeight w:val="196"/>
        </w:trPr>
        <w:tc>
          <w:tcPr>
            <w:tcW w:w="3960" w:type="dxa"/>
            <w:vAlign w:val="bottom"/>
            <w:tcBorders>
              <w:bottom w:val="single" w:sz="8" w:color="ECEEF0"/>
            </w:tcBorders>
          </w:tcPr>
          <w:p>
            <w:pPr>
              <w:spacing w:after="0" w:line="195" w:lineRule="exact"/>
              <w:rPr>
                <w:sz w:val="20"/>
                <w:szCs w:val="20"/>
                <w:color w:val="auto"/>
              </w:rPr>
            </w:pPr>
            <w:r>
              <w:rPr>
                <w:rFonts w:ascii="Arial" w:cs="Arial" w:eastAsia="Arial" w:hAnsi="Arial"/>
                <w:sz w:val="14"/>
                <w:szCs w:val="14"/>
                <w:color w:val="auto"/>
              </w:rPr>
              <w:t>Unavailable Unfunded Commitments</w:t>
            </w:r>
            <w:r>
              <w:rPr>
                <w:rFonts w:ascii="Arial" w:cs="Arial" w:eastAsia="Arial" w:hAnsi="Arial"/>
                <w:sz w:val="22"/>
                <w:szCs w:val="22"/>
                <w:color w:val="auto"/>
                <w:vertAlign w:val="superscript"/>
              </w:rPr>
              <w:t>1</w:t>
            </w:r>
          </w:p>
        </w:tc>
        <w:tc>
          <w:tcPr>
            <w:tcW w:w="150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7"/>
                <w:szCs w:val="17"/>
                <w:color w:val="auto"/>
              </w:rPr>
            </w:pPr>
          </w:p>
        </w:tc>
      </w:tr>
      <w:tr>
        <w:trPr>
          <w:trHeight w:val="205"/>
        </w:trPr>
        <w:tc>
          <w:tcPr>
            <w:tcW w:w="3960" w:type="dxa"/>
            <w:vAlign w:val="bottom"/>
          </w:tcPr>
          <w:p>
            <w:pPr>
              <w:spacing w:after="0" w:line="205" w:lineRule="exact"/>
              <w:rPr>
                <w:sz w:val="20"/>
                <w:szCs w:val="20"/>
                <w:color w:val="auto"/>
              </w:rPr>
            </w:pPr>
            <w:r>
              <w:rPr>
                <w:rFonts w:ascii="Arial" w:cs="Arial" w:eastAsia="Arial" w:hAnsi="Arial"/>
                <w:sz w:val="14"/>
                <w:szCs w:val="14"/>
                <w:b w:val="1"/>
                <w:bCs w:val="1"/>
                <w:color w:val="auto"/>
              </w:rPr>
              <w:t>Available Unfunded Commitments</w:t>
            </w:r>
            <w:r>
              <w:rPr>
                <w:rFonts w:ascii="Arial" w:cs="Arial" w:eastAsia="Arial" w:hAnsi="Arial"/>
                <w:sz w:val="23"/>
                <w:szCs w:val="23"/>
                <w:color w:val="auto"/>
                <w:vertAlign w:val="superscript"/>
              </w:rPr>
              <w:t>1</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$93</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34632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560" w:space="220"/>
            <w:col w:w="5460"/>
          </w:cols>
          <w:pgMar w:left="320" w:top="1435" w:right="339" w:bottom="1440" w:gutter="0" w:footer="0" w:header="0"/>
          <w:type w:val="continuous"/>
        </w:sectPr>
      </w:pPr>
    </w:p>
    <w:p>
      <w:pPr>
        <w:ind w:left="400" w:hanging="392"/>
        <w:spacing w:after="0" w:line="216" w:lineRule="auto"/>
        <w:tabs>
          <w:tab w:leader="none" w:pos="4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Note: May not sum due to rounding.</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Profile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2021, the Company’s funding mix was comprised of 86% unsecured and 14% secured debt. As illustrated below, the Company’s nearest debt maturity is in August 2022 at $143 million, and the weighted average remaining life of investments funded with debt was ~2.4 years, compared to a weighted average remaining maturity on debt of ~4.3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74295</wp:posOffset>
            </wp:positionV>
            <wp:extent cx="5760720" cy="28886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6072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*Includes $95 million of non-extending commitments with a maturity of January 31, 2025 and a revolving period ending January 31, 2024. Note that in April 2021, $70 million of these commitments were extended to a maturity date of February 4, 2026 and a revolving period ending February 4, 2025.</w:t>
      </w:r>
    </w:p>
    <w:p>
      <w:pPr>
        <w:spacing w:after="0" w:line="124" w:lineRule="exact"/>
        <w:rPr>
          <w:sz w:val="20"/>
          <w:szCs w:val="20"/>
          <w:color w:val="auto"/>
        </w:rPr>
      </w:pPr>
    </w:p>
    <w:p>
      <w:pPr>
        <w:ind w:left="400" w:hanging="392"/>
        <w:spacing w:after="0" w:line="243" w:lineRule="auto"/>
        <w:tabs>
          <w:tab w:leader="none" w:pos="400" w:val="left"/>
        </w:tabs>
        <w:numPr>
          <w:ilvl w:val="0"/>
          <w:numId w:val="4"/>
        </w:numPr>
        <w:rPr>
          <w:rFonts w:ascii="Arial" w:cs="Arial" w:eastAsia="Arial" w:hAnsi="Arial"/>
          <w:sz w:val="12"/>
          <w:szCs w:val="12"/>
          <w:color w:val="auto"/>
        </w:rPr>
      </w:pPr>
      <w:r>
        <w:rPr>
          <w:rFonts w:ascii="Arial" w:cs="Arial" w:eastAsia="Arial" w:hAnsi="Arial"/>
          <w:sz w:val="12"/>
          <w:szCs w:val="12"/>
          <w:color w:val="auto"/>
        </w:rPr>
        <w:t>Net of Deferred Financing Costs and Interest Rate Fair Value Hedging. Deferred Financing Costs total $21.4M at 3/31/20, $19.7M at 6/30/20, $18.4M at 9/30/20, $17.2M at 12/31/20 and $23.7M at 3/31/21. Fair value hedge on interest rate swaps related to the 2024 and 2026 notes total $17.0M at 3/31/20, $19.3M at 6/30/20, $18.1M at 9/30/20, $16.8M at 12/31/20 and $2.2M at 3/31/21.</w:t>
      </w:r>
    </w:p>
    <w:p>
      <w:pPr>
        <w:jc w:val="both"/>
        <w:ind w:left="400" w:hanging="392"/>
        <w:spacing w:after="0" w:line="216"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Weighted by amortized cost of debt investments. Investments are financed by debt and permanent equity capital. This analysis assumes longer-dated investments are currently funded by permanent equity capital (51% of investments) and the remaining (shorter-dated) investments (49% of investments) are currently funded by debt financing. Investments for purposes of this analysis exclude unfunded commitments, and permanent equity capital is defined as 3/31/21 net assets.</w:t>
      </w:r>
    </w:p>
    <w:p>
      <w:pPr>
        <w:spacing w:after="0" w:line="1" w:lineRule="exact"/>
        <w:rPr>
          <w:rFonts w:ascii="Arial" w:cs="Arial" w:eastAsia="Arial" w:hAnsi="Arial"/>
          <w:sz w:val="13"/>
          <w:szCs w:val="13"/>
          <w:color w:val="auto"/>
        </w:rPr>
      </w:pPr>
    </w:p>
    <w:p>
      <w:pPr>
        <w:ind w:left="400" w:hanging="392"/>
        <w:spacing w:after="0" w:line="216"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Weighted by gross commitment amount.</w:t>
      </w:r>
    </w:p>
    <w:p>
      <w:pPr>
        <w:spacing w:after="0"/>
        <w:rPr>
          <w:sz w:val="20"/>
          <w:szCs w:val="20"/>
          <w:color w:val="auto"/>
        </w:rPr>
      </w:pPr>
      <w:r>
        <w:rPr>
          <w:rFonts w:ascii="Arial" w:cs="Arial" w:eastAsia="Arial" w:hAnsi="Arial"/>
          <w:sz w:val="13"/>
          <w:szCs w:val="13"/>
          <w:color w:val="auto"/>
        </w:rPr>
        <w:t>Note: Numbers may not sum due to rounding.</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CONFERENCE CALL AND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3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conference call to discuss the Company’s financial results will be held live at 8:30 a.m. Eastern Time on May 5, 2021. Please visit TSLX’s webcast link located on the Events &amp; Presentations page of the Investor Resources section of TSLX’s website http://www.sixthstreetspecialtylending.com for a slide presentation that complements the Earnings Conference Call. Please visit the website to test your connection before the webcast.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also invited to access the conference call by dialing one of the following numbers: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(253) 237-1122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Conference ID: 9277414</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All callers will need to enter the Conference ID followed by the # sign and reference “Sixth Street Specialty Lending” once connected with the operator.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callers are asked to dial in 10-15 minutes prior to the call so that name and company information can be collected.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Replay Information: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 archived replay will be available from approximately 12:00 p.m. Eastern Time on May 5 through May 12 via a webcast link located on the Investor Resources section of TSLX’s website, and via the dial-in numbers listed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Conference ID: 9277414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8" w:name="page9"/>
    <w:bookmarkEnd w:id="8"/>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in millions, except per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78"/>
        </w:trPr>
        <w:tc>
          <w:tcPr>
            <w:tcW w:w="4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1"/>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ind w:right="251"/>
              <w:spacing w:after="0"/>
              <w:rPr>
                <w:sz w:val="20"/>
                <w:szCs w:val="20"/>
                <w:color w:val="auto"/>
              </w:rPr>
            </w:pPr>
            <w:r>
              <w:rPr>
                <w:rFonts w:ascii="Arial" w:cs="Arial" w:eastAsia="Arial" w:hAnsi="Arial"/>
                <w:sz w:val="14"/>
                <w:szCs w:val="14"/>
                <w:b w:val="1"/>
                <w:bCs w:val="1"/>
                <w:color w:val="auto"/>
              </w:rPr>
              <w:t>March 31, 2021</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1"/>
              </w:rPr>
              <w:t>December 31, 2020</w:t>
            </w:r>
          </w:p>
        </w:tc>
        <w:tc>
          <w:tcPr>
            <w:tcW w:w="220" w:type="dxa"/>
            <w:vAlign w:val="bottom"/>
          </w:tcPr>
          <w:p>
            <w:pPr>
              <w:spacing w:after="0"/>
              <w:rPr>
                <w:sz w:val="14"/>
                <w:szCs w:val="14"/>
                <w:color w:val="auto"/>
              </w:rPr>
            </w:pPr>
          </w:p>
        </w:tc>
        <w:tc>
          <w:tcPr>
            <w:tcW w:w="18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r>
      <w:tr>
        <w:trPr>
          <w:trHeight w:val="156"/>
        </w:trPr>
        <w:tc>
          <w:tcPr>
            <w:tcW w:w="47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r>
      <w:tr>
        <w:trPr>
          <w:trHeight w:val="229"/>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2,298.9</w:t>
            </w: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2,045.6</w:t>
            </w:r>
          </w:p>
        </w:tc>
        <w:tc>
          <w:tcPr>
            <w:tcW w:w="360" w:type="dxa"/>
            <w:vAlign w:val="bottom"/>
            <w:shd w:val="clear" w:color="auto" w:fill="CCEEFF"/>
          </w:tcPr>
          <w:p>
            <w:pPr>
              <w:spacing w:after="0"/>
              <w:rPr>
                <w:sz w:val="19"/>
                <w:szCs w:val="19"/>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2,417.9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2,338.6</w:t>
            </w:r>
          </w:p>
        </w:tc>
        <w:tc>
          <w:tcPr>
            <w:tcW w:w="60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2,081.7</w:t>
            </w:r>
          </w:p>
        </w:tc>
        <w:tc>
          <w:tcPr>
            <w:tcW w:w="360" w:type="dxa"/>
            <w:vAlign w:val="bottom"/>
          </w:tcPr>
          <w:p>
            <w:pPr>
              <w:spacing w:after="0"/>
              <w:rPr>
                <w:sz w:val="19"/>
                <w:szCs w:val="19"/>
                <w:color w:val="auto"/>
              </w:rPr>
            </w:pPr>
          </w:p>
        </w:tc>
      </w:tr>
      <w:tr>
        <w:trPr>
          <w:trHeight w:val="23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360" w:type="dxa"/>
            <w:vAlign w:val="bottom"/>
            <w:shd w:val="clear" w:color="auto" w:fill="CCEEFF"/>
          </w:tcPr>
          <w:p>
            <w:pPr>
              <w:spacing w:after="0"/>
              <w:rPr>
                <w:sz w:val="19"/>
                <w:szCs w:val="19"/>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Supplemental Dividend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0.06</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0.05</w:t>
            </w:r>
          </w:p>
        </w:tc>
        <w:tc>
          <w:tcPr>
            <w:tcW w:w="60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0.00</w:t>
            </w:r>
          </w:p>
        </w:tc>
        <w:tc>
          <w:tcPr>
            <w:tcW w:w="360" w:type="dxa"/>
            <w:vAlign w:val="bottom"/>
          </w:tcPr>
          <w:p>
            <w:pPr>
              <w:spacing w:after="0"/>
              <w:rPr>
                <w:sz w:val="19"/>
                <w:szCs w:val="19"/>
                <w:color w:val="auto"/>
              </w:rPr>
            </w:pPr>
          </w:p>
        </w:tc>
      </w:tr>
      <w:tr>
        <w:trPr>
          <w:trHeight w:val="257"/>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Special Dividend Per Share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60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360" w:type="dxa"/>
            <w:vAlign w:val="bottom"/>
            <w:shd w:val="clear" w:color="auto" w:fill="CFF0FC"/>
          </w:tcPr>
          <w:p>
            <w:pPr>
              <w:spacing w:after="0"/>
              <w:rPr>
                <w:sz w:val="22"/>
                <w:szCs w:val="22"/>
                <w:color w:val="auto"/>
              </w:rPr>
            </w:pPr>
          </w:p>
        </w:tc>
      </w:tr>
      <w:tr>
        <w:trPr>
          <w:trHeight w:val="250"/>
        </w:trPr>
        <w:tc>
          <w:tcPr>
            <w:tcW w:w="4700" w:type="dxa"/>
            <w:vAlign w:val="bottom"/>
          </w:tcPr>
          <w:p>
            <w:pPr>
              <w:spacing w:after="0"/>
              <w:rPr>
                <w:sz w:val="20"/>
                <w:szCs w:val="20"/>
                <w:color w:val="auto"/>
              </w:rPr>
            </w:pPr>
            <w:r>
              <w:rPr>
                <w:rFonts w:ascii="Arial" w:cs="Arial" w:eastAsia="Arial" w:hAnsi="Arial"/>
                <w:sz w:val="18"/>
                <w:szCs w:val="18"/>
                <w:color w:val="auto"/>
              </w:rPr>
              <w:t xml:space="preserve">Pro Forma Net Asset Value Per Share </w:t>
            </w:r>
            <w:r>
              <w:rPr>
                <w:rFonts w:ascii="Arial" w:cs="Arial" w:eastAsia="Arial" w:hAnsi="Arial"/>
                <w:sz w:val="15"/>
                <w:szCs w:val="15"/>
                <w:color w:val="auto"/>
              </w:rPr>
              <w:t>(1)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16.41</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15.86</w:t>
            </w:r>
          </w:p>
        </w:tc>
        <w:tc>
          <w:tcPr>
            <w:tcW w:w="600" w:type="dxa"/>
            <w:vAlign w:val="bottom"/>
          </w:tcPr>
          <w:p>
            <w:pPr>
              <w:spacing w:after="0"/>
              <w:rPr>
                <w:sz w:val="21"/>
                <w:szCs w:val="21"/>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15.07</w:t>
            </w:r>
          </w:p>
        </w:tc>
        <w:tc>
          <w:tcPr>
            <w:tcW w:w="360" w:type="dxa"/>
            <w:vAlign w:val="bottom"/>
          </w:tcPr>
          <w:p>
            <w:pPr>
              <w:spacing w:after="0"/>
              <w:rPr>
                <w:sz w:val="21"/>
                <w:szCs w:val="21"/>
                <w:color w:val="auto"/>
              </w:rPr>
            </w:pPr>
          </w:p>
        </w:tc>
      </w:tr>
      <w:tr>
        <w:trPr>
          <w:trHeight w:val="263"/>
        </w:trPr>
        <w:tc>
          <w:tcPr>
            <w:tcW w:w="47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5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Investment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66.2</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62.2</w:t>
            </w:r>
          </w:p>
        </w:tc>
        <w:tc>
          <w:tcPr>
            <w:tcW w:w="60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66.3</w:t>
            </w:r>
          </w:p>
        </w:tc>
        <w:tc>
          <w:tcPr>
            <w:tcW w:w="360" w:type="dxa"/>
            <w:vAlign w:val="bottom"/>
          </w:tcPr>
          <w:p>
            <w:pPr>
              <w:spacing w:after="0"/>
              <w:rPr>
                <w:sz w:val="19"/>
                <w:szCs w:val="19"/>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360" w:type="dxa"/>
            <w:vAlign w:val="bottom"/>
            <w:shd w:val="clear" w:color="auto" w:fill="CFF0FC"/>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56.7</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53.5</w:t>
            </w:r>
          </w:p>
        </w:tc>
        <w:tc>
          <w:tcPr>
            <w:tcW w:w="60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(53.1)</w:t>
            </w:r>
          </w:p>
        </w:tc>
        <w:tc>
          <w:tcPr>
            <w:tcW w:w="360" w:type="dxa"/>
            <w:vAlign w:val="bottom"/>
          </w:tcPr>
          <w:p>
            <w:pPr>
              <w:spacing w:after="0"/>
              <w:rPr>
                <w:sz w:val="19"/>
                <w:szCs w:val="19"/>
                <w:color w:val="auto"/>
              </w:rPr>
            </w:pPr>
          </w:p>
        </w:tc>
      </w:tr>
      <w:tr>
        <w:trPr>
          <w:trHeight w:val="256"/>
        </w:trPr>
        <w:tc>
          <w:tcPr>
            <w:tcW w:w="47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5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Adjusted Net Investment Income Per Share</w:t>
            </w:r>
            <w:r>
              <w:rPr>
                <w:rFonts w:ascii="Arial" w:cs="Arial" w:eastAsia="Arial" w:hAnsi="Arial"/>
                <w:sz w:val="15"/>
                <w:szCs w:val="15"/>
                <w:color w:val="auto"/>
              </w:rPr>
              <w:t>(2)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0.53</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0.50</w:t>
            </w:r>
          </w:p>
        </w:tc>
        <w:tc>
          <w:tcPr>
            <w:tcW w:w="60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0.51</w:t>
            </w:r>
          </w:p>
        </w:tc>
        <w:tc>
          <w:tcPr>
            <w:tcW w:w="360" w:type="dxa"/>
            <w:vAlign w:val="bottom"/>
          </w:tcPr>
          <w:p>
            <w:pPr>
              <w:spacing w:after="0"/>
              <w:rPr>
                <w:sz w:val="19"/>
                <w:szCs w:val="19"/>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Adjusted Net Income (Loss) Per Share</w:t>
            </w:r>
            <w:r>
              <w:rPr>
                <w:rFonts w:ascii="Arial" w:cs="Arial" w:eastAsia="Arial" w:hAnsi="Arial"/>
                <w:sz w:val="15"/>
                <w:szCs w:val="15"/>
                <w:color w:val="auto"/>
              </w:rPr>
              <w:t>(2)</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0.81</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(0.80)</w:t>
            </w:r>
          </w:p>
        </w:tc>
        <w:tc>
          <w:tcPr>
            <w:tcW w:w="360" w:type="dxa"/>
            <w:vAlign w:val="bottom"/>
            <w:shd w:val="clear" w:color="auto" w:fill="CFF0FC"/>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Accrued Capital Gains Incentive Fee Expense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0.07</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0.02</w:t>
            </w:r>
          </w:p>
        </w:tc>
        <w:tc>
          <w:tcPr>
            <w:tcW w:w="60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0.00</w:t>
            </w:r>
          </w:p>
        </w:tc>
        <w:tc>
          <w:tcPr>
            <w:tcW w:w="360" w:type="dxa"/>
            <w:vAlign w:val="bottom"/>
          </w:tcPr>
          <w:p>
            <w:pPr>
              <w:spacing w:after="0"/>
              <w:rPr>
                <w:sz w:val="19"/>
                <w:szCs w:val="19"/>
                <w:color w:val="auto"/>
              </w:rPr>
            </w:pPr>
          </w:p>
        </w:tc>
      </w:tr>
      <w:tr>
        <w:trPr>
          <w:trHeight w:val="256"/>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 Per Share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60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360" w:type="dxa"/>
            <w:vAlign w:val="bottom"/>
            <w:shd w:val="clear" w:color="auto" w:fill="CFF0FC"/>
          </w:tcPr>
          <w:p>
            <w:pPr>
              <w:spacing w:after="0"/>
              <w:rPr>
                <w:sz w:val="22"/>
                <w:szCs w:val="22"/>
                <w:color w:val="auto"/>
              </w:rPr>
            </w:pPr>
          </w:p>
        </w:tc>
      </w:tr>
      <w:tr>
        <w:trPr>
          <w:trHeight w:val="250"/>
        </w:trPr>
        <w:tc>
          <w:tcPr>
            <w:tcW w:w="470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0.81</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0.79</w:t>
            </w:r>
          </w:p>
        </w:tc>
        <w:tc>
          <w:tcPr>
            <w:tcW w:w="600" w:type="dxa"/>
            <w:vAlign w:val="bottom"/>
          </w:tcPr>
          <w:p>
            <w:pPr>
              <w:spacing w:after="0"/>
              <w:rPr>
                <w:sz w:val="21"/>
                <w:szCs w:val="21"/>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(0.80)</w:t>
            </w:r>
          </w:p>
        </w:tc>
        <w:tc>
          <w:tcPr>
            <w:tcW w:w="360" w:type="dxa"/>
            <w:vAlign w:val="bottom"/>
          </w:tcPr>
          <w:p>
            <w:pPr>
              <w:spacing w:after="0"/>
              <w:rPr>
                <w:sz w:val="21"/>
                <w:szCs w:val="21"/>
                <w:color w:val="auto"/>
              </w:rPr>
            </w:pPr>
          </w:p>
        </w:tc>
      </w:tr>
      <w:tr>
        <w:trPr>
          <w:trHeight w:val="263"/>
        </w:trPr>
        <w:tc>
          <w:tcPr>
            <w:tcW w:w="47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5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r>
    </w:tbl>
    <w:p>
      <w:pPr>
        <w:spacing w:after="0" w:line="1" w:lineRule="exact"/>
        <w:rPr>
          <w:sz w:val="20"/>
          <w:szCs w:val="20"/>
          <w:color w:val="auto"/>
        </w:rPr>
      </w:pPr>
    </w:p>
    <w:p>
      <w:pPr>
        <w:sectPr>
          <w:pgSz w:w="11900" w:h="16838" w:orient="portrait"/>
          <w:cols w:equalWidth="0" w:num="1">
            <w:col w:w="11240"/>
          </w:cols>
          <w:pgMar w:left="320" w:top="1192" w:right="339" w:bottom="1440" w:gutter="0" w:footer="0" w:header="0"/>
        </w:sectPr>
      </w:pPr>
    </w:p>
    <w:p>
      <w:pPr>
        <w:ind w:right="1240"/>
        <w:spacing w:after="0" w:line="258" w:lineRule="auto"/>
        <w:rPr>
          <w:sz w:val="20"/>
          <w:szCs w:val="20"/>
          <w:color w:val="auto"/>
        </w:rPr>
      </w:pPr>
      <w:r>
        <w:rPr>
          <w:rFonts w:ascii="Arial" w:cs="Arial" w:eastAsia="Arial" w:hAnsi="Arial"/>
          <w:sz w:val="18"/>
          <w:szCs w:val="18"/>
          <w:color w:val="auto"/>
        </w:rPr>
        <w:t xml:space="preserve">Annualized Return on Equity (Adjusted Net Investment Income) </w:t>
      </w:r>
      <w:r>
        <w:rPr>
          <w:rFonts w:ascii="Arial" w:cs="Arial" w:eastAsia="Arial" w:hAnsi="Arial"/>
          <w:sz w:val="15"/>
          <w:szCs w:val="15"/>
          <w:color w:val="auto"/>
        </w:rPr>
        <w:t>(2) (3)</w:t>
      </w:r>
    </w:p>
    <w:p>
      <w:pPr>
        <w:ind w:right="1500"/>
        <w:spacing w:after="0" w:line="265" w:lineRule="auto"/>
        <w:rPr>
          <w:sz w:val="20"/>
          <w:szCs w:val="20"/>
          <w:color w:val="auto"/>
        </w:rPr>
      </w:pPr>
      <w:r>
        <w:rPr>
          <w:rFonts w:ascii="Arial" w:cs="Arial" w:eastAsia="Arial" w:hAnsi="Arial"/>
          <w:sz w:val="18"/>
          <w:szCs w:val="18"/>
          <w:color w:val="auto"/>
        </w:rPr>
        <w:t xml:space="preserve">Annualized Return on Equity (Adjusted Net Income (Loss)) </w:t>
      </w:r>
      <w:r>
        <w:rPr>
          <w:rFonts w:ascii="Arial" w:cs="Arial" w:eastAsia="Arial" w:hAnsi="Arial"/>
          <w:sz w:val="15"/>
          <w:szCs w:val="15"/>
          <w:color w:val="auto"/>
        </w:rPr>
        <w:t>(2) (3)</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jc w:val="right"/>
              <w:spacing w:after="0"/>
              <w:rPr>
                <w:sz w:val="20"/>
                <w:szCs w:val="20"/>
                <w:color w:val="auto"/>
              </w:rPr>
            </w:pPr>
            <w:r>
              <w:rPr>
                <w:rFonts w:ascii="Arial" w:cs="Arial" w:eastAsia="Arial" w:hAnsi="Arial"/>
                <w:sz w:val="18"/>
                <w:szCs w:val="18"/>
                <w:color w:val="auto"/>
                <w:w w:val="85"/>
              </w:rPr>
              <w:t>13.3</w:t>
            </w:r>
          </w:p>
        </w:tc>
        <w:tc>
          <w:tcPr>
            <w:tcW w:w="108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12.0</w:t>
            </w:r>
          </w:p>
        </w:tc>
        <w:tc>
          <w:tcPr>
            <w:tcW w:w="100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45"/>
        </w:trPr>
        <w:tc>
          <w:tcPr>
            <w:tcW w:w="380" w:type="dxa"/>
            <w:vAlign w:val="bottom"/>
          </w:tcPr>
          <w:p>
            <w:pPr>
              <w:jc w:val="right"/>
              <w:spacing w:after="0"/>
              <w:rPr>
                <w:sz w:val="20"/>
                <w:szCs w:val="20"/>
                <w:color w:val="auto"/>
              </w:rPr>
            </w:pPr>
            <w:r>
              <w:rPr>
                <w:rFonts w:ascii="Arial" w:cs="Arial" w:eastAsia="Arial" w:hAnsi="Arial"/>
                <w:sz w:val="18"/>
                <w:szCs w:val="18"/>
                <w:color w:val="auto"/>
                <w:w w:val="85"/>
              </w:rPr>
              <w:t>22.1</w:t>
            </w:r>
          </w:p>
        </w:tc>
        <w:tc>
          <w:tcPr>
            <w:tcW w:w="108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19.2</w:t>
            </w:r>
          </w:p>
        </w:tc>
        <w:tc>
          <w:tcPr>
            <w:tcW w:w="100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-213995</wp:posOffset>
            </wp:positionV>
            <wp:extent cx="7132320" cy="2825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20" w:lineRule="exact"/>
        <w:rPr>
          <w:sz w:val="20"/>
          <w:szCs w:val="20"/>
          <w:color w:val="auto"/>
        </w:rPr>
      </w:pPr>
    </w:p>
    <w:p>
      <w:pPr>
        <w:sectPr>
          <w:pgSz w:w="11900" w:h="16838" w:orient="portrait"/>
          <w:cols w:equalWidth="0" w:num="2">
            <w:col w:w="5260" w:space="720"/>
            <w:col w:w="5260"/>
          </w:cols>
          <w:pgMar w:left="320" w:top="1192" w:right="339" w:bottom="1440" w:gutter="0" w:footer="0" w:header="0"/>
          <w:type w:val="continuous"/>
        </w:sectPr>
      </w:pPr>
    </w:p>
    <w:p>
      <w:pPr>
        <w:spacing w:after="0"/>
        <w:rPr>
          <w:sz w:val="20"/>
          <w:szCs w:val="20"/>
          <w:color w:val="auto"/>
        </w:rPr>
      </w:pPr>
      <w:r>
        <w:rPr>
          <w:rFonts w:ascii="Arial" w:cs="Arial" w:eastAsia="Arial" w:hAnsi="Arial"/>
          <w:sz w:val="16"/>
          <w:szCs w:val="16"/>
          <w:color w:val="auto"/>
        </w:rPr>
        <w:t>Annualized Return on Equity (Net Investment Income)</w:t>
      </w:r>
      <w:r>
        <w:rPr>
          <w:rFonts w:ascii="Arial" w:cs="Arial" w:eastAsia="Arial" w:hAnsi="Arial"/>
          <w:sz w:val="13"/>
          <w:szCs w:val="13"/>
          <w:color w:val="auto"/>
        </w:rPr>
        <w:t>(3)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Annualized Return on Equity (Net Income (Loss))</w:t>
      </w:r>
      <w:r>
        <w:rPr>
          <w:rFonts w:ascii="Arial" w:cs="Arial" w:eastAsia="Arial" w:hAnsi="Arial"/>
          <w:sz w:val="15"/>
          <w:szCs w:val="15"/>
          <w:color w:val="auto"/>
        </w:rPr>
        <w:t>(3)</w:t>
      </w:r>
    </w:p>
    <w:p>
      <w:pPr>
        <w:spacing w:after="0" w:line="360" w:lineRule="exact"/>
        <w:rPr>
          <w:sz w:val="20"/>
          <w:szCs w:val="20"/>
          <w:color w:val="auto"/>
        </w:rPr>
      </w:pPr>
    </w:p>
    <w:p>
      <w:pPr>
        <w:ind w:right="1220"/>
        <w:spacing w:after="0" w:line="258" w:lineRule="auto"/>
        <w:rPr>
          <w:sz w:val="20"/>
          <w:szCs w:val="20"/>
          <w:color w:val="auto"/>
        </w:rPr>
      </w:pPr>
      <w:r>
        <w:rPr>
          <w:rFonts w:ascii="Arial" w:cs="Arial" w:eastAsia="Arial" w:hAnsi="Arial"/>
          <w:sz w:val="18"/>
          <w:szCs w:val="18"/>
          <w:color w:val="auto"/>
        </w:rPr>
        <w:t>Weighted Average Yield of Debt and Income Producing Securities at Fair Value</w:t>
      </w:r>
    </w:p>
    <w:p>
      <w:pPr>
        <w:spacing w:after="0" w:line="1" w:lineRule="exact"/>
        <w:rPr>
          <w:sz w:val="20"/>
          <w:szCs w:val="20"/>
          <w:color w:val="auto"/>
        </w:rPr>
      </w:pPr>
    </w:p>
    <w:p>
      <w:pPr>
        <w:ind w:right="1220"/>
        <w:spacing w:after="0" w:line="258" w:lineRule="auto"/>
        <w:rPr>
          <w:sz w:val="20"/>
          <w:szCs w:val="20"/>
          <w:color w:val="auto"/>
        </w:rPr>
      </w:pPr>
      <w:r>
        <w:rPr>
          <w:rFonts w:ascii="Arial" w:cs="Arial" w:eastAsia="Arial" w:hAnsi="Arial"/>
          <w:sz w:val="18"/>
          <w:szCs w:val="18"/>
          <w:color w:val="auto"/>
        </w:rPr>
        <w:t>Weighted Average Yield of Debt and Income Producing Securities at Amortized Cost</w:t>
      </w:r>
    </w:p>
    <w:p>
      <w:pPr>
        <w:ind w:right="1140"/>
        <w:spacing w:after="0" w:line="276" w:lineRule="auto"/>
        <w:rPr>
          <w:sz w:val="20"/>
          <w:szCs w:val="20"/>
          <w:color w:val="auto"/>
        </w:rPr>
      </w:pPr>
      <w:r>
        <w:rPr>
          <w:rFonts w:ascii="Arial" w:cs="Arial" w:eastAsia="Arial" w:hAnsi="Arial"/>
          <w:sz w:val="18"/>
          <w:szCs w:val="18"/>
          <w:color w:val="auto"/>
        </w:rPr>
        <w:t xml:space="preserve">Percentage of Debt Investment Commitments at Floating Rates </w:t>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jc w:val="right"/>
              <w:spacing w:after="0"/>
              <w:rPr>
                <w:sz w:val="20"/>
                <w:szCs w:val="20"/>
                <w:color w:val="auto"/>
              </w:rPr>
            </w:pPr>
            <w:r>
              <w:rPr>
                <w:rFonts w:ascii="Arial" w:cs="Arial" w:eastAsia="Arial" w:hAnsi="Arial"/>
                <w:sz w:val="18"/>
                <w:szCs w:val="18"/>
                <w:color w:val="auto"/>
                <w:w w:val="85"/>
              </w:rPr>
              <w:t>11.7</w:t>
            </w:r>
          </w:p>
        </w:tc>
        <w:tc>
          <w:tcPr>
            <w:tcW w:w="108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11.5</w:t>
            </w:r>
          </w:p>
        </w:tc>
        <w:tc>
          <w:tcPr>
            <w:tcW w:w="100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0"/>
        </w:trPr>
        <w:tc>
          <w:tcPr>
            <w:tcW w:w="380" w:type="dxa"/>
            <w:vAlign w:val="bottom"/>
          </w:tcPr>
          <w:p>
            <w:pPr>
              <w:jc w:val="right"/>
              <w:spacing w:after="0"/>
              <w:rPr>
                <w:sz w:val="20"/>
                <w:szCs w:val="20"/>
                <w:color w:val="auto"/>
              </w:rPr>
            </w:pPr>
            <w:r>
              <w:rPr>
                <w:rFonts w:ascii="Arial" w:cs="Arial" w:eastAsia="Arial" w:hAnsi="Arial"/>
                <w:sz w:val="18"/>
                <w:szCs w:val="18"/>
                <w:color w:val="auto"/>
                <w:w w:val="85"/>
              </w:rPr>
              <w:t>20.5</w:t>
            </w:r>
          </w:p>
        </w:tc>
        <w:tc>
          <w:tcPr>
            <w:tcW w:w="108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18.7</w:t>
            </w:r>
          </w:p>
        </w:tc>
        <w:tc>
          <w:tcPr>
            <w:tcW w:w="100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75"/>
        </w:trPr>
        <w:tc>
          <w:tcPr>
            <w:tcW w:w="380" w:type="dxa"/>
            <w:vAlign w:val="bottom"/>
          </w:tcPr>
          <w:p>
            <w:pPr>
              <w:jc w:val="right"/>
              <w:spacing w:after="0"/>
              <w:rPr>
                <w:sz w:val="20"/>
                <w:szCs w:val="20"/>
                <w:color w:val="auto"/>
              </w:rPr>
            </w:pPr>
            <w:r>
              <w:rPr>
                <w:rFonts w:ascii="Arial" w:cs="Arial" w:eastAsia="Arial" w:hAnsi="Arial"/>
                <w:sz w:val="18"/>
                <w:szCs w:val="18"/>
                <w:color w:val="auto"/>
              </w:rPr>
              <w:t>9.8</w:t>
            </w:r>
          </w:p>
        </w:tc>
        <w:tc>
          <w:tcPr>
            <w:tcW w:w="108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c>
          <w:tcPr>
            <w:tcW w:w="100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45"/>
        </w:trPr>
        <w:tc>
          <w:tcPr>
            <w:tcW w:w="380" w:type="dxa"/>
            <w:vAlign w:val="bottom"/>
          </w:tcPr>
          <w:p>
            <w:pPr>
              <w:jc w:val="right"/>
              <w:spacing w:after="0"/>
              <w:rPr>
                <w:sz w:val="20"/>
                <w:szCs w:val="20"/>
                <w:color w:val="auto"/>
              </w:rPr>
            </w:pPr>
            <w:r>
              <w:rPr>
                <w:rFonts w:ascii="Arial" w:cs="Arial" w:eastAsia="Arial" w:hAnsi="Arial"/>
                <w:sz w:val="18"/>
                <w:szCs w:val="18"/>
                <w:color w:val="auto"/>
                <w:w w:val="85"/>
              </w:rPr>
              <w:t>10.1</w:t>
            </w:r>
          </w:p>
        </w:tc>
        <w:tc>
          <w:tcPr>
            <w:tcW w:w="108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10.2</w:t>
            </w:r>
          </w:p>
        </w:tc>
        <w:tc>
          <w:tcPr>
            <w:tcW w:w="100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45"/>
        </w:trPr>
        <w:tc>
          <w:tcPr>
            <w:tcW w:w="380" w:type="dxa"/>
            <w:vAlign w:val="bottom"/>
          </w:tcPr>
          <w:p>
            <w:pPr>
              <w:jc w:val="right"/>
              <w:spacing w:after="0"/>
              <w:rPr>
                <w:sz w:val="20"/>
                <w:szCs w:val="20"/>
                <w:color w:val="auto"/>
              </w:rPr>
            </w:pPr>
            <w:r>
              <w:rPr>
                <w:rFonts w:ascii="Arial" w:cs="Arial" w:eastAsia="Arial" w:hAnsi="Arial"/>
                <w:sz w:val="18"/>
                <w:szCs w:val="18"/>
                <w:color w:val="auto"/>
                <w:w w:val="85"/>
              </w:rPr>
              <w:t>99.0</w:t>
            </w:r>
          </w:p>
        </w:tc>
        <w:tc>
          <w:tcPr>
            <w:tcW w:w="108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99.1</w:t>
            </w:r>
          </w:p>
        </w:tc>
        <w:tc>
          <w:tcPr>
            <w:tcW w:w="100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99.4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-1182370</wp:posOffset>
            </wp:positionV>
            <wp:extent cx="7132320" cy="2400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-779780</wp:posOffset>
            </wp:positionV>
            <wp:extent cx="7132320" cy="2825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-213995</wp:posOffset>
            </wp:positionV>
            <wp:extent cx="7132320" cy="2825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318" w:lineRule="exact"/>
        <w:rPr>
          <w:sz w:val="20"/>
          <w:szCs w:val="20"/>
          <w:color w:val="auto"/>
        </w:rPr>
      </w:pPr>
    </w:p>
    <w:p>
      <w:pPr>
        <w:sectPr>
          <w:pgSz w:w="11900" w:h="16838" w:orient="portrait"/>
          <w:cols w:equalWidth="0" w:num="2">
            <w:col w:w="5260" w:space="720"/>
            <w:col w:w="5260"/>
          </w:cols>
          <w:pgMar w:left="320" w:top="1192" w:right="339" w:bottom="1440" w:gutter="0" w:footer="0" w:header="0"/>
          <w:type w:val="continuous"/>
        </w:sectPr>
      </w:pPr>
    </w:p>
    <w:p>
      <w:pPr>
        <w:ind w:left="800" w:hanging="401"/>
        <w:spacing w:after="0"/>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 forma net asset value per share gives effect to the supplemental dividend declared related to earnings or special dividend in the applicable period.</w:t>
      </w:r>
    </w:p>
    <w:p>
      <w:pPr>
        <w:spacing w:after="0" w:line="82" w:lineRule="exact"/>
        <w:rPr>
          <w:rFonts w:ascii="Arial" w:cs="Arial" w:eastAsia="Arial" w:hAnsi="Arial"/>
          <w:sz w:val="14"/>
          <w:szCs w:val="14"/>
          <w:color w:val="auto"/>
        </w:rPr>
      </w:pPr>
    </w:p>
    <w:p>
      <w:pPr>
        <w:ind w:left="800" w:hanging="401"/>
        <w:spacing w:after="0" w:line="230"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Adjusted to exclude the capital gains incentive fee that was accrued, but not paid, related to cumulative unrealized capital gains in excess of cumulative net realized capital gains less any cumulative unrealized losses and capital gains incentive fees paid inception to date.</w:t>
      </w:r>
    </w:p>
    <w:p>
      <w:pPr>
        <w:ind w:left="800" w:hanging="401"/>
        <w:spacing w:after="0"/>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Return on equity is calculated using prior period’s ending net asset value per share.</w:t>
      </w:r>
    </w:p>
    <w:p>
      <w:pPr>
        <w:spacing w:after="0" w:line="70" w:lineRule="exact"/>
        <w:rPr>
          <w:rFonts w:ascii="Arial" w:cs="Arial" w:eastAsia="Arial" w:hAnsi="Arial"/>
          <w:sz w:val="14"/>
          <w:szCs w:val="14"/>
          <w:color w:val="auto"/>
        </w:rPr>
      </w:pPr>
    </w:p>
    <w:p>
      <w:pPr>
        <w:ind w:left="800" w:right="20" w:hanging="401"/>
        <w:spacing w:after="0" w:line="253"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one or more fixed rate investments for which the Company entered into an interest rate swap agreement to swap to floating rate. Calculation includes income earning debt investments only.</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FINANCIAL STATEMENTS AND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Sixth Street Specialty Lending,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Consolidated Balance Sheets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3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Non-controlled, non-affiliated investments (amortized cost of $2,258,598 and $2,187,427,</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2,329,835</w:t>
            </w:r>
          </w:p>
        </w:tc>
        <w:tc>
          <w:tcPr>
            <w:tcW w:w="18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2,249,302</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w w:val="96"/>
              </w:rPr>
              <w:t>Non-controlled, affiliated investments (amortized cost of $12,835 and $12,892, respectively)</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14,917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12,892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 (amortized cost of $60,027 and $58,709, respectively)</w:t>
            </w:r>
          </w:p>
        </w:tc>
        <w:tc>
          <w:tcPr>
            <w:tcW w:w="3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37,994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Total investments at fair value (amortized cost of $2,331,460 and $2,259,028, respectively)</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2,382,746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2,298,870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(restricted cash of $16,315 and $10,815, respectively)</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Interest receivable</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10,878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8,583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17,866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2,417,910</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2,338,593</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Debt (net of deferred financing costs of $23,730 and $17,246, respectively)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1,070,633</w:t>
            </w:r>
          </w:p>
        </w:tc>
        <w:tc>
          <w:tcPr>
            <w:tcW w:w="180" w:type="dxa"/>
            <w:vAlign w:val="bottom"/>
          </w:tcPr>
          <w:p>
            <w:pPr>
              <w:spacing w:after="0"/>
              <w:rPr>
                <w:sz w:val="19"/>
                <w:szCs w:val="19"/>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1,110,363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13,747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119,409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Other payables to affiliate</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2,971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19,447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1,232,578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1,177,278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100,000,000 shares authorized; no shares</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issued and outstanding</w:t>
            </w:r>
          </w:p>
        </w:tc>
        <w:tc>
          <w:tcPr>
            <w:tcW w:w="3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320" w:type="dxa"/>
            <w:vAlign w:val="bottom"/>
          </w:tcPr>
          <w:p>
            <w:pPr>
              <w:spacing w:after="0"/>
              <w:rPr>
                <w:sz w:val="20"/>
                <w:szCs w:val="20"/>
                <w:color w:val="auto"/>
              </w:rPr>
            </w:pPr>
            <w:r>
              <w:rPr>
                <w:rFonts w:ascii="Arial" w:cs="Arial" w:eastAsia="Arial" w:hAnsi="Arial"/>
                <w:sz w:val="18"/>
                <w:szCs w:val="18"/>
                <w:color w:val="auto"/>
                <w:w w:val="98"/>
              </w:rPr>
              <w:t>Common stock, $0.01 par value; 400,000,000 shares authorized, 72,266,042 and 67,980,253</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w w:val="98"/>
              </w:rPr>
              <w:t>shares issued, respectively; and 71,969,998 and 67,684,209 shares outstanding, respectively</w:t>
            </w:r>
          </w:p>
        </w:tc>
        <w:tc>
          <w:tcPr>
            <w:tcW w:w="3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1,115,370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1,025,676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Treasury stock at cost; 296,044 and 296,044 shares held, respectively</w:t>
            </w:r>
          </w:p>
        </w:tc>
        <w:tc>
          <w:tcPr>
            <w:tcW w:w="32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(4,291)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Distributable earnings</w:t>
            </w:r>
          </w:p>
        </w:tc>
        <w:tc>
          <w:tcPr>
            <w:tcW w:w="3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73,530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Net Assets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1,185,332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1,161,315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2,417,910</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2,338,593</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vMerge w:val="continue"/>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44"/>
        </w:trPr>
        <w:tc>
          <w:tcPr>
            <w:tcW w:w="7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92" w:right="319" w:bottom="1440" w:gutter="0" w:footer="0" w:header="0"/>
        </w:sectPr>
      </w:pPr>
    </w:p>
    <w:bookmarkStart w:id="10" w:name="page11"/>
    <w:bookmarkEnd w:id="10"/>
    <w:p>
      <w:pPr>
        <w:ind w:left="41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Sixth Street Specialty Lending, Inc.</w:t>
      </w:r>
    </w:p>
    <w:p>
      <w:pPr>
        <w:spacing w:after="0" w:line="22"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Consolidated Statements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40" w:type="dxa"/>
            <w:vAlign w:val="bottom"/>
            <w:gridSpan w:val="6"/>
          </w:tcPr>
          <w:p>
            <w:pPr>
              <w:jc w:val="right"/>
              <w:ind w:right="15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7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155"/>
        </w:trPr>
        <w:tc>
          <w:tcPr>
            <w:tcW w:w="71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Income</w:t>
            </w:r>
          </w:p>
        </w:tc>
        <w:tc>
          <w:tcPr>
            <w:tcW w:w="240" w:type="dxa"/>
            <w:vAlign w:val="bottom"/>
            <w:tcBorders>
              <w:top w:val="single" w:sz="8" w:color="auto"/>
            </w:tcBorders>
            <w:shd w:val="clear" w:color="auto" w:fill="CFF0FC"/>
          </w:tcPr>
          <w:p>
            <w:pPr>
              <w:spacing w:after="0"/>
              <w:rPr>
                <w:sz w:val="13"/>
                <w:szCs w:val="13"/>
                <w:color w:val="auto"/>
              </w:rPr>
            </w:pPr>
          </w:p>
        </w:tc>
        <w:tc>
          <w:tcPr>
            <w:tcW w:w="15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50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60" w:type="dxa"/>
            <w:vAlign w:val="bottom"/>
          </w:tcPr>
          <w:p>
            <w:pPr>
              <w:spacing w:after="0"/>
              <w:rPr>
                <w:sz w:val="20"/>
                <w:szCs w:val="20"/>
                <w:color w:val="auto"/>
              </w:rPr>
            </w:pPr>
            <w:r>
              <w:rPr>
                <w:rFonts w:ascii="Arial" w:cs="Arial" w:eastAsia="Arial" w:hAnsi="Arial"/>
                <w:sz w:val="14"/>
                <w:szCs w:val="14"/>
                <w:color w:val="auto"/>
              </w:rPr>
              <w:t>Investment income from non-controlled, non-affiliated investments:</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from investments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61,765</w:t>
            </w:r>
          </w:p>
        </w:tc>
        <w:tc>
          <w:tcPr>
            <w:tcW w:w="18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60,766</w:t>
            </w:r>
          </w:p>
        </w:tc>
        <w:tc>
          <w:tcPr>
            <w:tcW w:w="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60" w:type="dxa"/>
            <w:vAlign w:val="bottom"/>
          </w:tcPr>
          <w:p>
            <w:pPr>
              <w:ind w:left="260"/>
              <w:spacing w:after="0"/>
              <w:rPr>
                <w:sz w:val="20"/>
                <w:szCs w:val="20"/>
                <w:color w:val="auto"/>
              </w:rPr>
            </w:pPr>
            <w:r>
              <w:rPr>
                <w:rFonts w:ascii="Arial" w:cs="Arial" w:eastAsia="Arial" w:hAnsi="Arial"/>
                <w:sz w:val="14"/>
                <w:szCs w:val="14"/>
                <w:color w:val="auto"/>
              </w:rPr>
              <w:t>Dividend income</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507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432</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income</w:t>
            </w:r>
          </w:p>
        </w:tc>
        <w:tc>
          <w:tcPr>
            <w:tcW w:w="240" w:type="dxa"/>
            <w:vAlign w:val="bottom"/>
            <w:tcBorders>
              <w:bottom w:val="single" w:sz="8" w:color="auto"/>
            </w:tcBorders>
            <w:shd w:val="clear" w:color="auto" w:fill="CFF0FC"/>
          </w:tcPr>
          <w:p>
            <w:pPr>
              <w:spacing w:after="0"/>
              <w:rPr>
                <w:sz w:val="14"/>
                <w:szCs w:val="14"/>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2,277</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2,787</w:t>
            </w:r>
          </w:p>
        </w:tc>
        <w:tc>
          <w:tcPr>
            <w:tcW w:w="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160" w:type="dxa"/>
            <w:vAlign w:val="bottom"/>
          </w:tcPr>
          <w:p>
            <w:pPr>
              <w:ind w:left="500"/>
              <w:spacing w:after="0" w:line="155" w:lineRule="exact"/>
              <w:rPr>
                <w:sz w:val="20"/>
                <w:szCs w:val="20"/>
                <w:color w:val="auto"/>
              </w:rPr>
            </w:pPr>
            <w:r>
              <w:rPr>
                <w:rFonts w:ascii="Arial" w:cs="Arial" w:eastAsia="Arial" w:hAnsi="Arial"/>
                <w:sz w:val="14"/>
                <w:szCs w:val="14"/>
                <w:color w:val="auto"/>
              </w:rPr>
              <w:t>Total investment income from non-controlled, non-affiliated investments</w:t>
            </w:r>
          </w:p>
        </w:tc>
        <w:tc>
          <w:tcPr>
            <w:tcW w:w="240" w:type="dxa"/>
            <w:vAlign w:val="bottom"/>
          </w:tcPr>
          <w:p>
            <w:pPr>
              <w:spacing w:after="0"/>
              <w:rPr>
                <w:sz w:val="13"/>
                <w:szCs w:val="13"/>
                <w:color w:val="auto"/>
              </w:rPr>
            </w:pPr>
          </w:p>
        </w:tc>
        <w:tc>
          <w:tcPr>
            <w:tcW w:w="1500" w:type="dxa"/>
            <w:vAlign w:val="bottom"/>
          </w:tcPr>
          <w:p>
            <w:pPr>
              <w:jc w:val="right"/>
              <w:spacing w:after="0" w:line="155" w:lineRule="exact"/>
              <w:rPr>
                <w:sz w:val="20"/>
                <w:szCs w:val="20"/>
                <w:color w:val="auto"/>
              </w:rPr>
            </w:pPr>
            <w:r>
              <w:rPr>
                <w:rFonts w:ascii="Arial" w:cs="Arial" w:eastAsia="Arial" w:hAnsi="Arial"/>
                <w:sz w:val="14"/>
                <w:szCs w:val="14"/>
                <w:color w:val="auto"/>
              </w:rPr>
              <w:t>64,549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jc w:val="right"/>
              <w:spacing w:after="0" w:line="155" w:lineRule="exact"/>
              <w:rPr>
                <w:sz w:val="20"/>
                <w:szCs w:val="20"/>
                <w:color w:val="auto"/>
              </w:rPr>
            </w:pPr>
            <w:r>
              <w:rPr>
                <w:rFonts w:ascii="Arial" w:cs="Arial" w:eastAsia="Arial" w:hAnsi="Arial"/>
                <w:sz w:val="14"/>
                <w:szCs w:val="14"/>
                <w:color w:val="auto"/>
              </w:rPr>
              <w:t>63,985</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60" w:type="dxa"/>
            <w:vAlign w:val="bottom"/>
            <w:shd w:val="clear" w:color="auto" w:fill="CFF0FC"/>
          </w:tcPr>
          <w:p>
            <w:pPr>
              <w:spacing w:after="0"/>
              <w:rPr>
                <w:sz w:val="20"/>
                <w:szCs w:val="20"/>
                <w:color w:val="auto"/>
              </w:rPr>
            </w:pPr>
            <w:r>
              <w:rPr>
                <w:rFonts w:ascii="Arial" w:cs="Arial" w:eastAsia="Arial" w:hAnsi="Arial"/>
                <w:sz w:val="14"/>
                <w:szCs w:val="14"/>
                <w:color w:val="auto"/>
              </w:rPr>
              <w:t>Investment income from non-controlled, affiliated investments:</w:t>
            </w:r>
          </w:p>
        </w:tc>
        <w:tc>
          <w:tcPr>
            <w:tcW w:w="24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60" w:type="dxa"/>
            <w:vAlign w:val="bottom"/>
          </w:tcPr>
          <w:p>
            <w:pPr>
              <w:ind w:left="260"/>
              <w:spacing w:after="0"/>
              <w:rPr>
                <w:sz w:val="20"/>
                <w:szCs w:val="20"/>
                <w:color w:val="auto"/>
              </w:rPr>
            </w:pPr>
            <w:r>
              <w:rPr>
                <w:rFonts w:ascii="Arial" w:cs="Arial" w:eastAsia="Arial" w:hAnsi="Arial"/>
                <w:sz w:val="14"/>
                <w:szCs w:val="14"/>
                <w:color w:val="auto"/>
              </w:rPr>
              <w:t>Interest from investments</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211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1,236</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Dividend income</w:t>
            </w:r>
          </w:p>
        </w:tc>
        <w:tc>
          <w:tcPr>
            <w:tcW w:w="240" w:type="dxa"/>
            <w:vAlign w:val="bottom"/>
            <w:shd w:val="clear" w:color="auto" w:fill="CFF0FC"/>
          </w:tcPr>
          <w:p>
            <w:pPr>
              <w:spacing w:after="0"/>
              <w:rPr>
                <w:sz w:val="14"/>
                <w:szCs w:val="14"/>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545</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16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240" w:type="dxa"/>
            <w:vAlign w:val="bottom"/>
          </w:tcPr>
          <w:p>
            <w:pPr>
              <w:spacing w:after="0"/>
              <w:rPr>
                <w:sz w:val="14"/>
                <w:szCs w:val="14"/>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19</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160" w:type="dxa"/>
            <w:vAlign w:val="bottom"/>
            <w:tcBorders>
              <w:top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investment income from non-controlled, affiliated investments</w:t>
            </w:r>
          </w:p>
        </w:tc>
        <w:tc>
          <w:tcPr>
            <w:tcW w:w="240" w:type="dxa"/>
            <w:vAlign w:val="bottom"/>
            <w:tcBorders>
              <w:top w:val="single" w:sz="8" w:color="auto"/>
            </w:tcBorders>
            <w:shd w:val="clear" w:color="auto" w:fill="CFF0FC"/>
          </w:tcPr>
          <w:p>
            <w:pPr>
              <w:spacing w:after="0"/>
              <w:rPr>
                <w:sz w:val="13"/>
                <w:szCs w:val="13"/>
                <w:color w:val="auto"/>
              </w:rPr>
            </w:pPr>
          </w:p>
        </w:tc>
        <w:tc>
          <w:tcPr>
            <w:tcW w:w="1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756</w:t>
            </w: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1,255</w:t>
            </w:r>
          </w:p>
        </w:tc>
        <w:tc>
          <w:tcPr>
            <w:tcW w:w="3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60" w:type="dxa"/>
            <w:vAlign w:val="bottom"/>
          </w:tcPr>
          <w:p>
            <w:pPr>
              <w:spacing w:after="0"/>
              <w:rPr>
                <w:sz w:val="20"/>
                <w:szCs w:val="20"/>
                <w:color w:val="auto"/>
              </w:rPr>
            </w:pPr>
            <w:r>
              <w:rPr>
                <w:rFonts w:ascii="Arial" w:cs="Arial" w:eastAsia="Arial" w:hAnsi="Arial"/>
                <w:sz w:val="14"/>
                <w:szCs w:val="14"/>
                <w:color w:val="auto"/>
              </w:rPr>
              <w:t>Investment income from controlled, affiliated investments:</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from investments</w:t>
            </w:r>
          </w:p>
        </w:tc>
        <w:tc>
          <w:tcPr>
            <w:tcW w:w="240" w:type="dxa"/>
            <w:vAlign w:val="bottom"/>
            <w:shd w:val="clear" w:color="auto" w:fill="CFF0FC"/>
          </w:tcPr>
          <w:p>
            <w:pPr>
              <w:spacing w:after="0"/>
              <w:rPr>
                <w:sz w:val="14"/>
                <w:szCs w:val="14"/>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936</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1,027</w:t>
            </w:r>
          </w:p>
        </w:tc>
        <w:tc>
          <w:tcPr>
            <w:tcW w:w="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6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income</w:t>
            </w: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3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16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investment income from controlled, affiliated investments</w:t>
            </w:r>
          </w:p>
        </w:tc>
        <w:tc>
          <w:tcPr>
            <w:tcW w:w="240" w:type="dxa"/>
            <w:vAlign w:val="bottom"/>
            <w:tcBorders>
              <w:bottom w:val="single" w:sz="8" w:color="auto"/>
            </w:tcBorders>
            <w:shd w:val="clear" w:color="auto" w:fill="CFF0FC"/>
          </w:tcPr>
          <w:p>
            <w:pPr>
              <w:spacing w:after="0"/>
              <w:rPr>
                <w:sz w:val="13"/>
                <w:szCs w:val="13"/>
                <w:color w:val="auto"/>
              </w:rPr>
            </w:pPr>
          </w:p>
        </w:tc>
        <w:tc>
          <w:tcPr>
            <w:tcW w:w="15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937</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5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1,030</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16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2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66,242</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66,270</w:t>
            </w:r>
          </w:p>
        </w:tc>
        <w:tc>
          <w:tcPr>
            <w:tcW w:w="3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1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60" w:type="dxa"/>
            <w:vAlign w:val="bottom"/>
          </w:tcPr>
          <w:p>
            <w:pPr>
              <w:spacing w:after="0"/>
              <w:rPr>
                <w:sz w:val="20"/>
                <w:szCs w:val="20"/>
                <w:color w:val="auto"/>
              </w:rPr>
            </w:pPr>
            <w:r>
              <w:rPr>
                <w:rFonts w:ascii="Arial" w:cs="Arial" w:eastAsia="Arial" w:hAnsi="Arial"/>
                <w:sz w:val="14"/>
                <w:szCs w:val="14"/>
                <w:color w:val="auto"/>
              </w:rPr>
              <w:t>Interest</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8,953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12,910</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60" w:type="dxa"/>
            <w:vAlign w:val="bottom"/>
            <w:shd w:val="clear" w:color="auto" w:fill="CFF0FC"/>
          </w:tcPr>
          <w:p>
            <w:pPr>
              <w:spacing w:after="0"/>
              <w:rPr>
                <w:sz w:val="20"/>
                <w:szCs w:val="20"/>
                <w:color w:val="auto"/>
              </w:rPr>
            </w:pPr>
            <w:r>
              <w:rPr>
                <w:rFonts w:ascii="Arial" w:cs="Arial" w:eastAsia="Arial" w:hAnsi="Arial"/>
                <w:sz w:val="14"/>
                <w:szCs w:val="14"/>
                <w:color w:val="auto"/>
              </w:rPr>
              <w:t>Management fees</w:t>
            </w:r>
          </w:p>
        </w:tc>
        <w:tc>
          <w:tcPr>
            <w:tcW w:w="240" w:type="dxa"/>
            <w:vAlign w:val="bottom"/>
            <w:shd w:val="clear" w:color="auto" w:fill="CFF0FC"/>
          </w:tcPr>
          <w:p>
            <w:pPr>
              <w:spacing w:after="0"/>
              <w:rPr>
                <w:sz w:val="14"/>
                <w:szCs w:val="14"/>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8,738</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8,165</w:t>
            </w:r>
          </w:p>
        </w:tc>
        <w:tc>
          <w:tcPr>
            <w:tcW w:w="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60" w:type="dxa"/>
            <w:vAlign w:val="bottom"/>
          </w:tcPr>
          <w:p>
            <w:pPr>
              <w:spacing w:after="0"/>
              <w:rPr>
                <w:sz w:val="20"/>
                <w:szCs w:val="20"/>
                <w:color w:val="auto"/>
              </w:rPr>
            </w:pPr>
            <w:r>
              <w:rPr>
                <w:rFonts w:ascii="Arial" w:cs="Arial" w:eastAsia="Arial" w:hAnsi="Arial"/>
                <w:sz w:val="14"/>
                <w:szCs w:val="14"/>
                <w:color w:val="auto"/>
              </w:rPr>
              <w:t>Incentive fees</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12,326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7,140</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60" w:type="dxa"/>
            <w:vAlign w:val="bottom"/>
            <w:shd w:val="clear" w:color="auto" w:fill="CFF0FC"/>
          </w:tcPr>
          <w:p>
            <w:pPr>
              <w:spacing w:after="0"/>
              <w:rPr>
                <w:sz w:val="20"/>
                <w:szCs w:val="20"/>
                <w:color w:val="auto"/>
              </w:rPr>
            </w:pPr>
            <w:r>
              <w:rPr>
                <w:rFonts w:ascii="Arial" w:cs="Arial" w:eastAsia="Arial" w:hAnsi="Arial"/>
                <w:sz w:val="14"/>
                <w:szCs w:val="14"/>
                <w:color w:val="auto"/>
              </w:rPr>
              <w:t>Professional fees</w:t>
            </w:r>
          </w:p>
        </w:tc>
        <w:tc>
          <w:tcPr>
            <w:tcW w:w="240" w:type="dxa"/>
            <w:vAlign w:val="bottom"/>
            <w:shd w:val="clear" w:color="auto" w:fill="CFF0FC"/>
          </w:tcPr>
          <w:p>
            <w:pPr>
              <w:spacing w:after="0"/>
              <w:rPr>
                <w:sz w:val="14"/>
                <w:szCs w:val="14"/>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1,395</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1,645</w:t>
            </w:r>
          </w:p>
        </w:tc>
        <w:tc>
          <w:tcPr>
            <w:tcW w:w="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60" w:type="dxa"/>
            <w:vAlign w:val="bottom"/>
          </w:tcPr>
          <w:p>
            <w:pPr>
              <w:spacing w:after="0"/>
              <w:rPr>
                <w:sz w:val="20"/>
                <w:szCs w:val="20"/>
                <w:color w:val="auto"/>
              </w:rPr>
            </w:pPr>
            <w:r>
              <w:rPr>
                <w:rFonts w:ascii="Arial" w:cs="Arial" w:eastAsia="Arial" w:hAnsi="Arial"/>
                <w:sz w:val="14"/>
                <w:szCs w:val="14"/>
                <w:color w:val="auto"/>
              </w:rPr>
              <w:t>Directors’ fees</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194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228</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60" w:type="dxa"/>
            <w:vAlign w:val="bottom"/>
            <w:shd w:val="clear" w:color="auto" w:fill="CFF0FC"/>
          </w:tcPr>
          <w:p>
            <w:pPr>
              <w:spacing w:after="0"/>
              <w:rPr>
                <w:sz w:val="20"/>
                <w:szCs w:val="20"/>
                <w:color w:val="auto"/>
              </w:rPr>
            </w:pPr>
            <w:r>
              <w:rPr>
                <w:rFonts w:ascii="Arial" w:cs="Arial" w:eastAsia="Arial" w:hAnsi="Arial"/>
                <w:sz w:val="14"/>
                <w:szCs w:val="14"/>
                <w:color w:val="auto"/>
              </w:rPr>
              <w:t>Other general and administrative</w:t>
            </w:r>
          </w:p>
        </w:tc>
        <w:tc>
          <w:tcPr>
            <w:tcW w:w="240" w:type="dxa"/>
            <w:vAlign w:val="bottom"/>
            <w:tcBorders>
              <w:bottom w:val="single" w:sz="8" w:color="auto"/>
            </w:tcBorders>
            <w:shd w:val="clear" w:color="auto" w:fill="CFF0FC"/>
          </w:tcPr>
          <w:p>
            <w:pPr>
              <w:spacing w:after="0"/>
              <w:rPr>
                <w:sz w:val="14"/>
                <w:szCs w:val="14"/>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1,866</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1,510</w:t>
            </w:r>
          </w:p>
        </w:tc>
        <w:tc>
          <w:tcPr>
            <w:tcW w:w="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16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expenses</w:t>
            </w:r>
          </w:p>
        </w:tc>
        <w:tc>
          <w:tcPr>
            <w:tcW w:w="2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33,472</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31,598</w:t>
            </w:r>
          </w:p>
        </w:tc>
        <w:tc>
          <w:tcPr>
            <w:tcW w:w="3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1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Management and incentive fees waived</w:t>
            </w:r>
          </w:p>
        </w:tc>
        <w:tc>
          <w:tcPr>
            <w:tcW w:w="240" w:type="dxa"/>
            <w:vAlign w:val="bottom"/>
            <w:tcBorders>
              <w:bottom w:val="single" w:sz="8" w:color="auto"/>
            </w:tcBorders>
            <w:shd w:val="clear" w:color="auto" w:fill="CFF0FC"/>
          </w:tcPr>
          <w:p>
            <w:pPr>
              <w:spacing w:after="0"/>
              <w:rPr>
                <w:sz w:val="13"/>
                <w:szCs w:val="13"/>
                <w:color w:val="auto"/>
              </w:rPr>
            </w:pPr>
          </w:p>
        </w:tc>
        <w:tc>
          <w:tcPr>
            <w:tcW w:w="15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5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16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b w:val="1"/>
                <w:bCs w:val="1"/>
                <w:color w:val="auto"/>
              </w:rPr>
              <w:t>Net Expenses</w:t>
            </w:r>
          </w:p>
        </w:tc>
        <w:tc>
          <w:tcPr>
            <w:tcW w:w="2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33,472</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31,598</w:t>
            </w:r>
          </w:p>
        </w:tc>
        <w:tc>
          <w:tcPr>
            <w:tcW w:w="3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1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Investment Income Before Income Taxes</w:t>
            </w:r>
          </w:p>
        </w:tc>
        <w:tc>
          <w:tcPr>
            <w:tcW w:w="24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32,770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34,672</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Income taxes, including excise taxes</w:t>
            </w: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1,010</w:t>
            </w:r>
          </w:p>
        </w:tc>
        <w:tc>
          <w:tcPr>
            <w:tcW w:w="3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1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Investment Income</w:t>
            </w:r>
          </w:p>
        </w:tc>
        <w:tc>
          <w:tcPr>
            <w:tcW w:w="24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32,310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33,662</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60" w:type="dxa"/>
            <w:vAlign w:val="bottom"/>
          </w:tcPr>
          <w:p>
            <w:pPr>
              <w:spacing w:after="0"/>
              <w:rPr>
                <w:sz w:val="20"/>
                <w:szCs w:val="20"/>
                <w:color w:val="auto"/>
              </w:rPr>
            </w:pPr>
            <w:r>
              <w:rPr>
                <w:rFonts w:ascii="Arial" w:cs="Arial" w:eastAsia="Arial" w:hAnsi="Arial"/>
                <w:sz w:val="14"/>
                <w:szCs w:val="14"/>
                <w:b w:val="1"/>
                <w:bCs w:val="1"/>
                <w:color w:val="auto"/>
              </w:rPr>
              <w:t>Unrealized and Realized Gains (Losses)</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60" w:type="dxa"/>
            <w:vAlign w:val="bottom"/>
            <w:shd w:val="clear" w:color="auto" w:fill="CFF0FC"/>
          </w:tcPr>
          <w:p>
            <w:pPr>
              <w:spacing w:after="0"/>
              <w:rPr>
                <w:sz w:val="20"/>
                <w:szCs w:val="20"/>
                <w:color w:val="auto"/>
              </w:rPr>
            </w:pPr>
            <w:r>
              <w:rPr>
                <w:rFonts w:ascii="Arial" w:cs="Arial" w:eastAsia="Arial" w:hAnsi="Arial"/>
                <w:sz w:val="14"/>
                <w:szCs w:val="14"/>
                <w:color w:val="auto"/>
              </w:rPr>
              <w:t>Net change in unrealized gains (losses):</w:t>
            </w:r>
          </w:p>
        </w:tc>
        <w:tc>
          <w:tcPr>
            <w:tcW w:w="24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6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9,363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4"/>
                <w:szCs w:val="14"/>
                <w:color w:val="auto"/>
              </w:rPr>
              <w:t>(92,759)</w:t>
            </w:r>
          </w:p>
        </w:tc>
        <w:tc>
          <w:tcPr>
            <w:tcW w:w="0" w:type="dxa"/>
            <w:vAlign w:val="bottom"/>
          </w:tcPr>
          <w:p>
            <w:pPr>
              <w:spacing w:after="0"/>
              <w:rPr>
                <w:sz w:val="1"/>
                <w:szCs w:val="1"/>
                <w:color w:val="auto"/>
              </w:rPr>
            </w:pPr>
          </w:p>
        </w:tc>
      </w:tr>
      <w:tr>
        <w:trPr>
          <w:trHeight w:val="162"/>
        </w:trPr>
        <w:tc>
          <w:tcPr>
            <w:tcW w:w="7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Non-controlled, affiliated investments</w:t>
            </w:r>
          </w:p>
        </w:tc>
        <w:tc>
          <w:tcPr>
            <w:tcW w:w="240" w:type="dxa"/>
            <w:vAlign w:val="bottom"/>
            <w:shd w:val="clear" w:color="auto" w:fill="CFF0FC"/>
          </w:tcPr>
          <w:p>
            <w:pPr>
              <w:spacing w:after="0"/>
              <w:rPr>
                <w:sz w:val="14"/>
                <w:szCs w:val="14"/>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2,082</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(1,394)</w:t>
            </w:r>
          </w:p>
        </w:tc>
        <w:tc>
          <w:tcPr>
            <w:tcW w:w="0" w:type="dxa"/>
            <w:vAlign w:val="bottom"/>
          </w:tcPr>
          <w:p>
            <w:pPr>
              <w:spacing w:after="0"/>
              <w:rPr>
                <w:sz w:val="1"/>
                <w:szCs w:val="1"/>
                <w:color w:val="auto"/>
              </w:rPr>
            </w:pPr>
          </w:p>
        </w:tc>
      </w:tr>
      <w:tr>
        <w:trPr>
          <w:trHeight w:val="162"/>
        </w:trPr>
        <w:tc>
          <w:tcPr>
            <w:tcW w:w="7160" w:type="dxa"/>
            <w:vAlign w:val="bottom"/>
          </w:tcPr>
          <w:p>
            <w:pPr>
              <w:ind w:left="260"/>
              <w:spacing w:after="0"/>
              <w:rPr>
                <w:sz w:val="20"/>
                <w:szCs w:val="20"/>
                <w:color w:val="auto"/>
              </w:rPr>
            </w:pPr>
            <w:r>
              <w:rPr>
                <w:rFonts w:ascii="Arial" w:cs="Arial" w:eastAsia="Arial" w:hAnsi="Arial"/>
                <w:sz w:val="14"/>
                <w:szCs w:val="14"/>
                <w:color w:val="auto"/>
              </w:rPr>
              <w:t>Controlled, affiliated investments</w:t>
            </w:r>
          </w:p>
        </w:tc>
        <w:tc>
          <w:tcPr>
            <w:tcW w:w="240" w:type="dxa"/>
            <w:vAlign w:val="bottom"/>
          </w:tcPr>
          <w:p>
            <w:pPr>
              <w:spacing w:after="0"/>
              <w:rPr>
                <w:sz w:val="14"/>
                <w:szCs w:val="14"/>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4"/>
                <w:szCs w:val="14"/>
                <w:color w:val="auto"/>
              </w:rPr>
              <w:t>(13,507)</w:t>
            </w:r>
          </w:p>
        </w:tc>
        <w:tc>
          <w:tcPr>
            <w:tcW w:w="0" w:type="dxa"/>
            <w:vAlign w:val="bottom"/>
          </w:tcPr>
          <w:p>
            <w:pPr>
              <w:spacing w:after="0"/>
              <w:rPr>
                <w:sz w:val="1"/>
                <w:szCs w:val="1"/>
                <w:color w:val="auto"/>
              </w:rPr>
            </w:pPr>
          </w:p>
        </w:tc>
      </w:tr>
      <w:tr>
        <w:trPr>
          <w:trHeight w:val="162"/>
        </w:trPr>
        <w:tc>
          <w:tcPr>
            <w:tcW w:w="7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Translation of other assets and liabilities in foreign currencies</w:t>
            </w:r>
          </w:p>
        </w:tc>
        <w:tc>
          <w:tcPr>
            <w:tcW w:w="240" w:type="dxa"/>
            <w:vAlign w:val="bottom"/>
            <w:shd w:val="clear" w:color="auto" w:fill="CFF0FC"/>
          </w:tcPr>
          <w:p>
            <w:pPr>
              <w:spacing w:after="0"/>
              <w:rPr>
                <w:sz w:val="14"/>
                <w:szCs w:val="14"/>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13,799</w:t>
            </w:r>
          </w:p>
        </w:tc>
        <w:tc>
          <w:tcPr>
            <w:tcW w:w="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60" w:type="dxa"/>
            <w:vAlign w:val="bottom"/>
          </w:tcPr>
          <w:p>
            <w:pPr>
              <w:ind w:left="260"/>
              <w:spacing w:after="0"/>
              <w:rPr>
                <w:sz w:val="20"/>
                <w:szCs w:val="20"/>
                <w:color w:val="auto"/>
              </w:rPr>
            </w:pPr>
            <w:r>
              <w:rPr>
                <w:rFonts w:ascii="Arial" w:cs="Arial" w:eastAsia="Arial" w:hAnsi="Arial"/>
                <w:sz w:val="14"/>
                <w:szCs w:val="14"/>
                <w:color w:val="auto"/>
              </w:rPr>
              <w:t>Interest rate swaps</w:t>
            </w:r>
          </w:p>
        </w:tc>
        <w:tc>
          <w:tcPr>
            <w:tcW w:w="240" w:type="dxa"/>
            <w:vAlign w:val="bottom"/>
          </w:tcPr>
          <w:p>
            <w:pPr>
              <w:spacing w:after="0"/>
              <w:rPr>
                <w:sz w:val="14"/>
                <w:szCs w:val="14"/>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(1,822)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9,181</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16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Total net change in unrealized gains (losses)</w:t>
            </w: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15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9,755</w:t>
            </w: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15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(84,680)</w:t>
            </w:r>
          </w:p>
        </w:tc>
        <w:tc>
          <w:tcPr>
            <w:tcW w:w="3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160" w:type="dxa"/>
            <w:vAlign w:val="bottom"/>
          </w:tcPr>
          <w:p>
            <w:pPr>
              <w:spacing w:after="0" w:line="155" w:lineRule="exact"/>
              <w:rPr>
                <w:sz w:val="20"/>
                <w:szCs w:val="20"/>
                <w:color w:val="auto"/>
              </w:rPr>
            </w:pPr>
            <w:r>
              <w:rPr>
                <w:rFonts w:ascii="Arial" w:cs="Arial" w:eastAsia="Arial" w:hAnsi="Arial"/>
                <w:sz w:val="14"/>
                <w:szCs w:val="14"/>
                <w:color w:val="auto"/>
              </w:rPr>
              <w:t>Realized gains (losses):</w:t>
            </w: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240" w:type="dxa"/>
            <w:vAlign w:val="bottom"/>
            <w:shd w:val="clear" w:color="auto" w:fill="CFF0FC"/>
          </w:tcPr>
          <w:p>
            <w:pPr>
              <w:spacing w:after="0"/>
              <w:rPr>
                <w:sz w:val="14"/>
                <w:szCs w:val="14"/>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14,619</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w:t>
            </w:r>
          </w:p>
        </w:tc>
        <w:tc>
          <w:tcPr>
            <w:tcW w:w="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60" w:type="dxa"/>
            <w:vAlign w:val="bottom"/>
          </w:tcPr>
          <w:p>
            <w:pPr>
              <w:ind w:left="260"/>
              <w:spacing w:after="0"/>
              <w:rPr>
                <w:sz w:val="20"/>
                <w:szCs w:val="20"/>
                <w:color w:val="auto"/>
              </w:rPr>
            </w:pPr>
            <w:r>
              <w:rPr>
                <w:rFonts w:ascii="Arial" w:cs="Arial" w:eastAsia="Arial" w:hAnsi="Arial"/>
                <w:sz w:val="14"/>
                <w:szCs w:val="14"/>
                <w:color w:val="auto"/>
              </w:rPr>
              <w:t>Non-controlled, affiliated investments</w:t>
            </w:r>
          </w:p>
        </w:tc>
        <w:tc>
          <w:tcPr>
            <w:tcW w:w="240" w:type="dxa"/>
            <w:vAlign w:val="bottom"/>
          </w:tcPr>
          <w:p>
            <w:pPr>
              <w:spacing w:after="0"/>
              <w:rPr>
                <w:sz w:val="14"/>
                <w:szCs w:val="14"/>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Controlled, affiliated investments</w:t>
            </w:r>
          </w:p>
        </w:tc>
        <w:tc>
          <w:tcPr>
            <w:tcW w:w="24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(2,097)</w:t>
            </w:r>
          </w:p>
        </w:tc>
        <w:tc>
          <w:tcPr>
            <w:tcW w:w="0" w:type="dxa"/>
            <w:vAlign w:val="bottom"/>
          </w:tcPr>
          <w:p>
            <w:pPr>
              <w:spacing w:after="0"/>
              <w:rPr>
                <w:sz w:val="1"/>
                <w:szCs w:val="1"/>
                <w:color w:val="auto"/>
              </w:rPr>
            </w:pPr>
          </w:p>
        </w:tc>
      </w:tr>
      <w:tr>
        <w:trPr>
          <w:trHeight w:val="162"/>
        </w:trPr>
        <w:tc>
          <w:tcPr>
            <w:tcW w:w="7160" w:type="dxa"/>
            <w:vAlign w:val="bottom"/>
          </w:tcPr>
          <w:p>
            <w:pPr>
              <w:ind w:left="260"/>
              <w:spacing w:after="0"/>
              <w:rPr>
                <w:sz w:val="20"/>
                <w:szCs w:val="20"/>
                <w:color w:val="auto"/>
              </w:rPr>
            </w:pPr>
            <w:r>
              <w:rPr>
                <w:rFonts w:ascii="Arial" w:cs="Arial" w:eastAsia="Arial" w:hAnsi="Arial"/>
                <w:sz w:val="14"/>
                <w:szCs w:val="14"/>
                <w:color w:val="auto"/>
              </w:rPr>
              <w:t>Foreign currency transactions</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55"/>
        </w:trPr>
        <w:tc>
          <w:tcPr>
            <w:tcW w:w="716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Total net realized gains (losses)</w:t>
            </w: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15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14,587</w:t>
            </w: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15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(2,081)</w:t>
            </w:r>
          </w:p>
        </w:tc>
        <w:tc>
          <w:tcPr>
            <w:tcW w:w="3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160" w:type="dxa"/>
            <w:vAlign w:val="bottom"/>
            <w:tcBorders>
              <w:bottom w:val="single" w:sz="8" w:color="CFF0FC"/>
            </w:tcBorders>
          </w:tcPr>
          <w:p>
            <w:pPr>
              <w:ind w:left="1000"/>
              <w:spacing w:after="0" w:line="155" w:lineRule="exact"/>
              <w:rPr>
                <w:sz w:val="20"/>
                <w:szCs w:val="20"/>
                <w:color w:val="auto"/>
              </w:rPr>
            </w:pPr>
            <w:r>
              <w:rPr>
                <w:rFonts w:ascii="Arial" w:cs="Arial" w:eastAsia="Arial" w:hAnsi="Arial"/>
                <w:sz w:val="14"/>
                <w:szCs w:val="14"/>
                <w:b w:val="1"/>
                <w:bCs w:val="1"/>
                <w:color w:val="auto"/>
              </w:rPr>
              <w:t>Total Net Unrealized and Realized Gains (Losses)</w:t>
            </w:r>
          </w:p>
        </w:tc>
        <w:tc>
          <w:tcPr>
            <w:tcW w:w="2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24,342</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(86,761)</w:t>
            </w:r>
          </w:p>
        </w:tc>
        <w:tc>
          <w:tcPr>
            <w:tcW w:w="3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160" w:type="dxa"/>
            <w:vAlign w:val="bottom"/>
            <w:tcBorders>
              <w:bottom w:val="single" w:sz="8" w:color="CFF0FC"/>
            </w:tcBorders>
            <w:shd w:val="clear" w:color="auto" w:fill="CFF0FC"/>
          </w:tcPr>
          <w:p>
            <w:pPr>
              <w:ind w:left="1000"/>
              <w:spacing w:after="0" w:line="155" w:lineRule="exact"/>
              <w:rPr>
                <w:sz w:val="20"/>
                <w:szCs w:val="20"/>
                <w:color w:val="auto"/>
              </w:rPr>
            </w:pPr>
            <w:r>
              <w:rPr>
                <w:rFonts w:ascii="Arial" w:cs="Arial" w:eastAsia="Arial" w:hAnsi="Arial"/>
                <w:sz w:val="14"/>
                <w:szCs w:val="14"/>
                <w:b w:val="1"/>
                <w:bCs w:val="1"/>
                <w:color w:val="auto"/>
              </w:rPr>
              <w:t>Increase (Decrease) in Net Assets Resulting from Operations</w:t>
            </w:r>
          </w:p>
        </w:tc>
        <w:tc>
          <w:tcPr>
            <w:tcW w:w="24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56,652</w:t>
            </w:r>
          </w:p>
        </w:tc>
        <w:tc>
          <w:tcPr>
            <w:tcW w:w="1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(53,099)</w:t>
            </w:r>
          </w:p>
        </w:tc>
        <w:tc>
          <w:tcPr>
            <w:tcW w:w="3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4"/>
                <w:szCs w:val="14"/>
                <w:color w:val="auto"/>
              </w:rPr>
              <w:t>Earnings (Loss) per common share—basic</w:t>
            </w: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60" w:type="dxa"/>
            <w:vAlign w:val="bottom"/>
            <w:tcBorders>
              <w:bottom w:val="single" w:sz="8" w:color="CFF0FC"/>
            </w:tcBorders>
            <w:vMerge w:val="continue"/>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0.81</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(0.80)</w:t>
            </w:r>
          </w:p>
        </w:tc>
        <w:tc>
          <w:tcPr>
            <w:tcW w:w="3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1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Weighted average shares of common stock outstanding—basic</w:t>
            </w:r>
          </w:p>
        </w:tc>
        <w:tc>
          <w:tcPr>
            <w:tcW w:w="240" w:type="dxa"/>
            <w:vAlign w:val="bottom"/>
            <w:tcBorders>
              <w:bottom w:val="single" w:sz="8" w:color="auto"/>
            </w:tcBorders>
            <w:shd w:val="clear" w:color="auto" w:fill="CFF0FC"/>
          </w:tcPr>
          <w:p>
            <w:pPr>
              <w:spacing w:after="0"/>
              <w:rPr>
                <w:sz w:val="13"/>
                <w:szCs w:val="13"/>
                <w:color w:val="auto"/>
              </w:rPr>
            </w:pPr>
          </w:p>
        </w:tc>
        <w:tc>
          <w:tcPr>
            <w:tcW w:w="15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69,691,162</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5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66,656,280</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16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Earnings (Loss) per common share—diluted</w:t>
            </w: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0.75</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(0.80)</w:t>
            </w:r>
          </w:p>
        </w:tc>
        <w:tc>
          <w:tcPr>
            <w:tcW w:w="3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1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Weighted average shares of common stock outstanding—diluted</w:t>
            </w:r>
          </w:p>
        </w:tc>
        <w:tc>
          <w:tcPr>
            <w:tcW w:w="240" w:type="dxa"/>
            <w:vAlign w:val="bottom"/>
            <w:tcBorders>
              <w:bottom w:val="single" w:sz="8" w:color="auto"/>
            </w:tcBorders>
            <w:shd w:val="clear" w:color="auto" w:fill="CFF0FC"/>
          </w:tcPr>
          <w:p>
            <w:pPr>
              <w:spacing w:after="0"/>
              <w:rPr>
                <w:sz w:val="13"/>
                <w:szCs w:val="13"/>
                <w:color w:val="auto"/>
              </w:rPr>
            </w:pPr>
          </w:p>
        </w:tc>
        <w:tc>
          <w:tcPr>
            <w:tcW w:w="15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77,356,492</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5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66,656,280</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ind w:right="20"/>
        <w:spacing w:after="0" w:line="277" w:lineRule="auto"/>
        <w:rPr>
          <w:sz w:val="20"/>
          <w:szCs w:val="20"/>
          <w:color w:val="auto"/>
        </w:rPr>
      </w:pPr>
      <w:r>
        <w:rPr>
          <w:rFonts w:ascii="Arial" w:cs="Arial" w:eastAsia="Arial" w:hAnsi="Arial"/>
          <w:sz w:val="18"/>
          <w:szCs w:val="18"/>
          <w:color w:val="auto"/>
        </w:rPr>
        <w:t>The Company’s investment activity for quarter ended March 31, 2021 and 2020 is presented below (information presented herein is at par value unless otherwise indicated).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60" w:type="dxa"/>
            <w:vAlign w:val="bottom"/>
            <w:gridSpan w:val="6"/>
          </w:tcPr>
          <w:p>
            <w:pPr>
              <w:jc w:val="right"/>
              <w:ind w:right="12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5"/>
        </w:trPr>
        <w:tc>
          <w:tcPr>
            <w:tcW w:w="5680" w:type="dxa"/>
            <w:vAlign w:val="bottom"/>
            <w:vMerge w:val="continue"/>
          </w:tcPr>
          <w:p>
            <w:pPr>
              <w:spacing w:after="0"/>
              <w:rPr>
                <w:sz w:val="13"/>
                <w:szCs w:val="13"/>
                <w:color w:val="auto"/>
              </w:rPr>
            </w:pPr>
          </w:p>
        </w:tc>
        <w:tc>
          <w:tcPr>
            <w:tcW w:w="19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2"/>
          </w:tcPr>
          <w:p>
            <w:pPr>
              <w:jc w:val="right"/>
              <w:ind w:right="660"/>
              <w:spacing w:after="0" w:line="155" w:lineRule="exact"/>
              <w:rPr>
                <w:sz w:val="20"/>
                <w:szCs w:val="20"/>
                <w:color w:val="auto"/>
              </w:rPr>
            </w:pPr>
            <w:r>
              <w:rPr>
                <w:rFonts w:ascii="Arial" w:cs="Arial" w:eastAsia="Arial" w:hAnsi="Arial"/>
                <w:sz w:val="14"/>
                <w:szCs w:val="14"/>
                <w:b w:val="1"/>
                <w:bCs w:val="1"/>
                <w:color w:val="auto"/>
              </w:rPr>
              <w:t>March 31, 2021</w:t>
            </w:r>
          </w:p>
        </w:tc>
        <w:tc>
          <w:tcPr>
            <w:tcW w:w="1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March 31, 2020</w:t>
            </w: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19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Gross originations</w:t>
            </w:r>
          </w:p>
        </w:tc>
        <w:tc>
          <w:tcPr>
            <w:tcW w:w="21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381.6</w:t>
            </w:r>
          </w:p>
        </w:tc>
        <w:tc>
          <w:tcPr>
            <w:tcW w:w="3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247.9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Syndications/sell downs</w:t>
            </w:r>
          </w:p>
        </w:tc>
        <w:tc>
          <w:tcPr>
            <w:tcW w:w="19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w:t>
            </w:r>
          </w:p>
        </w:tc>
        <w:tc>
          <w:tcPr>
            <w:tcW w:w="3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Pr>
          <w:p>
            <w:pPr>
              <w:ind w:left="500"/>
              <w:spacing w:after="0"/>
              <w:rPr>
                <w:sz w:val="20"/>
                <w:szCs w:val="20"/>
                <w:color w:val="auto"/>
              </w:rPr>
            </w:pPr>
            <w:r>
              <w:rPr>
                <w:rFonts w:ascii="Arial" w:cs="Arial" w:eastAsia="Arial" w:hAnsi="Arial"/>
                <w:sz w:val="18"/>
                <w:szCs w:val="18"/>
                <w:color w:val="auto"/>
              </w:rPr>
              <w:t>Total new investment commitments</w:t>
            </w:r>
          </w:p>
        </w:tc>
        <w:tc>
          <w:tcPr>
            <w:tcW w:w="19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145.4</w:t>
            </w:r>
          </w:p>
        </w:tc>
        <w:tc>
          <w:tcPr>
            <w:tcW w:w="3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134.0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21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129.2</w:t>
            </w:r>
          </w:p>
        </w:tc>
        <w:tc>
          <w:tcPr>
            <w:tcW w:w="3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79.8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Mezzanine</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Pr>
          <w:p>
            <w:pPr>
              <w:ind w:left="500"/>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36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21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81.1</w:t>
            </w:r>
          </w:p>
        </w:tc>
        <w:tc>
          <w:tcPr>
            <w:tcW w:w="3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211.9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Mezzanine</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3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68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w:t>
            </w:r>
          </w:p>
        </w:tc>
        <w:tc>
          <w:tcPr>
            <w:tcW w:w="1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1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21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36.3</w:t>
            </w:r>
          </w:p>
        </w:tc>
        <w:tc>
          <w:tcPr>
            <w:tcW w:w="36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1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 in new portfolio companies</w:t>
            </w:r>
          </w:p>
        </w:tc>
        <w:tc>
          <w:tcPr>
            <w:tcW w:w="1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1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at floating rates</w:t>
            </w: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1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w:t>
            </w:r>
          </w:p>
        </w:tc>
        <w:tc>
          <w:tcPr>
            <w:tcW w:w="1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floating rate investment commitments</w:t>
            </w:r>
          </w:p>
        </w:tc>
        <w:tc>
          <w:tcPr>
            <w:tcW w:w="1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fully sold or paid down</w:t>
            </w: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56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44"/>
        </w:trPr>
        <w:tc>
          <w:tcPr>
            <w:tcW w:w="56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2" w:name="page13"/>
    <w:bookmarkEnd w:id="12"/>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About Sixth Street Specialty Lending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Sixth Street Specialty Lending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The Company is externally managed by Sixth Street Specialty Lending Advisers, LLC, an affiliate of Sixth Street and a Securities and Exchange Commission (“SEC”) registered investment adviser. The Company leverages the deep investment, sector, and operating resources of Sixth Street, a global investment firm with over $50 billion of assets under management. For more information, visit the Company’s website at www.sixthstreetspecialtylending.com.</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Sixth Street</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Sixth Street is a global investment firm with over $50 billion in assets under management and committed capital. We operate nine diversified, collaborative investment platforms: TAO, Growth, Specialty Lending, Fundamental Strategies, Infrastructure, Opportunities, Insurance, Agriculture, and Credit Market Strategies. Our long-term oriented, highly flexible capital base and "One Team" cultural philosophy allow us to invest thematically across sectors, geographies, and asset classes. Founded in 2009, Sixth Street has more than 320 team members including over 145 investment professionals in nine locations around the world. For more information about Sixth Street, visit www.sixthstreet.com.</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Statements included herein may constitute “forward-looking statements,” which relate to future events or the Company’s future performance or financial condition, including expectations with respect to the Company’s portfolio companies.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IRTSLX@sixthstreet.com</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Patrick Clifford, 617-793-2004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PClifford@sixthstreet.com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2021-05-04T15:19:02Z</dcterms:created>
  <dcterms:modified xsi:type="dcterms:W3CDTF">2021-05-04T15:19:02Z</dcterms:modified>
</cp:coreProperties>
</file>