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2891155</wp:posOffset>
            </wp:positionH>
            <wp:positionV relativeFrom="page">
              <wp:posOffset>157480</wp:posOffset>
            </wp:positionV>
            <wp:extent cx="177419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74190" cy="7543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March 12,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TPG Specialty Lending,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Rule 17g-1(g) Fidelity Bond Filing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 xml:space="preserve">On behalf of 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enclosed herewith for filing, pursuant to Rule 17g-1(g) under the Investment Company Act of 1940, are the following:</w:t>
      </w:r>
    </w:p>
    <w:p>
      <w:pPr>
        <w:spacing w:after="0" w:line="76" w:lineRule="exact"/>
        <w:rPr>
          <w:sz w:val="24"/>
          <w:szCs w:val="24"/>
          <w:color w:val="auto"/>
        </w:rPr>
      </w:pPr>
    </w:p>
    <w:p>
      <w:pPr>
        <w:ind w:left="960" w:hanging="532"/>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copy of the fidelity bond covering the Company, which includes a statement as to the period for which premiums have been paid; and</w:t>
      </w:r>
    </w:p>
    <w:p>
      <w:pPr>
        <w:spacing w:after="0" w:line="142" w:lineRule="exact"/>
        <w:rPr>
          <w:rFonts w:ascii="Arial" w:cs="Arial" w:eastAsia="Arial" w:hAnsi="Arial"/>
          <w:sz w:val="17"/>
          <w:szCs w:val="17"/>
          <w:color w:val="auto"/>
        </w:rPr>
      </w:pPr>
    </w:p>
    <w:p>
      <w:pPr>
        <w:ind w:left="960" w:right="22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regarding this submission, please do not hesitate to call me at (212) 601-4741.</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Ken Burke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Ken Burke</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7"/>
          <w:szCs w:val="17"/>
          <w:color w:val="auto"/>
        </w:rPr>
        <w:t>Chief Compliance Officer, Vice President and Secretary</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0980"/>
          </w:cols>
          <w:pgMar w:left="440" w:top="1440" w:right="4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SECRETARY</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undersigned, Ken Burke, Chief Compliance Officer, Vice President and Secretary of TPG Specialty Lending,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that:</w:t>
      </w:r>
    </w:p>
    <w:p>
      <w:pPr>
        <w:spacing w:after="0" w:line="76" w:lineRule="exact"/>
        <w:rPr>
          <w:sz w:val="20"/>
          <w:szCs w:val="20"/>
          <w:color w:val="auto"/>
        </w:rPr>
      </w:pPr>
    </w:p>
    <w:p>
      <w:pPr>
        <w:jc w:val="both"/>
        <w:ind w:left="96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This certificate is being delivered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the filing of the Company’s fidelity bond (the </w:t>
      </w:r>
      <w:r>
        <w:rPr>
          <w:rFonts w:ascii="Arial" w:cs="Arial" w:eastAsia="Arial" w:hAnsi="Arial"/>
          <w:sz w:val="18"/>
          <w:szCs w:val="18"/>
          <w:b w:val="1"/>
          <w:bCs w:val="1"/>
          <w:i w:val="1"/>
          <w:iCs w:val="1"/>
          <w:color w:val="auto"/>
        </w:rPr>
        <w:t>“Bond”</w:t>
      </w:r>
      <w:r>
        <w:rPr>
          <w:rFonts w:ascii="Arial" w:cs="Arial" w:eastAsia="Arial" w:hAnsi="Arial"/>
          <w:sz w:val="18"/>
          <w:szCs w:val="18"/>
          <w:color w:val="auto"/>
        </w:rPr>
        <w:t>) pursuant to Rule 17g-1 of the Investment Company Act of 1940, as amended, and the SEC is entitled to rely on this certificate for purposes of the filing.</w:t>
      </w:r>
    </w:p>
    <w:p>
      <w:pPr>
        <w:spacing w:after="0" w:line="89" w:lineRule="exact"/>
        <w:rPr>
          <w:rFonts w:ascii="Arial" w:cs="Arial" w:eastAsia="Arial" w:hAnsi="Arial"/>
          <w:sz w:val="18"/>
          <w:szCs w:val="18"/>
          <w:color w:val="auto"/>
        </w:rPr>
      </w:pPr>
    </w:p>
    <w:p>
      <w:pPr>
        <w:ind w:left="960" w:right="54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Company, and has custody of the corporate records of the Company and is a proper officer to make this certification.</w:t>
      </w:r>
    </w:p>
    <w:p>
      <w:pPr>
        <w:spacing w:after="0" w:line="75" w:lineRule="exact"/>
        <w:rPr>
          <w:rFonts w:ascii="Arial" w:cs="Arial" w:eastAsia="Arial" w:hAnsi="Arial"/>
          <w:sz w:val="18"/>
          <w:szCs w:val="18"/>
          <w:color w:val="auto"/>
        </w:rPr>
      </w:pPr>
    </w:p>
    <w:p>
      <w:pPr>
        <w:ind w:left="960" w:right="12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March 8, 2020 to March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12</w:t>
      </w:r>
      <w:r>
        <w:rPr>
          <w:rFonts w:ascii="Arial" w:cs="Arial" w:eastAsia="Arial" w:hAnsi="Arial"/>
          <w:sz w:val="15"/>
          <w:szCs w:val="15"/>
          <w:color w:val="auto"/>
        </w:rPr>
        <w:t>th</w:t>
      </w:r>
      <w:r>
        <w:rPr>
          <w:rFonts w:ascii="Arial" w:cs="Arial" w:eastAsia="Arial" w:hAnsi="Arial"/>
          <w:sz w:val="18"/>
          <w:szCs w:val="18"/>
          <w:color w:val="auto"/>
        </w:rPr>
        <w:t xml:space="preserve"> day of March,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Chief Compliance Officer, Vice President and Secretary</w:t>
      </w:r>
    </w:p>
    <w:p>
      <w:pPr>
        <w:sectPr>
          <w:pgSz w:w="11900" w:h="16838" w:orient="portrait"/>
          <w:cols w:equalWidth="0" w:num="1">
            <w:col w:w="10960"/>
          </w:cols>
          <w:pgMar w:left="440" w:top="270" w:right="4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Excerpt from the minutes of the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meeting of the Board of Directors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of TPG Specialty Lending, Inc. held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on February 19, 2020</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Approval of the Fidelity Bond</w:t>
      </w:r>
    </w:p>
    <w:p>
      <w:pPr>
        <w:spacing w:after="0" w:line="117" w:lineRule="exact"/>
        <w:rPr>
          <w:sz w:val="20"/>
          <w:szCs w:val="20"/>
          <w:color w:val="auto"/>
        </w:rPr>
      </w:pPr>
    </w:p>
    <w:p>
      <w:pPr>
        <w:ind w:left="4" w:right="100"/>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17(g) of the Investment Company Act of 1940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 and Rule 17g-1(a) thereunder require a BDC, such as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8"/>
          <w:szCs w:val="18"/>
          <w:b w:val="1"/>
          <w:bCs w:val="1"/>
          <w:i w:val="1"/>
          <w:iCs w:val="1"/>
          <w:color w:val="auto"/>
        </w:rPr>
        <w:t>“covered person”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87" w:lineRule="exact"/>
        <w:rPr>
          <w:sz w:val="20"/>
          <w:szCs w:val="20"/>
          <w:color w:val="auto"/>
        </w:rPr>
      </w:pPr>
    </w:p>
    <w:p>
      <w:pPr>
        <w:jc w:val="both"/>
        <w:ind w:left="4" w:right="3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Rule 17g-1 specifies that the bond may be in the form of (i) an individual bond for each covered person, or a schedule or blanket bond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covering such persons, (ii) a blanket bond which names the Company as the only insured (a </w:t>
      </w:r>
      <w:r>
        <w:rPr>
          <w:rFonts w:ascii="Arial" w:cs="Arial" w:eastAsia="Arial" w:hAnsi="Arial"/>
          <w:sz w:val="17"/>
          <w:szCs w:val="17"/>
          <w:b w:val="1"/>
          <w:bCs w:val="1"/>
          <w:i w:val="1"/>
          <w:iCs w:val="1"/>
          <w:color w:val="auto"/>
        </w:rPr>
        <w:t>“single insured bond”</w:t>
      </w:r>
      <w:r>
        <w:rPr>
          <w:rFonts w:ascii="Arial" w:cs="Arial" w:eastAsia="Arial" w:hAnsi="Arial"/>
          <w:sz w:val="17"/>
          <w:szCs w:val="17"/>
          <w:color w:val="auto"/>
        </w:rPr>
        <w:t xml:space="preserve">), or (iii) a bond which names the Company and one or more other parties as insureds (a </w:t>
      </w:r>
      <w:r>
        <w:rPr>
          <w:rFonts w:ascii="Arial" w:cs="Arial" w:eastAsia="Arial" w:hAnsi="Arial"/>
          <w:sz w:val="17"/>
          <w:szCs w:val="17"/>
          <w:b w:val="1"/>
          <w:bCs w:val="1"/>
          <w:i w:val="1"/>
          <w:iCs w:val="1"/>
          <w:color w:val="auto"/>
        </w:rPr>
        <w:t>“joint insured bond”</w:t>
      </w:r>
      <w:r>
        <w:rPr>
          <w:rFonts w:ascii="Arial" w:cs="Arial" w:eastAsia="Arial" w:hAnsi="Arial"/>
          <w:sz w:val="17"/>
          <w:szCs w:val="17"/>
          <w:color w:val="auto"/>
        </w:rPr>
        <w:t xml:space="preserve">), as permitted by Rule 17g-1; </w:t>
      </w:r>
      <w:r>
        <w:rPr>
          <w:rFonts w:ascii="Arial" w:cs="Arial" w:eastAsia="Arial" w:hAnsi="Arial"/>
          <w:sz w:val="17"/>
          <w:szCs w:val="17"/>
          <w:u w:val="single" w:color="auto"/>
          <w:color w:val="auto"/>
        </w:rPr>
        <w:t>and</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requires that a majority of the Board of Directors who are not “interested persons” of the Company as defined in Section 2(a)</w:t>
      </w:r>
    </w:p>
    <w:p>
      <w:pPr>
        <w:spacing w:after="0" w:line="50" w:lineRule="exact"/>
        <w:rPr>
          <w:sz w:val="20"/>
          <w:szCs w:val="20"/>
          <w:color w:val="auto"/>
        </w:rPr>
      </w:pPr>
    </w:p>
    <w:p>
      <w:pPr>
        <w:ind w:left="4" w:right="60" w:hanging="4"/>
        <w:spacing w:after="0" w:line="273" w:lineRule="auto"/>
        <w:tabs>
          <w:tab w:leader="none" w:pos="349"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Arial" w:cs="Arial" w:eastAsia="Arial" w:hAnsi="Arial"/>
          <w:sz w:val="17"/>
          <w:szCs w:val="17"/>
          <w:u w:val="single" w:color="auto"/>
          <w:color w:val="auto"/>
        </w:rPr>
        <w:t>and</w:t>
      </w:r>
    </w:p>
    <w:p>
      <w:pPr>
        <w:spacing w:after="0" w:line="172" w:lineRule="exact"/>
        <w:rPr>
          <w:sz w:val="20"/>
          <w:szCs w:val="20"/>
          <w:color w:val="auto"/>
        </w:rPr>
      </w:pPr>
    </w:p>
    <w:p>
      <w:pPr>
        <w:ind w:left="4" w:right="1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under Rule 17g-1, the Company is required to make certain filings with the SEC and give certain notices to each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Directors in connection with the bond, and designate an officer who shall make such filings and give such notices; </w:t>
      </w:r>
      <w:r>
        <w:rPr>
          <w:rFonts w:ascii="Arial" w:cs="Arial" w:eastAsia="Arial" w:hAnsi="Arial"/>
          <w:sz w:val="18"/>
          <w:szCs w:val="18"/>
          <w:u w:val="single" w:color="auto"/>
          <w:color w:val="auto"/>
        </w:rPr>
        <w:t>and</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presently a party to a single insured bond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“Current Fidelity Bond”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intends to enter into a new bond upon expiration of the Current Fidelity Bond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“New Fidelity Bond”</w:t>
      </w:r>
      <w:r>
        <w:rPr>
          <w:rFonts w:ascii="Arial" w:cs="Arial" w:eastAsia="Arial" w:hAnsi="Arial"/>
          <w:sz w:val="18"/>
          <w:szCs w:val="18"/>
          <w:color w:val="auto"/>
        </w:rPr>
        <w:t>);</w:t>
      </w:r>
    </w:p>
    <w:p>
      <w:pPr>
        <w:spacing w:after="0" w:line="225" w:lineRule="exact"/>
        <w:rPr>
          <w:sz w:val="20"/>
          <w:szCs w:val="20"/>
          <w:color w:val="auto"/>
        </w:rPr>
      </w:pPr>
    </w:p>
    <w:p>
      <w:pPr>
        <w:ind w:left="4" w:right="80"/>
        <w:spacing w:after="0" w:line="289"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having considered the expected aggregate value of the securities and funds of the Company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Current Fidelity Bond, covering the Officers and employees of the Company and insuring the Company against loss from fraudulent or dishonest acts, including larceny and embezzlement, issued by Marsh, having an aggregate coverage of $10,000,000 (the </w:t>
      </w:r>
      <w:r>
        <w:rPr>
          <w:rFonts w:ascii="Arial" w:cs="Arial" w:eastAsia="Arial" w:hAnsi="Arial"/>
          <w:sz w:val="16"/>
          <w:szCs w:val="16"/>
          <w:b w:val="1"/>
          <w:bCs w:val="1"/>
          <w:i w:val="1"/>
          <w:iCs w:val="1"/>
          <w:color w:val="auto"/>
        </w:rPr>
        <w:t>“Fidelity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Bond”</w:t>
      </w:r>
      <w:r>
        <w:rPr>
          <w:rFonts w:ascii="Arial" w:cs="Arial" w:eastAsia="Arial" w:hAnsi="Arial"/>
          <w:sz w:val="16"/>
          <w:szCs w:val="16"/>
          <w:color w:val="auto"/>
        </w:rPr>
        <w:t>), is reasonable, and the Current Fidelity Bond be, and hereby is, approved, ratified and confirmed by the Board of Directors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a majority of the Directors that are not “interested persons” of the Company under the 1940 Act (the </w:t>
      </w:r>
      <w:r>
        <w:rPr>
          <w:rFonts w:ascii="Arial" w:cs="Arial" w:eastAsia="Arial" w:hAnsi="Arial"/>
          <w:sz w:val="16"/>
          <w:szCs w:val="16"/>
          <w:b w:val="1"/>
          <w:bCs w:val="1"/>
          <w:i w:val="1"/>
          <w:iCs w:val="1"/>
          <w:color w:val="auto"/>
        </w:rPr>
        <w:t>“Independent Directors”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166" w:lineRule="exact"/>
        <w:rPr>
          <w:sz w:val="20"/>
          <w:szCs w:val="20"/>
          <w:color w:val="auto"/>
        </w:rPr>
      </w:pPr>
    </w:p>
    <w:p>
      <w:pPr>
        <w:ind w:left="4" w:right="180"/>
        <w:spacing w:after="0" w:line="289"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negotiation, execution and delivery of the New Fidelity Bond by any Authorized Officer of the Company,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substantially the same terms and with the same coverage as the Current Fidelity Bond and with annual premiums of up to 110% of the Current Fidelity Bond, be and hereby is approved by the Board of Directors of the Company, including a majority of the Independent Directors; </w:t>
      </w:r>
      <w:r>
        <w:rPr>
          <w:rFonts w:ascii="Arial" w:cs="Arial" w:eastAsia="Arial" w:hAnsi="Arial"/>
          <w:sz w:val="17"/>
          <w:szCs w:val="17"/>
          <w:u w:val="single" w:color="auto"/>
          <w:color w:val="auto"/>
        </w:rPr>
        <w:t>and</w:t>
      </w:r>
    </w:p>
    <w:p>
      <w:pPr>
        <w:sectPr>
          <w:pgSz w:w="11900" w:h="16838" w:orient="portrait"/>
          <w:cols w:equalWidth="0" w:num="1">
            <w:col w:w="11024"/>
          </w:cols>
          <w:pgMar w:left="436" w:top="270" w:right="439" w:bottom="1440" w:gutter="0" w:footer="0" w:header="0"/>
        </w:sectPr>
      </w:pPr>
    </w:p>
    <w:bookmarkStart w:id="3" w:name="page4"/>
    <w:bookmarkEnd w:id="3"/>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RESOLVED</w:t>
      </w:r>
      <w:r>
        <w:rPr>
          <w:rFonts w:ascii="Arial" w:cs="Arial" w:eastAsia="Arial" w:hAnsi="Arial"/>
          <w:sz w:val="18"/>
          <w:szCs w:val="18"/>
          <w:color w:val="auto"/>
        </w:rPr>
        <w:t>, that the Authorized Officers of the Company be, and hereby are, authorized to take all appropriate actions, with the advice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legal counsel to the Company, to provide and maintain the Fidelity Bond on behalf of the Company; </w:t>
      </w:r>
      <w:r>
        <w:rPr>
          <w:rFonts w:ascii="Arial" w:cs="Arial" w:eastAsia="Arial" w:hAnsi="Arial"/>
          <w:sz w:val="18"/>
          <w:szCs w:val="18"/>
          <w:u w:val="single" w:color="auto"/>
          <w:color w:val="auto"/>
        </w:rPr>
        <w:t>and</w:t>
      </w:r>
    </w:p>
    <w:p>
      <w:pPr>
        <w:spacing w:after="0" w:line="162" w:lineRule="exact"/>
        <w:rPr>
          <w:sz w:val="20"/>
          <w:szCs w:val="20"/>
          <w:color w:val="auto"/>
        </w:rPr>
      </w:pPr>
    </w:p>
    <w:p>
      <w:pPr>
        <w:ind w:right="380"/>
        <w:spacing w:after="0" w:line="312"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Chief Compliance Officer of the Company be, and hereby is, designated as the party responsible for making the</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filings and giving the notices with respect to such bond required by paragraph (g) of Rule 17g-1 under the 1940 Act.</w:t>
      </w:r>
    </w:p>
    <w:p>
      <w:pPr>
        <w:sectPr>
          <w:pgSz w:w="11900" w:h="16838" w:orient="portrait"/>
          <w:cols w:equalWidth="0" w:num="1">
            <w:col w:w="10980"/>
          </w:cols>
          <w:pgMar w:left="440" w:top="270" w:right="4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auto"/>
              <w:left w:val="single" w:sz="8" w:color="auto"/>
            </w:tcBorders>
          </w:tcPr>
          <w:p>
            <w:pPr>
              <w:spacing w:after="0"/>
              <w:rPr>
                <w:sz w:val="19"/>
                <w:szCs w:val="19"/>
                <w:color w:val="auto"/>
              </w:rPr>
            </w:pPr>
          </w:p>
        </w:tc>
        <w:tc>
          <w:tcPr>
            <w:tcW w:w="7280" w:type="dxa"/>
            <w:vAlign w:val="bottom"/>
            <w:tcBorders>
              <w:top w:val="single" w:sz="8" w:color="auto"/>
              <w:right w:val="single" w:sz="8" w:color="auto"/>
            </w:tcBorders>
          </w:tcPr>
          <w:p>
            <w:pPr>
              <w:jc w:val="center"/>
              <w:ind w:right="3550"/>
              <w:spacing w:after="0"/>
              <w:rPr>
                <w:sz w:val="20"/>
                <w:szCs w:val="20"/>
                <w:color w:val="auto"/>
              </w:rPr>
            </w:pPr>
            <w:r>
              <w:rPr>
                <w:rFonts w:ascii="Arial" w:cs="Arial" w:eastAsia="Arial" w:hAnsi="Arial"/>
                <w:sz w:val="18"/>
                <w:szCs w:val="18"/>
                <w:b w:val="1"/>
                <w:bCs w:val="1"/>
                <w:color w:val="auto"/>
              </w:rPr>
              <w:t>FINANCIAL INSTITUTION BOND</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jc w:val="center"/>
              <w:ind w:right="3550"/>
              <w:spacing w:after="0"/>
              <w:rPr>
                <w:sz w:val="20"/>
                <w:szCs w:val="20"/>
                <w:color w:val="auto"/>
              </w:rPr>
            </w:pPr>
            <w:r>
              <w:rPr>
                <w:rFonts w:ascii="Arial" w:cs="Arial" w:eastAsia="Arial" w:hAnsi="Arial"/>
                <w:sz w:val="18"/>
                <w:szCs w:val="18"/>
                <w:color w:val="auto"/>
                <w:w w:val="89"/>
              </w:rPr>
              <w:t>Standard Form No. 14, Revised to October, 1987</w:t>
            </w:r>
          </w:p>
        </w:tc>
        <w:tc>
          <w:tcPr>
            <w:tcW w:w="0" w:type="dxa"/>
            <w:vAlign w:val="bottom"/>
          </w:tcPr>
          <w:p>
            <w:pPr>
              <w:spacing w:after="0"/>
              <w:rPr>
                <w:sz w:val="1"/>
                <w:szCs w:val="1"/>
                <w:color w:val="auto"/>
              </w:rPr>
            </w:pPr>
          </w:p>
        </w:tc>
      </w:tr>
      <w:tr>
        <w:trPr>
          <w:trHeight w:val="432"/>
        </w:trPr>
        <w:tc>
          <w:tcPr>
            <w:tcW w:w="3760" w:type="dxa"/>
            <w:vAlign w:val="bottom"/>
            <w:tcBorders>
              <w:lef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ACE American Insurance Company</w:t>
            </w:r>
          </w:p>
        </w:tc>
        <w:tc>
          <w:tcPr>
            <w:tcW w:w="7280" w:type="dxa"/>
            <w:vAlign w:val="bottom"/>
            <w:tcBorders>
              <w:right w:val="single" w:sz="8" w:color="auto"/>
            </w:tcBorders>
          </w:tcPr>
          <w:p>
            <w:pPr>
              <w:ind w:left="4200"/>
              <w:spacing w:after="0"/>
              <w:rPr>
                <w:sz w:val="20"/>
                <w:szCs w:val="20"/>
                <w:color w:val="auto"/>
              </w:rPr>
            </w:pPr>
            <w:r>
              <w:rPr>
                <w:rFonts w:ascii="Arial" w:cs="Arial" w:eastAsia="Arial" w:hAnsi="Arial"/>
                <w:sz w:val="18"/>
                <w:szCs w:val="18"/>
                <w:b w:val="1"/>
                <w:bCs w:val="1"/>
                <w:color w:val="auto"/>
              </w:rPr>
              <w:t>Bond No. DON G25562823 006</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tcBorders>
            <w:vMerge w:val="continue"/>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760" w:type="dxa"/>
            <w:vAlign w:val="bottom"/>
            <w:tcBorders>
              <w:lef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DECLARATIONS</w:t>
            </w:r>
          </w:p>
        </w:tc>
        <w:tc>
          <w:tcPr>
            <w:tcW w:w="728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(Herein called Underwriter)</w:t>
            </w:r>
          </w:p>
        </w:tc>
        <w:tc>
          <w:tcPr>
            <w:tcW w:w="0" w:type="dxa"/>
            <w:vAlign w:val="bottom"/>
          </w:tcPr>
          <w:p>
            <w:pPr>
              <w:spacing w:after="0"/>
              <w:rPr>
                <w:sz w:val="1"/>
                <w:szCs w:val="1"/>
                <w:color w:val="auto"/>
              </w:rPr>
            </w:pPr>
          </w:p>
        </w:tc>
      </w:tr>
      <w:tr>
        <w:trPr>
          <w:trHeight w:val="198"/>
        </w:trPr>
        <w:tc>
          <w:tcPr>
            <w:tcW w:w="3760" w:type="dxa"/>
            <w:vAlign w:val="bottom"/>
            <w:tcBorders>
              <w:left w:val="single" w:sz="8" w:color="auto"/>
            </w:tcBorders>
            <w:vMerge w:val="continue"/>
          </w:tcPr>
          <w:p>
            <w:pPr>
              <w:spacing w:after="0"/>
              <w:rPr>
                <w:sz w:val="17"/>
                <w:szCs w:val="17"/>
                <w:color w:val="auto"/>
              </w:rPr>
            </w:pPr>
          </w:p>
        </w:tc>
        <w:tc>
          <w:tcPr>
            <w:tcW w:w="7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w w:val="92"/>
              </w:rPr>
              <w:t xml:space="preserve">Item 1. </w:t>
            </w:r>
            <w:r>
              <w:rPr>
                <w:rFonts w:ascii="Arial" w:cs="Arial" w:eastAsia="Arial" w:hAnsi="Arial"/>
                <w:sz w:val="18"/>
                <w:szCs w:val="18"/>
                <w:color w:val="auto"/>
                <w:w w:val="92"/>
              </w:rPr>
              <w:t>Name of Insured (herein called Insured):</w:t>
            </w:r>
          </w:p>
        </w:tc>
        <w:tc>
          <w:tcPr>
            <w:tcW w:w="72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TPG Specialty Lending, Inc.</w:t>
            </w:r>
          </w:p>
        </w:tc>
        <w:tc>
          <w:tcPr>
            <w:tcW w:w="0" w:type="dxa"/>
            <w:vAlign w:val="bottom"/>
          </w:tcPr>
          <w:p>
            <w:pPr>
              <w:spacing w:after="0"/>
              <w:rPr>
                <w:sz w:val="1"/>
                <w:szCs w:val="1"/>
                <w:color w:val="auto"/>
              </w:rPr>
            </w:pPr>
          </w:p>
        </w:tc>
      </w:tr>
      <w:tr>
        <w:trPr>
          <w:trHeight w:val="418"/>
        </w:trPr>
        <w:tc>
          <w:tcPr>
            <w:tcW w:w="3760" w:type="dxa"/>
            <w:vAlign w:val="bottom"/>
            <w:tcBorders>
              <w:left w:val="single" w:sz="8" w:color="auto"/>
            </w:tcBorders>
          </w:tcPr>
          <w:p>
            <w:pPr>
              <w:ind w:left="540"/>
              <w:spacing w:after="0"/>
              <w:rPr>
                <w:sz w:val="20"/>
                <w:szCs w:val="20"/>
                <w:color w:val="auto"/>
              </w:rPr>
            </w:pPr>
            <w:r>
              <w:rPr>
                <w:rFonts w:ascii="Arial" w:cs="Arial" w:eastAsia="Arial" w:hAnsi="Arial"/>
                <w:sz w:val="18"/>
                <w:szCs w:val="18"/>
                <w:color w:val="auto"/>
              </w:rPr>
              <w:t>Principal Address:</w:t>
            </w:r>
          </w:p>
        </w:tc>
        <w:tc>
          <w:tcPr>
            <w:tcW w:w="72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2100 McKinney Avenue, Suite 1500</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Dallas, TX 75201</w:t>
            </w:r>
          </w:p>
        </w:tc>
        <w:tc>
          <w:tcPr>
            <w:tcW w:w="0" w:type="dxa"/>
            <w:vAlign w:val="bottom"/>
          </w:tcPr>
          <w:p>
            <w:pPr>
              <w:spacing w:after="0"/>
              <w:rPr>
                <w:sz w:val="1"/>
                <w:szCs w:val="1"/>
                <w:color w:val="auto"/>
              </w:rPr>
            </w:pPr>
          </w:p>
        </w:tc>
      </w:tr>
      <w:tr>
        <w:trPr>
          <w:trHeight w:val="506"/>
        </w:trPr>
        <w:tc>
          <w:tcPr>
            <w:tcW w:w="3760" w:type="dxa"/>
            <w:vAlign w:val="bottom"/>
            <w:tcBorders>
              <w:left w:val="single" w:sz="8" w:color="auto"/>
              <w:bottom w:val="single" w:sz="8" w:color="auto"/>
            </w:tcBorders>
          </w:tcPr>
          <w:p>
            <w:pPr>
              <w:spacing w:after="0"/>
              <w:rPr>
                <w:sz w:val="24"/>
                <w:szCs w:val="24"/>
                <w:color w:val="auto"/>
              </w:rPr>
            </w:pPr>
          </w:p>
        </w:tc>
        <w:tc>
          <w:tcPr>
            <w:tcW w:w="7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20"/>
        </w:trPr>
        <w:tc>
          <w:tcPr>
            <w:tcW w:w="7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3660" w:type="dxa"/>
            <w:vAlign w:val="bottom"/>
          </w:tcPr>
          <w:p>
            <w:pPr>
              <w:ind w:left="240"/>
              <w:spacing w:after="0"/>
              <w:rPr>
                <w:sz w:val="20"/>
                <w:szCs w:val="20"/>
                <w:color w:val="auto"/>
              </w:rPr>
            </w:pPr>
            <w:r>
              <w:rPr>
                <w:rFonts w:ascii="Arial" w:cs="Arial" w:eastAsia="Arial" w:hAnsi="Arial"/>
                <w:sz w:val="18"/>
                <w:szCs w:val="18"/>
                <w:color w:val="auto"/>
              </w:rPr>
              <w:t>Bond Period: from 12:01 a.m. on</w:t>
            </w:r>
          </w:p>
        </w:tc>
        <w:tc>
          <w:tcPr>
            <w:tcW w:w="2220" w:type="dxa"/>
            <w:vAlign w:val="bottom"/>
          </w:tcPr>
          <w:p>
            <w:pPr>
              <w:jc w:val="right"/>
              <w:ind w:right="570"/>
              <w:spacing w:after="0"/>
              <w:rPr>
                <w:sz w:val="20"/>
                <w:szCs w:val="20"/>
                <w:color w:val="auto"/>
              </w:rPr>
            </w:pPr>
            <w:r>
              <w:rPr>
                <w:rFonts w:ascii="Arial" w:cs="Arial" w:eastAsia="Arial" w:hAnsi="Arial"/>
                <w:sz w:val="18"/>
                <w:szCs w:val="18"/>
                <w:color w:val="auto"/>
              </w:rPr>
              <w:t>03/08/2020</w:t>
            </w:r>
          </w:p>
        </w:tc>
        <w:tc>
          <w:tcPr>
            <w:tcW w:w="1660" w:type="dxa"/>
            <w:vAlign w:val="bottom"/>
          </w:tcPr>
          <w:p>
            <w:pPr>
              <w:ind w:left="200"/>
              <w:spacing w:after="0"/>
              <w:rPr>
                <w:sz w:val="20"/>
                <w:szCs w:val="20"/>
                <w:color w:val="auto"/>
              </w:rPr>
            </w:pPr>
            <w:r>
              <w:rPr>
                <w:rFonts w:ascii="Arial" w:cs="Arial" w:eastAsia="Arial" w:hAnsi="Arial"/>
                <w:sz w:val="18"/>
                <w:szCs w:val="18"/>
                <w:color w:val="auto"/>
              </w:rPr>
              <w:t>to 12:01 a.m. on</w:t>
            </w:r>
          </w:p>
        </w:tc>
        <w:tc>
          <w:tcPr>
            <w:tcW w:w="1360" w:type="dxa"/>
            <w:vAlign w:val="bottom"/>
          </w:tcPr>
          <w:p>
            <w:pPr>
              <w:ind w:left="300"/>
              <w:spacing w:after="0"/>
              <w:rPr>
                <w:sz w:val="20"/>
                <w:szCs w:val="20"/>
                <w:color w:val="auto"/>
              </w:rPr>
            </w:pPr>
            <w:r>
              <w:rPr>
                <w:rFonts w:ascii="Arial" w:cs="Arial" w:eastAsia="Arial" w:hAnsi="Arial"/>
                <w:sz w:val="18"/>
                <w:szCs w:val="18"/>
                <w:color w:val="auto"/>
              </w:rPr>
              <w:t>03/08/2021</w:t>
            </w:r>
          </w:p>
        </w:tc>
        <w:tc>
          <w:tcPr>
            <w:tcW w:w="1360" w:type="dxa"/>
            <w:vAlign w:val="bottom"/>
          </w:tcPr>
          <w:p>
            <w:pPr>
              <w:ind w:left="240"/>
              <w:spacing w:after="0"/>
              <w:rPr>
                <w:sz w:val="20"/>
                <w:szCs w:val="20"/>
                <w:color w:val="auto"/>
              </w:rPr>
            </w:pPr>
            <w:r>
              <w:rPr>
                <w:rFonts w:ascii="Arial" w:cs="Arial" w:eastAsia="Arial" w:hAnsi="Arial"/>
                <w:sz w:val="18"/>
                <w:szCs w:val="18"/>
                <w:color w:val="auto"/>
                <w:w w:val="93"/>
              </w:rPr>
              <w:t>Standard time.</w:t>
            </w:r>
          </w:p>
        </w:tc>
      </w:tr>
      <w:tr>
        <w:trPr>
          <w:trHeight w:val="230"/>
        </w:trPr>
        <w:tc>
          <w:tcPr>
            <w:tcW w:w="7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20" w:type="dxa"/>
            <w:vAlign w:val="bottom"/>
          </w:tcPr>
          <w:p>
            <w:pPr>
              <w:jc w:val="right"/>
              <w:ind w:right="330"/>
              <w:spacing w:after="0"/>
              <w:rPr>
                <w:sz w:val="20"/>
                <w:szCs w:val="20"/>
                <w:color w:val="auto"/>
              </w:rPr>
            </w:pPr>
            <w:r>
              <w:rPr>
                <w:rFonts w:ascii="Arial" w:cs="Arial" w:eastAsia="Arial" w:hAnsi="Arial"/>
                <w:sz w:val="18"/>
                <w:szCs w:val="18"/>
                <w:color w:val="auto"/>
                <w:w w:val="96"/>
              </w:rPr>
              <w:t>(MONTH. DAY. YEAR)</w:t>
            </w:r>
          </w:p>
        </w:tc>
        <w:tc>
          <w:tcPr>
            <w:tcW w:w="1660" w:type="dxa"/>
            <w:vAlign w:val="bottom"/>
          </w:tcPr>
          <w:p>
            <w:pPr>
              <w:spacing w:after="0"/>
              <w:rPr>
                <w:sz w:val="20"/>
                <w:szCs w:val="20"/>
                <w:color w:val="auto"/>
              </w:rPr>
            </w:pPr>
          </w:p>
        </w:tc>
        <w:tc>
          <w:tcPr>
            <w:tcW w:w="2720" w:type="dxa"/>
            <w:vAlign w:val="bottom"/>
            <w:gridSpan w:val="2"/>
          </w:tcPr>
          <w:p>
            <w:pPr>
              <w:ind w:left="300"/>
              <w:spacing w:after="0"/>
              <w:rPr>
                <w:sz w:val="20"/>
                <w:szCs w:val="20"/>
                <w:color w:val="auto"/>
              </w:rPr>
            </w:pPr>
            <w:r>
              <w:rPr>
                <w:rFonts w:ascii="Arial" w:cs="Arial" w:eastAsia="Arial" w:hAnsi="Arial"/>
                <w:sz w:val="18"/>
                <w:szCs w:val="18"/>
                <w:color w:val="auto"/>
              </w:rPr>
              <w:t>(MONTH. DAY. YEAR)</w:t>
            </w:r>
          </w:p>
        </w:tc>
      </w:tr>
      <w:tr>
        <w:trPr>
          <w:trHeight w:val="135"/>
        </w:trPr>
        <w:tc>
          <w:tcPr>
            <w:tcW w:w="760" w:type="dxa"/>
            <w:vAlign w:val="bottom"/>
            <w:tcBorders>
              <w:bottom w:val="single" w:sz="8" w:color="auto"/>
            </w:tcBorders>
          </w:tcPr>
          <w:p>
            <w:pPr>
              <w:spacing w:after="0"/>
              <w:rPr>
                <w:sz w:val="11"/>
                <w:szCs w:val="11"/>
                <w:color w:val="auto"/>
              </w:rPr>
            </w:pPr>
          </w:p>
        </w:tc>
        <w:tc>
          <w:tcPr>
            <w:tcW w:w="5880" w:type="dxa"/>
            <w:vAlign w:val="bottom"/>
            <w:tcBorders>
              <w:bottom w:val="single" w:sz="8" w:color="auto"/>
            </w:tcBorders>
            <w:gridSpan w:val="2"/>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236"/>
        </w:trPr>
        <w:tc>
          <w:tcPr>
            <w:tcW w:w="7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w w:val="95"/>
              </w:rPr>
              <w:t>The Aggregate Liability of the Underwriter during the Bond Period shall be</w:t>
            </w:r>
          </w:p>
        </w:tc>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0"/>
        </w:trPr>
        <w:tc>
          <w:tcPr>
            <w:tcW w:w="76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$10,000,000</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35"/>
        </w:trPr>
        <w:tc>
          <w:tcPr>
            <w:tcW w:w="76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236"/>
        </w:trPr>
        <w:tc>
          <w:tcPr>
            <w:tcW w:w="7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660" w:type="dxa"/>
            <w:vAlign w:val="bottom"/>
          </w:tcPr>
          <w:p>
            <w:pPr>
              <w:ind w:left="220"/>
              <w:spacing w:after="0"/>
              <w:rPr>
                <w:sz w:val="20"/>
                <w:szCs w:val="20"/>
                <w:color w:val="auto"/>
              </w:rPr>
            </w:pPr>
            <w:r>
              <w:rPr>
                <w:rFonts w:ascii="Arial" w:cs="Arial" w:eastAsia="Arial" w:hAnsi="Arial"/>
                <w:sz w:val="18"/>
                <w:szCs w:val="18"/>
                <w:color w:val="auto"/>
              </w:rPr>
              <w:t>Subject to Sections 4 and 11 hereof,</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76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w w:val="93"/>
              </w:rPr>
              <w:t>the Single Loss Limit of Liability is $5,000,000</w:t>
            </w:r>
          </w:p>
        </w:tc>
        <w:tc>
          <w:tcPr>
            <w:tcW w:w="2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and the Single Loss Deductible is $50,000</w:t>
            </w: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2" w:lineRule="exact"/>
        <w:rPr>
          <w:sz w:val="20"/>
          <w:szCs w:val="20"/>
          <w:color w:val="auto"/>
        </w:rPr>
      </w:pPr>
    </w:p>
    <w:p>
      <w:pPr>
        <w:ind w:left="1000" w:right="280"/>
        <w:spacing w:after="0" w:line="263" w:lineRule="auto"/>
        <w:rPr>
          <w:sz w:val="20"/>
          <w:szCs w:val="20"/>
          <w:color w:val="auto"/>
        </w:rPr>
      </w:pPr>
      <w:r>
        <w:rPr>
          <w:rFonts w:ascii="Arial" w:cs="Arial" w:eastAsia="Arial" w:hAnsi="Arial"/>
          <w:sz w:val="18"/>
          <w:szCs w:val="18"/>
          <w:color w:val="auto"/>
        </w:rPr>
        <w:t>Provided, however, that if any amounts are inserted below opposite specified Insuring Agreements or Coverage, those amounts shall be controlling. Any amount set forth below shall be part of and not in addition to amounts set forth above. (If an Insuring Agreement or Coverage is to be deleted, insert Not Covered”.)</w:t>
      </w:r>
    </w:p>
    <w:p>
      <w:pPr>
        <w:spacing w:after="0" w:line="19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Single Loss</w:t>
            </w:r>
          </w:p>
        </w:tc>
        <w:tc>
          <w:tcPr>
            <w:tcW w:w="24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6"/>
              </w:rPr>
              <w:t>Single Loss</w:t>
            </w:r>
          </w:p>
        </w:tc>
      </w:tr>
      <w:tr>
        <w:trPr>
          <w:trHeight w:val="167"/>
        </w:trPr>
        <w:tc>
          <w:tcPr>
            <w:tcW w:w="6100" w:type="dxa"/>
            <w:vAlign w:val="bottom"/>
          </w:tcPr>
          <w:p>
            <w:pPr>
              <w:spacing w:after="0"/>
              <w:rPr>
                <w:sz w:val="20"/>
                <w:szCs w:val="20"/>
                <w:color w:val="auto"/>
              </w:rPr>
            </w:pPr>
            <w:r>
              <w:rPr>
                <w:rFonts w:ascii="Arial" w:cs="Arial" w:eastAsia="Arial" w:hAnsi="Arial"/>
                <w:sz w:val="14"/>
                <w:szCs w:val="14"/>
                <w:color w:val="auto"/>
              </w:rPr>
              <w:t>Amount applicable to:</w:t>
            </w:r>
          </w:p>
        </w:tc>
        <w:tc>
          <w:tcPr>
            <w:tcW w:w="1280" w:type="dxa"/>
            <w:vAlign w:val="bottom"/>
            <w:gridSpan w:val="3"/>
          </w:tcPr>
          <w:p>
            <w:pPr>
              <w:spacing w:after="0"/>
              <w:rPr>
                <w:sz w:val="20"/>
                <w:szCs w:val="20"/>
                <w:color w:val="auto"/>
              </w:rPr>
            </w:pPr>
            <w:r>
              <w:rPr>
                <w:rFonts w:ascii="Arial" w:cs="Arial" w:eastAsia="Arial" w:hAnsi="Arial"/>
                <w:sz w:val="14"/>
                <w:szCs w:val="14"/>
                <w:color w:val="auto"/>
              </w:rPr>
              <w:t>Limit of Liability</w:t>
            </w:r>
          </w:p>
        </w:tc>
        <w:tc>
          <w:tcPr>
            <w:tcW w:w="24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Deductible</w:t>
            </w:r>
          </w:p>
        </w:tc>
      </w:tr>
      <w:tr>
        <w:trPr>
          <w:trHeight w:val="210"/>
        </w:trPr>
        <w:tc>
          <w:tcPr>
            <w:tcW w:w="6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Insuring Agreements (A) Employee Dishonesty</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Insuring Agreement (B) Premises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5,000,000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50,000</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Insuring Agreement (C) Transit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5,000,000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50,000</w:t>
            </w: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Insuring Agreement (D) Forgery or Alteration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5,000,000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50,000</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Insuring Agreement (E) Securities Forgery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5,000,000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50,000</w:t>
            </w: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Computer Insuring Agreements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5,000,000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50,000</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Claims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r>
    </w:tbl>
    <w:p>
      <w:pPr>
        <w:spacing w:after="0" w:line="202" w:lineRule="exact"/>
        <w:rPr>
          <w:sz w:val="20"/>
          <w:szCs w:val="20"/>
          <w:color w:val="auto"/>
        </w:rPr>
      </w:pPr>
    </w:p>
    <w:p>
      <w:pPr>
        <w:ind w:left="1000"/>
        <w:spacing w:after="0" w:line="277"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142875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color w:val="auto"/>
        </w:rPr>
        <w:t>The liability of the Underwriter is subject to the terms of the following riders attached hereto:</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Endorsements #1 - 20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91440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p>
      <w:pPr>
        <w:ind w:left="1000" w:right="1860" w:hanging="990"/>
        <w:spacing w:after="0" w:line="261" w:lineRule="auto"/>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color w:val="auto"/>
        </w:rPr>
        <w:t>The Insured by the acceptance of this bond gives notice to the Underwriter terminating or canceling prior bond(s) or policy(ies) No.(s) G25562823 005</w:t>
      </w:r>
    </w:p>
    <w:p>
      <w:pPr>
        <w:ind w:left="1000"/>
        <w:spacing w:after="0"/>
        <w:rPr>
          <w:sz w:val="20"/>
          <w:szCs w:val="20"/>
          <w:color w:val="auto"/>
        </w:rPr>
      </w:pPr>
      <w:r>
        <w:rPr>
          <w:rFonts w:ascii="Arial" w:cs="Arial" w:eastAsia="Arial" w:hAnsi="Arial"/>
          <w:sz w:val="18"/>
          <w:szCs w:val="18"/>
          <w:color w:val="auto"/>
        </w:rPr>
        <w:t>such termination or cancelation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91440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134620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4690745</wp:posOffset>
            </wp:positionH>
            <wp:positionV relativeFrom="paragraph">
              <wp:posOffset>323215</wp:posOffset>
            </wp:positionV>
            <wp:extent cx="1834515"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451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960"/>
        <w:spacing w:after="0"/>
        <w:rPr>
          <w:sz w:val="20"/>
          <w:szCs w:val="20"/>
          <w:color w:val="auto"/>
        </w:rPr>
      </w:pPr>
      <w:r>
        <w:rPr>
          <w:rFonts w:ascii="Arial" w:cs="Arial" w:eastAsia="Arial" w:hAnsi="Arial"/>
          <w:sz w:val="16"/>
          <w:szCs w:val="16"/>
          <w:color w:val="auto"/>
        </w:rPr>
        <w:t>JOHN J. LUPICA,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166370</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20"/>
        <w:spacing w:after="0"/>
        <w:tabs>
          <w:tab w:leader="none" w:pos="3620" w:val="left"/>
          <w:tab w:leader="none" w:pos="10200" w:val="left"/>
        </w:tabs>
        <w:rPr>
          <w:sz w:val="20"/>
          <w:szCs w:val="20"/>
          <w:color w:val="auto"/>
        </w:rPr>
      </w:pPr>
      <w:r>
        <w:rPr>
          <w:rFonts w:ascii="Arial" w:cs="Arial" w:eastAsia="Arial" w:hAnsi="Arial"/>
          <w:sz w:val="18"/>
          <w:szCs w:val="18"/>
          <w:color w:val="auto"/>
        </w:rPr>
        <w:t>TSB 5062b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1 of 6</w:t>
      </w:r>
    </w:p>
    <w:p>
      <w:pPr>
        <w:sectPr>
          <w:pgSz w:w="11900" w:h="16838" w:orient="portrait"/>
          <w:cols w:equalWidth="0" w:num="1">
            <w:col w:w="11040"/>
          </w:cols>
          <w:pgMar w:left="420" w:top="268" w:right="439" w:bottom="1440" w:gutter="0" w:footer="0" w:header="0"/>
        </w:sectPr>
      </w:pPr>
    </w:p>
    <w:bookmarkStart w:id="5" w:name="page6"/>
    <w:bookmarkEnd w:id="5"/>
    <w:p>
      <w:pPr>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Underwriter, in consideration of an agreed premium, and in reliance upon all statements made and information furnished to the Underwriter by the Insured in applying for this bond, and subject to the Declarations, Insuring Agreements, General Agreements, Conditions and Limitations and other terms hereof, agrees to indemnify the Insured for: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INSURING AGREEMENTS</w:t>
      </w:r>
    </w:p>
    <w:p>
      <w:pPr>
        <w:sectPr>
          <w:pgSz w:w="11900" w:h="16838" w:orient="portrait"/>
          <w:cols w:equalWidth="0" w:num="1">
            <w:col w:w="11000"/>
          </w:cols>
          <w:pgMar w:left="440" w:top="274" w:right="459" w:bottom="0" w:gutter="0" w:footer="0" w:header="0"/>
        </w:sectPr>
      </w:pP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FIDELITY</w:t>
      </w:r>
    </w:p>
    <w:p>
      <w:pPr>
        <w:spacing w:after="0" w:line="225" w:lineRule="exact"/>
        <w:rPr>
          <w:sz w:val="20"/>
          <w:szCs w:val="20"/>
          <w:color w:val="auto"/>
        </w:rPr>
      </w:pPr>
    </w:p>
    <w:p>
      <w:pPr>
        <w:ind w:right="20" w:firstLine="356"/>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Loss resulting directly from dishonest or fraudulent acts committed by an Employee acting alone or in collusion with others.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Such dishonest or fraudulent acts must be committed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Employee with the manifest intent: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080" w:right="580" w:hanging="357"/>
        <w:spacing w:after="0" w:line="308"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Negotiable Instruments not payable to bearer or not endorsed, or with restrictive endorsements.</w:t>
      </w:r>
    </w:p>
    <w:p>
      <w:pPr>
        <w:spacing w:after="0" w:line="146"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Coverage under this Insuring Agreement begins immediately upon the receipt of such Property by the natural person or Transportation Company and ends immediately upon delivery to the designated recipient or its agent.</w:t>
      </w:r>
    </w:p>
    <w:p>
      <w:pPr>
        <w:spacing w:after="0" w:line="92" w:lineRule="exact"/>
        <w:rPr>
          <w:sz w:val="20"/>
          <w:szCs w:val="20"/>
          <w:color w:val="auto"/>
        </w:rPr>
      </w:pPr>
    </w:p>
    <w:p>
      <w:pPr>
        <w:sectPr>
          <w:pgSz w:w="11900" w:h="16838" w:orient="portrait"/>
          <w:cols w:equalWidth="0" w:num="2">
            <w:col w:w="4900" w:space="720"/>
            <w:col w:w="5380"/>
          </w:cols>
          <w:pgMar w:left="440" w:top="274" w:right="459" w:bottom="0" w:gutter="0" w:footer="0" w:header="0"/>
          <w:type w:val="continuous"/>
        </w:sectPr>
      </w:pPr>
    </w:p>
    <w:p>
      <w:pPr>
        <w:ind w:left="720" w:hanging="360"/>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130" w:lineRule="exact"/>
        <w:rPr>
          <w:rFonts w:ascii="Arial" w:cs="Arial" w:eastAsia="Arial" w:hAnsi="Arial"/>
          <w:sz w:val="18"/>
          <w:szCs w:val="18"/>
          <w:color w:val="auto"/>
        </w:rPr>
      </w:pPr>
    </w:p>
    <w:p>
      <w:pPr>
        <w:ind w:left="720" w:right="20" w:hanging="360"/>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obtain financial benefit for the Employee and which, in fact, result in obtaining such benefit.</w:t>
      </w:r>
    </w:p>
    <w:p>
      <w:pPr>
        <w:spacing w:after="0" w:line="17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As used in this Insuring Agreement financial benefit does not include any employee benefits earned in the normal course of employment, including salaries, commissions, fees, bonuses, promotions, awards, profit sharing or pensions.</w:t>
      </w:r>
    </w:p>
    <w:p>
      <w:pPr>
        <w:spacing w:after="0" w:line="200" w:lineRule="exact"/>
        <w:rPr>
          <w:sz w:val="20"/>
          <w:szCs w:val="20"/>
          <w:color w:val="auto"/>
        </w:rPr>
      </w:pPr>
    </w:p>
    <w:p>
      <w:pPr>
        <w:spacing w:after="0" w:line="20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ON PREMISES</w:t>
      </w:r>
    </w:p>
    <w:p>
      <w:pPr>
        <w:spacing w:after="0" w:line="225" w:lineRule="exact"/>
        <w:rPr>
          <w:sz w:val="20"/>
          <w:szCs w:val="20"/>
          <w:color w:val="auto"/>
        </w:rPr>
      </w:pPr>
    </w:p>
    <w:p>
      <w:pPr>
        <w:ind w:left="640" w:hanging="28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 Loss of Property resulting directly from</w:t>
      </w:r>
    </w:p>
    <w:p>
      <w:pPr>
        <w:spacing w:after="0" w:line="130" w:lineRule="exact"/>
        <w:rPr>
          <w:rFonts w:ascii="Arial" w:cs="Arial" w:eastAsia="Arial" w:hAnsi="Arial"/>
          <w:sz w:val="18"/>
          <w:szCs w:val="18"/>
          <w:color w:val="auto"/>
        </w:rPr>
      </w:pPr>
    </w:p>
    <w:p>
      <w:pPr>
        <w:ind w:left="1460" w:right="100" w:hanging="371"/>
        <w:spacing w:after="0" w:line="263"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robbery, burglary, misplacement, mysterious unexplainable disappearance and damage thereto or destruction thereof, or</w:t>
      </w:r>
    </w:p>
    <w:p>
      <w:pPr>
        <w:spacing w:after="0" w:line="89" w:lineRule="exact"/>
        <w:rPr>
          <w:rFonts w:ascii="Arial" w:cs="Arial" w:eastAsia="Arial" w:hAnsi="Arial"/>
          <w:sz w:val="18"/>
          <w:szCs w:val="18"/>
          <w:color w:val="auto"/>
        </w:rPr>
      </w:pPr>
    </w:p>
    <w:p>
      <w:pPr>
        <w:ind w:left="1460" w:right="140" w:hanging="371"/>
        <w:spacing w:after="0" w:line="286" w:lineRule="auto"/>
        <w:tabs>
          <w:tab w:leader="none" w:pos="14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theft, false pretenses, common-law or statutory larceny, committed by a person present in an office or on the premises of the Insured.</w:t>
      </w:r>
    </w:p>
    <w:p>
      <w:pPr>
        <w:spacing w:after="0" w:line="57"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while the Property is lodged or deposited within offices or premises located anywhere.</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 Loss of or damage to</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FORGERY OR ALTERATION</w:t>
      </w:r>
    </w:p>
    <w:p>
      <w:pPr>
        <w:spacing w:after="0" w:line="225" w:lineRule="exact"/>
        <w:rPr>
          <w:sz w:val="20"/>
          <w:szCs w:val="20"/>
          <w:color w:val="auto"/>
        </w:rPr>
      </w:pPr>
    </w:p>
    <w:p>
      <w:pPr>
        <w:ind w:left="640" w:hanging="28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resulting directly from</w:t>
      </w:r>
    </w:p>
    <w:p>
      <w:pPr>
        <w:spacing w:after="0" w:line="225" w:lineRule="exact"/>
        <w:rPr>
          <w:rFonts w:ascii="Arial" w:cs="Arial" w:eastAsia="Arial" w:hAnsi="Arial"/>
          <w:sz w:val="18"/>
          <w:szCs w:val="18"/>
          <w:color w:val="auto"/>
        </w:rPr>
      </w:pPr>
    </w:p>
    <w:p>
      <w:pPr>
        <w:jc w:val="both"/>
        <w:ind w:right="120" w:firstLine="714"/>
        <w:spacing w:after="0" w:line="311" w:lineRule="auto"/>
        <w:tabs>
          <w:tab w:leader="none" w:pos="975" w:val="left"/>
        </w:tabs>
        <w:numPr>
          <w:ilvl w:val="1"/>
          <w:numId w:val="8"/>
        </w:numPr>
        <w:rPr>
          <w:rFonts w:ascii="Arial" w:cs="Arial" w:eastAsia="Arial" w:hAnsi="Arial"/>
          <w:sz w:val="16"/>
          <w:szCs w:val="16"/>
          <w:color w:val="auto"/>
        </w:rPr>
      </w:pPr>
      <w:r>
        <w:rPr>
          <w:rFonts w:ascii="Arial" w:cs="Arial" w:eastAsia="Arial" w:hAnsi="Arial"/>
          <w:sz w:val="16"/>
          <w:szCs w:val="16"/>
          <w:color w:val="auto"/>
        </w:rPr>
        <w:t>Forgery or alteration of, on or in any Negotiable Instrument (except an Evidence of Debt), Acceptance, Withdrawal Order, receipt for the withdrawal of Property, Certificate of Deposit or Letter of Credit.</w:t>
      </w:r>
    </w:p>
    <w:p>
      <w:pPr>
        <w:spacing w:after="0" w:line="148" w:lineRule="exact"/>
        <w:rPr>
          <w:rFonts w:ascii="Arial" w:cs="Arial" w:eastAsia="Arial" w:hAnsi="Arial"/>
          <w:sz w:val="16"/>
          <w:szCs w:val="16"/>
          <w:color w:val="auto"/>
        </w:rPr>
      </w:pPr>
    </w:p>
    <w:p>
      <w:pPr>
        <w:ind w:firstLine="714"/>
        <w:spacing w:after="0" w:line="270" w:lineRule="auto"/>
        <w:tabs>
          <w:tab w:leader="none" w:pos="975" w:val="left"/>
        </w:tabs>
        <w:numPr>
          <w:ilvl w:val="1"/>
          <w:numId w:val="8"/>
        </w:numPr>
        <w:rPr>
          <w:rFonts w:ascii="Arial" w:cs="Arial" w:eastAsia="Arial" w:hAnsi="Arial"/>
          <w:sz w:val="17"/>
          <w:szCs w:val="17"/>
          <w:color w:val="auto"/>
        </w:rPr>
      </w:pPr>
      <w:r>
        <w:rPr>
          <w:rFonts w:ascii="Arial" w:cs="Arial" w:eastAsia="Arial" w:hAnsi="Arial"/>
          <w:sz w:val="17"/>
          <w:szCs w:val="17"/>
          <w:color w:val="auto"/>
        </w:rPr>
        <w:t>transferring, paying or delivering any funds or Property or establishing any credit or giving any value on the faith of any written instructions or advices directed to the Insured and authorizing or acknowledging the transfer, payment, delivery or receipt of funds or Property, which instructions or advices purport to have been signed or endorsed by any customer of the Insured or by any financial institution but which instructions or advices either bear a signature which is a Forgery or have been altered without the knowledge and consent of such customer or financial institution.</w:t>
      </w:r>
    </w:p>
    <w:p>
      <w:pPr>
        <w:spacing w:after="0" w:line="18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8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SECURITIES</w:t>
      </w:r>
    </w:p>
    <w:p>
      <w:pPr>
        <w:spacing w:after="0" w:line="185" w:lineRule="exact"/>
        <w:rPr>
          <w:sz w:val="20"/>
          <w:szCs w:val="20"/>
          <w:color w:val="auto"/>
        </w:rPr>
      </w:pPr>
    </w:p>
    <w:p>
      <w:pPr>
        <w:sectPr>
          <w:pgSz w:w="11900" w:h="16838" w:orient="portrait"/>
          <w:cols w:equalWidth="0" w:num="2">
            <w:col w:w="5280" w:space="340"/>
            <w:col w:w="5380"/>
          </w:cols>
          <w:pgMar w:left="440" w:top="274" w:right="459" w:bottom="0" w:gutter="0" w:footer="0" w:header="0"/>
          <w:type w:val="continuous"/>
        </w:sectPr>
      </w:pPr>
    </w:p>
    <w:p>
      <w:pPr>
        <w:ind w:left="1460" w:right="180" w:hanging="371"/>
        <w:spacing w:after="0" w:line="296" w:lineRule="auto"/>
        <w:tabs>
          <w:tab w:leader="none" w:pos="1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furnishings, fixtures, supplies or equipment within an office of the Insured covered under this bond resulting directly from larceny or theft in, or by burglary or robbery of, such office, or attempt thereat, or by vandalism or malicious mischief, or</w:t>
      </w:r>
    </w:p>
    <w:p>
      <w:pPr>
        <w:spacing w:after="0" w:line="66" w:lineRule="exact"/>
        <w:rPr>
          <w:rFonts w:ascii="Arial" w:cs="Arial" w:eastAsia="Arial" w:hAnsi="Arial"/>
          <w:sz w:val="16"/>
          <w:szCs w:val="16"/>
          <w:color w:val="auto"/>
        </w:rPr>
      </w:pPr>
    </w:p>
    <w:p>
      <w:pPr>
        <w:ind w:left="1460" w:right="20" w:hanging="371"/>
        <w:spacing w:after="0" w:line="259"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office resulting from larceny or theft in, or by burglary or robbery of such office or attempt thereat, or to the interior of such office by vandalism or malicious mischief,</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jc w:val="both"/>
        <w:ind w:left="1840" w:right="220" w:hanging="386"/>
        <w:spacing w:after="0" w:line="311" w:lineRule="auto"/>
        <w:tabs>
          <w:tab w:leader="none" w:pos="1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Insured is the owner of such furnishings, fixtures, supplies, equipment, or office or is liable for such loss or damage, and</w:t>
      </w:r>
    </w:p>
    <w:p>
      <w:pPr>
        <w:spacing w:after="0" w:line="54" w:lineRule="exact"/>
        <w:rPr>
          <w:rFonts w:ascii="Arial" w:cs="Arial" w:eastAsia="Arial" w:hAnsi="Arial"/>
          <w:sz w:val="16"/>
          <w:szCs w:val="16"/>
          <w:color w:val="auto"/>
        </w:rPr>
      </w:pPr>
    </w:p>
    <w:p>
      <w:pPr>
        <w:ind w:left="1840" w:hanging="386"/>
        <w:spacing w:after="0"/>
        <w:tabs>
          <w:tab w:leader="none" w:pos="1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is not caused by fire.</w:t>
      </w:r>
    </w:p>
    <w:p>
      <w:pPr>
        <w:spacing w:after="0" w:line="200" w:lineRule="exact"/>
        <w:rPr>
          <w:sz w:val="20"/>
          <w:szCs w:val="20"/>
          <w:color w:val="auto"/>
        </w:rPr>
      </w:pPr>
    </w:p>
    <w:p>
      <w:pPr>
        <w:spacing w:after="0" w:line="24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IN TRANSIT</w:t>
      </w:r>
    </w:p>
    <w:p>
      <w:pPr>
        <w:spacing w:after="0" w:line="225" w:lineRule="exact"/>
        <w:rPr>
          <w:sz w:val="20"/>
          <w:szCs w:val="20"/>
          <w:color w:val="auto"/>
        </w:rPr>
      </w:pPr>
    </w:p>
    <w:p>
      <w:pPr>
        <w:ind w:right="120" w:firstLine="356"/>
        <w:spacing w:after="0" w:line="257" w:lineRule="auto"/>
        <w:tabs>
          <w:tab w:leader="none" w:pos="6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Property resulting directly from robbery, common-law or statutory larceny, theft, misplacement, mysterious unexplainable disappearance, being lost or made away with, and damage thereto or destruction thereof, while the Property is in transit anywhere in the custody of</w:t>
      </w:r>
    </w:p>
    <w:p>
      <w:pPr>
        <w:spacing w:after="0" w:line="93" w:lineRule="exact"/>
        <w:rPr>
          <w:sz w:val="20"/>
          <w:szCs w:val="20"/>
          <w:color w:val="auto"/>
        </w:rPr>
      </w:pPr>
    </w:p>
    <w:p>
      <w:pPr>
        <w:ind w:left="720" w:hanging="360"/>
        <w:spacing w:after="0" w:line="259"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natural person acting as a messenger of the Insured (or another natural person acting as messenger or custodian during an emergency arising from the incapacity of the original messenger), or</w:t>
      </w:r>
    </w:p>
    <w:p>
      <w:pPr>
        <w:spacing w:after="0" w:line="92" w:lineRule="exact"/>
        <w:rPr>
          <w:rFonts w:ascii="Arial" w:cs="Arial" w:eastAsia="Arial" w:hAnsi="Arial"/>
          <w:sz w:val="18"/>
          <w:szCs w:val="18"/>
          <w:color w:val="auto"/>
        </w:rPr>
      </w:pPr>
    </w:p>
    <w:p>
      <w:pPr>
        <w:ind w:left="720" w:right="600" w:hanging="360"/>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an armored motor vehicle, or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60" w:firstLine="354"/>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70" w:lineRule="exact"/>
        <w:rPr>
          <w:rFonts w:ascii="Arial" w:cs="Arial" w:eastAsia="Arial" w:hAnsi="Arial"/>
          <w:sz w:val="18"/>
          <w:szCs w:val="18"/>
          <w:color w:val="auto"/>
        </w:rPr>
      </w:pPr>
    </w:p>
    <w:p>
      <w:pPr>
        <w:ind w:right="180" w:firstLine="714"/>
        <w:spacing w:after="0" w:line="277" w:lineRule="auto"/>
        <w:tabs>
          <w:tab w:leader="none" w:pos="97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original</w:t>
      </w:r>
    </w:p>
    <w:p>
      <w:pPr>
        <w:spacing w:after="0" w:line="75" w:lineRule="exact"/>
        <w:rPr>
          <w:rFonts w:ascii="Arial" w:cs="Arial" w:eastAsia="Arial" w:hAnsi="Arial"/>
          <w:sz w:val="18"/>
          <w:szCs w:val="18"/>
          <w:color w:val="auto"/>
        </w:rPr>
      </w:pPr>
    </w:p>
    <w:p>
      <w:pPr>
        <w:ind w:left="1460" w:hanging="373"/>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Certificated Security,</w:t>
      </w:r>
    </w:p>
    <w:p>
      <w:pPr>
        <w:spacing w:after="0" w:line="130" w:lineRule="exact"/>
        <w:rPr>
          <w:rFonts w:ascii="Arial" w:cs="Arial" w:eastAsia="Arial" w:hAnsi="Arial"/>
          <w:sz w:val="18"/>
          <w:szCs w:val="18"/>
          <w:color w:val="auto"/>
        </w:rPr>
      </w:pPr>
    </w:p>
    <w:p>
      <w:pPr>
        <w:ind w:left="1460" w:right="40" w:hanging="373"/>
        <w:spacing w:after="0" w:line="342" w:lineRule="auto"/>
        <w:tabs>
          <w:tab w:leader="none" w:pos="1460" w:val="left"/>
        </w:tabs>
        <w:numPr>
          <w:ilvl w:val="2"/>
          <w:numId w:val="13"/>
        </w:numPr>
        <w:rPr>
          <w:rFonts w:ascii="Arial" w:cs="Arial" w:eastAsia="Arial" w:hAnsi="Arial"/>
          <w:sz w:val="16"/>
          <w:szCs w:val="16"/>
          <w:color w:val="auto"/>
        </w:rPr>
      </w:pPr>
      <w:r>
        <w:rPr>
          <w:rFonts w:ascii="Arial" w:cs="Arial" w:eastAsia="Arial" w:hAnsi="Arial"/>
          <w:sz w:val="16"/>
          <w:szCs w:val="16"/>
          <w:color w:val="auto"/>
        </w:rPr>
        <w:t>deed, mortgage or other instrument conveying title to, or creating or discharging a lien upon, real property,</w:t>
      </w:r>
    </w:p>
    <w:p>
      <w:pPr>
        <w:spacing w:after="0" w:line="29" w:lineRule="exact"/>
        <w:rPr>
          <w:rFonts w:ascii="Arial" w:cs="Arial" w:eastAsia="Arial" w:hAnsi="Arial"/>
          <w:sz w:val="16"/>
          <w:szCs w:val="16"/>
          <w:color w:val="auto"/>
        </w:rPr>
      </w:pPr>
    </w:p>
    <w:p>
      <w:pPr>
        <w:ind w:left="1460" w:hanging="373"/>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Evidence of Debt,</w:t>
      </w:r>
    </w:p>
    <w:p>
      <w:pPr>
        <w:spacing w:after="0" w:line="130" w:lineRule="exact"/>
        <w:rPr>
          <w:rFonts w:ascii="Arial" w:cs="Arial" w:eastAsia="Arial" w:hAnsi="Arial"/>
          <w:sz w:val="18"/>
          <w:szCs w:val="18"/>
          <w:color w:val="auto"/>
        </w:rPr>
      </w:pPr>
    </w:p>
    <w:p>
      <w:pPr>
        <w:ind w:left="1460" w:right="220" w:hanging="373"/>
        <w:spacing w:after="0" w:line="277" w:lineRule="auto"/>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Instruction to a Federal Reserve Bank of the United States, or</w:t>
      </w:r>
    </w:p>
    <w:p>
      <w:pPr>
        <w:spacing w:after="0" w:line="75" w:lineRule="exact"/>
        <w:rPr>
          <w:rFonts w:ascii="Arial" w:cs="Arial" w:eastAsia="Arial" w:hAnsi="Arial"/>
          <w:sz w:val="18"/>
          <w:szCs w:val="18"/>
          <w:color w:val="auto"/>
        </w:rPr>
      </w:pPr>
    </w:p>
    <w:p>
      <w:pPr>
        <w:ind w:left="1460" w:right="220" w:hanging="373"/>
        <w:spacing w:after="0" w:line="277" w:lineRule="auto"/>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Statement of Uncertificated Security of any Federal Reserve Bank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which</w:t>
      </w:r>
    </w:p>
    <w:p>
      <w:pPr>
        <w:spacing w:after="0" w:line="131" w:lineRule="exact"/>
        <w:rPr>
          <w:sz w:val="20"/>
          <w:szCs w:val="20"/>
          <w:color w:val="auto"/>
        </w:rPr>
      </w:pPr>
    </w:p>
    <w:p>
      <w:pPr>
        <w:ind w:left="1820" w:right="180" w:hanging="368"/>
        <w:spacing w:after="0" w:line="257" w:lineRule="auto"/>
        <w:tabs>
          <w:tab w:leader="none" w:pos="1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bears a signature of any maker, drawer, issuer, endorser, assignor, lessee, transfer agent, registrar, acceptor, surety, guarantor, or of any person signing in any other capacity which is a Forgery, or</w:t>
      </w:r>
    </w:p>
    <w:p>
      <w:pPr>
        <w:spacing w:after="0" w:line="93" w:lineRule="exact"/>
        <w:rPr>
          <w:rFonts w:ascii="Arial" w:cs="Arial" w:eastAsia="Arial" w:hAnsi="Arial"/>
          <w:sz w:val="18"/>
          <w:szCs w:val="18"/>
          <w:color w:val="auto"/>
        </w:rPr>
      </w:pPr>
    </w:p>
    <w:p>
      <w:pPr>
        <w:ind w:left="1820" w:hanging="368"/>
        <w:spacing w:after="0"/>
        <w:tabs>
          <w:tab w:leader="none" w:pos="1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 altered, or</w:t>
      </w:r>
    </w:p>
    <w:p>
      <w:pPr>
        <w:spacing w:after="0" w:line="130" w:lineRule="exact"/>
        <w:rPr>
          <w:rFonts w:ascii="Arial" w:cs="Arial" w:eastAsia="Arial" w:hAnsi="Arial"/>
          <w:sz w:val="18"/>
          <w:szCs w:val="18"/>
          <w:color w:val="auto"/>
        </w:rPr>
      </w:pPr>
    </w:p>
    <w:p>
      <w:pPr>
        <w:ind w:left="1820" w:hanging="368"/>
        <w:spacing w:after="0"/>
        <w:tabs>
          <w:tab w:leader="none" w:pos="1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225" w:lineRule="exact"/>
        <w:rPr>
          <w:rFonts w:ascii="Arial" w:cs="Arial" w:eastAsia="Arial" w:hAnsi="Arial"/>
          <w:sz w:val="18"/>
          <w:szCs w:val="18"/>
          <w:color w:val="auto"/>
        </w:rPr>
      </w:pPr>
    </w:p>
    <w:p>
      <w:pPr>
        <w:ind w:right="200" w:firstLine="714"/>
        <w:spacing w:after="0" w:line="263"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guaranteed in writing or witnessed any signature upon any transfer, assignment, bill of sale, power of attorney, Guarantee, or any items listed in (a) through (c) above;</w:t>
      </w:r>
    </w:p>
    <w:p>
      <w:pPr>
        <w:spacing w:after="0" w:line="183" w:lineRule="exact"/>
        <w:rPr>
          <w:rFonts w:ascii="Arial" w:cs="Arial" w:eastAsia="Arial" w:hAnsi="Arial"/>
          <w:sz w:val="18"/>
          <w:szCs w:val="18"/>
          <w:color w:val="auto"/>
        </w:rPr>
      </w:pPr>
    </w:p>
    <w:p>
      <w:pPr>
        <w:ind w:right="180" w:firstLine="714"/>
        <w:spacing w:after="0" w:line="263"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item listed in (a) and (b) above which is a Counterfeit.</w:t>
      </w:r>
    </w:p>
    <w:p>
      <w:pPr>
        <w:sectPr>
          <w:pgSz w:w="11900" w:h="16838" w:orient="portrait"/>
          <w:cols w:equalWidth="0" w:num="2">
            <w:col w:w="5260" w:space="360"/>
            <w:col w:w="5380"/>
          </w:cols>
          <w:pgMar w:left="440" w:top="274" w:right="459" w:bottom="0" w:gutter="0" w:footer="0" w:header="0"/>
          <w:type w:val="continuous"/>
        </w:sectPr>
      </w:pPr>
    </w:p>
    <w:bookmarkStart w:id="6" w:name="page7"/>
    <w:bookmarkEnd w:id="6"/>
    <w:p>
      <w:pPr>
        <w:ind w:left="720" w:right="20" w:hanging="360"/>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 conveyance other than an armored motor vehicle provided that covered Property transported in such manner is limited to the following:</w:t>
      </w:r>
    </w:p>
    <w:p>
      <w:pPr>
        <w:spacing w:after="0" w:line="92" w:lineRule="exact"/>
        <w:rPr>
          <w:rFonts w:ascii="Arial" w:cs="Arial" w:eastAsia="Arial" w:hAnsi="Arial"/>
          <w:sz w:val="18"/>
          <w:szCs w:val="18"/>
          <w:color w:val="auto"/>
        </w:rPr>
      </w:pPr>
    </w:p>
    <w:p>
      <w:pPr>
        <w:ind w:left="1080" w:hanging="355"/>
        <w:spacing w:after="0"/>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records, whether recorded in writing or electronically, and</w:t>
      </w:r>
    </w:p>
    <w:p>
      <w:pPr>
        <w:spacing w:after="0" w:line="20" w:lineRule="exact"/>
        <w:rPr>
          <w:sz w:val="20"/>
          <w:szCs w:val="20"/>
          <w:color w:val="auto"/>
        </w:rPr>
      </w:pPr>
      <w:r>
        <w:rPr>
          <w:sz w:val="20"/>
          <w:szCs w:val="20"/>
          <w:color w:val="auto"/>
        </w:rPr>
        <w:br w:type="column"/>
      </w:r>
    </w:p>
    <w:p>
      <w:pPr>
        <w:ind w:right="80" w:firstLine="360"/>
        <w:spacing w:after="0" w:line="277" w:lineRule="auto"/>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COUNTERFEIT CURRENCY</w:t>
      </w:r>
    </w:p>
    <w:p>
      <w:pPr>
        <w:spacing w:after="0" w:line="225" w:lineRule="exact"/>
        <w:rPr>
          <w:sz w:val="20"/>
          <w:szCs w:val="20"/>
          <w:color w:val="auto"/>
        </w:rPr>
      </w:pPr>
    </w:p>
    <w:p>
      <w:pPr>
        <w:sectPr>
          <w:pgSz w:w="11900" w:h="16838" w:orient="portrait"/>
          <w:cols w:equalWidth="0" w:num="2">
            <w:col w:w="5260" w:space="360"/>
            <w:col w:w="5400"/>
          </w:cols>
          <w:pgMar w:left="440" w:top="125" w:right="439" w:bottom="1440" w:gutter="0" w:footer="0" w:header="0"/>
        </w:sectPr>
      </w:pPr>
    </w:p>
    <w:p>
      <w:pPr>
        <w:spacing w:after="0" w:line="27" w:lineRule="exact"/>
        <w:rPr>
          <w:sz w:val="20"/>
          <w:szCs w:val="20"/>
          <w:color w:val="auto"/>
        </w:rPr>
      </w:pPr>
    </w:p>
    <w:p>
      <w:pPr>
        <w:ind w:left="1080" w:right="154" w:hanging="355"/>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Certificated Securities issued in registered form and not endorsed, or with restrictive endorsements, and</w:t>
      </w:r>
    </w:p>
    <w:p>
      <w:pPr>
        <w:spacing w:after="0" w:line="20" w:lineRule="exact"/>
        <w:rPr>
          <w:sz w:val="20"/>
          <w:szCs w:val="20"/>
          <w:color w:val="auto"/>
        </w:rPr>
      </w:pPr>
      <w:r>
        <w:rPr>
          <w:sz w:val="20"/>
          <w:szCs w:val="20"/>
          <w:color w:val="auto"/>
        </w:rPr>
        <w:br w:type="column"/>
      </w:r>
    </w:p>
    <w:p>
      <w:pPr>
        <w:ind w:left="-354" w:right="160" w:firstLine="354"/>
        <w:spacing w:after="0" w:line="311" w:lineRule="auto"/>
        <w:tabs>
          <w:tab w:leader="none" w:pos="271"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Loss resulting directly from the receipt by the Insured, in good faith, of any Counterfeit Money of the United States of America, Canada or of any other country in which the Insured maintains a branch office.</w:t>
      </w:r>
    </w:p>
    <w:p>
      <w:pPr>
        <w:spacing w:after="0" w:line="200" w:lineRule="exact"/>
        <w:rPr>
          <w:sz w:val="20"/>
          <w:szCs w:val="20"/>
          <w:color w:val="auto"/>
        </w:rPr>
      </w:pPr>
    </w:p>
    <w:p>
      <w:pPr>
        <w:sectPr>
          <w:pgSz w:w="11900" w:h="16838" w:orient="portrait"/>
          <w:cols w:equalWidth="0" w:num="2">
            <w:col w:w="5254" w:space="720"/>
            <w:col w:w="5046"/>
          </w:cols>
          <w:pgMar w:left="440" w:top="125" w:right="439" w:bottom="1440" w:gutter="0" w:footer="0" w:header="0"/>
          <w:type w:val="continuous"/>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AGREEMENTS</w:t>
      </w:r>
    </w:p>
    <w:p>
      <w:pPr>
        <w:sectPr>
          <w:pgSz w:w="11900" w:h="16838" w:orient="portrait"/>
          <w:cols w:equalWidth="0" w:num="1">
            <w:col w:w="11020"/>
          </w:cols>
          <w:pgMar w:left="440" w:top="125" w:right="439" w:bottom="1440" w:gutter="0" w:footer="0" w:header="0"/>
          <w:type w:val="continuous"/>
        </w:sectPr>
      </w:pPr>
    </w:p>
    <w:p>
      <w:pPr>
        <w:spacing w:after="0" w:line="310"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NOMINEES</w:t>
      </w:r>
    </w:p>
    <w:p>
      <w:pPr>
        <w:spacing w:after="0" w:line="225" w:lineRule="exact"/>
        <w:rPr>
          <w:sz w:val="20"/>
          <w:szCs w:val="20"/>
          <w:color w:val="auto"/>
        </w:rPr>
      </w:pPr>
    </w:p>
    <w:p>
      <w:pPr>
        <w:ind w:right="20" w:firstLine="360"/>
        <w:spacing w:after="0" w:line="296" w:lineRule="auto"/>
        <w:rPr>
          <w:sz w:val="20"/>
          <w:szCs w:val="20"/>
          <w:color w:val="auto"/>
        </w:rPr>
      </w:pPr>
      <w:r>
        <w:rPr>
          <w:rFonts w:ascii="Arial" w:cs="Arial" w:eastAsia="Arial" w:hAnsi="Arial"/>
          <w:sz w:val="16"/>
          <w:szCs w:val="16"/>
          <w:color w:val="auto"/>
        </w:rPr>
        <w:t>A. 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w:t>
      </w:r>
    </w:p>
    <w:p>
      <w:pPr>
        <w:spacing w:after="0" w:line="377"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ADDITIONAL OFFICES OR EMPLOYEES – CONSOLIDATION, MERGER OR PURCHASE OF ASSETS – NOTICE</w:t>
      </w:r>
    </w:p>
    <w:p>
      <w:pPr>
        <w:spacing w:after="0" w:line="146"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B. If the Insured shall, while this bond is in force, establish any additional offices, other than by consolidation or merger with, or purchase or acquisition of assets or liabilities of, another institution, such offices shall be automatically covered hereunder from the date of such establishment without the requirement of notice to the Underwriter or the Payment of additional premium for the remainder of the premium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If the Insured shall, while this bond is in force, consolidate or merge with, or purchase or acquire assets or liabilities of, another institution, the Insured shall not have such coverage as is afforded under this bond for loss which</w:t>
      </w:r>
    </w:p>
    <w:p>
      <w:pPr>
        <w:spacing w:after="0" w:line="187" w:lineRule="exact"/>
        <w:rPr>
          <w:sz w:val="20"/>
          <w:szCs w:val="20"/>
          <w:color w:val="auto"/>
        </w:rPr>
      </w:pPr>
    </w:p>
    <w:p>
      <w:pPr>
        <w:ind w:left="600" w:hanging="246"/>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has occurred or will occur in offices or premises, or</w:t>
      </w:r>
    </w:p>
    <w:p>
      <w:pPr>
        <w:spacing w:after="0" w:line="225" w:lineRule="exact"/>
        <w:rPr>
          <w:rFonts w:ascii="Arial" w:cs="Arial" w:eastAsia="Arial" w:hAnsi="Arial"/>
          <w:sz w:val="18"/>
          <w:szCs w:val="18"/>
          <w:color w:val="auto"/>
        </w:rPr>
      </w:pPr>
    </w:p>
    <w:p>
      <w:pPr>
        <w:ind w:right="160" w:firstLine="354"/>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has been caused or will be caused by an employee or employees of such institution, or</w:t>
      </w:r>
    </w:p>
    <w:p>
      <w:pPr>
        <w:spacing w:after="0" w:line="170" w:lineRule="exact"/>
        <w:rPr>
          <w:rFonts w:ascii="Arial" w:cs="Arial" w:eastAsia="Arial" w:hAnsi="Arial"/>
          <w:sz w:val="18"/>
          <w:szCs w:val="18"/>
          <w:color w:val="auto"/>
        </w:rPr>
      </w:pPr>
    </w:p>
    <w:p>
      <w:pPr>
        <w:ind w:right="180" w:firstLine="354"/>
        <w:spacing w:after="0" w:line="286" w:lineRule="auto"/>
        <w:tabs>
          <w:tab w:leader="none" w:pos="605"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has arisen or will arise out of the assets or liabilities acquired by the Insured as a result of such consolidation, merger or purchase or acquisition of assets or liabilities unless the Insured shall</w:t>
      </w:r>
    </w:p>
    <w:p>
      <w:pPr>
        <w:spacing w:after="0" w:line="70" w:lineRule="exact"/>
        <w:rPr>
          <w:rFonts w:ascii="Arial" w:cs="Arial" w:eastAsia="Arial" w:hAnsi="Arial"/>
          <w:sz w:val="17"/>
          <w:szCs w:val="17"/>
          <w:color w:val="auto"/>
        </w:rPr>
      </w:pPr>
    </w:p>
    <w:p>
      <w:pPr>
        <w:ind w:left="1080" w:right="180" w:hanging="357"/>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give the Underwriter written notice of the proposed consolidation, merger or purchase or acquisition of assets or liabilities prior to the proposed effective date of such action and</w:t>
      </w:r>
    </w:p>
    <w:p>
      <w:pPr>
        <w:spacing w:after="0" w:line="92" w:lineRule="exact"/>
        <w:rPr>
          <w:rFonts w:ascii="Arial" w:cs="Arial" w:eastAsia="Arial" w:hAnsi="Arial"/>
          <w:sz w:val="18"/>
          <w:szCs w:val="18"/>
          <w:color w:val="auto"/>
        </w:rPr>
      </w:pPr>
    </w:p>
    <w:p>
      <w:pPr>
        <w:ind w:left="1080" w:right="100" w:hanging="357"/>
        <w:spacing w:after="0" w:line="311" w:lineRule="auto"/>
        <w:tabs>
          <w:tab w:leader="none" w:pos="10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obtain the written consent of the Underwriter to extend the coverage provided by this bond to such additional offices or premises, Employees and other exposures, and</w:t>
      </w:r>
    </w:p>
    <w:p>
      <w:pPr>
        <w:spacing w:after="0" w:line="200" w:lineRule="exact"/>
        <w:rPr>
          <w:sz w:val="20"/>
          <w:szCs w:val="20"/>
          <w:color w:val="auto"/>
        </w:rPr>
      </w:pPr>
    </w:p>
    <w:p>
      <w:pPr>
        <w:sectPr>
          <w:pgSz w:w="11900" w:h="16838" w:orient="portrait"/>
          <w:cols w:equalWidth="0" w:num="2">
            <w:col w:w="5280" w:space="340"/>
            <w:col w:w="5400"/>
          </w:cols>
          <w:pgMar w:left="440" w:top="125" w:right="439" w:bottom="1440" w:gutter="0" w:footer="0" w:header="0"/>
          <w:type w:val="continuous"/>
        </w:sectPr>
      </w:pPr>
    </w:p>
    <w:p>
      <w:pPr>
        <w:spacing w:after="0" w:line="16" w:lineRule="exact"/>
        <w:rPr>
          <w:sz w:val="20"/>
          <w:szCs w:val="20"/>
          <w:color w:val="auto"/>
        </w:rPr>
      </w:pPr>
    </w:p>
    <w:p>
      <w:pPr>
        <w:spacing w:after="0"/>
        <w:tabs>
          <w:tab w:leader="none" w:pos="3600" w:val="left"/>
          <w:tab w:leader="none" w:pos="101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2 of 6</w:t>
      </w:r>
    </w:p>
    <w:p>
      <w:pPr>
        <w:sectPr>
          <w:pgSz w:w="11900" w:h="16838" w:orient="portrait"/>
          <w:cols w:equalWidth="0" w:num="1">
            <w:col w:w="11020"/>
          </w:cols>
          <w:pgMar w:left="440" w:top="125" w:right="439" w:bottom="1440" w:gutter="0" w:footer="0" w:header="0"/>
          <w:type w:val="continuous"/>
        </w:sectPr>
      </w:pPr>
    </w:p>
    <w:bookmarkStart w:id="7" w:name="page8"/>
    <w:bookmarkEnd w:id="7"/>
    <w:p>
      <w:pPr>
        <w:ind w:left="1080" w:right="200" w:hanging="355"/>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obtaining such consent, pay to the Underwriter an additional premium.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CHANGE OF CONTROL—NOTICE</w:t>
      </w:r>
    </w:p>
    <w:p>
      <w:pPr>
        <w:spacing w:after="0" w:line="225"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C. When the Insured learns of a change in control, it shall give written notice to the Underwriter.</w:t>
      </w:r>
    </w:p>
    <w:p>
      <w:pPr>
        <w:spacing w:after="0" w:line="170"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As used in this General Agreement, control means the power to determine the management or policy of a controlling holding company or the Insured by virtue of voting stock ownership. A change in ownership of voting stock which results in direct or indirect ownership by a stockholder or an affiliated group of stockholders of ten percent (10%) or more of such stock shall be presumed to result in a change of control for the purpose of the required notice. Failure to give the required notice shall result in termination of coverage for any loss involving a transferee. to be effective upon the date of the stock transfer.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 OF INSURED</w:t>
      </w:r>
    </w:p>
    <w:p>
      <w:pPr>
        <w:spacing w:after="0" w:line="225" w:lineRule="exact"/>
        <w:rPr>
          <w:sz w:val="20"/>
          <w:szCs w:val="20"/>
          <w:color w:val="auto"/>
        </w:rPr>
      </w:pPr>
    </w:p>
    <w:p>
      <w:pPr>
        <w:ind w:right="140" w:firstLine="360"/>
        <w:spacing w:after="0" w:line="296" w:lineRule="auto"/>
        <w:rPr>
          <w:sz w:val="20"/>
          <w:szCs w:val="20"/>
          <w:color w:val="auto"/>
        </w:rPr>
      </w:pPr>
      <w:r>
        <w:rPr>
          <w:rFonts w:ascii="Arial" w:cs="Arial" w:eastAsia="Arial" w:hAnsi="Arial"/>
          <w:sz w:val="16"/>
          <w:szCs w:val="16"/>
          <w:color w:val="auto"/>
        </w:rPr>
        <w:t>D. The Insured represents that the information furnished in the application for this bond is complete, true and correct. Such application constitutes part of this bond. Any misrepresentation, omission, concealment or incorrect statement of a material fact, in the application or otherwise, shall be grounds for the rescission of this bond.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INSURED</w:t>
      </w:r>
    </w:p>
    <w:p>
      <w:pPr>
        <w:spacing w:after="0" w:line="225"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E. If two or more Insureds are covered under this bond, the first named Insured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any Insured shall constitute knowledge or discovery by all Insureds for all purposes of this bond. The liability of the Underwriter for loss or losses sustained by all Insureds shall not exceed the amount for which the Underwriter would have been liable had all such loss or losses been sustained by one Insured.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NOTICE OF LEGAL PROCEEDINGS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-704850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INSURED—ELECTION TO DEFEND</w:t>
      </w:r>
    </w:p>
    <w:p>
      <w:pPr>
        <w:spacing w:after="0" w:line="211"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F. The Insured shall notify the Underwriter at the earliest practicable moment, not to exceed 30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178" w:lineRule="exact"/>
        <w:rPr>
          <w:sz w:val="20"/>
          <w:szCs w:val="20"/>
          <w:color w:val="auto"/>
        </w:rPr>
      </w:pPr>
    </w:p>
    <w:p>
      <w:pPr>
        <w:ind w:right="100" w:firstLine="360"/>
        <w:spacing w:after="0" w:line="296" w:lineRule="auto"/>
        <w:rPr>
          <w:sz w:val="20"/>
          <w:szCs w:val="20"/>
          <w:color w:val="auto"/>
        </w:rPr>
      </w:pPr>
      <w:r>
        <w:rPr>
          <w:rFonts w:ascii="Arial" w:cs="Arial" w:eastAsia="Arial" w:hAnsi="Arial"/>
          <w:sz w:val="16"/>
          <w:szCs w:val="16"/>
          <w:color w:val="auto"/>
        </w:rPr>
        <w:t>The Underwriter, at its sole option, may elect to conduct the defense of such legal proceeding, in whole or in part. The defense by the Underwriter shall be in the Insured’s name through attorneys selected by the Underwriter. The Insured shall provide all reasonable information and assistance required by the Underwriter for such defense.</w:t>
      </w:r>
    </w:p>
    <w:p>
      <w:pPr>
        <w:spacing w:after="0" w:line="16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If the Underwriter elects to defend the Insured, in whole or in part, any judgment against the Insured on those counts or causes of action which the Underwriter defended on behalf of the Insured or any settlement in which the Underwriter participates and all attorneys’ fees, costs and expenses incurred by the Underwriter in the defense of the litigation shall be a loss covered by this bond.</w:t>
      </w:r>
    </w:p>
    <w:p>
      <w:pPr>
        <w:spacing w:after="0" w:line="192"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If the Insured does not give the notices required in subsection (a) of Section 5 of this bond and in the first paragraph of this General Agreement, or if the Underwriter elects not to defend any causes of action, neither a judgment against the Insured, nor a settlement of any legal proceeding by the Insured, shall determine the existence, extent or amount of coverage under this bond for loss sustained by the Insured, and the Underwriter shall not be liable for any attorneys’ fees, costs and expenses incurred by the Insured.</w:t>
      </w:r>
    </w:p>
    <w:p>
      <w:pPr>
        <w:spacing w:after="0" w:line="178"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With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w:t>
      </w:r>
    </w:p>
    <w:p>
      <w:pPr>
        <w:spacing w:after="0" w:line="200" w:lineRule="exact"/>
        <w:rPr>
          <w:sz w:val="20"/>
          <w:szCs w:val="20"/>
          <w:color w:val="auto"/>
        </w:rPr>
      </w:pPr>
    </w:p>
    <w:p>
      <w:pPr>
        <w:sectPr>
          <w:pgSz w:w="11900" w:h="16838" w:orient="portrait"/>
          <w:cols w:equalWidth="0" w:num="2">
            <w:col w:w="5280" w:space="340"/>
            <w:col w:w="5400"/>
          </w:cols>
          <w:pgMar w:left="440" w:top="328" w:right="439"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AND LIMITATIONS</w:t>
      </w:r>
    </w:p>
    <w:p>
      <w:pPr>
        <w:sectPr>
          <w:pgSz w:w="11900" w:h="16838" w:orient="portrait"/>
          <w:cols w:equalWidth="0" w:num="1">
            <w:col w:w="11020"/>
          </w:cols>
          <w:pgMar w:left="440" w:top="328" w:right="439" w:bottom="0" w:gutter="0" w:footer="0" w:header="0"/>
          <w:type w:val="continuous"/>
        </w:sectPr>
      </w:pPr>
    </w:p>
    <w:p>
      <w:pPr>
        <w:spacing w:after="0" w:line="31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 As used in this bond:</w:t>
      </w:r>
    </w:p>
    <w:p>
      <w:pPr>
        <w:spacing w:after="0" w:line="117" w:lineRule="exact"/>
        <w:rPr>
          <w:sz w:val="20"/>
          <w:szCs w:val="20"/>
          <w:color w:val="auto"/>
        </w:rPr>
      </w:pPr>
    </w:p>
    <w:p>
      <w:pPr>
        <w:ind w:right="240" w:firstLine="356"/>
        <w:spacing w:after="0" w:line="277" w:lineRule="auto"/>
        <w:tabs>
          <w:tab w:leader="none" w:pos="5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means a draft which the drawee has, by signature written thereon, engaged to honor as presented.</w:t>
      </w:r>
    </w:p>
    <w:p>
      <w:pPr>
        <w:spacing w:after="0" w:line="170" w:lineRule="exact"/>
        <w:rPr>
          <w:rFonts w:ascii="Arial" w:cs="Arial" w:eastAsia="Arial" w:hAnsi="Arial"/>
          <w:sz w:val="18"/>
          <w:szCs w:val="18"/>
          <w:color w:val="auto"/>
        </w:rPr>
      </w:pPr>
    </w:p>
    <w:p>
      <w:pPr>
        <w:ind w:firstLine="356"/>
        <w:spacing w:after="0" w:line="342" w:lineRule="auto"/>
        <w:tabs>
          <w:tab w:leader="none" w:pos="6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Certificate of Deposit means an acknowledgment in writing by a financial institution of receipt of Money with an engagement to repay it.</w:t>
      </w:r>
    </w:p>
    <w:p>
      <w:pPr>
        <w:spacing w:after="0" w:line="123" w:lineRule="exact"/>
        <w:rPr>
          <w:rFonts w:ascii="Arial" w:cs="Arial" w:eastAsia="Arial" w:hAnsi="Arial"/>
          <w:sz w:val="16"/>
          <w:szCs w:val="16"/>
          <w:color w:val="auto"/>
        </w:rPr>
      </w:pPr>
    </w:p>
    <w:p>
      <w:pPr>
        <w:ind w:right="240" w:firstLine="356"/>
        <w:spacing w:after="0" w:line="263" w:lineRule="auto"/>
        <w:tabs>
          <w:tab w:leader="none" w:pos="6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Certificated Security means a share, participation or other interest in property of or an enterprise of the issuer or an obligation of the issuer, which is:</w:t>
      </w:r>
    </w:p>
    <w:p>
      <w:pPr>
        <w:spacing w:after="0" w:line="89" w:lineRule="exact"/>
        <w:rPr>
          <w:rFonts w:ascii="Arial" w:cs="Arial" w:eastAsia="Arial" w:hAnsi="Arial"/>
          <w:sz w:val="18"/>
          <w:szCs w:val="18"/>
          <w:color w:val="auto"/>
        </w:rPr>
      </w:pPr>
    </w:p>
    <w:p>
      <w:pPr>
        <w:ind w:left="1080" w:right="720" w:hanging="355"/>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represented by an instrument issued in bearer or registered form;</w:t>
      </w:r>
    </w:p>
    <w:p>
      <w:pPr>
        <w:spacing w:after="0" w:line="75" w:lineRule="exact"/>
        <w:rPr>
          <w:rFonts w:ascii="Arial" w:cs="Arial" w:eastAsia="Arial" w:hAnsi="Arial"/>
          <w:sz w:val="18"/>
          <w:szCs w:val="18"/>
          <w:color w:val="auto"/>
        </w:rPr>
      </w:pPr>
    </w:p>
    <w:p>
      <w:pPr>
        <w:ind w:left="1080" w:right="100" w:hanging="355"/>
        <w:spacing w:after="0" w:line="311" w:lineRule="auto"/>
        <w:tabs>
          <w:tab w:leader="none" w:pos="10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of a type commonly dealt in on securities exchanges or markets or commonly recognized in any area in which it is issued or dealt in as a medium for investment; and</w:t>
      </w:r>
    </w:p>
    <w:p>
      <w:pPr>
        <w:spacing w:after="0" w:line="54" w:lineRule="exact"/>
        <w:rPr>
          <w:rFonts w:ascii="Arial" w:cs="Arial" w:eastAsia="Arial" w:hAnsi="Arial"/>
          <w:sz w:val="16"/>
          <w:szCs w:val="16"/>
          <w:color w:val="auto"/>
        </w:rPr>
      </w:pPr>
    </w:p>
    <w:p>
      <w:pPr>
        <w:ind w:left="1080" w:right="20" w:hanging="355"/>
        <w:spacing w:after="0" w:line="263"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83" w:lineRule="exact"/>
        <w:rPr>
          <w:rFonts w:ascii="Arial" w:cs="Arial" w:eastAsia="Arial" w:hAnsi="Arial"/>
          <w:sz w:val="18"/>
          <w:szCs w:val="18"/>
          <w:color w:val="auto"/>
        </w:rPr>
      </w:pPr>
    </w:p>
    <w:p>
      <w:pPr>
        <w:ind w:right="40" w:firstLine="356"/>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Counterfeit means an imitation of an actual valid original which is intended to deceive and to be taken as the original.</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726" w:right="360" w:hanging="357"/>
        <w:spacing w:after="0" w:line="277" w:lineRule="auto"/>
        <w:tabs>
          <w:tab w:leader="none" w:pos="72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Partner of the Insured, unless not covered as stated in item 4 of the Declarations.</w:t>
      </w:r>
    </w:p>
    <w:p>
      <w:pPr>
        <w:spacing w:after="0" w:line="170" w:lineRule="exact"/>
        <w:rPr>
          <w:rFonts w:ascii="Arial" w:cs="Arial" w:eastAsia="Arial" w:hAnsi="Arial"/>
          <w:sz w:val="18"/>
          <w:szCs w:val="18"/>
          <w:color w:val="auto"/>
        </w:rPr>
      </w:pPr>
    </w:p>
    <w:p>
      <w:pPr>
        <w:ind w:left="-354" w:right="60" w:firstLine="354"/>
        <w:spacing w:after="0" w:line="259" w:lineRule="auto"/>
        <w:tabs>
          <w:tab w:leader="none" w:pos="2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Evidence of Debt means an instrument, including a Negotiable Instrument, executed by a customer of the Insured and held by the Insured which in the regular course of business is treated as evidencing the customer’s debt to the Insured.</w:t>
      </w:r>
    </w:p>
    <w:p>
      <w:pPr>
        <w:spacing w:after="0" w:line="186" w:lineRule="exact"/>
        <w:rPr>
          <w:rFonts w:ascii="Arial" w:cs="Arial" w:eastAsia="Arial" w:hAnsi="Arial"/>
          <w:sz w:val="18"/>
          <w:szCs w:val="18"/>
          <w:color w:val="auto"/>
        </w:rPr>
      </w:pPr>
    </w:p>
    <w:p>
      <w:pPr>
        <w:ind w:left="-354" w:right="220" w:firstLine="354"/>
        <w:spacing w:after="0" w:line="286" w:lineRule="auto"/>
        <w:tabs>
          <w:tab w:leader="none" w:pos="261"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Financial Interest in the Insured of the Insured’s general partner(s), or limited partner(s), committing dishonest or fraudulent acts covered by this bond or concerned or implicated therein means:</w:t>
      </w:r>
    </w:p>
    <w:p>
      <w:pPr>
        <w:spacing w:after="0" w:line="70" w:lineRule="exact"/>
        <w:rPr>
          <w:rFonts w:ascii="Arial" w:cs="Arial" w:eastAsia="Arial" w:hAnsi="Arial"/>
          <w:sz w:val="17"/>
          <w:szCs w:val="17"/>
          <w:color w:val="auto"/>
        </w:rPr>
      </w:pPr>
    </w:p>
    <w:p>
      <w:pPr>
        <w:ind w:left="726" w:right="160" w:hanging="357"/>
        <w:spacing w:after="0" w:line="279" w:lineRule="auto"/>
        <w:tabs>
          <w:tab w:leader="none" w:pos="726" w:val="left"/>
        </w:tabs>
        <w:numPr>
          <w:ilvl w:val="1"/>
          <w:numId w:val="23"/>
        </w:numPr>
        <w:rPr>
          <w:rFonts w:ascii="Arial" w:cs="Arial" w:eastAsia="Arial" w:hAnsi="Arial"/>
          <w:sz w:val="17"/>
          <w:szCs w:val="17"/>
          <w:color w:val="auto"/>
        </w:rPr>
      </w:pPr>
      <w:r>
        <w:rPr>
          <w:rFonts w:ascii="Arial" w:cs="Arial" w:eastAsia="Arial" w:hAnsi="Arial"/>
          <w:sz w:val="17"/>
          <w:szCs w:val="17"/>
          <w:color w:val="auto"/>
        </w:rPr>
        <w:t>as respects general partners the value of all right, title and interest of such general partner(s), determined as of the close of business on the date of discovery of loss covered by this bond, in the aggregate of:</w:t>
      </w:r>
    </w:p>
    <w:p>
      <w:pPr>
        <w:sectPr>
          <w:pgSz w:w="11900" w:h="16838" w:orient="portrait"/>
          <w:cols w:equalWidth="0" w:num="2">
            <w:col w:w="5260" w:space="714"/>
            <w:col w:w="5046"/>
          </w:cols>
          <w:pgMar w:left="440" w:top="328" w:right="439" w:bottom="0" w:gutter="0" w:footer="0" w:header="0"/>
          <w:type w:val="continuous"/>
        </w:sectPr>
      </w:pPr>
    </w:p>
    <w:bookmarkStart w:id="8" w:name="page9"/>
    <w:bookmarkEnd w:id="8"/>
    <w:p>
      <w:pPr>
        <w:ind w:left="600" w:hanging="244"/>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130" w:lineRule="exact"/>
        <w:rPr>
          <w:rFonts w:ascii="Arial" w:cs="Arial" w:eastAsia="Arial" w:hAnsi="Arial"/>
          <w:sz w:val="18"/>
          <w:szCs w:val="18"/>
          <w:color w:val="auto"/>
        </w:rPr>
      </w:pPr>
    </w:p>
    <w:p>
      <w:pPr>
        <w:ind w:left="1460" w:right="754" w:hanging="371"/>
        <w:spacing w:after="0" w:line="273" w:lineRule="auto"/>
        <w:tabs>
          <w:tab w:leader="none" w:pos="14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 natural person in the service of the Insured at any of the Insured’s offices or premises covered hereunder whom the Insured compensates directly by salary or commissions and whom the Insured has the right to direct and control while performing services for the Insured;</w:t>
      </w:r>
    </w:p>
    <w:p>
      <w:pPr>
        <w:spacing w:after="0" w:line="83" w:lineRule="exact"/>
        <w:rPr>
          <w:rFonts w:ascii="Arial" w:cs="Arial" w:eastAsia="Arial" w:hAnsi="Arial"/>
          <w:sz w:val="17"/>
          <w:szCs w:val="17"/>
          <w:color w:val="auto"/>
        </w:rPr>
      </w:pPr>
    </w:p>
    <w:p>
      <w:pPr>
        <w:ind w:left="1460" w:right="754" w:hanging="371"/>
        <w:spacing w:after="0" w:line="263"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attorney retained by the Insured and an employee of such attorney while either is performing legal services for the Insured;</w:t>
      </w:r>
    </w:p>
    <w:p>
      <w:pPr>
        <w:spacing w:after="0" w:line="89" w:lineRule="exact"/>
        <w:rPr>
          <w:rFonts w:ascii="Arial" w:cs="Arial" w:eastAsia="Arial" w:hAnsi="Arial"/>
          <w:sz w:val="18"/>
          <w:szCs w:val="18"/>
          <w:color w:val="auto"/>
        </w:rPr>
      </w:pPr>
    </w:p>
    <w:p>
      <w:pPr>
        <w:ind w:left="1460" w:right="814" w:hanging="371"/>
        <w:spacing w:after="0" w:line="273" w:lineRule="auto"/>
        <w:tabs>
          <w:tab w:leader="none" w:pos="14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 person provided by an employment contractor to perform employee duties for the Insured under the Insured’s supervision at any of the Insured’s offices or premises covered hereunder; and a guest student pursuing studies or duties in any of said offices or premises;</w:t>
      </w:r>
    </w:p>
    <w:p>
      <w:pPr>
        <w:spacing w:after="0" w:line="83" w:lineRule="exact"/>
        <w:rPr>
          <w:rFonts w:ascii="Arial" w:cs="Arial" w:eastAsia="Arial" w:hAnsi="Arial"/>
          <w:sz w:val="17"/>
          <w:szCs w:val="17"/>
          <w:color w:val="auto"/>
        </w:rPr>
      </w:pPr>
    </w:p>
    <w:p>
      <w:pPr>
        <w:ind w:left="1460" w:right="874" w:hanging="371"/>
        <w:spacing w:after="0" w:line="263"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w:t>
      </w:r>
    </w:p>
    <w:p>
      <w:pPr>
        <w:spacing w:after="0" w:line="89" w:lineRule="exact"/>
        <w:rPr>
          <w:rFonts w:ascii="Arial" w:cs="Arial" w:eastAsia="Arial" w:hAnsi="Arial"/>
          <w:sz w:val="18"/>
          <w:szCs w:val="18"/>
          <w:color w:val="auto"/>
        </w:rPr>
      </w:pPr>
    </w:p>
    <w:p>
      <w:pPr>
        <w:ind w:left="1460" w:right="714" w:hanging="371"/>
        <w:spacing w:after="0" w:line="287" w:lineRule="auto"/>
        <w:tabs>
          <w:tab w:leader="none" w:pos="14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the Insured to perform services as data processor of checks or other accounting records of the Insured (not including preparation or modification of computer software or programs), herein called Processor. (Each such Processor, and the partners. officers and employees of such Processor shall, collectively, be deemed to be one Employee for all the purposes of this bond, excepting, however, the second paragraph of Section 12. A Federal Reserve Bank or clearing house shall not be construed to be a processor.) and</w:t>
      </w:r>
    </w:p>
    <w:p>
      <w:pPr>
        <w:spacing w:after="0" w:line="20" w:lineRule="exact"/>
        <w:rPr>
          <w:sz w:val="20"/>
          <w:szCs w:val="20"/>
          <w:color w:val="auto"/>
        </w:rPr>
      </w:pPr>
      <w:r>
        <w:rPr>
          <w:sz w:val="20"/>
          <w:szCs w:val="20"/>
          <w:color w:val="auto"/>
        </w:rPr>
        <w:br w:type="column"/>
      </w:r>
    </w:p>
    <w:p>
      <w:pPr>
        <w:ind w:left="386" w:right="40" w:hanging="373"/>
        <w:spacing w:after="0" w:line="285" w:lineRule="auto"/>
        <w:tabs>
          <w:tab w:leader="none" w:pos="3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“net worth” of the Insured, which for the purposes of this bond, shall be deemed to be the excess of its total assets over its total liabilities, without adjustment to give effect to loss covered by this bond, (except that credit balances and equities in proprietary accounts of the Insured, which shall include capital accounts of partners, investment and trading accounts of the Insured, participations of the Insured in joint accounts. and accounts of partners which are covered by agreements providing for the inclusion of equities therein as partnership property, shall not be considered as liabilities) with securities, spot commodities, commodity future contracts in such proprietary accounts and all other assets marked to market or fair value and with adjustment for profits and losses at the market of contractual commitments for such proprietary accounts of the Insured; and</w:t>
      </w:r>
    </w:p>
    <w:p>
      <w:pPr>
        <w:spacing w:after="0" w:line="79" w:lineRule="exact"/>
        <w:rPr>
          <w:rFonts w:ascii="Arial" w:cs="Arial" w:eastAsia="Arial" w:hAnsi="Arial"/>
          <w:sz w:val="16"/>
          <w:szCs w:val="16"/>
          <w:color w:val="auto"/>
        </w:rPr>
      </w:pPr>
    </w:p>
    <w:p>
      <w:pPr>
        <w:ind w:left="386" w:right="60" w:hanging="373"/>
        <w:spacing w:after="0" w:line="296" w:lineRule="auto"/>
        <w:tabs>
          <w:tab w:leader="none" w:pos="3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value of all other Money, securities and property belonging to such general partner(s), or in which such general partner(s) have a pecuniary interest, held by or in the custody of and legally available to the Insured as set-off against loss covered by this bond;</w:t>
      </w:r>
    </w:p>
    <w:p>
      <w:pPr>
        <w:spacing w:after="0" w:line="53" w:lineRule="exact"/>
        <w:rPr>
          <w:sz w:val="20"/>
          <w:szCs w:val="20"/>
          <w:color w:val="auto"/>
        </w:rPr>
      </w:pPr>
    </w:p>
    <w:p>
      <w:pPr>
        <w:ind w:left="6" w:right="20"/>
        <w:spacing w:after="0" w:line="287" w:lineRule="auto"/>
        <w:rPr>
          <w:sz w:val="20"/>
          <w:szCs w:val="20"/>
          <w:color w:val="auto"/>
        </w:rPr>
      </w:pPr>
      <w:r>
        <w:rPr>
          <w:rFonts w:ascii="Arial" w:cs="Arial" w:eastAsia="Arial" w:hAnsi="Arial"/>
          <w:sz w:val="16"/>
          <w:szCs w:val="16"/>
          <w:color w:val="auto"/>
        </w:rPr>
        <w:t>provided, however, that if such “net worth” adjusted to give effect to loss covered by this bond and such value of all other Money, securities and property as set forth in (g)(1)</w:t>
      </w:r>
    </w:p>
    <w:p>
      <w:pPr>
        <w:spacing w:after="0" w:line="2" w:lineRule="exact"/>
        <w:rPr>
          <w:sz w:val="20"/>
          <w:szCs w:val="20"/>
          <w:color w:val="auto"/>
        </w:rPr>
      </w:pPr>
    </w:p>
    <w:p>
      <w:pPr>
        <w:jc w:val="both"/>
        <w:ind w:left="6" w:right="60" w:hanging="6"/>
        <w:spacing w:after="0" w:line="255" w:lineRule="auto"/>
        <w:tabs>
          <w:tab w:leader="none" w:pos="2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preceding, plus the amount of coverage afforded by this bond on account of such loss, is not sufficient to enable the Insured</w:t>
      </w:r>
    </w:p>
    <w:p>
      <w:pPr>
        <w:spacing w:after="0" w:line="1234" w:lineRule="exact"/>
        <w:rPr>
          <w:sz w:val="20"/>
          <w:szCs w:val="20"/>
          <w:color w:val="auto"/>
        </w:rPr>
      </w:pPr>
    </w:p>
    <w:p>
      <w:pPr>
        <w:sectPr>
          <w:pgSz w:w="11900" w:h="16838" w:orient="portrait"/>
          <w:cols w:equalWidth="0" w:num="2">
            <w:col w:w="5974" w:space="720"/>
            <w:col w:w="4326"/>
          </w:cols>
          <w:pgMar w:left="440" w:top="125" w:right="439" w:bottom="1440" w:gutter="0" w:footer="0" w:header="0"/>
        </w:sectPr>
      </w:pPr>
    </w:p>
    <w:p>
      <w:pPr>
        <w:spacing w:after="0" w:line="49" w:lineRule="exact"/>
        <w:rPr>
          <w:sz w:val="20"/>
          <w:szCs w:val="20"/>
          <w:color w:val="auto"/>
        </w:rPr>
      </w:pPr>
    </w:p>
    <w:p>
      <w:pPr>
        <w:spacing w:after="0"/>
        <w:tabs>
          <w:tab w:leader="none" w:pos="3600" w:val="left"/>
          <w:tab w:leader="none" w:pos="101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3 of 6</w:t>
      </w:r>
    </w:p>
    <w:p>
      <w:pPr>
        <w:sectPr>
          <w:pgSz w:w="11900" w:h="16838" w:orient="portrait"/>
          <w:cols w:equalWidth="0" w:num="1">
            <w:col w:w="11020"/>
          </w:cols>
          <w:pgMar w:left="440" w:top="125" w:right="439" w:bottom="1440" w:gutter="0" w:footer="0" w:header="0"/>
          <w:type w:val="continuous"/>
        </w:sectPr>
      </w:pPr>
    </w:p>
    <w:bookmarkStart w:id="9" w:name="page10"/>
    <w:bookmarkEnd w:id="9"/>
    <w:p>
      <w:pPr>
        <w:spacing w:after="0" w:line="20" w:lineRule="exact"/>
        <w:rPr>
          <w:sz w:val="20"/>
          <w:szCs w:val="20"/>
          <w:color w:val="auto"/>
        </w:rPr>
      </w:pPr>
    </w:p>
    <w:p>
      <w:pPr>
        <w:ind w:left="1084" w:right="20"/>
        <w:spacing w:after="0" w:line="288" w:lineRule="auto"/>
        <w:rPr>
          <w:sz w:val="20"/>
          <w:szCs w:val="20"/>
          <w:color w:val="auto"/>
        </w:rPr>
      </w:pPr>
      <w:r>
        <w:rPr>
          <w:rFonts w:ascii="Arial" w:cs="Arial" w:eastAsia="Arial" w:hAnsi="Arial"/>
          <w:sz w:val="16"/>
          <w:szCs w:val="16"/>
          <w:color w:val="auto"/>
        </w:rPr>
        <w:t>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w:t>
      </w:r>
    </w:p>
    <w:p>
      <w:pPr>
        <w:spacing w:after="0" w:line="74" w:lineRule="exact"/>
        <w:rPr>
          <w:sz w:val="20"/>
          <w:szCs w:val="20"/>
          <w:color w:val="auto"/>
        </w:rPr>
      </w:pPr>
    </w:p>
    <w:p>
      <w:pPr>
        <w:ind w:left="724" w:right="420" w:hanging="355"/>
        <w:spacing w:after="0" w:line="277" w:lineRule="auto"/>
        <w:tabs>
          <w:tab w:leader="none" w:pos="72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respects limited partners the value of such limited partner’s(’) investment in the Insured.</w:t>
      </w:r>
    </w:p>
    <w:p>
      <w:pPr>
        <w:spacing w:after="0" w:line="170" w:lineRule="exact"/>
        <w:rPr>
          <w:rFonts w:ascii="Arial" w:cs="Arial" w:eastAsia="Arial" w:hAnsi="Arial"/>
          <w:sz w:val="18"/>
          <w:szCs w:val="18"/>
          <w:color w:val="auto"/>
        </w:rPr>
      </w:pPr>
    </w:p>
    <w:p>
      <w:pPr>
        <w:ind w:left="-356" w:right="200" w:firstLine="356"/>
        <w:spacing w:after="0" w:line="279" w:lineRule="auto"/>
        <w:tabs>
          <w:tab w:leader="none" w:pos="259"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Forgery means the signing of the name of another person or organization with intent to deceive; it does not mean a signature which consists in whole or in part of one’s own name signed with or without authority, in any capacity, for any purpose.</w:t>
      </w:r>
    </w:p>
    <w:p>
      <w:pPr>
        <w:spacing w:after="0" w:line="171" w:lineRule="exact"/>
        <w:rPr>
          <w:rFonts w:ascii="Arial" w:cs="Arial" w:eastAsia="Arial" w:hAnsi="Arial"/>
          <w:sz w:val="17"/>
          <w:szCs w:val="17"/>
          <w:color w:val="auto"/>
        </w:rPr>
      </w:pPr>
    </w:p>
    <w:p>
      <w:pPr>
        <w:ind w:left="-356" w:right="180" w:firstLine="356"/>
        <w:spacing w:after="0" w:line="301" w:lineRule="auto"/>
        <w:tabs>
          <w:tab w:leader="none" w:pos="219" w:val="left"/>
        </w:tabs>
        <w:numPr>
          <w:ilvl w:val="0"/>
          <w:numId w:val="28"/>
        </w:numPr>
        <w:rPr>
          <w:rFonts w:ascii="Arial" w:cs="Arial" w:eastAsia="Arial" w:hAnsi="Arial"/>
          <w:sz w:val="16"/>
          <w:szCs w:val="16"/>
          <w:color w:val="auto"/>
        </w:rPr>
      </w:pPr>
      <w:r>
        <w:rPr>
          <w:rFonts w:ascii="Arial" w:cs="Arial" w:eastAsia="Arial" w:hAnsi="Arial"/>
          <w:sz w:val="16"/>
          <w:szCs w:val="16"/>
          <w:color w:val="auto"/>
        </w:rPr>
        <w:t>Guarantee means a written undertaking obligating the signer to pay the debt of another to the Insured or its assignee or to a financial institution from which the Insured has purchased participation in the debt, if the debt is not paid in accordance with its terms.</w:t>
      </w:r>
    </w:p>
    <w:p>
      <w:pPr>
        <w:spacing w:after="0" w:line="157" w:lineRule="exact"/>
        <w:rPr>
          <w:rFonts w:ascii="Arial" w:cs="Arial" w:eastAsia="Arial" w:hAnsi="Arial"/>
          <w:sz w:val="16"/>
          <w:szCs w:val="16"/>
          <w:color w:val="auto"/>
        </w:rPr>
      </w:pPr>
    </w:p>
    <w:p>
      <w:pPr>
        <w:ind w:left="-356" w:right="300" w:firstLine="356"/>
        <w:spacing w:after="0" w:line="311" w:lineRule="auto"/>
        <w:tabs>
          <w:tab w:leader="none" w:pos="21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Instruction means a written order to the issuer of an Uncertificated Security requesting that the transfer, pledge, or release from pledge of the Uncertificated Security specified be registered.</w:t>
      </w:r>
    </w:p>
    <w:p>
      <w:pPr>
        <w:spacing w:after="0" w:line="148" w:lineRule="exact"/>
        <w:rPr>
          <w:rFonts w:ascii="Arial" w:cs="Arial" w:eastAsia="Arial" w:hAnsi="Arial"/>
          <w:sz w:val="16"/>
          <w:szCs w:val="16"/>
          <w:color w:val="auto"/>
        </w:rPr>
      </w:pPr>
    </w:p>
    <w:p>
      <w:pPr>
        <w:ind w:left="-356" w:right="60" w:firstLine="356"/>
        <w:spacing w:after="0" w:line="279" w:lineRule="auto"/>
        <w:tabs>
          <w:tab w:leader="none" w:pos="259"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Letter of Credit means an engagement in writing by a bank or other person made at the request of a customer that the bank or other person will honor drafts or other demands for payment upon compliance with the conditions specified in the Letter of Credit.</w:t>
      </w:r>
    </w:p>
    <w:p>
      <w:pPr>
        <w:spacing w:after="0" w:line="171" w:lineRule="exact"/>
        <w:rPr>
          <w:sz w:val="20"/>
          <w:szCs w:val="20"/>
          <w:color w:val="auto"/>
        </w:rPr>
      </w:pPr>
    </w:p>
    <w:p>
      <w:pPr>
        <w:ind w:left="-356" w:right="40" w:firstLine="356"/>
        <w:spacing w:after="0" w:line="342" w:lineRule="auto"/>
        <w:tabs>
          <w:tab w:leader="none" w:pos="229"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Money means a medium of exchange in current use authorized or adopted by a domestic or foreign government as a part of its currency.</w:t>
      </w:r>
    </w:p>
    <w:p>
      <w:pPr>
        <w:spacing w:after="0" w:line="124" w:lineRule="exact"/>
        <w:rPr>
          <w:sz w:val="20"/>
          <w:szCs w:val="20"/>
          <w:color w:val="auto"/>
        </w:rPr>
      </w:pPr>
    </w:p>
    <w:p>
      <w:pPr>
        <w:ind w:left="304" w:hanging="304"/>
        <w:spacing w:after="0"/>
        <w:tabs>
          <w:tab w:leader="none" w:pos="3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Negotiable Instrument means any writing</w:t>
      </w:r>
    </w:p>
    <w:p>
      <w:pPr>
        <w:spacing w:after="0" w:line="130" w:lineRule="exact"/>
        <w:rPr>
          <w:rFonts w:ascii="Arial" w:cs="Arial" w:eastAsia="Arial" w:hAnsi="Arial"/>
          <w:sz w:val="18"/>
          <w:szCs w:val="18"/>
          <w:color w:val="auto"/>
        </w:rPr>
      </w:pPr>
    </w:p>
    <w:p>
      <w:pPr>
        <w:ind w:left="1104" w:hanging="371"/>
        <w:spacing w:after="0"/>
        <w:tabs>
          <w:tab w:leader="none" w:pos="11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signed by the maker or drawer; and</w:t>
      </w:r>
    </w:p>
    <w:p>
      <w:pPr>
        <w:spacing w:after="0" w:line="130" w:lineRule="exact"/>
        <w:rPr>
          <w:rFonts w:ascii="Arial" w:cs="Arial" w:eastAsia="Arial" w:hAnsi="Arial"/>
          <w:sz w:val="18"/>
          <w:szCs w:val="18"/>
          <w:color w:val="auto"/>
        </w:rPr>
      </w:pPr>
    </w:p>
    <w:p>
      <w:pPr>
        <w:ind w:left="1104" w:right="200" w:hanging="371"/>
        <w:spacing w:after="0" w:line="259" w:lineRule="auto"/>
        <w:tabs>
          <w:tab w:leader="none" w:pos="11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containing any unconditional promise or order to pay a sum certain in Money and no other promise, order, obligation or power given by the maker or drawer; and</w:t>
      </w:r>
    </w:p>
    <w:p>
      <w:pPr>
        <w:spacing w:after="0" w:line="92" w:lineRule="exact"/>
        <w:rPr>
          <w:rFonts w:ascii="Arial" w:cs="Arial" w:eastAsia="Arial" w:hAnsi="Arial"/>
          <w:sz w:val="18"/>
          <w:szCs w:val="18"/>
          <w:color w:val="auto"/>
        </w:rPr>
      </w:pPr>
    </w:p>
    <w:p>
      <w:pPr>
        <w:ind w:left="1104" w:hanging="371"/>
        <w:spacing w:after="0"/>
        <w:tabs>
          <w:tab w:leader="none" w:pos="11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104" w:hanging="371"/>
        <w:spacing w:after="0"/>
        <w:tabs>
          <w:tab w:leader="none" w:pos="11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Partner means a natural person who</w:t>
      </w:r>
    </w:p>
    <w:p>
      <w:pPr>
        <w:spacing w:after="0" w:line="130" w:lineRule="exact"/>
        <w:rPr>
          <w:rFonts w:ascii="Arial" w:cs="Arial" w:eastAsia="Arial" w:hAnsi="Arial"/>
          <w:sz w:val="18"/>
          <w:szCs w:val="18"/>
          <w:color w:val="auto"/>
        </w:rPr>
      </w:pPr>
    </w:p>
    <w:p>
      <w:pPr>
        <w:ind w:left="1104" w:hanging="371"/>
        <w:spacing w:after="0"/>
        <w:tabs>
          <w:tab w:leader="none" w:pos="11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a general partner of the Insured, or</w:t>
      </w:r>
    </w:p>
    <w:p>
      <w:pPr>
        <w:spacing w:after="0" w:line="130" w:lineRule="exact"/>
        <w:rPr>
          <w:rFonts w:ascii="Arial" w:cs="Arial" w:eastAsia="Arial" w:hAnsi="Arial"/>
          <w:sz w:val="18"/>
          <w:szCs w:val="18"/>
          <w:color w:val="auto"/>
        </w:rPr>
      </w:pPr>
    </w:p>
    <w:p>
      <w:pPr>
        <w:ind w:left="1104" w:right="160" w:hanging="371"/>
        <w:spacing w:after="0" w:line="308" w:lineRule="auto"/>
        <w:tabs>
          <w:tab w:leader="none" w:pos="1104" w:val="left"/>
        </w:tabs>
        <w:numPr>
          <w:ilvl w:val="1"/>
          <w:numId w:val="30"/>
        </w:numPr>
        <w:rPr>
          <w:rFonts w:ascii="Arial" w:cs="Arial" w:eastAsia="Arial" w:hAnsi="Arial"/>
          <w:sz w:val="17"/>
          <w:szCs w:val="17"/>
          <w:color w:val="auto"/>
        </w:rPr>
      </w:pPr>
      <w:r>
        <w:rPr>
          <w:rFonts w:ascii="Arial" w:cs="Arial" w:eastAsia="Arial" w:hAnsi="Arial"/>
          <w:sz w:val="17"/>
          <w:szCs w:val="17"/>
          <w:color w:val="auto"/>
        </w:rPr>
        <w:t>is a limited partner and an Employee (as defined in Section 1 (e) (1) of the bond) of the Insured.</w:t>
      </w:r>
    </w:p>
    <w:p>
      <w:pPr>
        <w:spacing w:after="0" w:line="146" w:lineRule="exact"/>
        <w:rPr>
          <w:rFonts w:ascii="Arial" w:cs="Arial" w:eastAsia="Arial" w:hAnsi="Arial"/>
          <w:sz w:val="17"/>
          <w:szCs w:val="17"/>
          <w:color w:val="auto"/>
        </w:rPr>
      </w:pPr>
    </w:p>
    <w:p>
      <w:pPr>
        <w:ind w:left="-356" w:right="80" w:firstLine="356"/>
        <w:spacing w:after="0" w:line="288" w:lineRule="auto"/>
        <w:tabs>
          <w:tab w:leader="none" w:pos="25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Property means Money, Certificated Securities, Uncertificated Securities of any Federal Reserve Bank of the United States,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hereinbefore enumerated.</w:t>
      </w:r>
    </w:p>
    <w:p>
      <w:pPr>
        <w:spacing w:after="0" w:line="168" w:lineRule="exact"/>
        <w:rPr>
          <w:rFonts w:ascii="Arial" w:cs="Arial" w:eastAsia="Arial" w:hAnsi="Arial"/>
          <w:sz w:val="16"/>
          <w:szCs w:val="16"/>
          <w:color w:val="auto"/>
        </w:rPr>
      </w:pPr>
    </w:p>
    <w:p>
      <w:pPr>
        <w:ind w:left="-356" w:right="120" w:firstLine="356"/>
        <w:spacing w:after="0" w:line="277" w:lineRule="auto"/>
        <w:tabs>
          <w:tab w:leader="none" w:pos="2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Statement of Uncertificated Security means a written statement of the issuer of an Uncertificated Security containing:</w:t>
      </w:r>
    </w:p>
    <w:p>
      <w:pPr>
        <w:spacing w:after="0" w:line="75" w:lineRule="exact"/>
        <w:rPr>
          <w:rFonts w:ascii="Arial" w:cs="Arial" w:eastAsia="Arial" w:hAnsi="Arial"/>
          <w:sz w:val="18"/>
          <w:szCs w:val="18"/>
          <w:color w:val="auto"/>
        </w:rPr>
      </w:pPr>
    </w:p>
    <w:p>
      <w:pPr>
        <w:ind w:left="1104" w:hanging="371"/>
        <w:spacing w:after="0" w:line="277" w:lineRule="auto"/>
        <w:tabs>
          <w:tab w:leader="none" w:pos="11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description of the Issue of which the Uncertificated Security is a part;</w:t>
      </w:r>
    </w:p>
    <w:p>
      <w:pPr>
        <w:spacing w:after="0" w:line="75" w:lineRule="exact"/>
        <w:rPr>
          <w:rFonts w:ascii="Arial" w:cs="Arial" w:eastAsia="Arial" w:hAnsi="Arial"/>
          <w:sz w:val="18"/>
          <w:szCs w:val="18"/>
          <w:color w:val="auto"/>
        </w:rPr>
      </w:pPr>
    </w:p>
    <w:p>
      <w:pPr>
        <w:ind w:left="1104" w:hanging="371"/>
        <w:spacing w:after="0"/>
        <w:tabs>
          <w:tab w:leader="none" w:pos="11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484" w:hanging="386"/>
        <w:spacing w:after="0"/>
        <w:tabs>
          <w:tab w:leader="none" w:pos="1484" w:val="left"/>
        </w:tabs>
        <w:numPr>
          <w:ilvl w:val="2"/>
          <w:numId w:val="30"/>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484" w:right="680" w:hanging="386"/>
        <w:spacing w:after="0" w:line="277" w:lineRule="auto"/>
        <w:tabs>
          <w:tab w:leader="none" w:pos="1484" w:val="left"/>
        </w:tabs>
        <w:numPr>
          <w:ilvl w:val="2"/>
          <w:numId w:val="30"/>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75" w:lineRule="exact"/>
        <w:rPr>
          <w:rFonts w:ascii="Arial" w:cs="Arial" w:eastAsia="Arial" w:hAnsi="Arial"/>
          <w:sz w:val="18"/>
          <w:szCs w:val="18"/>
          <w:color w:val="auto"/>
        </w:rPr>
      </w:pPr>
    </w:p>
    <w:p>
      <w:pPr>
        <w:ind w:left="1484" w:hanging="386"/>
        <w:spacing w:after="0"/>
        <w:tabs>
          <w:tab w:leader="none" w:pos="1484" w:val="left"/>
        </w:tabs>
        <w:numPr>
          <w:ilvl w:val="2"/>
          <w:numId w:val="30"/>
        </w:numPr>
        <w:rPr>
          <w:rFonts w:ascii="Arial" w:cs="Arial" w:eastAsia="Arial" w:hAnsi="Arial"/>
          <w:sz w:val="16"/>
          <w:szCs w:val="16"/>
          <w:color w:val="auto"/>
        </w:rPr>
      </w:pPr>
      <w:r>
        <w:rPr>
          <w:rFonts w:ascii="Arial" w:cs="Arial" w:eastAsia="Arial" w:hAnsi="Arial"/>
          <w:sz w:val="16"/>
          <w:szCs w:val="16"/>
          <w:color w:val="auto"/>
        </w:rPr>
        <w:t>released from pledge by the registered pledgee;</w:t>
      </w:r>
    </w:p>
    <w:p>
      <w:pPr>
        <w:spacing w:after="0" w:line="20" w:lineRule="exact"/>
        <w:rPr>
          <w:sz w:val="20"/>
          <w:szCs w:val="20"/>
          <w:color w:val="auto"/>
        </w:rPr>
      </w:pPr>
      <w:r>
        <w:rPr>
          <w:sz w:val="20"/>
          <w:szCs w:val="20"/>
          <w:color w:val="auto"/>
        </w:rPr>
        <w:br w:type="column"/>
      </w:r>
    </w:p>
    <w:p>
      <w:pPr>
        <w:ind w:left="1460" w:right="20" w:hanging="373"/>
        <w:spacing w:after="0" w:line="263" w:lineRule="auto"/>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83" w:lineRule="exact"/>
        <w:rPr>
          <w:rFonts w:ascii="Arial" w:cs="Arial" w:eastAsia="Arial" w:hAnsi="Arial"/>
          <w:sz w:val="18"/>
          <w:szCs w:val="18"/>
          <w:color w:val="auto"/>
        </w:rPr>
      </w:pPr>
    </w:p>
    <w:p>
      <w:pPr>
        <w:ind w:firstLine="354"/>
        <w:spacing w:after="0" w:line="311" w:lineRule="auto"/>
        <w:tabs>
          <w:tab w:leader="none" w:pos="5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Withdrawal Order means a non-negotiable instrument, other than an Instruction, signed by a customer of the Insured authorizing the Insured to debit the customer’s account in the amount of funds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-1121410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4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EXCLUSIONS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 This bond does not cover:</w:t>
      </w:r>
    </w:p>
    <w:p>
      <w:pPr>
        <w:spacing w:after="0" w:line="117" w:lineRule="exact"/>
        <w:rPr>
          <w:sz w:val="20"/>
          <w:szCs w:val="20"/>
          <w:color w:val="auto"/>
        </w:rPr>
      </w:pPr>
    </w:p>
    <w:p>
      <w:pPr>
        <w:ind w:right="360" w:firstLine="354"/>
        <w:spacing w:after="0" w:line="342" w:lineRule="auto"/>
        <w:tabs>
          <w:tab w:leader="none" w:pos="6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 resulting directly or indirectly from forgery or alteration, except when covered under Insuring Agreements (A), (D) or (E);</w:t>
      </w:r>
    </w:p>
    <w:p>
      <w:pPr>
        <w:spacing w:after="0" w:line="123" w:lineRule="exact"/>
        <w:rPr>
          <w:rFonts w:ascii="Arial" w:cs="Arial" w:eastAsia="Arial" w:hAnsi="Arial"/>
          <w:sz w:val="16"/>
          <w:szCs w:val="16"/>
          <w:color w:val="auto"/>
        </w:rPr>
      </w:pPr>
    </w:p>
    <w:p>
      <w:pPr>
        <w:ind w:right="60" w:firstLine="354"/>
        <w:spacing w:after="0" w:line="272"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loss due to riot or civil commotion outside the United States of America and Canada; or loss due to military, naval or usurped power, war or insurrection unless such loss occurs in transit in the circumstances recited in Insuring Agreement (C), and unless, when such transit was initiated, there was no knowledge of such riot, civil commotion, military, naval or usurped power, war or insurrection on the part of any person acting for the Insured in initiating such transit;</w:t>
      </w:r>
    </w:p>
    <w:p>
      <w:pPr>
        <w:spacing w:after="0" w:line="177" w:lineRule="exact"/>
        <w:rPr>
          <w:rFonts w:ascii="Arial" w:cs="Arial" w:eastAsia="Arial" w:hAnsi="Arial"/>
          <w:sz w:val="17"/>
          <w:szCs w:val="17"/>
          <w:color w:val="auto"/>
        </w:rPr>
      </w:pPr>
    </w:p>
    <w:p>
      <w:pPr>
        <w:ind w:right="180" w:firstLine="354"/>
        <w:spacing w:after="0" w:line="311" w:lineRule="auto"/>
        <w:tabs>
          <w:tab w:leader="none" w:pos="6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 resulting directly or indirectly from the effects of nuclear fission or fusion or radioactivity; provided, however, that this paragraph shall not apply to loss resulting from industrial uses of nuclear energy;</w:t>
      </w:r>
    </w:p>
    <w:p>
      <w:pPr>
        <w:spacing w:after="0" w:line="148" w:lineRule="exact"/>
        <w:rPr>
          <w:rFonts w:ascii="Arial" w:cs="Arial" w:eastAsia="Arial" w:hAnsi="Arial"/>
          <w:sz w:val="16"/>
          <w:szCs w:val="16"/>
          <w:color w:val="auto"/>
        </w:rPr>
      </w:pPr>
    </w:p>
    <w:p>
      <w:pPr>
        <w:ind w:right="20" w:firstLine="354"/>
        <w:spacing w:after="0" w:line="293" w:lineRule="auto"/>
        <w:tabs>
          <w:tab w:leader="none" w:pos="6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 resulting from any act or acts of any person who is a member of the Board of Directors of the Insured or a member of any equivalent body by whatsoever name known unless such person is also an Employee or an elected official of the Insured in some other capacity, nor, in any event, loss resulting from the act or acts of any person while acting in the capacity of a member of such Board or equivalent body;</w:t>
      </w:r>
    </w:p>
    <w:p>
      <w:pPr>
        <w:spacing w:after="0" w:line="164" w:lineRule="exact"/>
        <w:rPr>
          <w:rFonts w:ascii="Arial" w:cs="Arial" w:eastAsia="Arial" w:hAnsi="Arial"/>
          <w:sz w:val="16"/>
          <w:szCs w:val="16"/>
          <w:color w:val="auto"/>
        </w:rPr>
      </w:pPr>
    </w:p>
    <w:p>
      <w:pPr>
        <w:ind w:right="220" w:firstLine="354"/>
        <w:spacing w:after="0" w:line="271" w:lineRule="auto"/>
        <w:tabs>
          <w:tab w:leader="none" w:pos="605"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loss resulting directly or indirectly from the complete or partial non-payment of, or default upon, any loan or transaction involving the Insured as a lender or borrower, or extension of credit, including the purchase, discounting or other acquisition of false or genuine accounts, invoices, notes, agreements or Evidences of Debt, whether such loan, transaction or extension was procured in good faith or through trick, artifice, fraud or false pretenses: except when covered under Insuring Agreements (A), (D) or (E);</w:t>
      </w:r>
    </w:p>
    <w:p>
      <w:pPr>
        <w:spacing w:after="0" w:line="178" w:lineRule="exact"/>
        <w:rPr>
          <w:rFonts w:ascii="Arial" w:cs="Arial" w:eastAsia="Arial" w:hAnsi="Arial"/>
          <w:sz w:val="17"/>
          <w:szCs w:val="17"/>
          <w:color w:val="auto"/>
        </w:rPr>
      </w:pPr>
    </w:p>
    <w:p>
      <w:pPr>
        <w:ind w:right="640" w:firstLine="354"/>
        <w:spacing w:after="0" w:line="277" w:lineRule="auto"/>
        <w:tabs>
          <w:tab w:leader="none" w:pos="5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197" w:lineRule="exact"/>
        <w:rPr>
          <w:rFonts w:ascii="Arial" w:cs="Arial" w:eastAsia="Arial" w:hAnsi="Arial"/>
          <w:sz w:val="18"/>
          <w:szCs w:val="18"/>
          <w:color w:val="auto"/>
        </w:rPr>
      </w:pPr>
    </w:p>
    <w:p>
      <w:pPr>
        <w:ind w:left="1080" w:right="380" w:hanging="357"/>
        <w:spacing w:after="0" w:line="301" w:lineRule="auto"/>
        <w:tabs>
          <w:tab w:leader="none" w:pos="10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of law regulating (i) the issuance, purchase or sale of securities. (ii) securities transactions upon security exchanges or over the counter market, (iii) investment companies, or (iv) investment advisers, or</w:t>
      </w:r>
    </w:p>
    <w:p>
      <w:pPr>
        <w:spacing w:after="0" w:line="62" w:lineRule="exact"/>
        <w:rPr>
          <w:rFonts w:ascii="Arial" w:cs="Arial" w:eastAsia="Arial" w:hAnsi="Arial"/>
          <w:sz w:val="16"/>
          <w:szCs w:val="16"/>
          <w:color w:val="auto"/>
        </w:rPr>
      </w:pPr>
    </w:p>
    <w:p>
      <w:pPr>
        <w:ind w:left="1080" w:hanging="357"/>
        <w:spacing w:after="0" w:line="255"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 unless it is established by the Insured that the act or acts which caused the said loss involved fraudulent or dishonest conduct which would have caused a loss to the Insured in a similar amount in the absence of such laws, rules or regulations;</w:t>
      </w:r>
    </w:p>
    <w:p>
      <w:pPr>
        <w:spacing w:after="0" w:line="192" w:lineRule="exact"/>
        <w:rPr>
          <w:rFonts w:ascii="Arial" w:cs="Arial" w:eastAsia="Arial" w:hAnsi="Arial"/>
          <w:sz w:val="18"/>
          <w:szCs w:val="18"/>
          <w:color w:val="auto"/>
        </w:rPr>
      </w:pPr>
    </w:p>
    <w:p>
      <w:pPr>
        <w:jc w:val="both"/>
        <w:ind w:right="80" w:firstLine="354"/>
        <w:spacing w:after="0" w:line="257" w:lineRule="auto"/>
        <w:tabs>
          <w:tab w:leader="none" w:pos="6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resulting directly or indirectly from the failure of a financial or depository institution, or its receiver or liquidator, to pay or deliver, on demand of the Insured, funds or Property of the Insured held by it in any capacity, except when covered under Insuring Agreements (A) or (B)(1) (a);</w:t>
      </w:r>
    </w:p>
    <w:p>
      <w:pPr>
        <w:spacing w:after="0" w:line="187" w:lineRule="exact"/>
        <w:rPr>
          <w:rFonts w:ascii="Arial" w:cs="Arial" w:eastAsia="Arial" w:hAnsi="Arial"/>
          <w:sz w:val="18"/>
          <w:szCs w:val="18"/>
          <w:color w:val="auto"/>
        </w:rPr>
      </w:pPr>
    </w:p>
    <w:p>
      <w:pPr>
        <w:jc w:val="both"/>
        <w:ind w:right="20" w:firstLine="354"/>
        <w:spacing w:after="0" w:line="279"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loss caused by an Employee, except when covered under Insuring Agreement (A) or when covered under Insuring Agreement (B) or (C) and resulting directly from misplacement, mysterious unexplainable disappearance or destruction of or damage to Property:</w:t>
      </w:r>
    </w:p>
    <w:p>
      <w:pPr>
        <w:spacing w:after="0" w:line="171" w:lineRule="exact"/>
        <w:rPr>
          <w:rFonts w:ascii="Arial" w:cs="Arial" w:eastAsia="Arial" w:hAnsi="Arial"/>
          <w:sz w:val="17"/>
          <w:szCs w:val="17"/>
          <w:color w:val="auto"/>
        </w:rPr>
      </w:pPr>
    </w:p>
    <w:p>
      <w:pPr>
        <w:ind w:firstLine="354"/>
        <w:spacing w:after="0" w:line="255" w:lineRule="auto"/>
        <w:tabs>
          <w:tab w:leader="none" w:pos="5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resulting directly or indirectly from transactions in a customer’s account, whether authorized or unauthorized, except the unlawful withdrawal and conversion of Money, securities or precious metals, directly from a customer’s account by an Employee provided such unlawful withdrawal and conversion is covered under Insuring Agreement (A):</w:t>
      </w:r>
    </w:p>
    <w:p>
      <w:pPr>
        <w:sectPr>
          <w:pgSz w:w="11900" w:h="16858" w:orient="portrait"/>
          <w:cols w:equalWidth="0" w:num="2">
            <w:col w:w="4924" w:space="340"/>
            <w:col w:w="5360"/>
          </w:cols>
          <w:pgMar w:left="796" w:top="328" w:right="479" w:bottom="0" w:gutter="0" w:footer="0" w:header="0"/>
        </w:sectPr>
      </w:pPr>
    </w:p>
    <w:bookmarkStart w:id="10" w:name="page11"/>
    <w:bookmarkEnd w:id="10"/>
    <w:p>
      <w:pPr>
        <w:spacing w:after="0" w:line="122" w:lineRule="exact"/>
        <w:rPr>
          <w:sz w:val="20"/>
          <w:szCs w:val="20"/>
          <w:color w:val="auto"/>
        </w:rPr>
      </w:pPr>
    </w:p>
    <w:p>
      <w:pPr>
        <w:ind w:left="1840" w:right="114" w:hanging="386"/>
        <w:spacing w:after="0" w:line="277" w:lineRule="auto"/>
        <w:tabs>
          <w:tab w:leader="none" w:pos="18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75" w:lineRule="exact"/>
        <w:rPr>
          <w:rFonts w:ascii="Arial" w:cs="Arial" w:eastAsia="Arial" w:hAnsi="Arial"/>
          <w:sz w:val="18"/>
          <w:szCs w:val="18"/>
          <w:color w:val="auto"/>
        </w:rPr>
      </w:pPr>
    </w:p>
    <w:p>
      <w:pPr>
        <w:ind w:left="1840" w:hanging="386"/>
        <w:spacing w:after="0"/>
        <w:tabs>
          <w:tab w:leader="none" w:pos="1840" w:val="left"/>
        </w:tabs>
        <w:numPr>
          <w:ilvl w:val="2"/>
          <w:numId w:val="34"/>
        </w:numPr>
        <w:rPr>
          <w:rFonts w:ascii="Arial" w:cs="Arial" w:eastAsia="Arial" w:hAnsi="Arial"/>
          <w:sz w:val="16"/>
          <w:szCs w:val="16"/>
          <w:color w:val="auto"/>
        </w:rPr>
      </w:pPr>
      <w:r>
        <w:rPr>
          <w:rFonts w:ascii="Arial" w:cs="Arial" w:eastAsia="Arial" w:hAnsi="Arial"/>
          <w:sz w:val="16"/>
          <w:szCs w:val="16"/>
          <w:color w:val="auto"/>
        </w:rPr>
        <w:t>subject to pledge on the date of the statement;</w:t>
      </w:r>
    </w:p>
    <w:p>
      <w:pPr>
        <w:spacing w:after="0" w:line="153" w:lineRule="exact"/>
        <w:rPr>
          <w:rFonts w:ascii="Arial" w:cs="Arial" w:eastAsia="Arial" w:hAnsi="Arial"/>
          <w:sz w:val="16"/>
          <w:szCs w:val="16"/>
          <w:color w:val="auto"/>
        </w:rPr>
      </w:pPr>
    </w:p>
    <w:p>
      <w:pPr>
        <w:ind w:left="1460" w:right="234" w:hanging="371"/>
        <w:spacing w:after="0" w:line="277"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w:t>
      </w:r>
    </w:p>
    <w:p>
      <w:pPr>
        <w:spacing w:after="0" w:line="75" w:lineRule="exact"/>
        <w:rPr>
          <w:rFonts w:ascii="Arial" w:cs="Arial" w:eastAsia="Arial" w:hAnsi="Arial"/>
          <w:sz w:val="18"/>
          <w:szCs w:val="18"/>
          <w:color w:val="auto"/>
        </w:rPr>
      </w:pPr>
    </w:p>
    <w:p>
      <w:pPr>
        <w:ind w:left="1460" w:right="94" w:hanging="371"/>
        <w:spacing w:after="0" w:line="257"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notation of any liens and restrictions of the issuer and any adverse claims to which the Uncertificated Security is or may be subject or a statement that there are none of those liens, restrictions or adverse claims; and</w:t>
      </w:r>
    </w:p>
    <w:p>
      <w:pPr>
        <w:spacing w:after="0" w:line="93" w:lineRule="exact"/>
        <w:rPr>
          <w:rFonts w:ascii="Arial" w:cs="Arial" w:eastAsia="Arial" w:hAnsi="Arial"/>
          <w:sz w:val="18"/>
          <w:szCs w:val="18"/>
          <w:color w:val="auto"/>
        </w:rPr>
      </w:pPr>
    </w:p>
    <w:p>
      <w:pPr>
        <w:ind w:left="1460" w:hanging="371"/>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840" w:right="274" w:hanging="386"/>
        <w:spacing w:after="0" w:line="263" w:lineRule="auto"/>
        <w:tabs>
          <w:tab w:leader="none" w:pos="18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89" w:lineRule="exact"/>
        <w:rPr>
          <w:rFonts w:ascii="Arial" w:cs="Arial" w:eastAsia="Arial" w:hAnsi="Arial"/>
          <w:sz w:val="18"/>
          <w:szCs w:val="18"/>
          <w:color w:val="auto"/>
        </w:rPr>
      </w:pPr>
    </w:p>
    <w:p>
      <w:pPr>
        <w:ind w:left="1840" w:right="534" w:hanging="386"/>
        <w:spacing w:after="0" w:line="277" w:lineRule="auto"/>
        <w:tabs>
          <w:tab w:leader="none" w:pos="18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75" w:lineRule="exact"/>
        <w:rPr>
          <w:rFonts w:ascii="Arial" w:cs="Arial" w:eastAsia="Arial" w:hAnsi="Arial"/>
          <w:sz w:val="18"/>
          <w:szCs w:val="18"/>
          <w:color w:val="auto"/>
        </w:rPr>
      </w:pPr>
    </w:p>
    <w:p>
      <w:pPr>
        <w:ind w:left="1840" w:right="294" w:hanging="386"/>
        <w:spacing w:after="0" w:line="277" w:lineRule="auto"/>
        <w:tabs>
          <w:tab w:leader="none" w:pos="18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70" w:lineRule="exact"/>
        <w:rPr>
          <w:rFonts w:ascii="Arial" w:cs="Arial" w:eastAsia="Arial" w:hAnsi="Arial"/>
          <w:sz w:val="18"/>
          <w:szCs w:val="18"/>
          <w:color w:val="auto"/>
        </w:rPr>
      </w:pPr>
    </w:p>
    <w:p>
      <w:pPr>
        <w:ind w:right="94" w:firstLine="356"/>
        <w:spacing w:after="0" w:line="263" w:lineRule="auto"/>
        <w:tabs>
          <w:tab w:leader="none" w:pos="6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Transportation Company means any organization which provides its own or leased vehicles for transportation or which provides freight forwarding or air express services.</w:t>
      </w:r>
    </w:p>
    <w:p>
      <w:pPr>
        <w:spacing w:after="0" w:line="183" w:lineRule="exact"/>
        <w:rPr>
          <w:rFonts w:ascii="Arial" w:cs="Arial" w:eastAsia="Arial" w:hAnsi="Arial"/>
          <w:sz w:val="18"/>
          <w:szCs w:val="18"/>
          <w:color w:val="auto"/>
        </w:rPr>
      </w:pPr>
    </w:p>
    <w:p>
      <w:pPr>
        <w:ind w:right="234" w:firstLine="356"/>
        <w:spacing w:after="0" w:line="263" w:lineRule="auto"/>
        <w:tabs>
          <w:tab w:leader="none" w:pos="5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Uncertificated Security means a share, participation or other interest in property of or an enterprise of the issuer or an obligation of the issuer, which is:</w:t>
      </w:r>
    </w:p>
    <w:p>
      <w:pPr>
        <w:spacing w:after="0" w:line="89" w:lineRule="exact"/>
        <w:rPr>
          <w:rFonts w:ascii="Arial" w:cs="Arial" w:eastAsia="Arial" w:hAnsi="Arial"/>
          <w:sz w:val="18"/>
          <w:szCs w:val="18"/>
          <w:color w:val="auto"/>
        </w:rPr>
      </w:pPr>
    </w:p>
    <w:p>
      <w:pPr>
        <w:ind w:left="1460" w:right="74" w:hanging="371"/>
        <w:spacing w:after="0" w:line="311" w:lineRule="auto"/>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not represented by an instrument and the transfer of which is registered upon books maintained for that purpose by or on behalf of the issuer;</w:t>
      </w:r>
    </w:p>
    <w:p>
      <w:pPr>
        <w:spacing w:after="0" w:line="54" w:lineRule="exact"/>
        <w:rPr>
          <w:rFonts w:ascii="Arial" w:cs="Arial" w:eastAsia="Arial" w:hAnsi="Arial"/>
          <w:sz w:val="16"/>
          <w:szCs w:val="16"/>
          <w:color w:val="auto"/>
        </w:rPr>
      </w:pPr>
    </w:p>
    <w:p>
      <w:pPr>
        <w:ind w:left="1460" w:right="34" w:hanging="371"/>
        <w:spacing w:after="0" w:line="277"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and</w:t>
      </w:r>
    </w:p>
    <w:p>
      <w:pPr>
        <w:spacing w:after="0" w:line="20" w:lineRule="exact"/>
        <w:rPr>
          <w:sz w:val="20"/>
          <w:szCs w:val="20"/>
          <w:color w:val="auto"/>
        </w:rPr>
      </w:pPr>
      <w:r>
        <w:rPr>
          <w:sz w:val="20"/>
          <w:szCs w:val="20"/>
          <w:color w:val="auto"/>
        </w:rPr>
        <w:br w:type="column"/>
      </w:r>
    </w:p>
    <w:p>
      <w:pPr>
        <w:ind w:left="-354" w:right="20" w:firstLine="354"/>
        <w:spacing w:after="0" w:line="291" w:lineRule="auto"/>
        <w:tabs>
          <w:tab w:leader="none" w:pos="221" w:val="left"/>
        </w:tabs>
        <w:numPr>
          <w:ilvl w:val="0"/>
          <w:numId w:val="37"/>
        </w:numPr>
        <w:rPr>
          <w:rFonts w:ascii="Arial" w:cs="Arial" w:eastAsia="Arial" w:hAnsi="Arial"/>
          <w:sz w:val="16"/>
          <w:szCs w:val="16"/>
          <w:color w:val="auto"/>
        </w:rPr>
      </w:pPr>
      <w:r>
        <w:rPr>
          <w:rFonts w:ascii="Arial" w:cs="Arial" w:eastAsia="Arial" w:hAnsi="Arial"/>
          <w:sz w:val="16"/>
          <w:szCs w:val="16"/>
          <w:color w:val="auto"/>
        </w:rPr>
        <w:t>damages resulting from any civil, criminal or other legal proceeding in which the Insured is alleged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66" w:lineRule="exact"/>
        <w:rPr>
          <w:rFonts w:ascii="Arial" w:cs="Arial" w:eastAsia="Arial" w:hAnsi="Arial"/>
          <w:sz w:val="16"/>
          <w:szCs w:val="16"/>
          <w:color w:val="auto"/>
        </w:rPr>
      </w:pPr>
    </w:p>
    <w:p>
      <w:pPr>
        <w:ind w:left="-354" w:right="140" w:firstLine="354"/>
        <w:spacing w:after="0" w:line="263" w:lineRule="auto"/>
        <w:tabs>
          <w:tab w:leader="none" w:pos="2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identification, cash management or other cards</w:t>
      </w:r>
    </w:p>
    <w:p>
      <w:pPr>
        <w:spacing w:after="0" w:line="89" w:lineRule="exact"/>
        <w:rPr>
          <w:rFonts w:ascii="Arial" w:cs="Arial" w:eastAsia="Arial" w:hAnsi="Arial"/>
          <w:sz w:val="18"/>
          <w:szCs w:val="18"/>
          <w:color w:val="auto"/>
        </w:rPr>
      </w:pPr>
    </w:p>
    <w:p>
      <w:pPr>
        <w:ind w:left="1106" w:hanging="373"/>
        <w:spacing w:after="0"/>
        <w:tabs>
          <w:tab w:leader="none" w:pos="1106"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obtaining credit or funds, or</w:t>
      </w:r>
    </w:p>
    <w:p>
      <w:pPr>
        <w:spacing w:after="0" w:line="130" w:lineRule="exact"/>
        <w:rPr>
          <w:rFonts w:ascii="Arial" w:cs="Arial" w:eastAsia="Arial" w:hAnsi="Arial"/>
          <w:sz w:val="18"/>
          <w:szCs w:val="18"/>
          <w:color w:val="auto"/>
        </w:rPr>
      </w:pPr>
    </w:p>
    <w:p>
      <w:pPr>
        <w:ind w:left="1106" w:right="120" w:hanging="373"/>
        <w:spacing w:after="0" w:line="301" w:lineRule="auto"/>
        <w:tabs>
          <w:tab w:leader="none" w:pos="1106"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gaining access to automated mechanical devices which, on behalf of the Insured, disburse Money, accept deposits, cash checks, drafts or similar written instruments or make credit card loans, or</w:t>
      </w:r>
    </w:p>
    <w:p>
      <w:pPr>
        <w:spacing w:after="0" w:line="62" w:lineRule="exact"/>
        <w:rPr>
          <w:rFonts w:ascii="Arial" w:cs="Arial" w:eastAsia="Arial" w:hAnsi="Arial"/>
          <w:sz w:val="16"/>
          <w:szCs w:val="16"/>
          <w:color w:val="auto"/>
        </w:rPr>
      </w:pPr>
    </w:p>
    <w:p>
      <w:pPr>
        <w:ind w:left="1106" w:right="80" w:hanging="373"/>
        <w:spacing w:after="0" w:line="272" w:lineRule="auto"/>
        <w:tabs>
          <w:tab w:leader="none" w:pos="1106"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 gaining access to point of sale terminals, customer-bank communication terminals, or similar electronic terminals of electronic funds transfer systems, whether such cards were issued, or purport to have been issued, by the Insured or by anyone other than the Insured, except when covered under Insuring Agreement (A);</w:t>
      </w:r>
    </w:p>
    <w:p>
      <w:pPr>
        <w:spacing w:after="0" w:line="177" w:lineRule="exact"/>
        <w:rPr>
          <w:sz w:val="20"/>
          <w:szCs w:val="20"/>
          <w:color w:val="auto"/>
        </w:rPr>
      </w:pPr>
    </w:p>
    <w:p>
      <w:pPr>
        <w:ind w:left="-354" w:right="120" w:firstLine="354"/>
        <w:spacing w:after="0" w:line="259" w:lineRule="auto"/>
        <w:tabs>
          <w:tab w:leader="none" w:pos="2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involving automated mechanical devices which, on behalf of the Insured, disburse Money, accept deposits, cash checks, drafts or similar written instruments or make credit card loans, except when covered under Insuring Agreement (A);</w:t>
      </w:r>
    </w:p>
    <w:p>
      <w:pPr>
        <w:spacing w:after="0" w:line="1714" w:lineRule="exact"/>
        <w:rPr>
          <w:sz w:val="20"/>
          <w:szCs w:val="20"/>
          <w:color w:val="auto"/>
        </w:rPr>
      </w:pPr>
    </w:p>
    <w:p>
      <w:pPr>
        <w:sectPr>
          <w:pgSz w:w="11900" w:h="16838" w:orient="portrait"/>
          <w:cols w:equalWidth="0" w:num="2">
            <w:col w:w="5254" w:space="720"/>
            <w:col w:w="5046"/>
          </w:cols>
          <w:pgMar w:left="440" w:top="125" w:right="439" w:bottom="1440" w:gutter="0" w:footer="0" w:header="0"/>
        </w:sectPr>
      </w:pPr>
    </w:p>
    <w:p>
      <w:pPr>
        <w:spacing w:after="0" w:line="51" w:lineRule="exact"/>
        <w:rPr>
          <w:sz w:val="20"/>
          <w:szCs w:val="20"/>
          <w:color w:val="auto"/>
        </w:rPr>
      </w:pPr>
    </w:p>
    <w:p>
      <w:pPr>
        <w:spacing w:after="0"/>
        <w:tabs>
          <w:tab w:leader="none" w:pos="3600" w:val="left"/>
          <w:tab w:leader="none" w:pos="101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4 of 6</w:t>
      </w:r>
    </w:p>
    <w:p>
      <w:pPr>
        <w:sectPr>
          <w:pgSz w:w="11900" w:h="16838" w:orient="portrait"/>
          <w:cols w:equalWidth="0" w:num="1">
            <w:col w:w="11020"/>
          </w:cols>
          <w:pgMar w:left="440" w:top="125" w:right="439" w:bottom="1440" w:gutter="0" w:footer="0" w:header="0"/>
          <w:type w:val="continuous"/>
        </w:sectPr>
      </w:pPr>
    </w:p>
    <w:bookmarkStart w:id="11" w:name="page12"/>
    <w:bookmarkEnd w:id="11"/>
    <w:p>
      <w:pPr>
        <w:ind w:right="200" w:firstLine="356"/>
        <w:spacing w:after="0" w:line="277" w:lineRule="auto"/>
        <w:tabs>
          <w:tab w:leader="none" w:pos="6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197" w:lineRule="exact"/>
        <w:rPr>
          <w:rFonts w:ascii="Arial" w:cs="Arial" w:eastAsia="Arial" w:hAnsi="Arial"/>
          <w:sz w:val="18"/>
          <w:szCs w:val="18"/>
          <w:color w:val="auto"/>
        </w:rPr>
      </w:pPr>
    </w:p>
    <w:p>
      <w:pPr>
        <w:ind w:left="1460" w:right="40" w:hanging="371"/>
        <w:spacing w:after="0" w:line="257"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93" w:lineRule="exact"/>
        <w:rPr>
          <w:rFonts w:ascii="Arial" w:cs="Arial" w:eastAsia="Arial" w:hAnsi="Arial"/>
          <w:sz w:val="18"/>
          <w:szCs w:val="18"/>
          <w:color w:val="auto"/>
        </w:rPr>
      </w:pPr>
    </w:p>
    <w:p>
      <w:pPr>
        <w:ind w:left="1460" w:right="420" w:hanging="371"/>
        <w:spacing w:after="0" w:line="263"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 except when covered under Insuring Agreement (A);</w:t>
      </w:r>
    </w:p>
    <w:p>
      <w:pPr>
        <w:spacing w:after="0" w:line="183" w:lineRule="exact"/>
        <w:rPr>
          <w:rFonts w:ascii="Arial" w:cs="Arial" w:eastAsia="Arial" w:hAnsi="Arial"/>
          <w:sz w:val="18"/>
          <w:szCs w:val="18"/>
          <w:color w:val="auto"/>
        </w:rPr>
      </w:pPr>
    </w:p>
    <w:p>
      <w:pPr>
        <w:ind w:right="120" w:firstLine="356"/>
        <w:spacing w:after="0" w:line="272" w:lineRule="auto"/>
        <w:tabs>
          <w:tab w:leader="none" w:pos="6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loss resulting directly or indirectly from payments made or withdrawals from a depositor’s or customer’s account involving erroneous credits to such account, unless such payments or withdrawals are physically received by such depositor or customer or representative of such depositor or customer who is within the office of the Insured at the time of such payment or withdrawal, or except when covered under Insuring Agreement (A);</w:t>
      </w:r>
    </w:p>
    <w:p>
      <w:pPr>
        <w:spacing w:after="0" w:line="177" w:lineRule="exact"/>
        <w:rPr>
          <w:rFonts w:ascii="Arial" w:cs="Arial" w:eastAsia="Arial" w:hAnsi="Arial"/>
          <w:sz w:val="17"/>
          <w:szCs w:val="17"/>
          <w:color w:val="auto"/>
        </w:rPr>
      </w:pPr>
    </w:p>
    <w:p>
      <w:pPr>
        <w:ind w:firstLine="356"/>
        <w:spacing w:after="0" w:line="263" w:lineRule="auto"/>
        <w:tabs>
          <w:tab w:leader="none" w:pos="6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involving items of deposit which are not finally paid for any reason, including but not limited to Forgery or any other fraud, except when covered under Insuring Agreement (A);</w:t>
      </w:r>
    </w:p>
    <w:p>
      <w:pPr>
        <w:spacing w:after="0" w:line="183" w:lineRule="exact"/>
        <w:rPr>
          <w:rFonts w:ascii="Arial" w:cs="Arial" w:eastAsia="Arial" w:hAnsi="Arial"/>
          <w:sz w:val="18"/>
          <w:szCs w:val="18"/>
          <w:color w:val="auto"/>
        </w:rPr>
      </w:pPr>
    </w:p>
    <w:p>
      <w:pPr>
        <w:ind w:right="180" w:firstLine="356"/>
        <w:spacing w:after="0" w:line="277" w:lineRule="auto"/>
        <w:tabs>
          <w:tab w:leader="none" w:pos="6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resulting directly or indirectly from counterfeiting, except when covered under Insuring Agreements (A), (E) or (F);</w:t>
      </w:r>
    </w:p>
    <w:p>
      <w:pPr>
        <w:spacing w:after="0" w:line="170" w:lineRule="exact"/>
        <w:rPr>
          <w:rFonts w:ascii="Arial" w:cs="Arial" w:eastAsia="Arial" w:hAnsi="Arial"/>
          <w:sz w:val="18"/>
          <w:szCs w:val="18"/>
          <w:color w:val="auto"/>
        </w:rPr>
      </w:pPr>
    </w:p>
    <w:p>
      <w:pPr>
        <w:ind w:right="20" w:firstLine="356"/>
        <w:spacing w:after="0" w:line="293" w:lineRule="auto"/>
        <w:tabs>
          <w:tab w:leader="none" w:pos="6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loss of any tangible item of personal property which is not specifically enumerated in the paragraph defining Property it such property is specifically insured by other insurance of any kind and in any amount obtained by the Insured, and in any event, loss of such property occurring more than 60 days after the Insured takes possession of such property, except when covered under Insuring Agreements (A) or (BX2);</w:t>
      </w:r>
    </w:p>
    <w:p>
      <w:pPr>
        <w:spacing w:after="0" w:line="164" w:lineRule="exact"/>
        <w:rPr>
          <w:rFonts w:ascii="Arial" w:cs="Arial" w:eastAsia="Arial" w:hAnsi="Arial"/>
          <w:sz w:val="16"/>
          <w:szCs w:val="16"/>
          <w:color w:val="auto"/>
        </w:rPr>
      </w:pPr>
    </w:p>
    <w:p>
      <w:pPr>
        <w:ind w:left="580" w:hanging="224"/>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Property while</w:t>
      </w:r>
    </w:p>
    <w:p>
      <w:pPr>
        <w:spacing w:after="0" w:line="130" w:lineRule="exact"/>
        <w:rPr>
          <w:rFonts w:ascii="Arial" w:cs="Arial" w:eastAsia="Arial" w:hAnsi="Arial"/>
          <w:sz w:val="18"/>
          <w:szCs w:val="18"/>
          <w:color w:val="auto"/>
        </w:rPr>
      </w:pPr>
    </w:p>
    <w:p>
      <w:pPr>
        <w:ind w:left="1460" w:hanging="371"/>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mail, or</w:t>
      </w:r>
    </w:p>
    <w:p>
      <w:pPr>
        <w:spacing w:after="0" w:line="130" w:lineRule="exact"/>
        <w:rPr>
          <w:rFonts w:ascii="Arial" w:cs="Arial" w:eastAsia="Arial" w:hAnsi="Arial"/>
          <w:sz w:val="18"/>
          <w:szCs w:val="18"/>
          <w:color w:val="auto"/>
        </w:rPr>
      </w:pPr>
    </w:p>
    <w:p>
      <w:pPr>
        <w:jc w:val="both"/>
        <w:ind w:left="1460" w:right="440" w:hanging="371"/>
        <w:spacing w:after="0" w:line="342" w:lineRule="auto"/>
        <w:tabs>
          <w:tab w:leader="none" w:pos="14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the custody of any Transportation Company, unless covered under Insuring Agreement (C),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except when covered under Insuring Agreement (A);</w:t>
      </w:r>
    </w:p>
    <w:p>
      <w:pPr>
        <w:spacing w:after="0" w:line="225" w:lineRule="exact"/>
        <w:rPr>
          <w:sz w:val="20"/>
          <w:szCs w:val="20"/>
          <w:color w:val="auto"/>
        </w:rPr>
      </w:pPr>
    </w:p>
    <w:p>
      <w:pPr>
        <w:ind w:right="60" w:firstLine="356"/>
        <w:spacing w:after="0" w:line="342" w:lineRule="auto"/>
        <w:tabs>
          <w:tab w:leader="none" w:pos="5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potential income, including but not limited to interest and dividends, not realized by the Insured or by any customer of the Insured;</w:t>
      </w:r>
    </w:p>
    <w:p>
      <w:pPr>
        <w:spacing w:after="0" w:line="123" w:lineRule="exact"/>
        <w:rPr>
          <w:rFonts w:ascii="Arial" w:cs="Arial" w:eastAsia="Arial" w:hAnsi="Arial"/>
          <w:sz w:val="16"/>
          <w:szCs w:val="16"/>
          <w:color w:val="auto"/>
        </w:rPr>
      </w:pPr>
    </w:p>
    <w:p>
      <w:pPr>
        <w:ind w:right="40" w:firstLine="356"/>
        <w:spacing w:after="0" w:line="263" w:lineRule="auto"/>
        <w:tabs>
          <w:tab w:leader="none" w:pos="5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damages of any type for which the Insured is legally liable, except compensatory damages, but not multiples thereof, arising directly from a loss covered under this bond;</w:t>
      </w:r>
    </w:p>
    <w:p>
      <w:pPr>
        <w:spacing w:after="0" w:line="183" w:lineRule="exact"/>
        <w:rPr>
          <w:rFonts w:ascii="Arial" w:cs="Arial" w:eastAsia="Arial" w:hAnsi="Arial"/>
          <w:sz w:val="18"/>
          <w:szCs w:val="18"/>
          <w:color w:val="auto"/>
        </w:rPr>
      </w:pPr>
    </w:p>
    <w:p>
      <w:pPr>
        <w:ind w:left="620" w:hanging="264"/>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130" w:lineRule="exact"/>
        <w:rPr>
          <w:rFonts w:ascii="Arial" w:cs="Arial" w:eastAsia="Arial" w:hAnsi="Arial"/>
          <w:sz w:val="18"/>
          <w:szCs w:val="18"/>
          <w:color w:val="auto"/>
        </w:rPr>
      </w:pPr>
    </w:p>
    <w:p>
      <w:pPr>
        <w:ind w:left="1460" w:right="300" w:hanging="371"/>
        <w:spacing w:after="0" w:line="277"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or</w:t>
      </w:r>
    </w:p>
    <w:p>
      <w:pPr>
        <w:spacing w:after="0" w:line="75" w:lineRule="exact"/>
        <w:rPr>
          <w:rFonts w:ascii="Arial" w:cs="Arial" w:eastAsia="Arial" w:hAnsi="Arial"/>
          <w:sz w:val="18"/>
          <w:szCs w:val="18"/>
          <w:color w:val="auto"/>
        </w:rPr>
      </w:pPr>
    </w:p>
    <w:p>
      <w:pPr>
        <w:jc w:val="both"/>
        <w:ind w:left="1460" w:right="280" w:hanging="371"/>
        <w:spacing w:after="0" w:line="263"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a party to any legal proceeding whether or not such legal proceeding exposes the Insured to loss covered by this bond;</w:t>
      </w:r>
    </w:p>
    <w:p>
      <w:pPr>
        <w:spacing w:after="0" w:line="183" w:lineRule="exact"/>
        <w:rPr>
          <w:rFonts w:ascii="Arial" w:cs="Arial" w:eastAsia="Arial" w:hAnsi="Arial"/>
          <w:sz w:val="18"/>
          <w:szCs w:val="18"/>
          <w:color w:val="auto"/>
        </w:rPr>
      </w:pPr>
    </w:p>
    <w:p>
      <w:pPr>
        <w:ind w:left="620" w:hanging="264"/>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indirect or consequential loss of any nature;</w:t>
      </w:r>
    </w:p>
    <w:p>
      <w:pPr>
        <w:spacing w:after="0" w:line="225" w:lineRule="exact"/>
        <w:rPr>
          <w:rFonts w:ascii="Arial" w:cs="Arial" w:eastAsia="Arial" w:hAnsi="Arial"/>
          <w:sz w:val="18"/>
          <w:szCs w:val="18"/>
          <w:color w:val="auto"/>
        </w:rPr>
      </w:pPr>
    </w:p>
    <w:p>
      <w:pPr>
        <w:ind w:firstLine="356"/>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involving any Uncertificated Security except an Uncertificated Security of any Federal Reserve Bank of the United States or when covered under Insuring Agreement (A);</w:t>
      </w:r>
    </w:p>
    <w:p>
      <w:pPr>
        <w:spacing w:after="0" w:line="183" w:lineRule="exact"/>
        <w:rPr>
          <w:rFonts w:ascii="Arial" w:cs="Arial" w:eastAsia="Arial" w:hAnsi="Arial"/>
          <w:sz w:val="18"/>
          <w:szCs w:val="18"/>
          <w:color w:val="auto"/>
        </w:rPr>
      </w:pPr>
    </w:p>
    <w:p>
      <w:pPr>
        <w:ind w:right="200" w:firstLine="356"/>
        <w:spacing w:after="0" w:line="257" w:lineRule="auto"/>
        <w:tabs>
          <w:tab w:leader="none" w:pos="6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resulting directly or indirectly from any dishonest or fraudulent act or acts committed by any non-Employee who is a securities, commodities, money. mortgage, real estate, loan, insurance, property management, investment banking broker, agent or other representative of the same general character;</w:t>
      </w:r>
    </w:p>
    <w:p>
      <w:pPr>
        <w:spacing w:after="0" w:line="187" w:lineRule="exact"/>
        <w:rPr>
          <w:rFonts w:ascii="Arial" w:cs="Arial" w:eastAsia="Arial" w:hAnsi="Arial"/>
          <w:sz w:val="18"/>
          <w:szCs w:val="18"/>
          <w:color w:val="auto"/>
        </w:rPr>
      </w:pPr>
    </w:p>
    <w:p>
      <w:pPr>
        <w:ind w:right="300" w:firstLine="356"/>
        <w:spacing w:after="0" w:line="259" w:lineRule="auto"/>
        <w:tabs>
          <w:tab w:leader="none" w:pos="6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caused directly or indirectly by a Partner of the Insured unless the amount of such loss exceeds the Financial Interest in the Insured of such Partner and the Deductible Amount applicable to this bond, and then for the excess only;</w:t>
      </w:r>
    </w:p>
    <w:p>
      <w:pPr>
        <w:spacing w:after="0" w:line="20" w:lineRule="exact"/>
        <w:rPr>
          <w:sz w:val="20"/>
          <w:szCs w:val="20"/>
          <w:color w:val="auto"/>
        </w:rPr>
      </w:pPr>
      <w:r>
        <w:rPr>
          <w:sz w:val="20"/>
          <w:szCs w:val="20"/>
          <w:color w:val="auto"/>
        </w:rPr>
        <w:br w:type="column"/>
      </w:r>
    </w:p>
    <w:p>
      <w:pPr>
        <w:ind w:left="720" w:right="60" w:hanging="362"/>
        <w:spacing w:after="0" w:line="263"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Underwriter shall have no further liability for loss or losses regardless of when discovered and whether or not previously reported to the Underwriter, and</w:t>
      </w:r>
    </w:p>
    <w:p>
      <w:pPr>
        <w:spacing w:after="0" w:line="89" w:lineRule="exact"/>
        <w:rPr>
          <w:rFonts w:ascii="Arial" w:cs="Arial" w:eastAsia="Arial" w:hAnsi="Arial"/>
          <w:sz w:val="18"/>
          <w:szCs w:val="18"/>
          <w:color w:val="auto"/>
        </w:rPr>
      </w:pPr>
    </w:p>
    <w:p>
      <w:pPr>
        <w:ind w:left="720" w:right="100" w:hanging="362"/>
        <w:spacing w:after="0" w:line="275"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-1318895</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56" w:lineRule="exact"/>
        <w:rPr>
          <w:sz w:val="20"/>
          <w:szCs w:val="20"/>
          <w:color w:val="auto"/>
        </w:rPr>
      </w:pPr>
    </w:p>
    <w:p>
      <w:pPr>
        <w:ind w:right="100" w:firstLine="360"/>
        <w:spacing w:after="0" w:line="296" w:lineRule="auto"/>
        <w:rPr>
          <w:sz w:val="20"/>
          <w:szCs w:val="20"/>
          <w:color w:val="auto"/>
        </w:rPr>
      </w:pPr>
      <w:r>
        <w:rPr>
          <w:rFonts w:ascii="Arial" w:cs="Arial" w:eastAsia="Arial" w:hAnsi="Arial"/>
          <w:sz w:val="16"/>
          <w:szCs w:val="16"/>
          <w:color w:val="auto"/>
        </w:rPr>
        <w:t>The Aggregate Limit of Liability shall not be increased or reinstated by any recovery made and applied in accordance with subsections (a), (b) and (c) of Section 7. In the event that a loss of Property is settled by the Underwriter through the use of a lost instrument bond, such loss shall not reduce the Aggregate Limit of Liability.</w:t>
      </w:r>
    </w:p>
    <w:p>
      <w:pPr>
        <w:spacing w:after="0" w:line="3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Single Loss Limit of Liability</w:t>
      </w:r>
    </w:p>
    <w:p>
      <w:pPr>
        <w:spacing w:after="0" w:line="225"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Subject to the Aggregate Limit of Liability, the Underwriter’s liability for each Single Loss shall not exceed the applicable Single Loss Limit of Liability shown in Item 4 of the Declarations. If a Single Loss is covered under more than one Insuring Agreement or Coverage, the maximum payable shall not exceed the largest applicable Single Loss Limit of Liability.</w:t>
      </w:r>
    </w:p>
    <w:p>
      <w:pPr>
        <w:spacing w:after="0" w:line="200" w:lineRule="exact"/>
        <w:rPr>
          <w:sz w:val="20"/>
          <w:szCs w:val="20"/>
          <w:color w:val="auto"/>
        </w:rPr>
      </w:pPr>
    </w:p>
    <w:p>
      <w:pPr>
        <w:spacing w:after="0" w:line="20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Single Loss Defined</w:t>
      </w:r>
    </w:p>
    <w:p>
      <w:pPr>
        <w:spacing w:after="0" w:line="225" w:lineRule="exact"/>
        <w:rPr>
          <w:sz w:val="20"/>
          <w:szCs w:val="20"/>
          <w:color w:val="auto"/>
        </w:rPr>
      </w:pPr>
    </w:p>
    <w:p>
      <w:pPr>
        <w:ind w:right="180" w:firstLine="360"/>
        <w:spacing w:after="0" w:line="263" w:lineRule="auto"/>
        <w:rPr>
          <w:sz w:val="20"/>
          <w:szCs w:val="20"/>
          <w:color w:val="auto"/>
        </w:rPr>
      </w:pPr>
      <w:r>
        <w:rPr>
          <w:rFonts w:ascii="Arial" w:cs="Arial" w:eastAsia="Arial" w:hAnsi="Arial"/>
          <w:sz w:val="18"/>
          <w:szCs w:val="18"/>
          <w:color w:val="auto"/>
        </w:rPr>
        <w:t>Single Loss means all covered loss, including court costs and attorneys’ fees incurred by the Underwriter under General Agreement F, resulting from</w:t>
      </w:r>
    </w:p>
    <w:p>
      <w:pPr>
        <w:spacing w:after="0" w:line="89" w:lineRule="exact"/>
        <w:rPr>
          <w:sz w:val="20"/>
          <w:szCs w:val="20"/>
          <w:color w:val="auto"/>
        </w:rPr>
      </w:pPr>
    </w:p>
    <w:p>
      <w:pPr>
        <w:ind w:left="720" w:right="460" w:hanging="362"/>
        <w:spacing w:after="0" w:line="342"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one act or series of related acts of burglary, robbery or attempt thereat, in which no Employee is implicated, or</w:t>
      </w:r>
    </w:p>
    <w:p>
      <w:pPr>
        <w:spacing w:after="0" w:line="29" w:lineRule="exact"/>
        <w:rPr>
          <w:rFonts w:ascii="Arial" w:cs="Arial" w:eastAsia="Arial" w:hAnsi="Arial"/>
          <w:sz w:val="16"/>
          <w:szCs w:val="16"/>
          <w:color w:val="auto"/>
        </w:rPr>
      </w:pPr>
    </w:p>
    <w:p>
      <w:pPr>
        <w:ind w:left="720" w:right="40" w:hanging="362"/>
        <w:spacing w:after="0" w:line="259"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one act or series of related unintentional or negligent acts or omissions on the part of any person (whether an Employee or not) resulting in damage to or destruction or misplacement of Property, or</w:t>
      </w:r>
    </w:p>
    <w:p>
      <w:pPr>
        <w:spacing w:after="0" w:line="92" w:lineRule="exact"/>
        <w:rPr>
          <w:rFonts w:ascii="Arial" w:cs="Arial" w:eastAsia="Arial" w:hAnsi="Arial"/>
          <w:sz w:val="18"/>
          <w:szCs w:val="18"/>
          <w:color w:val="auto"/>
        </w:rPr>
      </w:pPr>
    </w:p>
    <w:p>
      <w:pPr>
        <w:ind w:left="720" w:right="120" w:hanging="362"/>
        <w:spacing w:after="0" w:line="286" w:lineRule="auto"/>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acts or omissions other than those specified in (a) and (b) preceding, caused by any person (whether an Employee or not) or in which such person is implicated, or</w:t>
      </w:r>
    </w:p>
    <w:p>
      <w:pPr>
        <w:spacing w:after="0" w:line="70" w:lineRule="exact"/>
        <w:rPr>
          <w:rFonts w:ascii="Arial" w:cs="Arial" w:eastAsia="Arial" w:hAnsi="Arial"/>
          <w:sz w:val="17"/>
          <w:szCs w:val="17"/>
          <w:color w:val="auto"/>
        </w:rPr>
      </w:pPr>
    </w:p>
    <w:p>
      <w:pPr>
        <w:ind w:left="720" w:hanging="362"/>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one casualty or event not specified in (a), (b) or</w:t>
      </w:r>
    </w:p>
    <w:p>
      <w:pPr>
        <w:spacing w:after="0" w:line="2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(c) preceding.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NOTICE/PRO OF—LEGAL PROCEEDINGS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AGAINST UNDERWRITER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both"/>
        <w:ind w:right="240" w:firstLine="354"/>
        <w:spacing w:after="0" w:line="342" w:lineRule="auto"/>
        <w:tabs>
          <w:tab w:leader="none" w:pos="60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At the earliest practicable moment, not to exceed 30 days, after discovery of loss, the Insured shall give the Underwriter notice thereof,</w:t>
      </w:r>
    </w:p>
    <w:p>
      <w:pPr>
        <w:spacing w:after="0" w:line="123" w:lineRule="exact"/>
        <w:rPr>
          <w:rFonts w:ascii="Arial" w:cs="Arial" w:eastAsia="Arial" w:hAnsi="Arial"/>
          <w:sz w:val="16"/>
          <w:szCs w:val="16"/>
          <w:color w:val="auto"/>
        </w:rPr>
      </w:pPr>
    </w:p>
    <w:p>
      <w:pPr>
        <w:ind w:right="80" w:firstLine="354"/>
        <w:spacing w:after="0" w:line="308" w:lineRule="auto"/>
        <w:tabs>
          <w:tab w:leader="none" w:pos="611" w:val="left"/>
        </w:tabs>
        <w:numPr>
          <w:ilvl w:val="0"/>
          <w:numId w:val="43"/>
        </w:numPr>
        <w:rPr>
          <w:rFonts w:ascii="Arial" w:cs="Arial" w:eastAsia="Arial" w:hAnsi="Arial"/>
          <w:sz w:val="17"/>
          <w:szCs w:val="17"/>
          <w:color w:val="auto"/>
        </w:rPr>
      </w:pPr>
      <w:r>
        <w:rPr>
          <w:rFonts w:ascii="Arial" w:cs="Arial" w:eastAsia="Arial" w:hAnsi="Arial"/>
          <w:sz w:val="17"/>
          <w:szCs w:val="17"/>
          <w:color w:val="auto"/>
        </w:rPr>
        <w:t>Within 6 months after such discovery, the Insured shall furnish to the Underwriter proof of loss, duly sworn to, with full particulars.</w:t>
      </w:r>
    </w:p>
    <w:p>
      <w:pPr>
        <w:spacing w:after="0" w:line="146" w:lineRule="exact"/>
        <w:rPr>
          <w:rFonts w:ascii="Arial" w:cs="Arial" w:eastAsia="Arial" w:hAnsi="Arial"/>
          <w:sz w:val="17"/>
          <w:szCs w:val="17"/>
          <w:color w:val="auto"/>
        </w:rPr>
      </w:pPr>
    </w:p>
    <w:p>
      <w:pPr>
        <w:ind w:right="300" w:firstLine="354"/>
        <w:spacing w:after="0" w:line="263" w:lineRule="auto"/>
        <w:tabs>
          <w:tab w:leader="none" w:pos="6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Lost Certificated Securities listed in a proof of loss shall be identified by certificate or bond numbers ii such securities were issued therewith.</w:t>
      </w:r>
    </w:p>
    <w:p>
      <w:pPr>
        <w:spacing w:after="0" w:line="183" w:lineRule="exact"/>
        <w:rPr>
          <w:rFonts w:ascii="Arial" w:cs="Arial" w:eastAsia="Arial" w:hAnsi="Arial"/>
          <w:sz w:val="18"/>
          <w:szCs w:val="18"/>
          <w:color w:val="auto"/>
        </w:rPr>
      </w:pPr>
    </w:p>
    <w:p>
      <w:pPr>
        <w:jc w:val="both"/>
        <w:ind w:firstLine="354"/>
        <w:spacing w:after="0" w:line="259" w:lineRule="auto"/>
        <w:tabs>
          <w:tab w:leader="none" w:pos="6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shall not be brought prior to the expiration of 60 days after the original proof of loss is filed with the Underwriter or after the expiration of 24 months from the discovery of such loss.</w:t>
      </w:r>
    </w:p>
    <w:p>
      <w:pPr>
        <w:spacing w:after="0" w:line="186" w:lineRule="exact"/>
        <w:rPr>
          <w:rFonts w:ascii="Arial" w:cs="Arial" w:eastAsia="Arial" w:hAnsi="Arial"/>
          <w:sz w:val="18"/>
          <w:szCs w:val="18"/>
          <w:color w:val="auto"/>
        </w:rPr>
      </w:pPr>
    </w:p>
    <w:p>
      <w:pPr>
        <w:jc w:val="both"/>
        <w:ind w:right="120" w:firstLine="354"/>
        <w:spacing w:after="0" w:line="259" w:lineRule="auto"/>
        <w:tabs>
          <w:tab w:leader="none" w:pos="6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shall be deemed to be amended so as to equal the minimum period of limitation provided by such law.</w:t>
      </w:r>
    </w:p>
    <w:p>
      <w:pPr>
        <w:spacing w:after="0" w:line="187" w:lineRule="exact"/>
        <w:rPr>
          <w:sz w:val="20"/>
          <w:szCs w:val="20"/>
          <w:color w:val="auto"/>
        </w:rPr>
      </w:pPr>
    </w:p>
    <w:p>
      <w:pPr>
        <w:jc w:val="both"/>
        <w:ind w:right="160" w:firstLine="354"/>
        <w:spacing w:after="0" w:line="263" w:lineRule="auto"/>
        <w:tabs>
          <w:tab w:leader="none" w:pos="5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bond affords coverage only in favor of the Insured. No suit, action or legal proceedings shall be brought hereunder by any one other than the named Insured.</w:t>
      </w:r>
    </w:p>
    <w:p>
      <w:pPr>
        <w:sectPr>
          <w:pgSz w:w="11900" w:h="16838" w:orient="portrait"/>
          <w:cols w:equalWidth="0" w:num="2">
            <w:col w:w="5280" w:space="340"/>
            <w:col w:w="5380"/>
          </w:cols>
          <w:pgMar w:left="440" w:top="328" w:right="459" w:bottom="0" w:gutter="0" w:footer="0" w:header="0"/>
        </w:sectPr>
      </w:pPr>
    </w:p>
    <w:bookmarkStart w:id="12" w:name="page13"/>
    <w:bookmarkEnd w:id="12"/>
    <w:p>
      <w:pPr>
        <w:jc w:val="both"/>
        <w:ind w:right="240" w:firstLine="356"/>
        <w:spacing w:after="0" w:line="263" w:lineRule="auto"/>
        <w:tabs>
          <w:tab w:leader="none" w:pos="6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actual or alleged representation, advice, warranty or guarantee as to the performance of any investments;</w:t>
      </w:r>
    </w:p>
    <w:p>
      <w:pPr>
        <w:spacing w:after="0" w:line="184" w:lineRule="exact"/>
        <w:rPr>
          <w:sz w:val="20"/>
          <w:szCs w:val="20"/>
          <w:color w:val="auto"/>
        </w:rPr>
      </w:pPr>
    </w:p>
    <w:p>
      <w:pPr>
        <w:jc w:val="both"/>
        <w:ind w:right="60" w:firstLine="356"/>
        <w:spacing w:after="0" w:line="279" w:lineRule="auto"/>
        <w:tabs>
          <w:tab w:leader="none" w:pos="684" w:val="left"/>
        </w:tabs>
        <w:numPr>
          <w:ilvl w:val="0"/>
          <w:numId w:val="46"/>
        </w:numPr>
        <w:rPr>
          <w:rFonts w:ascii="Arial" w:cs="Arial" w:eastAsia="Arial" w:hAnsi="Arial"/>
          <w:sz w:val="17"/>
          <w:szCs w:val="17"/>
          <w:color w:val="auto"/>
        </w:rPr>
      </w:pPr>
      <w:r>
        <w:rPr>
          <w:rFonts w:ascii="Arial" w:cs="Arial" w:eastAsia="Arial" w:hAnsi="Arial"/>
          <w:sz w:val="17"/>
          <w:szCs w:val="17"/>
          <w:color w:val="auto"/>
        </w:rPr>
        <w:t>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DISCOVERY</w:t>
      </w:r>
    </w:p>
    <w:p>
      <w:pPr>
        <w:spacing w:after="0" w:line="225"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Section 3. This bond applies to loss discovered by the Insured during the Bond Period. Discovery occurs when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17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Discovery also occurs when the Insured receives notice of an actual or potential claim in which it is alleged that the Insured is liable to a third party under circumstances which, if true, would constitute a loss under this bond.</w:t>
      </w:r>
    </w:p>
    <w:p>
      <w:pPr>
        <w:spacing w:after="0" w:line="200" w:lineRule="exact"/>
        <w:rPr>
          <w:sz w:val="20"/>
          <w:szCs w:val="20"/>
          <w:color w:val="auto"/>
        </w:rPr>
      </w:pPr>
    </w:p>
    <w:p>
      <w:pPr>
        <w:spacing w:after="0" w:line="20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LIMIT OF LIABILITY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Aggregate Limit of Liability</w:t>
      </w:r>
    </w:p>
    <w:p>
      <w:pPr>
        <w:spacing w:after="0" w:line="225" w:lineRule="exact"/>
        <w:rPr>
          <w:sz w:val="20"/>
          <w:szCs w:val="20"/>
          <w:color w:val="auto"/>
        </w:rPr>
      </w:pPr>
    </w:p>
    <w:p>
      <w:pPr>
        <w:ind w:right="120" w:firstLine="360"/>
        <w:spacing w:after="0" w:line="275" w:lineRule="auto"/>
        <w:rPr>
          <w:sz w:val="20"/>
          <w:szCs w:val="20"/>
          <w:color w:val="auto"/>
        </w:rPr>
      </w:pPr>
      <w:r>
        <w:rPr>
          <w:rFonts w:ascii="Arial" w:cs="Arial" w:eastAsia="Arial" w:hAnsi="Arial"/>
          <w:sz w:val="17"/>
          <w:szCs w:val="17"/>
          <w:color w:val="auto"/>
        </w:rPr>
        <w:t>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w:t>
      </w:r>
    </w:p>
    <w:p>
      <w:pPr>
        <w:spacing w:after="0" w:line="176"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Upon exhaustion of the Aggregate Limit of Liability by such payments:</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8"/>
          <w:szCs w:val="18"/>
          <w:color w:val="auto"/>
        </w:rPr>
        <w:t>VALUATION</w:t>
      </w:r>
    </w:p>
    <w:p>
      <w:pPr>
        <w:spacing w:after="0" w:line="22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Section 6. Any loss of Money, or loss payable in Money, shall be paid, at the option of the Insured, in the Money of the country in which the loss was sustained or in the United States of America dollar equivalent thereof determined at the rate of exchange at the time of payment of such loss.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Securities</w:t>
      </w:r>
    </w:p>
    <w:p>
      <w:pPr>
        <w:spacing w:after="0" w:line="225"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Underwriter shall settle in kind its liability under this bond on account of a loss of any securities or, at the option of the Insured, shall pay to the Insured the cost of replacing such securities, determined by the market value thereof at the time of such settlement. However, if prior to such settlement the Insured shall be compelled by the demands of a third party or by market rules to purchase equivalent securities, and gives written notification of this to the Underwriter, the cost incurred by the Insured shall be taken as the value of those securities. In case of a loss of subscription, conversion or redemption privileges through the misplacement or loss of securities, the amount of such loss shall be the value of such privileges immediately preceding the expiration thereof. If such securities cannot be replaced or have no quoted market value, or if such privileges have no quoted market value, their value shall be determined by agreement or arbitration.</w:t>
      </w:r>
    </w:p>
    <w:p>
      <w:pPr>
        <w:spacing w:after="0" w:line="184"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If the applicable coverage of this bond is subject to a Deductible Amount and/or is not sufficient in amount to indemnify the Insured in full for the loss of securities for which claim is made hereunder, the liability of the Underwriter under this bond is limited to the payment for, or the duplication of, so much of such securities as has a value equal to the amount of such applicable coverage.</w:t>
      </w:r>
    </w:p>
    <w:p>
      <w:pPr>
        <w:spacing w:after="0" w:line="1950" w:lineRule="exact"/>
        <w:rPr>
          <w:sz w:val="20"/>
          <w:szCs w:val="20"/>
          <w:color w:val="auto"/>
        </w:rPr>
      </w:pPr>
    </w:p>
    <w:p>
      <w:pPr>
        <w:sectPr>
          <w:pgSz w:w="11900" w:h="16838" w:orient="portrait"/>
          <w:cols w:equalWidth="0" w:num="2">
            <w:col w:w="5280" w:space="340"/>
            <w:col w:w="5400"/>
          </w:cols>
          <w:pgMar w:left="440" w:top="125" w:right="439" w:bottom="1440" w:gutter="0" w:footer="0" w:header="0"/>
        </w:sectPr>
      </w:pPr>
    </w:p>
    <w:p>
      <w:pPr>
        <w:spacing w:after="0" w:line="51" w:lineRule="exact"/>
        <w:rPr>
          <w:sz w:val="20"/>
          <w:szCs w:val="20"/>
          <w:color w:val="auto"/>
        </w:rPr>
      </w:pPr>
    </w:p>
    <w:p>
      <w:pPr>
        <w:spacing w:after="0"/>
        <w:tabs>
          <w:tab w:leader="none" w:pos="3600" w:val="left"/>
          <w:tab w:leader="none" w:pos="101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5 of 6</w:t>
      </w:r>
    </w:p>
    <w:p>
      <w:pPr>
        <w:sectPr>
          <w:pgSz w:w="11900" w:h="16838" w:orient="portrait"/>
          <w:cols w:equalWidth="0" w:num="1">
            <w:col w:w="11020"/>
          </w:cols>
          <w:pgMar w:left="440" w:top="125" w:right="4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Books of Account and Other Records</w:t>
      </w:r>
    </w:p>
    <w:p>
      <w:pPr>
        <w:spacing w:after="0" w:line="225"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In case of loss of, or damage to, any books of account or other records used by the Insured in its business, the Underwriter shall be liable under this bond only if such books or records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Property other than Money, Securities or Records</w:t>
      </w:r>
    </w:p>
    <w:p>
      <w:pPr>
        <w:spacing w:after="0" w:line="225"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In case of loss of, or damage to, any Property other than Money, securities, books of account or other records, or damage covered under Insuring Agreement (B)(2),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Set-Off</w:t>
      </w:r>
    </w:p>
    <w:p>
      <w:pPr>
        <w:spacing w:after="0" w:line="225" w:lineRule="exact"/>
        <w:rPr>
          <w:sz w:val="20"/>
          <w:szCs w:val="20"/>
          <w:color w:val="auto"/>
        </w:rPr>
      </w:pPr>
    </w:p>
    <w:p>
      <w:pPr>
        <w:ind w:right="100" w:firstLine="360"/>
        <w:spacing w:after="0" w:line="263" w:lineRule="auto"/>
        <w:rPr>
          <w:sz w:val="20"/>
          <w:szCs w:val="20"/>
          <w:color w:val="auto"/>
        </w:rPr>
      </w:pPr>
      <w:r>
        <w:rPr>
          <w:rFonts w:ascii="Arial" w:cs="Arial" w:eastAsia="Arial" w:hAnsi="Arial"/>
          <w:sz w:val="18"/>
          <w:szCs w:val="18"/>
          <w:color w:val="auto"/>
        </w:rPr>
        <w:t>Any loss covered under this bond shall be reduced by a set-off consisting of any amount owed to the Employee causing the loss if such loss is covered under Insuring Agreement (A).</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ASSIGNMENT — SUBROGATION – RECOVERY – COOPERATION</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7.</w:t>
      </w:r>
    </w:p>
    <w:p>
      <w:pPr>
        <w:spacing w:after="0" w:line="117" w:lineRule="exact"/>
        <w:rPr>
          <w:sz w:val="20"/>
          <w:szCs w:val="20"/>
          <w:color w:val="auto"/>
        </w:rPr>
      </w:pPr>
    </w:p>
    <w:p>
      <w:pPr>
        <w:ind w:right="100" w:firstLine="356"/>
        <w:spacing w:after="0" w:line="279" w:lineRule="auto"/>
        <w:tabs>
          <w:tab w:leader="none" w:pos="605"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the event of payment under this bond, the Insured shall deliver, if so requested by the Underwriter, an assignment of such of the Insured’s rights, title and interest and causes of action as it has against any person or entity to the extent of the loss payment.</w:t>
      </w:r>
    </w:p>
    <w:p>
      <w:pPr>
        <w:spacing w:after="0" w:line="171" w:lineRule="exact"/>
        <w:rPr>
          <w:rFonts w:ascii="Arial" w:cs="Arial" w:eastAsia="Arial" w:hAnsi="Arial"/>
          <w:sz w:val="17"/>
          <w:szCs w:val="17"/>
          <w:color w:val="auto"/>
        </w:rPr>
      </w:pPr>
    </w:p>
    <w:p>
      <w:pPr>
        <w:jc w:val="both"/>
        <w:ind w:right="180" w:firstLine="356"/>
        <w:spacing w:after="0" w:line="286" w:lineRule="auto"/>
        <w:tabs>
          <w:tab w:leader="none" w:pos="6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the event of payment under this bond, the Underwriter shall be subrogated to all of the Insured’s rights of recovery therefor against any person or entity to the extent of such payment.</w:t>
      </w:r>
    </w:p>
    <w:p>
      <w:pPr>
        <w:spacing w:after="0" w:line="165" w:lineRule="exact"/>
        <w:rPr>
          <w:rFonts w:ascii="Arial" w:cs="Arial" w:eastAsia="Arial" w:hAnsi="Arial"/>
          <w:sz w:val="17"/>
          <w:szCs w:val="17"/>
          <w:color w:val="auto"/>
        </w:rPr>
      </w:pPr>
    </w:p>
    <w:p>
      <w:pPr>
        <w:ind w:right="40" w:firstLine="356"/>
        <w:spacing w:after="0" w:line="288" w:lineRule="auto"/>
        <w:tabs>
          <w:tab w:leader="none" w:pos="605"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Recoveries. whether effected by the Underwriter or by the Insured, shall be applied net of the expense of such recovery first to the satisfaction of the Insured’s loss which would otherwise have been paid but for the fact that it is in excess of either the Single or Aggregate Limit of Liability, secondly, to the Underwriter as reimbursement of amounts paid in settlement of the Insured’s claim, and thirdly, to the Insured in satisfaction of any Deductible Amount. Recovery on account of loss of securities as set forth in the second paragraph of Section 6 or recovery from reinsurance and/or indemnity of the Underwriter shall not be deemed a recovery as used herein</w:t>
      </w:r>
    </w:p>
    <w:p>
      <w:pPr>
        <w:spacing w:after="0" w:line="168" w:lineRule="exact"/>
        <w:rPr>
          <w:rFonts w:ascii="Arial" w:cs="Arial" w:eastAsia="Arial" w:hAnsi="Arial"/>
          <w:sz w:val="16"/>
          <w:szCs w:val="16"/>
          <w:color w:val="auto"/>
        </w:rPr>
      </w:pPr>
    </w:p>
    <w:p>
      <w:pPr>
        <w:ind w:right="360" w:firstLine="356"/>
        <w:spacing w:after="0" w:line="308" w:lineRule="auto"/>
        <w:tabs>
          <w:tab w:leader="none" w:pos="6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Upon the Underwriter’s request and at reasonable times and places designated by the Underwriter the Insured shall</w:t>
      </w:r>
    </w:p>
    <w:p>
      <w:pPr>
        <w:spacing w:after="0" w:line="173" w:lineRule="exact"/>
        <w:rPr>
          <w:rFonts w:ascii="Arial" w:cs="Arial" w:eastAsia="Arial" w:hAnsi="Arial"/>
          <w:sz w:val="17"/>
          <w:szCs w:val="17"/>
          <w:color w:val="auto"/>
        </w:rPr>
      </w:pPr>
    </w:p>
    <w:p>
      <w:pPr>
        <w:ind w:left="1080" w:right="140" w:hanging="355"/>
        <w:spacing w:after="0" w:line="277"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submit to examination by the Underwriter and subscribe to the same under oath, and</w:t>
      </w:r>
    </w:p>
    <w:p>
      <w:pPr>
        <w:spacing w:after="0" w:line="197" w:lineRule="exact"/>
        <w:rPr>
          <w:rFonts w:ascii="Arial" w:cs="Arial" w:eastAsia="Arial" w:hAnsi="Arial"/>
          <w:sz w:val="18"/>
          <w:szCs w:val="18"/>
          <w:color w:val="auto"/>
        </w:rPr>
      </w:pPr>
    </w:p>
    <w:p>
      <w:pPr>
        <w:ind w:left="1080" w:right="200" w:hanging="355"/>
        <w:spacing w:after="0" w:line="277"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produce for the Underwriter’s examination all pertinent records; and</w:t>
      </w:r>
    </w:p>
    <w:p>
      <w:pPr>
        <w:spacing w:after="0" w:line="197" w:lineRule="exact"/>
        <w:rPr>
          <w:rFonts w:ascii="Arial" w:cs="Arial" w:eastAsia="Arial" w:hAnsi="Arial"/>
          <w:sz w:val="18"/>
          <w:szCs w:val="18"/>
          <w:color w:val="auto"/>
        </w:rPr>
      </w:pPr>
    </w:p>
    <w:p>
      <w:pPr>
        <w:ind w:left="1080" w:right="180" w:hanging="355"/>
        <w:spacing w:after="0" w:line="277"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cooperate with the Underwriter in all matters pertaining to the loss.</w:t>
      </w:r>
    </w:p>
    <w:p>
      <w:pPr>
        <w:spacing w:after="0" w:line="170" w:lineRule="exact"/>
        <w:rPr>
          <w:rFonts w:ascii="Arial" w:cs="Arial" w:eastAsia="Arial" w:hAnsi="Arial"/>
          <w:sz w:val="18"/>
          <w:szCs w:val="18"/>
          <w:color w:val="auto"/>
        </w:rPr>
      </w:pPr>
    </w:p>
    <w:p>
      <w:pPr>
        <w:jc w:val="both"/>
        <w:ind w:right="140" w:firstLine="356"/>
        <w:spacing w:after="0" w:line="259" w:lineRule="auto"/>
        <w:tabs>
          <w:tab w:leader="none" w:pos="6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Insured shall execute all papers and render assistance to secure to the Underwriter the rights and causes of action provided for herein. The insured shall do nothing after discovery of loss to prejudice such rights or causes of 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 OF LIABILITY UNDER THIS BOND AND PRIOR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br w:type="column"/>
      </w:r>
    </w:p>
    <w:p>
      <w:pPr>
        <w:ind w:left="6" w:right="520"/>
        <w:spacing w:after="0" w:line="342" w:lineRule="auto"/>
        <w:rPr>
          <w:sz w:val="20"/>
          <w:szCs w:val="20"/>
          <w:color w:val="auto"/>
        </w:rPr>
      </w:pPr>
      <w:r>
        <w:rPr>
          <w:rFonts w:ascii="Arial" w:cs="Arial" w:eastAsia="Arial" w:hAnsi="Arial"/>
          <w:sz w:val="16"/>
          <w:szCs w:val="16"/>
          <w:color w:val="auto"/>
        </w:rPr>
        <w:t>such other bonds or policies, as limited by the terms and conditions thereof, for any such loss if the latter amount be the larger.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-452120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04" w:lineRule="exact"/>
        <w:rPr>
          <w:sz w:val="20"/>
          <w:szCs w:val="20"/>
          <w:color w:val="auto"/>
        </w:rPr>
      </w:pPr>
    </w:p>
    <w:p>
      <w:pPr>
        <w:ind w:left="6" w:right="80" w:firstLine="360"/>
        <w:spacing w:after="0" w:line="288" w:lineRule="auto"/>
        <w:rPr>
          <w:sz w:val="20"/>
          <w:szCs w:val="20"/>
          <w:color w:val="auto"/>
        </w:rPr>
      </w:pPr>
      <w:r>
        <w:rPr>
          <w:rFonts w:ascii="Arial" w:cs="Arial" w:eastAsia="Arial" w:hAnsi="Arial"/>
          <w:sz w:val="16"/>
          <w:szCs w:val="16"/>
          <w:color w:val="auto"/>
        </w:rPr>
        <w:t>If the coverage of this bond supersedes in whole or in part the coverage of any other bond or policy of insurance issued by an Insurer other than the Underwriter and terminated, canceled or allowed to expire, the Underwriter, with respect to any loss sustained prior to such termination, cancelation or expiration and discovered within the period permitted under such other bond or policy for the discovery of loss thereunder, shall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84" w:lineRule="exact"/>
        <w:rPr>
          <w:sz w:val="20"/>
          <w:szCs w:val="20"/>
          <w:color w:val="auto"/>
        </w:rPr>
      </w:pPr>
    </w:p>
    <w:p>
      <w:pPr>
        <w:ind w:left="1186"/>
        <w:spacing w:after="0"/>
        <w:rPr>
          <w:sz w:val="20"/>
          <w:szCs w:val="20"/>
          <w:color w:val="auto"/>
        </w:rPr>
      </w:pPr>
      <w:r>
        <w:rPr>
          <w:rFonts w:ascii="Arial" w:cs="Arial" w:eastAsia="Arial" w:hAnsi="Arial"/>
          <w:sz w:val="18"/>
          <w:szCs w:val="18"/>
          <w:color w:val="auto"/>
        </w:rPr>
        <w:t>OTHER INSURANCE OR INDEMNITY</w:t>
      </w:r>
    </w:p>
    <w:p>
      <w:pPr>
        <w:spacing w:after="0" w:line="225" w:lineRule="exact"/>
        <w:rPr>
          <w:sz w:val="20"/>
          <w:szCs w:val="20"/>
          <w:color w:val="auto"/>
        </w:rPr>
      </w:pPr>
    </w:p>
    <w:p>
      <w:pPr>
        <w:ind w:left="6" w:right="80" w:firstLine="360"/>
        <w:spacing w:after="0" w:line="287" w:lineRule="auto"/>
        <w:rPr>
          <w:sz w:val="20"/>
          <w:szCs w:val="20"/>
          <w:color w:val="auto"/>
        </w:rPr>
      </w:pPr>
      <w:r>
        <w:rPr>
          <w:rFonts w:ascii="Arial" w:cs="Arial" w:eastAsia="Arial" w:hAnsi="Arial"/>
          <w:sz w:val="16"/>
          <w:szCs w:val="16"/>
          <w:color w:val="auto"/>
        </w:rPr>
        <w:t>Section 9. Coverage afforded hereunder shall apply only as excess over any valid and collectible insurance or indemnity obtained by the Insured, or by one other than the Insured on Property subject to exclusion</w:t>
      </w:r>
    </w:p>
    <w:p>
      <w:pPr>
        <w:spacing w:after="0" w:line="2" w:lineRule="exact"/>
        <w:rPr>
          <w:sz w:val="20"/>
          <w:szCs w:val="20"/>
          <w:color w:val="auto"/>
        </w:rPr>
      </w:pPr>
    </w:p>
    <w:p>
      <w:pPr>
        <w:ind w:left="6" w:right="60" w:hanging="6"/>
        <w:spacing w:after="0" w:line="255" w:lineRule="auto"/>
        <w:tabs>
          <w:tab w:leader="none" w:pos="2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or by a Transportation Company, or by another entity on whose premises the loss occurred or which employed the person causing the loss or the messenger conveying the Property involved.</w:t>
      </w:r>
    </w:p>
    <w:p>
      <w:pPr>
        <w:spacing w:after="0" w:line="200" w:lineRule="exact"/>
        <w:rPr>
          <w:sz w:val="20"/>
          <w:szCs w:val="20"/>
          <w:color w:val="auto"/>
        </w:rPr>
      </w:pPr>
    </w:p>
    <w:p>
      <w:pPr>
        <w:spacing w:after="0" w:line="206"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OWNERSHIP</w:t>
      </w:r>
    </w:p>
    <w:p>
      <w:pPr>
        <w:spacing w:after="0" w:line="225" w:lineRule="exact"/>
        <w:rPr>
          <w:sz w:val="20"/>
          <w:szCs w:val="20"/>
          <w:color w:val="auto"/>
        </w:rPr>
      </w:pPr>
    </w:p>
    <w:p>
      <w:pPr>
        <w:ind w:left="6" w:right="80" w:firstLine="360"/>
        <w:spacing w:after="0" w:line="259" w:lineRule="auto"/>
        <w:rPr>
          <w:sz w:val="20"/>
          <w:szCs w:val="20"/>
          <w:color w:val="auto"/>
        </w:rPr>
      </w:pPr>
      <w:r>
        <w:rPr>
          <w:rFonts w:ascii="Arial" w:cs="Arial" w:eastAsia="Arial" w:hAnsi="Arial"/>
          <w:sz w:val="18"/>
          <w:szCs w:val="18"/>
          <w:color w:val="auto"/>
        </w:rPr>
        <w:t>Section 10. This bond shall apply to loss of Property (1) owned by the Insured, (2) held by the Insured in any capacity, or (3) for which the Insured is legally liable. This bond shall be for the sole use and benefit of the Insured named in the Declarations.</w:t>
      </w:r>
    </w:p>
    <w:p>
      <w:pPr>
        <w:spacing w:after="0" w:line="200" w:lineRule="exact"/>
        <w:rPr>
          <w:sz w:val="20"/>
          <w:szCs w:val="20"/>
          <w:color w:val="auto"/>
        </w:rPr>
      </w:pPr>
    </w:p>
    <w:p>
      <w:pPr>
        <w:spacing w:after="0" w:line="203"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DEDUCTIBLE AMOUNT</w:t>
      </w:r>
    </w:p>
    <w:p>
      <w:pPr>
        <w:spacing w:after="0" w:line="225" w:lineRule="exact"/>
        <w:rPr>
          <w:sz w:val="20"/>
          <w:szCs w:val="20"/>
          <w:color w:val="auto"/>
        </w:rPr>
      </w:pPr>
    </w:p>
    <w:p>
      <w:pPr>
        <w:ind w:left="6" w:right="20" w:firstLine="360"/>
        <w:spacing w:after="0" w:line="275" w:lineRule="auto"/>
        <w:rPr>
          <w:sz w:val="20"/>
          <w:szCs w:val="20"/>
          <w:color w:val="auto"/>
        </w:rPr>
      </w:pPr>
      <w:r>
        <w:rPr>
          <w:rFonts w:ascii="Arial" w:cs="Arial" w:eastAsia="Arial" w:hAnsi="Arial"/>
          <w:sz w:val="17"/>
          <w:szCs w:val="17"/>
          <w:color w:val="auto"/>
        </w:rPr>
        <w:t>Section 11. The Underwriter shall be liable hereunder only for the amount by which any single loss, as defined in Section 4, exceeds the Single Loss Deductible amount for the Insuring Agreement or Coverage applicable to such loss, subject to the Aggregate Limit of Liability and the applicable Single Loss Limit of Liability.</w:t>
      </w:r>
    </w:p>
    <w:p>
      <w:pPr>
        <w:spacing w:after="0" w:line="176" w:lineRule="exact"/>
        <w:rPr>
          <w:sz w:val="20"/>
          <w:szCs w:val="20"/>
          <w:color w:val="auto"/>
        </w:rPr>
      </w:pPr>
    </w:p>
    <w:p>
      <w:pPr>
        <w:ind w:left="6" w:right="80" w:firstLine="360"/>
        <w:spacing w:after="0" w:line="275" w:lineRule="auto"/>
        <w:rPr>
          <w:sz w:val="20"/>
          <w:szCs w:val="20"/>
          <w:color w:val="auto"/>
        </w:rPr>
      </w:pPr>
      <w:r>
        <w:rPr>
          <w:rFonts w:ascii="Arial" w:cs="Arial" w:eastAsia="Arial" w:hAnsi="Arial"/>
          <w:sz w:val="17"/>
          <w:szCs w:val="17"/>
          <w:color w:val="auto"/>
        </w:rPr>
        <w:t>The Insured shall, in the time and in the manner prescribed in this bond, give the Underwriter notice of any loss of the kind covered by the terms of this bond, whether or not the Underwriter is liable therefore, and upon the request of the Underwriter shall file with it a brief statement giving the particulars concerning such loss.</w:t>
      </w:r>
    </w:p>
    <w:p>
      <w:pPr>
        <w:spacing w:after="0" w:line="392" w:lineRule="exact"/>
        <w:rPr>
          <w:sz w:val="20"/>
          <w:szCs w:val="20"/>
          <w:color w:val="auto"/>
        </w:rPr>
      </w:pPr>
    </w:p>
    <w:p>
      <w:pPr>
        <w:ind w:left="1286"/>
        <w:spacing w:after="0"/>
        <w:rPr>
          <w:sz w:val="20"/>
          <w:szCs w:val="20"/>
          <w:color w:val="auto"/>
        </w:rPr>
      </w:pPr>
      <w:r>
        <w:rPr>
          <w:rFonts w:ascii="Arial" w:cs="Arial" w:eastAsia="Arial" w:hAnsi="Arial"/>
          <w:sz w:val="18"/>
          <w:szCs w:val="18"/>
          <w:color w:val="auto"/>
        </w:rPr>
        <w:t>TERMINATION OR CANCELATION</w:t>
      </w:r>
    </w:p>
    <w:p>
      <w:pPr>
        <w:spacing w:after="0" w:line="225" w:lineRule="exact"/>
        <w:rPr>
          <w:sz w:val="20"/>
          <w:szCs w:val="20"/>
          <w:color w:val="auto"/>
        </w:rPr>
      </w:pPr>
    </w:p>
    <w:p>
      <w:pPr>
        <w:ind w:left="6" w:firstLine="360"/>
        <w:spacing w:after="0" w:line="288" w:lineRule="auto"/>
        <w:rPr>
          <w:sz w:val="20"/>
          <w:szCs w:val="20"/>
          <w:color w:val="auto"/>
        </w:rPr>
      </w:pPr>
      <w:r>
        <w:rPr>
          <w:rFonts w:ascii="Arial" w:cs="Arial" w:eastAsia="Arial" w:hAnsi="Arial"/>
          <w:sz w:val="16"/>
          <w:szCs w:val="16"/>
          <w:color w:val="auto"/>
        </w:rPr>
        <w:t>Section 12. This bond terminates as an entirety upon occurrence of any of the following: — (a) 60 days after the receipt by the insured of a written notice from the Underwriter of its desire to cancel this bond, or (b) immediately upon the receipt by the Underwriter of a written notice from the Insured of its desire to cancel this bond, or (c) immediately upon the taking over of the Insured by a receiver or other liquidator or by State or Federal officials, or (d) immediately upon the taking over of the Insured by another institution, or (e) immediately upon exhaustion of the Aggregate Limit of Liability, or (f) immediately upon expiration of the Bond Period as set forth in Item 2 of the Declarations.</w:t>
      </w:r>
    </w:p>
    <w:p>
      <w:pPr>
        <w:spacing w:after="0" w:line="168" w:lineRule="exact"/>
        <w:rPr>
          <w:sz w:val="20"/>
          <w:szCs w:val="20"/>
          <w:color w:val="auto"/>
        </w:rPr>
      </w:pPr>
    </w:p>
    <w:p>
      <w:pPr>
        <w:ind w:left="6" w:firstLine="360"/>
        <w:spacing w:after="0" w:line="269" w:lineRule="auto"/>
        <w:rPr>
          <w:sz w:val="20"/>
          <w:szCs w:val="20"/>
          <w:color w:val="auto"/>
        </w:rPr>
      </w:pPr>
      <w:r>
        <w:rPr>
          <w:rFonts w:ascii="Arial" w:cs="Arial" w:eastAsia="Arial" w:hAnsi="Arial"/>
          <w:sz w:val="17"/>
          <w:szCs w:val="17"/>
          <w:color w:val="auto"/>
        </w:rPr>
        <w:t>This bond terminates as to any Employee or any partner, officer or employee of any Processor — (a) as soon as any Insured, or any director or officer not in collusion with such person, learns of any dishonest or fraudulent act committed by such person at any time, whether in the employment of the Insured or otherwise, whether or not of the type covered under Insuring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w:t>
      </w:r>
    </w:p>
    <w:p>
      <w:pPr>
        <w:spacing w:after="0" w:line="185" w:lineRule="exact"/>
        <w:rPr>
          <w:sz w:val="20"/>
          <w:szCs w:val="20"/>
          <w:color w:val="auto"/>
        </w:rPr>
      </w:pPr>
    </w:p>
    <w:p>
      <w:pPr>
        <w:jc w:val="both"/>
        <w:ind w:left="6" w:right="40" w:firstLine="360"/>
        <w:spacing w:after="0" w:line="263"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which is discovered after the effective date of such termination.</w:t>
      </w:r>
    </w:p>
    <w:p>
      <w:pPr>
        <w:sectPr>
          <w:pgSz w:w="11900" w:h="16838" w:orient="portrait"/>
          <w:cols w:equalWidth="0" w:num="2">
            <w:col w:w="5280" w:space="334"/>
            <w:col w:w="5366"/>
          </w:cols>
          <w:pgMar w:left="440" w:top="328" w:right="479" w:bottom="0" w:gutter="0" w:footer="0" w:header="0"/>
        </w:sectPr>
      </w:pPr>
    </w:p>
    <w:bookmarkStart w:id="14" w:name="page15"/>
    <w:bookmarkEnd w:id="14"/>
    <w:p>
      <w:pPr>
        <w:ind w:left="360"/>
        <w:spacing w:after="0"/>
        <w:rPr>
          <w:sz w:val="20"/>
          <w:szCs w:val="20"/>
          <w:color w:val="auto"/>
        </w:rPr>
      </w:pPr>
      <w:r>
        <w:rPr>
          <w:rFonts w:ascii="Arial" w:cs="Arial" w:eastAsia="Arial" w:hAnsi="Arial"/>
          <w:sz w:val="18"/>
          <w:szCs w:val="18"/>
          <w:color w:val="auto"/>
        </w:rPr>
        <w:t>Section 8. With respect to any loss set forth in sub-section (c)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 of this bond which is recoverable or recovered in whole or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 under any other bonds or policies issued by the Underwriter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Insured or to any predecessor in interest of the Insured and terminated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canceled or allowed to expire and in which the period for discovery has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expired at the time any such loss thereunder is discovered, the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liability of the Underwriter under this bond and under such other bonds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policies shall not exceed, in the aggregate, the amount carried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hereunder on such loss or the amount available to the Insured 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pacing w:after="0" w:line="158" w:lineRule="exact"/>
        <w:rPr>
          <w:sz w:val="20"/>
          <w:szCs w:val="20"/>
          <w:color w:val="auto"/>
        </w:rPr>
      </w:pPr>
    </w:p>
    <w:p>
      <w:pPr>
        <w:spacing w:after="0"/>
        <w:tabs>
          <w:tab w:leader="none" w:pos="3600" w:val="left"/>
          <w:tab w:leader="none" w:pos="101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6 of 6</w:t>
      </w:r>
    </w:p>
    <w:p>
      <w:pPr>
        <w:sectPr>
          <w:pgSz w:w="11900" w:h="16838" w:orient="portrait"/>
          <w:cols w:equalWidth="0" w:num="1">
            <w:col w:w="11020"/>
          </w:cols>
          <w:pgMar w:left="440" w:top="125" w:right="4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4871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883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ONLY COMPANY APPLICABLE TO THIS POLICY IS THE COMPANY NAMED ON THE FIRST PAGE OF THE DECLARATIONS.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signing and delivering the policy to you, we state that it is a valid contract.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INDEMNITY INSURANCE COMPANY OF NORTH AMERICA </w:t>
      </w:r>
      <w:r>
        <w:rPr>
          <w:rFonts w:ascii="Arial" w:cs="Arial" w:eastAsia="Arial" w:hAnsi="Arial"/>
          <w:sz w:val="18"/>
          <w:szCs w:val="18"/>
          <w:color w:val="auto"/>
        </w:rPr>
        <w:t>(A stock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BANKERS STANDARD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ACE AMERICAN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ACE PROPERTY AND CASUALTY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INSURANCE COMPANY OF NORTH AMERICA </w:t>
      </w:r>
      <w:r>
        <w:rPr>
          <w:rFonts w:ascii="Arial" w:cs="Arial" w:eastAsia="Arial" w:hAnsi="Arial"/>
          <w:sz w:val="18"/>
          <w:szCs w:val="18"/>
          <w:color w:val="auto"/>
        </w:rPr>
        <w:t>(A stock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PACIFIC EMPLOYERS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ACE FIRE UNDERWRITERS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WESTCHESTER FIRE INSURANCE COMPANY </w:t>
      </w:r>
      <w:r>
        <w:rPr>
          <w:rFonts w:ascii="Arial" w:cs="Arial" w:eastAsia="Arial" w:hAnsi="Arial"/>
          <w:sz w:val="18"/>
          <w:szCs w:val="18"/>
          <w:color w:val="auto"/>
        </w:rPr>
        <w:t>(A stock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436 Walnut Street, P.O. Box 1000, Philadelphia, Pennsylvania 19106-3703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763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tabs>
          <w:tab w:leader="none" w:pos="8200" w:val="left"/>
        </w:tabs>
        <w:rPr>
          <w:sz w:val="20"/>
          <w:szCs w:val="20"/>
          <w:color w:val="auto"/>
        </w:rPr>
      </w:pPr>
      <w:r>
        <w:rPr>
          <w:rFonts w:ascii="Arial" w:cs="Arial" w:eastAsia="Arial" w:hAnsi="Arial"/>
          <w:sz w:val="18"/>
          <w:szCs w:val="18"/>
          <w:color w:val="auto"/>
        </w:rPr>
        <w:t>REBECCA L. COLLINS, Secretary</w:t>
      </w:r>
      <w:r>
        <w:rPr>
          <w:sz w:val="20"/>
          <w:szCs w:val="20"/>
          <w:color w:val="auto"/>
        </w:rPr>
        <w:tab/>
      </w:r>
      <w:r>
        <w:rPr>
          <w:rFonts w:ascii="Arial" w:cs="Arial" w:eastAsia="Arial" w:hAnsi="Arial"/>
          <w:sz w:val="16"/>
          <w:szCs w:val="16"/>
          <w:color w:val="auto"/>
        </w:rPr>
        <w:t>JOHN J. LUPICA, President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CC-1K11i (02/18)</w:t>
      </w:r>
    </w:p>
    <w:p>
      <w:pPr>
        <w:sectPr>
          <w:pgSz w:w="11900" w:h="16838" w:orient="portrait"/>
          <w:cols w:equalWidth="0" w:num="1">
            <w:col w:w="11020"/>
          </w:cols>
          <w:pgMar w:left="440" w:top="688" w:right="4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 OR ECONOMIC SANCTIONS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883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2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This insurance does not apply to the extent that trade or economic sanctions or similar laws or regulations prohibit us from providing insurance, including, but not limited to, the payment of claims. All other terms and conditions of policy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256540</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9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Authorized Agent</w:t>
      </w:r>
    </w:p>
    <w:p>
      <w:pPr>
        <w:spacing w:after="0" w:line="158"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PF-46422 (07/15)</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0"/>
          </w:cols>
          <w:pgMar w:left="440" w:top="270" w:right="4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882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88265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To be attached to and form part of Financial Institution Bond, Standard Form No. 14 in favor of TPG Specialty Lending, Inc.</w:t>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2400" w:right="420" w:hanging="433"/>
        <w:spacing w:after="0" w:line="308" w:lineRule="auto"/>
        <w:tabs>
          <w:tab w:leader="none" w:pos="24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Subparagraph (d) of Section 5 NOTICE/PROOF – LEGAL PROCEEDINGS AGAINST UNDERWRITER of the Conditions and Limitations of the bond is deleted and replaced by the following:</w:t>
      </w:r>
    </w:p>
    <w:p>
      <w:pPr>
        <w:spacing w:after="0" w:line="38" w:lineRule="exact"/>
        <w:rPr>
          <w:rFonts w:ascii="Arial" w:cs="Arial" w:eastAsia="Arial" w:hAnsi="Arial"/>
          <w:sz w:val="17"/>
          <w:szCs w:val="17"/>
          <w:color w:val="auto"/>
        </w:rPr>
      </w:pPr>
    </w:p>
    <w:p>
      <w:pPr>
        <w:ind w:left="2420" w:right="20" w:hanging="1"/>
        <w:spacing w:after="0" w:line="263" w:lineRule="auto"/>
        <w:tabs>
          <w:tab w:leader="none" w:pos="2675" w:val="left"/>
        </w:tabs>
        <w:numPr>
          <w:ilvl w:val="1"/>
          <w:numId w:val="49"/>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shall not be brought more than two years and one day after the earlier of (1) the date the original proof of loss is filed with the Underwriter, or (2) 6 months after discovery of such loss.</w:t>
      </w:r>
    </w:p>
    <w:p>
      <w:pPr>
        <w:spacing w:after="0" w:line="89" w:lineRule="exact"/>
        <w:rPr>
          <w:rFonts w:ascii="Arial" w:cs="Arial" w:eastAsia="Arial" w:hAnsi="Arial"/>
          <w:sz w:val="18"/>
          <w:szCs w:val="18"/>
          <w:color w:val="auto"/>
        </w:rPr>
      </w:pPr>
    </w:p>
    <w:p>
      <w:pPr>
        <w:ind w:left="2400" w:right="1080" w:hanging="433"/>
        <w:spacing w:after="0" w:line="277" w:lineRule="auto"/>
        <w:tabs>
          <w:tab w:leader="none" w:pos="2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new Subparagraph (g) is added to Section 5 NOTICE/PROOF – LEGAL PROCEEDINGS AGAINST UNDERWRITER of the Conditions and Limitations of the bond as follows:</w:t>
      </w:r>
    </w:p>
    <w:p>
      <w:pPr>
        <w:spacing w:after="0" w:line="62" w:lineRule="exact"/>
        <w:rPr>
          <w:rFonts w:ascii="Arial" w:cs="Arial" w:eastAsia="Arial" w:hAnsi="Arial"/>
          <w:sz w:val="18"/>
          <w:szCs w:val="18"/>
          <w:color w:val="auto"/>
        </w:rPr>
      </w:pPr>
    </w:p>
    <w:p>
      <w:pPr>
        <w:ind w:left="2420" w:right="120" w:hanging="1"/>
        <w:spacing w:after="0" w:line="257" w:lineRule="auto"/>
        <w:tabs>
          <w:tab w:leader="none" w:pos="267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event of a legal proceeding against the Insured as described in the NOTICE OF LEGAL PROCEEDINGS – ELECTION TO DEFEND General Agreement of the Bond, the time in which to file a proof of loss pursuant to subparagraph (b) of this Section 5 and the time in which to file suite pursuant to part (2) of subparagraph (d) of this Section 5 shall commence upon the entry of a judgment against the Insured in, or a settlement by the Insured of, such legal proceeding instead of upon discovery of loss.</w:t>
      </w:r>
    </w:p>
    <w:p>
      <w:pPr>
        <w:spacing w:after="0" w:line="93" w:lineRule="exact"/>
        <w:rPr>
          <w:rFonts w:ascii="Arial" w:cs="Arial" w:eastAsia="Arial" w:hAnsi="Arial"/>
          <w:sz w:val="18"/>
          <w:szCs w:val="18"/>
          <w:color w:val="auto"/>
        </w:rPr>
      </w:pPr>
    </w:p>
    <w:p>
      <w:pPr>
        <w:ind w:left="2400" w:right="180" w:hanging="433"/>
        <w:spacing w:after="0" w:line="277" w:lineRule="auto"/>
        <w:tabs>
          <w:tab w:leader="none" w:pos="2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last paragraph of the NOTICE OF LEGAL PROCEEDINGS – ELECTION TO DEFEND General Agreement of the bond is deleted and replaced by the following:</w:t>
      </w:r>
    </w:p>
    <w:p>
      <w:pPr>
        <w:spacing w:after="0" w:line="62" w:lineRule="exact"/>
        <w:rPr>
          <w:sz w:val="20"/>
          <w:szCs w:val="20"/>
          <w:color w:val="auto"/>
        </w:rPr>
      </w:pPr>
    </w:p>
    <w:p>
      <w:pPr>
        <w:ind w:left="2420" w:right="260"/>
        <w:spacing w:after="0" w:line="277" w:lineRule="auto"/>
        <w:rPr>
          <w:sz w:val="20"/>
          <w:szCs w:val="20"/>
          <w:color w:val="auto"/>
        </w:rPr>
      </w:pPr>
      <w:r>
        <w:rPr>
          <w:rFonts w:ascii="Arial" w:cs="Arial" w:eastAsia="Arial" w:hAnsi="Arial"/>
          <w:sz w:val="18"/>
          <w:szCs w:val="18"/>
          <w:color w:val="auto"/>
        </w:rPr>
        <w:t>The Insured must notify the Underwriter within 30 days after such judgment is entered against it or after the insured settles such legal proceeding.</w:t>
      </w:r>
    </w:p>
    <w:p>
      <w:pPr>
        <w:spacing w:after="0" w:line="76" w:lineRule="exact"/>
        <w:rPr>
          <w:sz w:val="20"/>
          <w:szCs w:val="20"/>
          <w:color w:val="auto"/>
        </w:rPr>
      </w:pPr>
    </w:p>
    <w:p>
      <w:pPr>
        <w:ind w:left="2400" w:hanging="433"/>
        <w:spacing w:after="0"/>
        <w:tabs>
          <w:tab w:leader="none" w:pos="2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is added to the Conditions and Limitations of the bond:</w:t>
      </w:r>
    </w:p>
    <w:p>
      <w:pPr>
        <w:spacing w:after="0" w:line="117" w:lineRule="exact"/>
        <w:rPr>
          <w:sz w:val="20"/>
          <w:szCs w:val="20"/>
          <w:color w:val="auto"/>
        </w:rPr>
      </w:pPr>
    </w:p>
    <w:p>
      <w:pPr>
        <w:ind w:left="2420" w:right="340"/>
        <w:spacing w:after="0" w:line="277" w:lineRule="auto"/>
        <w:rPr>
          <w:sz w:val="20"/>
          <w:szCs w:val="20"/>
          <w:color w:val="auto"/>
        </w:rPr>
      </w:pPr>
      <w:r>
        <w:rPr>
          <w:rFonts w:ascii="Arial" w:cs="Arial" w:eastAsia="Arial" w:hAnsi="Arial"/>
          <w:sz w:val="18"/>
          <w:szCs w:val="18"/>
          <w:color w:val="auto"/>
        </w:rPr>
        <w:t>The Underwriter may not cancel or refuse to renew this bond based solely on the fact that any Insured is an elected official.</w:t>
      </w:r>
    </w:p>
    <w:p>
      <w:pPr>
        <w:spacing w:after="0" w:line="76" w:lineRule="exact"/>
        <w:rPr>
          <w:sz w:val="20"/>
          <w:szCs w:val="20"/>
          <w:color w:val="auto"/>
        </w:rPr>
      </w:pPr>
    </w:p>
    <w:p>
      <w:pPr>
        <w:ind w:left="2400" w:hanging="433"/>
        <w:spacing w:after="0"/>
        <w:tabs>
          <w:tab w:leader="none" w:pos="2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rider is effective as of 12:01 a.m. on 03/08/2020.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RIDER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STANDARD FORM NOS. 14, 15, 24 AND 25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ADOPTED MARCH, 2008.</w:t>
      </w:r>
    </w:p>
    <w:p>
      <w:pPr>
        <w:spacing w:after="0" w:line="131" w:lineRule="exact"/>
        <w:rPr>
          <w:sz w:val="20"/>
          <w:szCs w:val="20"/>
          <w:color w:val="auto"/>
        </w:rPr>
      </w:pPr>
    </w:p>
    <w:p>
      <w:pPr>
        <w:spacing w:after="0"/>
        <w:tabs>
          <w:tab w:leader="none" w:pos="3200" w:val="left"/>
          <w:tab w:leader="none" w:pos="10180" w:val="left"/>
        </w:tabs>
        <w:rPr>
          <w:sz w:val="20"/>
          <w:szCs w:val="20"/>
          <w:color w:val="auto"/>
        </w:rPr>
      </w:pPr>
      <w:r>
        <w:rPr>
          <w:rFonts w:ascii="Arial" w:cs="Arial" w:eastAsia="Arial" w:hAnsi="Arial"/>
          <w:sz w:val="18"/>
          <w:szCs w:val="18"/>
          <w:color w:val="auto"/>
        </w:rPr>
        <w:t>SR 6290</w:t>
      </w:r>
      <w:r>
        <w:rPr>
          <w:sz w:val="20"/>
          <w:szCs w:val="20"/>
          <w:color w:val="auto"/>
        </w:rPr>
        <w:tab/>
      </w:r>
      <w:r>
        <w:rPr>
          <w:rFonts w:ascii="Arial" w:cs="Arial" w:eastAsia="Arial" w:hAnsi="Arial"/>
          <w:sz w:val="18"/>
          <w:szCs w:val="18"/>
          <w:color w:val="auto"/>
        </w:rPr>
        <w:t>Copyright The Surety &amp; Fidelity Association of America, 2008</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0"/>
          </w:cols>
          <w:pgMar w:left="440" w:top="270" w:right="439" w:bottom="1440" w:gutter="0" w:footer="0" w:header="0"/>
        </w:sectPr>
      </w:pPr>
    </w:p>
    <w:bookmarkStart w:id="18" w:name="page19"/>
    <w:bookmarkEnd w:id="1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003415" cy="883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4"/>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4"/>
        <w:spacing w:after="0"/>
        <w:rPr>
          <w:sz w:val="20"/>
          <w:szCs w:val="20"/>
          <w:color w:val="auto"/>
        </w:rPr>
      </w:pPr>
      <w:r>
        <w:rPr>
          <w:rFonts w:ascii="Arial" w:cs="Arial" w:eastAsia="Arial" w:hAnsi="Arial"/>
          <w:sz w:val="18"/>
          <w:szCs w:val="18"/>
          <w:b w:val="1"/>
          <w:bCs w:val="1"/>
          <w:color w:val="auto"/>
        </w:rPr>
        <w:t>ACE American Insurance Company</w:t>
      </w:r>
    </w:p>
    <w:p>
      <w:pPr>
        <w:spacing w:after="0" w:line="342" w:lineRule="exact"/>
        <w:rPr>
          <w:sz w:val="20"/>
          <w:szCs w:val="20"/>
          <w:color w:val="auto"/>
        </w:rPr>
      </w:pPr>
    </w:p>
    <w:p>
      <w:pPr>
        <w:ind w:left="2864"/>
        <w:spacing w:after="0"/>
        <w:rPr>
          <w:sz w:val="20"/>
          <w:szCs w:val="20"/>
          <w:color w:val="auto"/>
        </w:rPr>
      </w:pPr>
      <w:r>
        <w:rPr>
          <w:rFonts w:ascii="Arial" w:cs="Arial" w:eastAsia="Arial" w:hAnsi="Arial"/>
          <w:sz w:val="18"/>
          <w:szCs w:val="18"/>
          <w:b w:val="1"/>
          <w:bCs w:val="1"/>
          <w:color w:val="auto"/>
        </w:rPr>
        <w:t>ADD CERTAIN COMPUTER CRIME INSURING AGREEMENTS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It is agreed that the bond is amended to add the following:</w:t>
      </w:r>
    </w:p>
    <w:p>
      <w:pPr>
        <w:spacing w:after="0" w:line="131"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section entitled Insuring Agreements is amended to add the following:</w:t>
      </w:r>
    </w:p>
    <w:p>
      <w:pPr>
        <w:spacing w:after="0" w:line="369" w:lineRule="exact"/>
        <w:rPr>
          <w:rFonts w:ascii="Arial" w:cs="Arial" w:eastAsia="Arial" w:hAnsi="Arial"/>
          <w:sz w:val="18"/>
          <w:szCs w:val="18"/>
          <w:color w:val="auto"/>
        </w:rPr>
      </w:pPr>
    </w:p>
    <w:p>
      <w:pPr>
        <w:ind w:left="984" w:right="7120" w:hanging="444"/>
        <w:spacing w:after="0" w:line="408" w:lineRule="auto"/>
        <w:tabs>
          <w:tab w:leader="none" w:pos="965" w:val="left"/>
        </w:tabs>
        <w:numPr>
          <w:ilvl w:val="1"/>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COMPUTER SYSTEMS FRAUD </w:t>
      </w:r>
      <w:r>
        <w:rPr>
          <w:rFonts w:ascii="Arial" w:cs="Arial" w:eastAsia="Arial" w:hAnsi="Arial"/>
          <w:sz w:val="17"/>
          <w:szCs w:val="17"/>
          <w:color w:val="auto"/>
        </w:rPr>
        <w:t>Loss resulting directly from a fraudulent</w:t>
      </w:r>
    </w:p>
    <w:p>
      <w:pPr>
        <w:ind w:left="1424" w:hanging="439"/>
        <w:spacing w:after="0"/>
        <w:tabs>
          <w:tab w:leader="none" w:pos="1424" w:val="left"/>
        </w:tabs>
        <w:numPr>
          <w:ilvl w:val="2"/>
          <w:numId w:val="54"/>
        </w:numPr>
        <w:rPr>
          <w:rFonts w:ascii="Arial" w:cs="Arial" w:eastAsia="Arial" w:hAnsi="Arial"/>
          <w:sz w:val="18"/>
          <w:szCs w:val="18"/>
          <w:color w:val="auto"/>
        </w:rPr>
      </w:pPr>
      <w:r>
        <w:rPr>
          <w:rFonts w:ascii="Arial" w:cs="Arial" w:eastAsia="Arial" w:hAnsi="Arial"/>
          <w:sz w:val="18"/>
          <w:szCs w:val="18"/>
          <w:color w:val="auto"/>
        </w:rPr>
        <w:t>entry of Electronic Data or Computer Program into,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54"/>
        </w:numPr>
        <w:rPr>
          <w:rFonts w:ascii="Arial" w:cs="Arial" w:eastAsia="Arial" w:hAnsi="Arial"/>
          <w:sz w:val="18"/>
          <w:szCs w:val="18"/>
          <w:color w:val="auto"/>
        </w:rPr>
      </w:pPr>
      <w:r>
        <w:rPr>
          <w:rFonts w:ascii="Arial" w:cs="Arial" w:eastAsia="Arial" w:hAnsi="Arial"/>
          <w:sz w:val="18"/>
          <w:szCs w:val="18"/>
          <w:color w:val="auto"/>
        </w:rPr>
        <w:t>change of Electronic Data or Computer Program within</w:t>
      </w:r>
    </w:p>
    <w:p>
      <w:pPr>
        <w:spacing w:after="0" w:line="117" w:lineRule="exact"/>
        <w:rPr>
          <w:sz w:val="20"/>
          <w:szCs w:val="20"/>
          <w:color w:val="auto"/>
        </w:rPr>
      </w:pPr>
    </w:p>
    <w:p>
      <w:pPr>
        <w:ind w:left="984" w:right="100"/>
        <w:spacing w:after="0" w:line="263" w:lineRule="auto"/>
        <w:rPr>
          <w:sz w:val="20"/>
          <w:szCs w:val="20"/>
          <w:color w:val="auto"/>
        </w:rPr>
      </w:pPr>
      <w:r>
        <w:rPr>
          <w:rFonts w:ascii="Arial" w:cs="Arial" w:eastAsia="Arial" w:hAnsi="Arial"/>
          <w:sz w:val="18"/>
          <w:szCs w:val="18"/>
          <w:color w:val="auto"/>
        </w:rPr>
        <w:t>any Computer System operated by the Insured, whether owned or leased; or any Computer System identified in the application for this bond; or a Computer System first used by the Insured during the bond period, as provided by General Agreement B; provided the entry or change causes</w:t>
      </w:r>
    </w:p>
    <w:p>
      <w:pPr>
        <w:spacing w:after="0" w:line="89" w:lineRule="exact"/>
        <w:rPr>
          <w:sz w:val="20"/>
          <w:szCs w:val="20"/>
          <w:color w:val="auto"/>
        </w:rPr>
      </w:pPr>
    </w:p>
    <w:p>
      <w:pPr>
        <w:ind w:left="1424" w:hanging="439"/>
        <w:spacing w:after="0"/>
        <w:tabs>
          <w:tab w:leader="none" w:pos="14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117" w:lineRule="exact"/>
        <w:rPr>
          <w:sz w:val="20"/>
          <w:szCs w:val="20"/>
          <w:color w:val="auto"/>
        </w:rPr>
      </w:pPr>
    </w:p>
    <w:p>
      <w:pPr>
        <w:ind w:left="984" w:right="260"/>
        <w:spacing w:after="0" w:line="277" w:lineRule="auto"/>
        <w:rPr>
          <w:sz w:val="20"/>
          <w:szCs w:val="20"/>
          <w:color w:val="auto"/>
        </w:rPr>
      </w:pPr>
      <w:r>
        <w:rPr>
          <w:rFonts w:ascii="Arial" w:cs="Arial" w:eastAsia="Arial" w:hAnsi="Arial"/>
          <w:sz w:val="18"/>
          <w:szCs w:val="18"/>
          <w:color w:val="auto"/>
        </w:rPr>
        <w:t>In this Insuring Agreement, fraudulent entry or change shall include such entry or change made by an employee of the Insured acting in good faith</w:t>
      </w:r>
    </w:p>
    <w:p>
      <w:pPr>
        <w:spacing w:after="0" w:line="76" w:lineRule="exact"/>
        <w:rPr>
          <w:sz w:val="20"/>
          <w:szCs w:val="20"/>
          <w:color w:val="auto"/>
        </w:rPr>
      </w:pPr>
    </w:p>
    <w:p>
      <w:pPr>
        <w:ind w:left="1424" w:right="40" w:hanging="439"/>
        <w:spacing w:after="0" w:line="277" w:lineRule="auto"/>
        <w:tabs>
          <w:tab w:leader="none" w:pos="1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75" w:lineRule="exact"/>
        <w:rPr>
          <w:rFonts w:ascii="Arial" w:cs="Arial" w:eastAsia="Arial" w:hAnsi="Arial"/>
          <w:sz w:val="18"/>
          <w:szCs w:val="18"/>
          <w:color w:val="auto"/>
        </w:rPr>
      </w:pPr>
    </w:p>
    <w:p>
      <w:pPr>
        <w:ind w:left="1424" w:right="220" w:hanging="439"/>
        <w:spacing w:after="0" w:line="277" w:lineRule="auto"/>
        <w:tabs>
          <w:tab w:leader="none" w:pos="1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policy purportedly sent by a customer, financial institution, or automated clearing house.</w:t>
      </w:r>
    </w:p>
    <w:p>
      <w:pPr>
        <w:spacing w:after="0" w:line="315" w:lineRule="exact"/>
        <w:rPr>
          <w:sz w:val="20"/>
          <w:szCs w:val="20"/>
          <w:color w:val="auto"/>
        </w:rPr>
      </w:pPr>
    </w:p>
    <w:p>
      <w:pPr>
        <w:ind w:left="964" w:hanging="424"/>
        <w:spacing w:after="0"/>
        <w:tabs>
          <w:tab w:leader="none" w:pos="964"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DATA PROCESSING SERVICE OPERATIONS</w:t>
      </w:r>
    </w:p>
    <w:p>
      <w:pPr>
        <w:spacing w:after="0" w:line="121"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Loss sustained by a Client of the Insured resulting directly from a fraudulent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57"/>
        </w:numPr>
        <w:rPr>
          <w:rFonts w:ascii="Arial" w:cs="Arial" w:eastAsia="Arial" w:hAnsi="Arial"/>
          <w:sz w:val="18"/>
          <w:szCs w:val="18"/>
          <w:color w:val="auto"/>
        </w:rPr>
      </w:pPr>
      <w:r>
        <w:rPr>
          <w:rFonts w:ascii="Arial" w:cs="Arial" w:eastAsia="Arial" w:hAnsi="Arial"/>
          <w:sz w:val="18"/>
          <w:szCs w:val="18"/>
          <w:color w:val="auto"/>
        </w:rPr>
        <w:t>entry of Electronic Data or a Computer Program into, or</w:t>
      </w:r>
    </w:p>
    <w:p>
      <w:pPr>
        <w:spacing w:after="0" w:line="130" w:lineRule="exact"/>
        <w:rPr>
          <w:rFonts w:ascii="Arial" w:cs="Arial" w:eastAsia="Arial" w:hAnsi="Arial"/>
          <w:sz w:val="18"/>
          <w:szCs w:val="18"/>
          <w:color w:val="auto"/>
        </w:rPr>
      </w:pPr>
    </w:p>
    <w:p>
      <w:pPr>
        <w:ind w:left="1424" w:right="360" w:hanging="439"/>
        <w:spacing w:after="0" w:line="277" w:lineRule="auto"/>
        <w:tabs>
          <w:tab w:leader="none" w:pos="1424" w:val="left"/>
        </w:tabs>
        <w:numPr>
          <w:ilvl w:val="1"/>
          <w:numId w:val="57"/>
        </w:numPr>
        <w:rPr>
          <w:rFonts w:ascii="Arial" w:cs="Arial" w:eastAsia="Arial" w:hAnsi="Arial"/>
          <w:sz w:val="18"/>
          <w:szCs w:val="18"/>
          <w:color w:val="auto"/>
        </w:rPr>
      </w:pPr>
      <w:r>
        <w:rPr>
          <w:rFonts w:ascii="Arial" w:cs="Arial" w:eastAsia="Arial" w:hAnsi="Arial"/>
          <w:sz w:val="18"/>
          <w:szCs w:val="18"/>
          <w:color w:val="auto"/>
        </w:rPr>
        <w:t>change of Electronic Data or a Computer Program within a Computer System covered under the terms of the Computer Systems Fraud Insuring Agreement 1, or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57"/>
        </w:numPr>
        <w:rPr>
          <w:rFonts w:ascii="Arial" w:cs="Arial" w:eastAsia="Arial" w:hAnsi="Arial"/>
          <w:sz w:val="18"/>
          <w:szCs w:val="18"/>
          <w:color w:val="auto"/>
        </w:rPr>
      </w:pPr>
      <w:r>
        <w:rPr>
          <w:rFonts w:ascii="Arial" w:cs="Arial" w:eastAsia="Arial" w:hAnsi="Arial"/>
          <w:sz w:val="18"/>
          <w:szCs w:val="18"/>
          <w:color w:val="auto"/>
        </w:rPr>
        <w:t>entry or change of Electronic Data during electronic transmission or physical transit from the Insured to its Client,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provided that the entry or change causes</w:t>
      </w:r>
    </w:p>
    <w:p>
      <w:pPr>
        <w:spacing w:after="0" w:line="131" w:lineRule="exact"/>
        <w:rPr>
          <w:sz w:val="20"/>
          <w:szCs w:val="20"/>
          <w:color w:val="auto"/>
        </w:rPr>
      </w:pPr>
    </w:p>
    <w:p>
      <w:pPr>
        <w:ind w:left="1424" w:hanging="439"/>
        <w:spacing w:after="0"/>
        <w:tabs>
          <w:tab w:leader="none" w:pos="14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account of the Client, or a customer of the Client, to be added, deleted, debited or credited,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and for which loss the Insured is legally liable to the Client as a provider of data processing services for such Client.</w:t>
      </w:r>
    </w:p>
    <w:p>
      <w:pPr>
        <w:spacing w:after="0" w:line="158" w:lineRule="exact"/>
        <w:rPr>
          <w:sz w:val="20"/>
          <w:szCs w:val="20"/>
          <w:color w:val="auto"/>
        </w:rPr>
      </w:pPr>
    </w:p>
    <w:p>
      <w:pPr>
        <w:ind w:left="4"/>
        <w:spacing w:after="0"/>
        <w:tabs>
          <w:tab w:leader="none" w:pos="5224" w:val="left"/>
          <w:tab w:leader="none" w:pos="10184"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6</w:t>
      </w:r>
    </w:p>
    <w:p>
      <w:pPr>
        <w:sectPr>
          <w:pgSz w:w="11900" w:h="16838" w:orient="portrait"/>
          <w:cols w:equalWidth="0" w:num="1">
            <w:col w:w="11024"/>
          </w:cols>
          <w:pgMar w:left="436" w:top="270" w:right="439" w:bottom="1440" w:gutter="0" w:footer="0" w:header="0"/>
        </w:sectPr>
      </w:pPr>
    </w:p>
    <w:bookmarkStart w:id="19" w:name="page20"/>
    <w:bookmarkEnd w:id="19"/>
    <w:p>
      <w:pPr>
        <w:ind w:left="98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this Data Processing Servicing Operations Insuring Agreement, fraudulent entry or change shall include such entry or change made by an employee of the Insured acting in good faith</w:t>
      </w:r>
    </w:p>
    <w:p>
      <w:pPr>
        <w:spacing w:after="0" w:line="76" w:lineRule="exact"/>
        <w:rPr>
          <w:sz w:val="20"/>
          <w:szCs w:val="20"/>
          <w:color w:val="auto"/>
        </w:rPr>
      </w:pPr>
    </w:p>
    <w:p>
      <w:pPr>
        <w:ind w:left="1420" w:right="80" w:hanging="43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75" w:lineRule="exact"/>
        <w:rPr>
          <w:rFonts w:ascii="Arial" w:cs="Arial" w:eastAsia="Arial" w:hAnsi="Arial"/>
          <w:sz w:val="18"/>
          <w:szCs w:val="18"/>
          <w:color w:val="auto"/>
        </w:rPr>
      </w:pPr>
    </w:p>
    <w:p>
      <w:pPr>
        <w:ind w:left="1420" w:right="220" w:hanging="43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policy purportedly sent by a customer, financial institution, or automated clearing house.</w:t>
      </w:r>
    </w:p>
    <w:p>
      <w:pPr>
        <w:spacing w:after="0" w:line="62"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In this Data Processing Servicing Operations Insuring Agreement, Client means an entity for whom the Insured serves as data processor under the terms of a written agreement</w:t>
      </w:r>
    </w:p>
    <w:p>
      <w:pPr>
        <w:spacing w:after="0" w:line="315" w:lineRule="exact"/>
        <w:rPr>
          <w:sz w:val="20"/>
          <w:szCs w:val="20"/>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VOICE INITIATED TRANSFER FRAUD</w:t>
      </w:r>
    </w:p>
    <w:p>
      <w:pPr>
        <w:spacing w:after="0" w:line="121" w:lineRule="exact"/>
        <w:rPr>
          <w:rFonts w:ascii="Arial" w:cs="Arial" w:eastAsia="Arial" w:hAnsi="Arial"/>
          <w:sz w:val="18"/>
          <w:szCs w:val="18"/>
          <w:color w:val="auto"/>
        </w:rPr>
      </w:pPr>
    </w:p>
    <w:p>
      <w:pPr>
        <w:ind w:left="980" w:right="40"/>
        <w:spacing w:after="0" w:line="263" w:lineRule="auto"/>
        <w:rPr>
          <w:rFonts w:ascii="Arial" w:cs="Arial" w:eastAsia="Arial" w:hAnsi="Arial"/>
          <w:sz w:val="18"/>
          <w:szCs w:val="18"/>
          <w:color w:val="auto"/>
        </w:rPr>
      </w:pPr>
      <w:r>
        <w:rPr>
          <w:rFonts w:ascii="Arial" w:cs="Arial" w:eastAsia="Arial" w:hAnsi="Arial"/>
          <w:sz w:val="18"/>
          <w:szCs w:val="18"/>
          <w:color w:val="auto"/>
        </w:rPr>
        <w:t>Loss resulting directly from the Insured having, in good faith, transferred Funds from a Customer’s account through a Computer System covered under the terms of the Computer Systems Fraud Insuring Agreement in reliance upon a fraudulent voice instruction transmitted by telephone which was purported to be from</w:t>
      </w:r>
    </w:p>
    <w:p>
      <w:pPr>
        <w:spacing w:after="0" w:line="89" w:lineRule="exact"/>
        <w:rPr>
          <w:rFonts w:ascii="Arial" w:cs="Arial" w:eastAsia="Arial" w:hAnsi="Arial"/>
          <w:sz w:val="18"/>
          <w:szCs w:val="18"/>
          <w:color w:val="auto"/>
        </w:rPr>
      </w:pPr>
    </w:p>
    <w:p>
      <w:pPr>
        <w:ind w:left="1420" w:right="120" w:hanging="439"/>
        <w:spacing w:after="0" w:line="277"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of the Insured who was authorized by the Customer to instruct the Insured to make such transfer,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 individual person who is a Customer of the Insured, or</w:t>
      </w:r>
    </w:p>
    <w:p>
      <w:pPr>
        <w:spacing w:after="0" w:line="130" w:lineRule="exact"/>
        <w:rPr>
          <w:rFonts w:ascii="Arial" w:cs="Arial" w:eastAsia="Arial" w:hAnsi="Arial"/>
          <w:sz w:val="18"/>
          <w:szCs w:val="18"/>
          <w:color w:val="auto"/>
        </w:rPr>
      </w:pPr>
    </w:p>
    <w:p>
      <w:pPr>
        <w:jc w:val="both"/>
        <w:ind w:left="1420" w:right="360" w:hanging="439"/>
        <w:spacing w:after="0" w:line="286" w:lineRule="auto"/>
        <w:tabs>
          <w:tab w:leader="none" w:pos="14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 employee of the Insured in another office of the Insured who was authorized by the Insured to instruct other employees of the Insured to transfer Funds, and was received by an employees of the Insured specifically designated to receive and act upon such instructions, but the voice instruction was not from a person described in (1), (2), or (3) above,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required password(s) or code word(s) given;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the transfer was in excess of $50,000, the voice instruction was verified by a call-back according to a prearranged procedure.</w:t>
      </w:r>
    </w:p>
    <w:p>
      <w:pPr>
        <w:spacing w:after="0" w:line="129" w:lineRule="exact"/>
        <w:rPr>
          <w:sz w:val="20"/>
          <w:szCs w:val="20"/>
          <w:color w:val="auto"/>
        </w:rPr>
      </w:pPr>
    </w:p>
    <w:p>
      <w:pPr>
        <w:jc w:val="both"/>
        <w:ind w:left="440" w:right="20"/>
        <w:spacing w:after="0" w:line="286" w:lineRule="auto"/>
        <w:rPr>
          <w:sz w:val="20"/>
          <w:szCs w:val="20"/>
          <w:color w:val="auto"/>
        </w:rPr>
      </w:pPr>
      <w:r>
        <w:rPr>
          <w:rFonts w:ascii="Arial" w:cs="Arial" w:eastAsia="Arial" w:hAnsi="Arial"/>
          <w:sz w:val="17"/>
          <w:szCs w:val="17"/>
          <w:color w:val="auto"/>
        </w:rPr>
        <w:t>As used in this Voice Initiated Transfer Fraud Insuring Agreement, Customer means an entity or individual which has a written agreement with the Insured authorizing the Insured to rely on voice instructions to initiate transfers and had provided the Insured with the names of persons authorized to initiate such transfers, and with which the Insured has established an instruction verification mechanism.</w:t>
      </w:r>
    </w:p>
    <w:p>
      <w:pPr>
        <w:spacing w:after="0" w:line="310" w:lineRule="exact"/>
        <w:rPr>
          <w:sz w:val="20"/>
          <w:szCs w:val="20"/>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TELEFACSIMILE TRANSFER FRAUD</w:t>
      </w:r>
    </w:p>
    <w:p>
      <w:pPr>
        <w:spacing w:after="0" w:line="121" w:lineRule="exact"/>
        <w:rPr>
          <w:sz w:val="20"/>
          <w:szCs w:val="20"/>
          <w:color w:val="auto"/>
        </w:rPr>
      </w:pPr>
    </w:p>
    <w:p>
      <w:pPr>
        <w:ind w:left="440" w:right="200"/>
        <w:spacing w:after="0" w:line="263" w:lineRule="auto"/>
        <w:rPr>
          <w:sz w:val="20"/>
          <w:szCs w:val="20"/>
          <w:color w:val="auto"/>
        </w:rPr>
      </w:pPr>
      <w:r>
        <w:rPr>
          <w:rFonts w:ascii="Arial" w:cs="Arial" w:eastAsia="Arial" w:hAnsi="Arial"/>
          <w:sz w:val="18"/>
          <w:szCs w:val="18"/>
          <w:color w:val="auto"/>
        </w:rPr>
        <w:t>Loss resulting directly from the Insured having, in good faith, transferred or delivered Funds, Certificated Securities or Uncertificated Securities through a Computer System covered under the terms of Insuring Agreement 1 in reliance upon a fraudulent instruction received though a Telefacsimile Device, and which instruction</w:t>
      </w:r>
    </w:p>
    <w:p>
      <w:pPr>
        <w:spacing w:after="0" w:line="89" w:lineRule="exact"/>
        <w:rPr>
          <w:sz w:val="20"/>
          <w:szCs w:val="20"/>
          <w:color w:val="auto"/>
        </w:rPr>
      </w:pPr>
    </w:p>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but, in fact, was not originated by the Customer or entity whose identification it bears and</w:t>
      </w:r>
    </w:p>
    <w:p>
      <w:pPr>
        <w:spacing w:after="0" w:line="131" w:lineRule="exact"/>
        <w:rPr>
          <w:sz w:val="20"/>
          <w:szCs w:val="20"/>
          <w:color w:val="auto"/>
        </w:rPr>
      </w:pPr>
    </w:p>
    <w:p>
      <w:pPr>
        <w:ind w:left="960" w:hanging="53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2 of 6</w:t>
      </w:r>
    </w:p>
    <w:p>
      <w:pPr>
        <w:sectPr>
          <w:pgSz w:w="11900" w:h="16838" w:orient="portrait"/>
          <w:cols w:equalWidth="0" w:num="1">
            <w:col w:w="11020"/>
          </w:cols>
          <w:pgMar w:left="440" w:top="274"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that, if the transfer was in excess of $50,000, the instruction was verified by a call-back according to a prearranged procedure.</w:t>
      </w:r>
    </w:p>
    <w:p>
      <w:pPr>
        <w:spacing w:after="0" w:line="117" w:lineRule="exact"/>
        <w:rPr>
          <w:sz w:val="20"/>
          <w:szCs w:val="20"/>
          <w:color w:val="auto"/>
        </w:rPr>
      </w:pPr>
    </w:p>
    <w:p>
      <w:pPr>
        <w:ind w:left="440" w:right="100"/>
        <w:spacing w:after="0" w:line="286" w:lineRule="auto"/>
        <w:rPr>
          <w:sz w:val="20"/>
          <w:szCs w:val="20"/>
          <w:color w:val="auto"/>
        </w:rPr>
      </w:pPr>
      <w:r>
        <w:rPr>
          <w:rFonts w:ascii="Arial" w:cs="Arial" w:eastAsia="Arial" w:hAnsi="Arial"/>
          <w:sz w:val="17"/>
          <w:szCs w:val="17"/>
          <w:color w:val="auto"/>
        </w:rPr>
        <w:t>As used in this Telefacsimile Transfer Fraud Insuring Agreement, Customer means an entity or individual which has a written agreement with the Insured authorizing the Insured to rely on Telefacsimile Device instruction to initiate transfers and had provided the Insured with the names of persons authorized to initiate such transfers, and with which the Insured has established an instruction verification mechanism.</w:t>
      </w:r>
    </w:p>
    <w:p>
      <w:pPr>
        <w:spacing w:after="0" w:line="310" w:lineRule="exact"/>
        <w:rPr>
          <w:sz w:val="20"/>
          <w:szCs w:val="20"/>
          <w:color w:val="auto"/>
        </w:rPr>
      </w:pPr>
    </w:p>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DESTRUCTION OF DATA OR PROGRAMS BY HACKER</w:t>
      </w:r>
    </w:p>
    <w:p>
      <w:pPr>
        <w:spacing w:after="0" w:line="121" w:lineRule="exact"/>
        <w:rPr>
          <w:sz w:val="20"/>
          <w:szCs w:val="20"/>
          <w:color w:val="auto"/>
        </w:rPr>
      </w:pPr>
    </w:p>
    <w:p>
      <w:pPr>
        <w:jc w:val="both"/>
        <w:ind w:left="440" w:right="60"/>
        <w:spacing w:after="0" w:line="342" w:lineRule="auto"/>
        <w:rPr>
          <w:sz w:val="20"/>
          <w:szCs w:val="20"/>
          <w:color w:val="auto"/>
        </w:rPr>
      </w:pPr>
      <w:r>
        <w:rPr>
          <w:rFonts w:ascii="Arial" w:cs="Arial" w:eastAsia="Arial" w:hAnsi="Arial"/>
          <w:sz w:val="16"/>
          <w:szCs w:val="16"/>
          <w:color w:val="auto"/>
        </w:rPr>
        <w:t>Loss resulting directly from the malicious destruction of, or damage to, Electronic Data or Computer Programs owned by the Insured or for which the Insured is legally liable while stored within a Computer System covered under the terms of the Computer Systems Fraud Insuring Agreement.</w:t>
      </w:r>
    </w:p>
    <w:p>
      <w:pPr>
        <w:spacing w:after="0" w:line="124"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The liability of the Company shall be limited to the cost of duplication of such Electronic Data or Computer Programs from other Electronic Data or Computer Programs which shall have been furnished by the Insured.</w:t>
      </w:r>
    </w:p>
    <w:p>
      <w:pPr>
        <w:spacing w:after="0" w:line="170"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Company will pay the cost incurred for computer time, computer programmers, consultants or other technical specialists as is reasonably necessary to restore the Computer Programs to substantially the previous level of operational capability.</w:t>
      </w:r>
    </w:p>
    <w:p>
      <w:pPr>
        <w:spacing w:after="0" w:line="328" w:lineRule="exact"/>
        <w:rPr>
          <w:sz w:val="20"/>
          <w:szCs w:val="20"/>
          <w:color w:val="auto"/>
        </w:rPr>
      </w:pPr>
    </w:p>
    <w:p>
      <w:pPr>
        <w:ind w:left="960" w:hanging="532"/>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DESTRUCTION OF DATA OR PROGRAMS BY VIRUS</w:t>
      </w:r>
    </w:p>
    <w:p>
      <w:pPr>
        <w:spacing w:after="0" w:line="121"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color w:val="auto"/>
        </w:rPr>
        <w:t>Loss resulting directly from the malicious destruction of, or damage to, Electronic Data or Computer Programs owned by the Insured or for which the Insured is legally liable while stored within a Computer System covered under the terms of the Computer Systems Fraud Insuring Agreement if such destruction or damage was caused by a computer program or similar instruction which was written or altered to incorporate a hidden instruction designed to destroy or damage Electronic Data or Computer Programs in the Computer System in which the computer program or instruction so written or so altered is used.</w:t>
      </w:r>
    </w:p>
    <w:p>
      <w:pPr>
        <w:spacing w:after="0" w:line="188"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The liability of the Underwriter shall be limited to the cost of duplication of such Electronic Data or Computer Programs from other Electronic Data or Computer Programs which shall have been furnished by the Insured.</w:t>
      </w:r>
    </w:p>
    <w:p>
      <w:pPr>
        <w:spacing w:after="0" w:line="62"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Underwriter will pay the cost incurred for computer time, computer programmers, consultants, or other technical specialists as is reasonably necessary to restore the Computer Programs to substantially the previous level of operational capability.</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Special Condition:</w:t>
      </w:r>
    </w:p>
    <w:p>
      <w:pPr>
        <w:spacing w:after="0" w:line="117" w:lineRule="exact"/>
        <w:rPr>
          <w:sz w:val="20"/>
          <w:szCs w:val="20"/>
          <w:color w:val="auto"/>
        </w:rPr>
      </w:pPr>
    </w:p>
    <w:p>
      <w:pPr>
        <w:ind w:left="440" w:right="540"/>
        <w:spacing w:after="0" w:line="311" w:lineRule="auto"/>
        <w:rPr>
          <w:sz w:val="20"/>
          <w:szCs w:val="20"/>
          <w:color w:val="auto"/>
        </w:rPr>
      </w:pPr>
      <w:r>
        <w:rPr>
          <w:rFonts w:ascii="Arial" w:cs="Arial" w:eastAsia="Arial" w:hAnsi="Arial"/>
          <w:sz w:val="16"/>
          <w:szCs w:val="16"/>
          <w:color w:val="auto"/>
        </w:rPr>
        <w:t>Under this Destruction Of Data Or Programs By Virus Insuring Agreement, “Single Loss” means all covered costs incurred by the Insured between the time destruction or damage is discovered and the time the Computer System is restored to substantially the previous level of operational capability. Recurrence of destruction or damage after the Computer System is restored shall constitute a separate “Single Loss”.</w:t>
      </w:r>
    </w:p>
    <w:p>
      <w:pPr>
        <w:spacing w:after="0" w:line="293" w:lineRule="exact"/>
        <w:rPr>
          <w:sz w:val="20"/>
          <w:szCs w:val="20"/>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VOICE COMPUTER SYSTEM FRAUD</w:t>
      </w:r>
    </w:p>
    <w:p>
      <w:pPr>
        <w:spacing w:after="0" w:line="121" w:lineRule="exact"/>
        <w:rPr>
          <w:sz w:val="20"/>
          <w:szCs w:val="20"/>
          <w:color w:val="auto"/>
        </w:rPr>
      </w:pPr>
    </w:p>
    <w:p>
      <w:pPr>
        <w:ind w:left="440" w:right="380"/>
        <w:spacing w:after="0" w:line="259" w:lineRule="auto"/>
        <w:rPr>
          <w:sz w:val="20"/>
          <w:szCs w:val="20"/>
          <w:color w:val="auto"/>
        </w:rPr>
      </w:pPr>
      <w:r>
        <w:rPr>
          <w:rFonts w:ascii="Arial" w:cs="Arial" w:eastAsia="Arial" w:hAnsi="Arial"/>
          <w:sz w:val="18"/>
          <w:szCs w:val="18"/>
          <w:color w:val="auto"/>
        </w:rPr>
        <w:t>Loss resulting directly from charges for voice telephone long-distance toll calls which were incurred due to the fraudulent use or fraudulent manipulation of an Account Code or System Password required to obtain access to a Voice Computer System owned or leased by the Insured, installed on the Insured’s premises, whose System Administration is performed and controlled by the Insured; provided, however, that the unauthorized access was not made possible by</w:t>
      </w:r>
    </w:p>
    <w:p>
      <w:pPr>
        <w:spacing w:after="0" w:line="119"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3 of 6</w:t>
      </w:r>
    </w:p>
    <w:p>
      <w:pPr>
        <w:sectPr>
          <w:pgSz w:w="11900" w:h="16838" w:orient="portrait"/>
          <w:cols w:equalWidth="0" w:num="1">
            <w:col w:w="11020"/>
          </w:cols>
          <w:pgMar w:left="440" w:top="274" w:right="439" w:bottom="1440" w:gutter="0" w:footer="0" w:header="0"/>
        </w:sectPr>
      </w:pPr>
    </w:p>
    <w:bookmarkStart w:id="21" w:name="page22"/>
    <w:bookmarkEnd w:id="21"/>
    <w:p>
      <w:pPr>
        <w:ind w:left="964" w:hanging="532"/>
        <w:spacing w:after="0"/>
        <w:tabs>
          <w:tab w:leader="none" w:pos="964" w:val="left"/>
        </w:tabs>
        <w:numPr>
          <w:ilvl w:val="1"/>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to incorporate a System Password feature or failure to change the System Password at least once every 30 days thereafter, or</w:t>
      </w:r>
    </w:p>
    <w:p>
      <w:pPr>
        <w:spacing w:after="0" w:line="142" w:lineRule="exact"/>
        <w:rPr>
          <w:rFonts w:ascii="Arial" w:cs="Arial" w:eastAsia="Arial" w:hAnsi="Arial"/>
          <w:sz w:val="17"/>
          <w:szCs w:val="17"/>
          <w:color w:val="auto"/>
        </w:rPr>
      </w:pPr>
    </w:p>
    <w:p>
      <w:pPr>
        <w:ind w:left="964" w:right="280" w:hanging="532"/>
        <w:spacing w:after="0" w:line="277" w:lineRule="auto"/>
        <w:tabs>
          <w:tab w:leader="none" w:pos="9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failure to have a call-disconnect feature in operation to automatically terminate a caller’s access to the Voice Computer System after not more than three unsuccessful attempts to input an Account Code.</w:t>
      </w:r>
    </w:p>
    <w:p>
      <w:pPr>
        <w:spacing w:after="0" w:line="62"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Special Condition:</w:t>
      </w:r>
    </w:p>
    <w:p>
      <w:pPr>
        <w:spacing w:after="0" w:line="117" w:lineRule="exact"/>
        <w:rPr>
          <w:rFonts w:ascii="Arial" w:cs="Arial" w:eastAsia="Arial" w:hAnsi="Arial"/>
          <w:sz w:val="18"/>
          <w:szCs w:val="18"/>
          <w:color w:val="auto"/>
        </w:rPr>
      </w:pPr>
    </w:p>
    <w:p>
      <w:pPr>
        <w:jc w:val="both"/>
        <w:ind w:left="984" w:right="320"/>
        <w:spacing w:after="0" w:line="263" w:lineRule="auto"/>
        <w:rPr>
          <w:rFonts w:ascii="Arial" w:cs="Arial" w:eastAsia="Arial" w:hAnsi="Arial"/>
          <w:sz w:val="18"/>
          <w:szCs w:val="18"/>
          <w:color w:val="auto"/>
        </w:rPr>
      </w:pPr>
      <w:r>
        <w:rPr>
          <w:rFonts w:ascii="Arial" w:cs="Arial" w:eastAsia="Arial" w:hAnsi="Arial"/>
          <w:sz w:val="18"/>
          <w:szCs w:val="18"/>
          <w:color w:val="auto"/>
        </w:rPr>
        <w:t>Under this Voice Computer System Fraud Insuring Agreement, “Single Loss” means loss resulting from toll call charges made only on telephone lines directly controlled by one Voice Computer System and only toll call charges occurring for a period of not more than 30 days inclusive of the date on which the first such toll call charge was made.</w:t>
      </w:r>
    </w:p>
    <w:p>
      <w:pPr>
        <w:spacing w:after="0" w:line="89" w:lineRule="exact"/>
        <w:rPr>
          <w:rFonts w:ascii="Arial" w:cs="Arial" w:eastAsia="Arial" w:hAnsi="Arial"/>
          <w:sz w:val="18"/>
          <w:szCs w:val="18"/>
          <w:color w:val="auto"/>
        </w:rPr>
      </w:pPr>
    </w:p>
    <w:p>
      <w:pPr>
        <w:ind w:left="444" w:right="1180" w:hanging="444"/>
        <w:spacing w:after="0" w:line="383" w:lineRule="auto"/>
        <w:tabs>
          <w:tab w:leader="none" w:pos="4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Subsection B, Additional Offices Or Employees – Consolidation, Merger Or Purchase Of Assets, is amended to add the following: As used in this subsection, “assets” includes a Computer System.</w:t>
      </w: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I, Definitions, of the Conditions And Limitations, is amended to add the following</w:t>
      </w:r>
    </w:p>
    <w:p>
      <w:pPr>
        <w:spacing w:after="0" w:line="130" w:lineRule="exact"/>
        <w:rPr>
          <w:rFonts w:ascii="Arial" w:cs="Arial" w:eastAsia="Arial" w:hAnsi="Arial"/>
          <w:sz w:val="18"/>
          <w:szCs w:val="18"/>
          <w:color w:val="auto"/>
        </w:rPr>
      </w:pPr>
    </w:p>
    <w:p>
      <w:pPr>
        <w:ind w:left="964" w:right="100" w:hanging="540"/>
        <w:spacing w:after="0" w:line="263" w:lineRule="auto"/>
        <w:rPr>
          <w:rFonts w:ascii="Arial" w:cs="Arial" w:eastAsia="Arial" w:hAnsi="Arial"/>
          <w:sz w:val="18"/>
          <w:szCs w:val="18"/>
          <w:color w:val="auto"/>
        </w:rPr>
      </w:pPr>
      <w:r>
        <w:rPr>
          <w:rFonts w:ascii="Arial" w:cs="Arial" w:eastAsia="Arial" w:hAnsi="Arial"/>
          <w:sz w:val="18"/>
          <w:szCs w:val="18"/>
          <w:color w:val="auto"/>
        </w:rPr>
        <w:t>•Account Code means a confidential and protected string of characters which identifies or authenticates a person and permits that person to gain access to a Voice Computer System for the purpose of making toll calls or utilizing voice mail box messaging capabilities or other similar functional features of the System.</w:t>
      </w:r>
    </w:p>
    <w:p>
      <w:pPr>
        <w:spacing w:after="0" w:line="89" w:lineRule="exact"/>
        <w:rPr>
          <w:rFonts w:ascii="Arial" w:cs="Arial" w:eastAsia="Arial" w:hAnsi="Arial"/>
          <w:sz w:val="18"/>
          <w:szCs w:val="18"/>
          <w:color w:val="auto"/>
        </w:rPr>
      </w:pPr>
    </w:p>
    <w:p>
      <w:pPr>
        <w:ind w:left="964" w:right="580" w:hanging="540"/>
        <w:spacing w:after="0" w:line="30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Computer Program means a set of related electronic instructions which direct the operations and functions of a computer or devices connected to it which enable the computer or devices to receive, process, store or send Electronic Data.</w:t>
      </w:r>
    </w:p>
    <w:p>
      <w:pPr>
        <w:spacing w:after="0" w:line="51"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Computer System means</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69"/>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69"/>
        </w:numPr>
        <w:rPr>
          <w:rFonts w:ascii="Arial" w:cs="Arial" w:eastAsia="Arial" w:hAnsi="Arial"/>
          <w:sz w:val="18"/>
          <w:szCs w:val="18"/>
          <w:color w:val="auto"/>
        </w:rPr>
      </w:pPr>
      <w:r>
        <w:rPr>
          <w:rFonts w:ascii="Arial" w:cs="Arial" w:eastAsia="Arial" w:hAnsi="Arial"/>
          <w:sz w:val="18"/>
          <w:szCs w:val="18"/>
          <w:color w:val="auto"/>
        </w:rPr>
        <w:t>systems and applications software,</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69"/>
        </w:numPr>
        <w:rPr>
          <w:rFonts w:ascii="Arial" w:cs="Arial" w:eastAsia="Arial" w:hAnsi="Arial"/>
          <w:sz w:val="18"/>
          <w:szCs w:val="18"/>
          <w:color w:val="auto"/>
        </w:rPr>
      </w:pPr>
      <w:r>
        <w:rPr>
          <w:rFonts w:ascii="Arial" w:cs="Arial" w:eastAsia="Arial" w:hAnsi="Arial"/>
          <w:sz w:val="18"/>
          <w:szCs w:val="18"/>
          <w:color w:val="auto"/>
        </w:rPr>
        <w:t>terminal devices, and</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69"/>
        </w:numPr>
        <w:rPr>
          <w:rFonts w:ascii="Arial" w:cs="Arial" w:eastAsia="Arial" w:hAnsi="Arial"/>
          <w:sz w:val="18"/>
          <w:szCs w:val="18"/>
          <w:color w:val="auto"/>
        </w:rPr>
      </w:pPr>
      <w:r>
        <w:rPr>
          <w:rFonts w:ascii="Arial" w:cs="Arial" w:eastAsia="Arial" w:hAnsi="Arial"/>
          <w:sz w:val="18"/>
          <w:szCs w:val="18"/>
          <w:color w:val="auto"/>
        </w:rPr>
        <w:t>related communication networks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by which Electronic Data are electronically collected, transmitted, processed, stored and retrieved.</w:t>
      </w:r>
    </w:p>
    <w:p>
      <w:pPr>
        <w:spacing w:after="0" w:line="131" w:lineRule="exact"/>
        <w:rPr>
          <w:sz w:val="20"/>
          <w:szCs w:val="20"/>
          <w:color w:val="auto"/>
        </w:rPr>
      </w:pPr>
    </w:p>
    <w:p>
      <w:pPr>
        <w:ind w:left="964" w:right="180" w:hanging="532"/>
        <w:spacing w:after="0" w:line="277" w:lineRule="auto"/>
        <w:tabs>
          <w:tab w:leader="none" w:pos="9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Electronic Data means facts or information converted to a form usable in a Computer System by Computer Programs and which is stored on magnetic tapes or disks, or optical storage disks or other bulk media.</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Funds means Money on deposit in an account.</w:t>
      </w:r>
    </w:p>
    <w:p>
      <w:pPr>
        <w:spacing w:after="0" w:line="130" w:lineRule="exact"/>
        <w:rPr>
          <w:rFonts w:ascii="Arial" w:cs="Arial" w:eastAsia="Arial" w:hAnsi="Arial"/>
          <w:sz w:val="18"/>
          <w:szCs w:val="18"/>
          <w:color w:val="auto"/>
        </w:rPr>
      </w:pPr>
    </w:p>
    <w:p>
      <w:pPr>
        <w:ind w:left="964" w:right="100" w:hanging="532"/>
        <w:spacing w:after="0" w:line="296" w:lineRule="auto"/>
        <w:tabs>
          <w:tab w:leader="none" w:pos="964" w:val="left"/>
        </w:tabs>
        <w:numPr>
          <w:ilvl w:val="0"/>
          <w:numId w:val="70"/>
        </w:numPr>
        <w:rPr>
          <w:rFonts w:ascii="Arial" w:cs="Arial" w:eastAsia="Arial" w:hAnsi="Arial"/>
          <w:sz w:val="16"/>
          <w:szCs w:val="16"/>
          <w:color w:val="auto"/>
        </w:rPr>
      </w:pPr>
      <w:r>
        <w:rPr>
          <w:rFonts w:ascii="Arial" w:cs="Arial" w:eastAsia="Arial" w:hAnsi="Arial"/>
          <w:sz w:val="16"/>
          <w:szCs w:val="16"/>
          <w:color w:val="auto"/>
        </w:rPr>
        <w:t>System Administration means the performance of security functions including but not limited to defining authorized persons to access a Voice Computer System and adding, changing and deleting Account Codes or passwords in connection therewith; and invoking or revoking a System option which directs telephone call routing or which adds, moves or drops telephone lines or which performs any other similar activity allowed by a hardware or software-based System option that has been incorporated by a manufacturer or vendor into a System or any component thereof provided said System option is not intended for the sole use of such manufacturer or vendor.</w:t>
      </w:r>
    </w:p>
    <w:p>
      <w:pPr>
        <w:spacing w:after="0" w:line="66" w:lineRule="exact"/>
        <w:rPr>
          <w:rFonts w:ascii="Arial" w:cs="Arial" w:eastAsia="Arial" w:hAnsi="Arial"/>
          <w:sz w:val="16"/>
          <w:szCs w:val="16"/>
          <w:color w:val="auto"/>
        </w:rPr>
      </w:pPr>
    </w:p>
    <w:p>
      <w:pPr>
        <w:ind w:left="964" w:right="40" w:hanging="532"/>
        <w:spacing w:after="0" w:line="263" w:lineRule="auto"/>
        <w:tabs>
          <w:tab w:leader="none" w:pos="9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System Maintenance means the performance of hard-ware and software installation, diagnostics and corrections and similar activities that are performed in the usual custom and practice by a manufacturer or vendor to establish or maintain the basic operational functionality of a Voice Computer System or any component thereof.</w:t>
      </w:r>
    </w:p>
    <w:p>
      <w:pPr>
        <w:spacing w:after="0" w:line="89" w:lineRule="exact"/>
        <w:rPr>
          <w:rFonts w:ascii="Arial" w:cs="Arial" w:eastAsia="Arial" w:hAnsi="Arial"/>
          <w:sz w:val="18"/>
          <w:szCs w:val="18"/>
          <w:color w:val="auto"/>
        </w:rPr>
      </w:pPr>
    </w:p>
    <w:p>
      <w:pPr>
        <w:ind w:left="964" w:hanging="532"/>
        <w:spacing w:after="0" w:line="263" w:lineRule="auto"/>
        <w:tabs>
          <w:tab w:leader="none" w:pos="9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System Password means a confidential and protected string of characters, which identifies or authenticates a person and permits that person to gain access to a Voice Computer System or any portion thereof for the purpose of performing System Administration or System Maintenance activities.</w:t>
      </w:r>
    </w:p>
    <w:p>
      <w:pPr>
        <w:spacing w:after="0" w:line="116" w:lineRule="exact"/>
        <w:rPr>
          <w:sz w:val="20"/>
          <w:szCs w:val="20"/>
          <w:color w:val="auto"/>
        </w:rPr>
      </w:pPr>
    </w:p>
    <w:p>
      <w:pPr>
        <w:ind w:left="4"/>
        <w:spacing w:after="0"/>
        <w:tabs>
          <w:tab w:leader="none" w:pos="5224" w:val="left"/>
          <w:tab w:leader="none" w:pos="10184"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4 of 6</w:t>
      </w:r>
    </w:p>
    <w:p>
      <w:pPr>
        <w:sectPr>
          <w:pgSz w:w="11900" w:h="16838" w:orient="portrait"/>
          <w:cols w:equalWidth="0" w:num="1">
            <w:col w:w="11024"/>
          </w:cols>
          <w:pgMar w:left="436" w:top="274" w:right="439" w:bottom="1440" w:gutter="0" w:footer="0" w:header="0"/>
        </w:sectPr>
      </w:pPr>
    </w:p>
    <w:bookmarkStart w:id="22" w:name="page23"/>
    <w:bookmarkEnd w:id="22"/>
    <w:p>
      <w:pPr>
        <w:ind w:left="964" w:right="200" w:hanging="532"/>
        <w:spacing w:after="0" w:line="277" w:lineRule="auto"/>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Telefacsimile Device means a machine capable of sending or receiving a duplicate image of a document by means of electronic impulses transmitted through a telephone line and which reproduces the duplicate image on paper.</w:t>
      </w:r>
    </w:p>
    <w:p>
      <w:pPr>
        <w:spacing w:after="0" w:line="75" w:lineRule="exact"/>
        <w:rPr>
          <w:rFonts w:ascii="Arial" w:cs="Arial" w:eastAsia="Arial" w:hAnsi="Arial"/>
          <w:sz w:val="18"/>
          <w:szCs w:val="18"/>
          <w:color w:val="auto"/>
        </w:rPr>
      </w:pPr>
    </w:p>
    <w:p>
      <w:pPr>
        <w:ind w:left="964" w:right="120" w:hanging="532"/>
        <w:spacing w:after="0" w:line="263" w:lineRule="auto"/>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Tested means a method of authenticating the contents of a communication by placing a valid test key on it which has been agreed upon by the Insured and a customer, automated clearing house, or another financial institution for the purpose of protecting the integrity of the communication in the ordinary course of business.</w:t>
      </w:r>
    </w:p>
    <w:p>
      <w:pPr>
        <w:spacing w:after="0" w:line="75" w:lineRule="exact"/>
        <w:rPr>
          <w:rFonts w:ascii="Arial" w:cs="Arial" w:eastAsia="Arial" w:hAnsi="Arial"/>
          <w:sz w:val="18"/>
          <w:szCs w:val="18"/>
          <w:color w:val="auto"/>
        </w:rPr>
      </w:pPr>
    </w:p>
    <w:p>
      <w:pPr>
        <w:ind w:left="984" w:right="240"/>
        <w:spacing w:after="0" w:line="263" w:lineRule="auto"/>
        <w:rPr>
          <w:rFonts w:ascii="Arial" w:cs="Arial" w:eastAsia="Arial" w:hAnsi="Arial"/>
          <w:sz w:val="18"/>
          <w:szCs w:val="18"/>
          <w:color w:val="auto"/>
        </w:rPr>
      </w:pPr>
      <w:r>
        <w:rPr>
          <w:rFonts w:ascii="Arial" w:cs="Arial" w:eastAsia="Arial" w:hAnsi="Arial"/>
          <w:sz w:val="18"/>
          <w:szCs w:val="18"/>
          <w:color w:val="auto"/>
        </w:rPr>
        <w:t>Voice Computer System means a Computer System installed in one location which functions as a private branch exchange (PBX), voice mail processor, auto-mated call attendant or provides a similar capability used for the direction or routing of telephone calls in a voice communications network.</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Section 2, Exclusions, of the Conditions And Limitations, is amended to add the following:</w:t>
      </w:r>
    </w:p>
    <w:p>
      <w:pPr>
        <w:spacing w:after="0" w:line="130" w:lineRule="exact"/>
        <w:rPr>
          <w:rFonts w:ascii="Arial" w:cs="Arial" w:eastAsia="Arial" w:hAnsi="Arial"/>
          <w:sz w:val="18"/>
          <w:szCs w:val="18"/>
          <w:color w:val="auto"/>
        </w:rPr>
      </w:pPr>
    </w:p>
    <w:p>
      <w:pPr>
        <w:ind w:left="964" w:right="160" w:hanging="532"/>
        <w:spacing w:after="0" w:line="308" w:lineRule="auto"/>
        <w:tabs>
          <w:tab w:leader="none" w:pos="964" w:val="left"/>
        </w:tabs>
        <w:numPr>
          <w:ilvl w:val="1"/>
          <w:numId w:val="71"/>
        </w:numPr>
        <w:rPr>
          <w:rFonts w:ascii="Arial" w:cs="Arial" w:eastAsia="Arial" w:hAnsi="Arial"/>
          <w:sz w:val="17"/>
          <w:szCs w:val="17"/>
          <w:color w:val="auto"/>
        </w:rPr>
      </w:pPr>
      <w:r>
        <w:rPr>
          <w:rFonts w:ascii="Arial" w:cs="Arial" w:eastAsia="Arial" w:hAnsi="Arial"/>
          <w:sz w:val="17"/>
          <w:szCs w:val="17"/>
          <w:color w:val="auto"/>
        </w:rPr>
        <w:t>loss resulting directly or indirectly from entry or change of Electronic Data or Computer Programs in a Computer System, unless covered under the Computer Systems Fraud Insuring Agreement or the Data Processing Service Operations Insuring Agreement;</w:t>
      </w:r>
    </w:p>
    <w:p>
      <w:pPr>
        <w:spacing w:after="0" w:line="51" w:lineRule="exact"/>
        <w:rPr>
          <w:rFonts w:ascii="Arial" w:cs="Arial" w:eastAsia="Arial" w:hAnsi="Arial"/>
          <w:sz w:val="17"/>
          <w:szCs w:val="17"/>
          <w:color w:val="auto"/>
        </w:rPr>
      </w:pPr>
    </w:p>
    <w:p>
      <w:pPr>
        <w:ind w:left="964" w:right="500" w:hanging="532"/>
        <w:spacing w:after="0" w:line="342" w:lineRule="auto"/>
        <w:tabs>
          <w:tab w:leader="none" w:pos="964" w:val="left"/>
        </w:tabs>
        <w:numPr>
          <w:ilvl w:val="1"/>
          <w:numId w:val="71"/>
        </w:numPr>
        <w:rPr>
          <w:rFonts w:ascii="Arial" w:cs="Arial" w:eastAsia="Arial" w:hAnsi="Arial"/>
          <w:sz w:val="16"/>
          <w:szCs w:val="16"/>
          <w:color w:val="auto"/>
        </w:rPr>
      </w:pPr>
      <w:r>
        <w:rPr>
          <w:rFonts w:ascii="Arial" w:cs="Arial" w:eastAsia="Arial" w:hAnsi="Arial"/>
          <w:sz w:val="16"/>
          <w:szCs w:val="16"/>
          <w:color w:val="auto"/>
        </w:rPr>
        <w:t>loss resulting directly or indirectly from the Insured having transferred Funds in reliance on the validity of a voice instruction, unless covered under the Computer Systems Fraud Insuring Agreement or the Voice Initiated Transfer Fraud Insuring Agreement;</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loss resulting directly or indirectly by the Insured having transferred or delivered Funds, Certificated Securities or Uncertificated Securities in reliance on an instruction received through a Telefacsimile Device unless covered under Telefacsimile Transfer Fraud Insuring Agreement;</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loss resulting directly or indirectly from theft of confidential information;</w:t>
      </w:r>
    </w:p>
    <w:p>
      <w:pPr>
        <w:spacing w:after="0" w:line="130" w:lineRule="exact"/>
        <w:rPr>
          <w:rFonts w:ascii="Arial" w:cs="Arial" w:eastAsia="Arial" w:hAnsi="Arial"/>
          <w:sz w:val="18"/>
          <w:szCs w:val="18"/>
          <w:color w:val="auto"/>
        </w:rPr>
      </w:pPr>
    </w:p>
    <w:p>
      <w:pPr>
        <w:ind w:left="964" w:right="460" w:hanging="532"/>
        <w:spacing w:after="0" w:line="277" w:lineRule="auto"/>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cost of duplication of Electronic Data or Computer Programs, unless covered under the Destruction Of Data Programs By Hacker Insuring Agreement or the Destruction Of Data Programs By Virus Insuring Agreement;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loss involving a Voice Computer System, unless covered under the Voice Computer Systems Fraud Insuring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71"/>
        </w:numPr>
        <w:rPr>
          <w:rFonts w:ascii="Arial" w:cs="Arial" w:eastAsia="Arial" w:hAnsi="Arial"/>
          <w:sz w:val="18"/>
          <w:szCs w:val="18"/>
          <w:color w:val="auto"/>
        </w:rPr>
      </w:pPr>
      <w:r>
        <w:rPr>
          <w:rFonts w:ascii="Arial" w:cs="Arial" w:eastAsia="Arial" w:hAnsi="Arial"/>
          <w:sz w:val="18"/>
          <w:szCs w:val="18"/>
          <w:color w:val="auto"/>
        </w:rPr>
        <w:t>written instructions or advices,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71"/>
        </w:numPr>
        <w:rPr>
          <w:rFonts w:ascii="Arial" w:cs="Arial" w:eastAsia="Arial" w:hAnsi="Arial"/>
          <w:sz w:val="18"/>
          <w:szCs w:val="18"/>
          <w:color w:val="auto"/>
        </w:rPr>
      </w:pPr>
      <w:r>
        <w:rPr>
          <w:rFonts w:ascii="Arial" w:cs="Arial" w:eastAsia="Arial" w:hAnsi="Arial"/>
          <w:sz w:val="18"/>
          <w:szCs w:val="18"/>
          <w:color w:val="auto"/>
        </w:rPr>
        <w:t>telegraphic or cable instructions or advices;</w:t>
      </w:r>
    </w:p>
    <w:p>
      <w:pPr>
        <w:spacing w:after="0" w:line="117" w:lineRule="exact"/>
        <w:rPr>
          <w:sz w:val="20"/>
          <w:szCs w:val="20"/>
          <w:color w:val="auto"/>
        </w:rPr>
      </w:pPr>
    </w:p>
    <w:p>
      <w:pPr>
        <w:ind w:left="984" w:right="280"/>
        <w:spacing w:after="0" w:line="277" w:lineRule="auto"/>
        <w:rPr>
          <w:sz w:val="20"/>
          <w:szCs w:val="20"/>
          <w:color w:val="auto"/>
        </w:rPr>
      </w:pPr>
      <w:r>
        <w:rPr>
          <w:rFonts w:ascii="Arial" w:cs="Arial" w:eastAsia="Arial" w:hAnsi="Arial"/>
          <w:sz w:val="18"/>
          <w:szCs w:val="18"/>
          <w:color w:val="auto"/>
        </w:rPr>
        <w:t>unless the instructions or advices are Tested and the loss is covered under the Computer Systems Fraud Insuring Agreement or the Data Processing Service Operations Insuring Agreement;</w:t>
      </w:r>
    </w:p>
    <w:p>
      <w:pPr>
        <w:spacing w:after="0" w:line="76" w:lineRule="exact"/>
        <w:rPr>
          <w:sz w:val="20"/>
          <w:szCs w:val="20"/>
          <w:color w:val="auto"/>
        </w:rPr>
      </w:pPr>
    </w:p>
    <w:p>
      <w:pPr>
        <w:ind w:left="964" w:right="220" w:hanging="532"/>
        <w:spacing w:after="0" w:line="263" w:lineRule="auto"/>
        <w:tabs>
          <w:tab w:leader="none" w:pos="9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loss resulting directly or indirectly from negotiable instruments, securities, documents or other written instruments which bear a forged signature, or are counterfeit, altered or otherwise fraudulent and which are used as source documentation in the preparation of Electronic Data or manually keyed into a data terminal;</w:t>
      </w:r>
    </w:p>
    <w:p>
      <w:pPr>
        <w:spacing w:after="0" w:line="89" w:lineRule="exact"/>
        <w:rPr>
          <w:rFonts w:ascii="Arial" w:cs="Arial" w:eastAsia="Arial" w:hAnsi="Arial"/>
          <w:sz w:val="18"/>
          <w:szCs w:val="18"/>
          <w:color w:val="auto"/>
        </w:rPr>
      </w:pPr>
    </w:p>
    <w:p>
      <w:pPr>
        <w:ind w:left="964" w:right="20" w:hanging="532"/>
        <w:spacing w:after="0" w:line="308" w:lineRule="auto"/>
        <w:tabs>
          <w:tab w:leader="none" w:pos="964" w:val="left"/>
        </w:tabs>
        <w:numPr>
          <w:ilvl w:val="0"/>
          <w:numId w:val="72"/>
        </w:numPr>
        <w:rPr>
          <w:rFonts w:ascii="Arial" w:cs="Arial" w:eastAsia="Arial" w:hAnsi="Arial"/>
          <w:sz w:val="17"/>
          <w:szCs w:val="17"/>
          <w:color w:val="auto"/>
        </w:rPr>
      </w:pPr>
      <w:r>
        <w:rPr>
          <w:rFonts w:ascii="Arial" w:cs="Arial" w:eastAsia="Arial" w:hAnsi="Arial"/>
          <w:sz w:val="17"/>
          <w:szCs w:val="17"/>
          <w:color w:val="auto"/>
        </w:rPr>
        <w:t>loss resulting directly or indirectly from the fraudulent preparation, or fraudulent modification of Computer Programs unless covered under the Computer Systems Fraud Insuring Agreement or the Data Processing Service Operations Insuring Agreement;</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130" w:lineRule="exact"/>
        <w:rPr>
          <w:rFonts w:ascii="Arial" w:cs="Arial" w:eastAsia="Arial" w:hAnsi="Arial"/>
          <w:sz w:val="18"/>
          <w:szCs w:val="18"/>
          <w:color w:val="auto"/>
        </w:rPr>
      </w:pPr>
    </w:p>
    <w:p>
      <w:pPr>
        <w:ind w:left="1424" w:right="20" w:hanging="439"/>
        <w:spacing w:after="0" w:line="277" w:lineRule="auto"/>
        <w:tabs>
          <w:tab w:leader="none" w:pos="1424" w:val="left"/>
        </w:tabs>
        <w:numPr>
          <w:ilvl w:val="1"/>
          <w:numId w:val="72"/>
        </w:numPr>
        <w:rPr>
          <w:rFonts w:ascii="Arial" w:cs="Arial" w:eastAsia="Arial" w:hAnsi="Arial"/>
          <w:sz w:val="18"/>
          <w:szCs w:val="18"/>
          <w:color w:val="auto"/>
        </w:rPr>
      </w:pPr>
      <w:r>
        <w:rPr>
          <w:rFonts w:ascii="Arial" w:cs="Arial" w:eastAsia="Arial" w:hAnsi="Arial"/>
          <w:sz w:val="18"/>
          <w:szCs w:val="18"/>
          <w:color w:val="auto"/>
        </w:rPr>
        <w:t>mechanical failure, faulty construction, error in design, latent defect, fire, wear or tear, gradual deterioration, electrical disturbance or electrical surge which affects a Computer System, or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72"/>
        </w:numPr>
        <w:rPr>
          <w:rFonts w:ascii="Arial" w:cs="Arial" w:eastAsia="Arial" w:hAnsi="Arial"/>
          <w:sz w:val="18"/>
          <w:szCs w:val="18"/>
          <w:color w:val="auto"/>
        </w:rPr>
      </w:pPr>
      <w:r>
        <w:rPr>
          <w:rFonts w:ascii="Arial" w:cs="Arial" w:eastAsia="Arial" w:hAnsi="Arial"/>
          <w:sz w:val="18"/>
          <w:szCs w:val="18"/>
          <w:color w:val="auto"/>
        </w:rPr>
        <w:t>failure or breakdown of electronic data processing media, or</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error or omission in programming or processing;</w:t>
      </w:r>
    </w:p>
    <w:p>
      <w:pPr>
        <w:spacing w:after="0" w:line="131" w:lineRule="exact"/>
        <w:rPr>
          <w:sz w:val="20"/>
          <w:szCs w:val="20"/>
          <w:color w:val="auto"/>
        </w:rPr>
      </w:pPr>
    </w:p>
    <w:p>
      <w:pPr>
        <w:ind w:left="964" w:hanging="532"/>
        <w:spacing w:after="0"/>
        <w:tabs>
          <w:tab w:leader="none" w:pos="9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loss as a result of a threat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to do bodily harm to any person, or</w:t>
      </w:r>
    </w:p>
    <w:p>
      <w:pPr>
        <w:spacing w:after="0" w:line="130" w:lineRule="exact"/>
        <w:rPr>
          <w:rFonts w:ascii="Arial" w:cs="Arial" w:eastAsia="Arial" w:hAnsi="Arial"/>
          <w:sz w:val="18"/>
          <w:szCs w:val="18"/>
          <w:b w:val="1"/>
          <w:bCs w:val="1"/>
          <w:color w:val="auto"/>
        </w:rPr>
      </w:pPr>
    </w:p>
    <w:p>
      <w:pPr>
        <w:ind w:left="1424" w:hanging="439"/>
        <w:spacing w:after="0"/>
        <w:tabs>
          <w:tab w:leader="none" w:pos="1424"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to do damage to the premises or property of the Insured, or</w:t>
      </w:r>
    </w:p>
    <w:p>
      <w:pPr>
        <w:spacing w:after="0" w:line="130" w:lineRule="exact"/>
        <w:rPr>
          <w:rFonts w:ascii="Arial" w:cs="Arial" w:eastAsia="Arial" w:hAnsi="Arial"/>
          <w:sz w:val="18"/>
          <w:szCs w:val="18"/>
          <w:b w:val="1"/>
          <w:bCs w:val="1"/>
          <w:color w:val="auto"/>
        </w:rPr>
      </w:pPr>
    </w:p>
    <w:p>
      <w:pPr>
        <w:ind w:left="1424" w:hanging="439"/>
        <w:spacing w:after="0"/>
        <w:tabs>
          <w:tab w:leader="none" w:pos="1424"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to Computer System operations;</w:t>
      </w:r>
    </w:p>
    <w:p>
      <w:pPr>
        <w:spacing w:after="0" w:line="158" w:lineRule="exact"/>
        <w:rPr>
          <w:sz w:val="20"/>
          <w:szCs w:val="20"/>
          <w:color w:val="auto"/>
        </w:rPr>
      </w:pPr>
    </w:p>
    <w:p>
      <w:pPr>
        <w:ind w:left="4"/>
        <w:spacing w:after="0"/>
        <w:tabs>
          <w:tab w:leader="none" w:pos="5224" w:val="left"/>
          <w:tab w:leader="none" w:pos="10184"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5 of 6</w:t>
      </w:r>
    </w:p>
    <w:p>
      <w:pPr>
        <w:sectPr>
          <w:pgSz w:w="11900" w:h="16838" w:orient="portrait"/>
          <w:cols w:equalWidth="0" w:num="1">
            <w:col w:w="11024"/>
          </w:cols>
          <w:pgMar w:left="436" w:top="274" w:right="439" w:bottom="1440" w:gutter="0" w:footer="0" w:header="0"/>
        </w:sectPr>
      </w:pPr>
    </w:p>
    <w:bookmarkStart w:id="23" w:name="page24"/>
    <w:bookmarkEnd w:id="23"/>
    <w:p>
      <w:pPr>
        <w:ind w:left="960" w:right="460" w:hanging="532"/>
        <w:spacing w:after="0" w:line="27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loss resulting directly or indirectly from the use of a telephone credit, debit, charge, identification or similar card to gain access to the Insured’s Voice Computer System;</w:t>
      </w:r>
    </w:p>
    <w:p>
      <w:pPr>
        <w:spacing w:after="0" w:line="75"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customer identification or other cards;</w:t>
      </w:r>
    </w:p>
    <w:p>
      <w:pPr>
        <w:spacing w:after="0" w:line="75" w:lineRule="exact"/>
        <w:rPr>
          <w:rFonts w:ascii="Arial" w:cs="Arial" w:eastAsia="Arial" w:hAnsi="Arial"/>
          <w:sz w:val="18"/>
          <w:szCs w:val="18"/>
          <w:color w:val="auto"/>
        </w:rPr>
      </w:pPr>
    </w:p>
    <w:p>
      <w:pPr>
        <w:ind w:left="960" w:right="240" w:hanging="532"/>
        <w:spacing w:after="0" w:line="263"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loss resulting directly or indirectly from the input of Electronic Data into a Computer System terminal device either on the premises of a customer of the Insured or under the control of such customer by a person who had authorized access to the customer’s authentification mechanism.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6 of 6</w:t>
      </w:r>
    </w:p>
    <w:p>
      <w:pPr>
        <w:sectPr>
          <w:pgSz w:w="11900" w:h="16838" w:orient="portrait"/>
          <w:cols w:equalWidth="0" w:num="1">
            <w:col w:w="11020"/>
          </w:cols>
          <w:pgMar w:left="440" w:top="274" w:right="4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883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 RICO EXCLUSION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Conditions And Limitations, Section 2, Exclusions, subsection (j), is deleted in its entirety and the following is inserted:</w:t>
      </w:r>
    </w:p>
    <w:p>
      <w:pPr>
        <w:spacing w:after="0" w:line="131" w:lineRule="exact"/>
        <w:rPr>
          <w:sz w:val="20"/>
          <w:szCs w:val="20"/>
          <w:color w:val="auto"/>
        </w:rPr>
      </w:pPr>
    </w:p>
    <w:p>
      <w:pPr>
        <w:ind w:left="960" w:right="260" w:hanging="532"/>
        <w:spacing w:after="0" w:line="259"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damages resulting from any civil, criminal or other legal proceeding in which the Insured is adjudicated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PF-37675 (05/12)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0"/>
          </w:cols>
          <w:pgMar w:left="440" w:top="270" w:right="4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8826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3415" cy="88265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6</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 COUNTERFEIT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Insuring Agreements, Section (F), Counterfeit Currency, is deleted in its entirety, and the following is inserted:</w:t>
      </w:r>
    </w:p>
    <w:p>
      <w:pPr>
        <w:spacing w:after="0" w:line="131" w:lineRule="exact"/>
        <w:rPr>
          <w:sz w:val="20"/>
          <w:szCs w:val="20"/>
          <w:color w:val="auto"/>
        </w:rPr>
      </w:pPr>
    </w:p>
    <w:p>
      <w:pPr>
        <w:ind w:left="960" w:right="200" w:hanging="532"/>
        <w:spacing w:after="0" w:line="277"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Loss resulting directly from the receipt by the Insured, in good faith, of any Counterfeit Money, Coin or Currency of the United States of America, Canada or any other country.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PF-33849 (05/11)</w:t>
      </w:r>
      <w:r>
        <w:rPr>
          <w:sz w:val="20"/>
          <w:szCs w:val="20"/>
          <w:color w:val="auto"/>
        </w:rPr>
        <w:tab/>
      </w:r>
      <w:r>
        <w:rPr>
          <w:rFonts w:ascii="Arial" w:cs="Arial" w:eastAsia="Arial" w:hAnsi="Arial"/>
          <w:sz w:val="18"/>
          <w:szCs w:val="18"/>
          <w:color w:val="auto"/>
        </w:rPr>
        <w:t>© 2011</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0"/>
          </w:cols>
          <w:pgMar w:left="440" w:top="270" w:right="439" w:bottom="1440" w:gutter="0" w:footer="0" w:header="0"/>
        </w:sectPr>
      </w:pPr>
    </w:p>
    <w:bookmarkStart w:id="26" w:name="page27"/>
    <w:bookmarkEnd w:id="2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003415" cy="883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4"/>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4"/>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AUDIT EXPENSE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It is agreed that the bond is amended as follows:</w:t>
      </w:r>
    </w:p>
    <w:p>
      <w:pPr>
        <w:spacing w:after="0" w:line="252" w:lineRule="exact"/>
        <w:rPr>
          <w:sz w:val="20"/>
          <w:szCs w:val="20"/>
          <w:color w:val="auto"/>
        </w:rPr>
      </w:pPr>
    </w:p>
    <w:p>
      <w:pPr>
        <w:ind w:left="424" w:hanging="424"/>
        <w:spacing w:after="0"/>
        <w:tabs>
          <w:tab w:leader="none" w:pos="4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Insuring Agreements, Section A, Fidelity, is amended to add the following:</w:t>
      </w:r>
    </w:p>
    <w:p>
      <w:pPr>
        <w:spacing w:after="0" w:line="117" w:lineRule="exact"/>
        <w:rPr>
          <w:rFonts w:ascii="Arial" w:cs="Arial" w:eastAsia="Arial" w:hAnsi="Arial"/>
          <w:sz w:val="18"/>
          <w:szCs w:val="18"/>
          <w:color w:val="auto"/>
        </w:rPr>
      </w:pPr>
    </w:p>
    <w:p>
      <w:pPr>
        <w:ind w:left="444" w:right="700"/>
        <w:spacing w:after="0" w:line="277" w:lineRule="auto"/>
        <w:rPr>
          <w:rFonts w:ascii="Arial" w:cs="Arial" w:eastAsia="Arial" w:hAnsi="Arial"/>
          <w:sz w:val="18"/>
          <w:szCs w:val="18"/>
          <w:color w:val="auto"/>
        </w:rPr>
      </w:pPr>
      <w:r>
        <w:rPr>
          <w:rFonts w:ascii="Arial" w:cs="Arial" w:eastAsia="Arial" w:hAnsi="Arial"/>
          <w:sz w:val="18"/>
          <w:szCs w:val="18"/>
          <w:color w:val="auto"/>
        </w:rPr>
        <w:t>Audit Expense Coverage $50,000 in the aggregate, which is part of, and not in addition to, the Aggregate Limit of Liability shown on the Declaration Page of this bond, with a deductible of $5,000 applicable to each and every loss</w:t>
      </w:r>
    </w:p>
    <w:p>
      <w:pPr>
        <w:spacing w:after="0" w:line="62" w:lineRule="exact"/>
        <w:rPr>
          <w:rFonts w:ascii="Arial" w:cs="Arial" w:eastAsia="Arial" w:hAnsi="Arial"/>
          <w:sz w:val="18"/>
          <w:szCs w:val="18"/>
          <w:color w:val="auto"/>
        </w:rPr>
      </w:pPr>
    </w:p>
    <w:p>
      <w:pPr>
        <w:ind w:left="444" w:right="120"/>
        <w:spacing w:after="0" w:line="272" w:lineRule="auto"/>
        <w:rPr>
          <w:rFonts w:ascii="Arial" w:cs="Arial" w:eastAsia="Arial" w:hAnsi="Arial"/>
          <w:sz w:val="18"/>
          <w:szCs w:val="18"/>
          <w:color w:val="auto"/>
        </w:rPr>
      </w:pPr>
      <w:r>
        <w:rPr>
          <w:rFonts w:ascii="Arial" w:cs="Arial" w:eastAsia="Arial" w:hAnsi="Arial"/>
          <w:sz w:val="17"/>
          <w:szCs w:val="17"/>
          <w:color w:val="auto"/>
        </w:rPr>
        <w:t>Expense incurred by the Insured for that part of the cost of audits or examinations required by State of Federal supervisory authorities to be conducted either by such authorities or by independent accountants by reason of the discovery of loss sustained by the Insured through dishonest or fraudulent acts of any of the Employees. The total liability of the Underwriter for such expense by reason of such acts of any Employee or in which such Employee is concerned or implicated or with respect to any one audit or examination is limited to the amount stated opposite “Audit Expense Coverage”; it being understood, however, that such expense shall be deemed to be loss sustained by the Insured through dishonest or fraudulent acts of one or more of the Employees and the liability of the Underwriter under this paragraph of Insuring Agreement (A) shall be part of, and not in addition to, the Single Loss Limit of Liability stated in Item 4 of the Declarations.</w:t>
      </w:r>
    </w:p>
    <w:p>
      <w:pPr>
        <w:spacing w:after="0" w:line="82" w:lineRule="exact"/>
        <w:rPr>
          <w:rFonts w:ascii="Arial" w:cs="Arial" w:eastAsia="Arial" w:hAnsi="Arial"/>
          <w:sz w:val="18"/>
          <w:szCs w:val="18"/>
          <w:color w:val="auto"/>
        </w:rPr>
      </w:pPr>
    </w:p>
    <w:p>
      <w:pPr>
        <w:ind w:left="424" w:hanging="424"/>
        <w:spacing w:after="0"/>
        <w:tabs>
          <w:tab w:leader="none" w:pos="4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(d), is deleted in its entirety and the following is inserted:</w:t>
      </w:r>
    </w:p>
    <w:p>
      <w:pPr>
        <w:spacing w:after="0" w:line="117" w:lineRule="exact"/>
        <w:rPr>
          <w:rFonts w:ascii="Arial" w:cs="Arial" w:eastAsia="Arial" w:hAnsi="Arial"/>
          <w:sz w:val="18"/>
          <w:szCs w:val="18"/>
          <w:color w:val="auto"/>
        </w:rPr>
      </w:pPr>
    </w:p>
    <w:p>
      <w:pPr>
        <w:ind w:left="444" w:right="80" w:hanging="4"/>
        <w:spacing w:after="0" w:line="259" w:lineRule="auto"/>
        <w:tabs>
          <w:tab w:leader="none" w:pos="699" w:val="left"/>
        </w:tabs>
        <w:numPr>
          <w:ilvl w:val="1"/>
          <w:numId w:val="77"/>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acts of any director or trustee of the Insured other than one employed as a salaried, pensioned or elected official or an Employee of the Insured, except when performing acts coming within the scope of the usual duties of an Employee, or while acting as a member of any committee duly elected or appointed by resolution of the board of directors or trustees of the Insured to perform specific, as distinguished from general, directorial acts on behalf of the Insured;</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(u), is deleted in its entirety and the following is inserted:</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2"/>
          <w:numId w:val="77"/>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130" w:lineRule="exact"/>
        <w:rPr>
          <w:rFonts w:ascii="Arial" w:cs="Arial" w:eastAsia="Arial" w:hAnsi="Arial"/>
          <w:sz w:val="18"/>
          <w:szCs w:val="18"/>
          <w:color w:val="auto"/>
        </w:rPr>
      </w:pPr>
    </w:p>
    <w:p>
      <w:pPr>
        <w:ind w:left="1964" w:right="160" w:hanging="533"/>
        <w:spacing w:after="0" w:line="277" w:lineRule="auto"/>
        <w:tabs>
          <w:tab w:leader="none" w:pos="1964" w:val="left"/>
        </w:tabs>
        <w:numPr>
          <w:ilvl w:val="3"/>
          <w:numId w:val="77"/>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except to the extent covered under the portion of Insuring Agreement (A) entitled Audit Expense; or</w:t>
      </w:r>
    </w:p>
    <w:p>
      <w:pPr>
        <w:spacing w:after="0" w:line="75" w:lineRule="exact"/>
        <w:rPr>
          <w:rFonts w:ascii="Arial" w:cs="Arial" w:eastAsia="Arial" w:hAnsi="Arial"/>
          <w:sz w:val="18"/>
          <w:szCs w:val="18"/>
          <w:color w:val="auto"/>
        </w:rPr>
      </w:pPr>
    </w:p>
    <w:p>
      <w:pPr>
        <w:ind w:left="1964" w:hanging="533"/>
        <w:spacing w:after="0"/>
        <w:tabs>
          <w:tab w:leader="none" w:pos="1964" w:val="left"/>
        </w:tabs>
        <w:numPr>
          <w:ilvl w:val="3"/>
          <w:numId w:val="77"/>
        </w:numPr>
        <w:rPr>
          <w:rFonts w:ascii="Arial" w:cs="Arial" w:eastAsia="Arial" w:hAnsi="Arial"/>
          <w:sz w:val="16"/>
          <w:szCs w:val="16"/>
          <w:color w:val="auto"/>
        </w:rPr>
      </w:pPr>
      <w:r>
        <w:rPr>
          <w:rFonts w:ascii="Arial" w:cs="Arial" w:eastAsia="Arial" w:hAnsi="Arial"/>
          <w:sz w:val="16"/>
          <w:szCs w:val="16"/>
          <w:color w:val="auto"/>
        </w:rPr>
        <w:t>as a party to any legal proceeding whether or not such legal proceeding exposes the Insured to loss covered by this bond.</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44"/>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4"/>
        <w:spacing w:after="0"/>
        <w:tabs>
          <w:tab w:leader="none" w:pos="5224" w:val="left"/>
          <w:tab w:leader="none" w:pos="10184" w:val="left"/>
        </w:tabs>
        <w:rPr>
          <w:sz w:val="20"/>
          <w:szCs w:val="20"/>
          <w:color w:val="auto"/>
        </w:rPr>
      </w:pPr>
      <w:r>
        <w:rPr>
          <w:rFonts w:ascii="Arial" w:cs="Arial" w:eastAsia="Arial" w:hAnsi="Arial"/>
          <w:sz w:val="18"/>
          <w:szCs w:val="18"/>
          <w:color w:val="auto"/>
        </w:rPr>
        <w:t>PF-33839 (05/11)</w:t>
      </w:r>
      <w:r>
        <w:rPr>
          <w:sz w:val="20"/>
          <w:szCs w:val="20"/>
          <w:color w:val="auto"/>
        </w:rPr>
        <w:tab/>
      </w:r>
      <w:r>
        <w:rPr>
          <w:rFonts w:ascii="Arial" w:cs="Arial" w:eastAsia="Arial" w:hAnsi="Arial"/>
          <w:sz w:val="18"/>
          <w:szCs w:val="18"/>
          <w:color w:val="auto"/>
        </w:rPr>
        <w:t>© 2011</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4"/>
          </w:cols>
          <w:pgMar w:left="436" w:top="270" w:right="4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8826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3415" cy="88265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8</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be attached to and form part of Financial Institution Bond, Standard Form No. 14 No. G25562823 006 in favor of TPG Specialty Lending, Inc.</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1420" w:right="200" w:hanging="43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Those premises of Depositories listed in the following Schedule shall be deemed to be premises of the Insured but only as respects coverage on Certificated Securities: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w:t>
      </w:r>
    </w:p>
    <w:p>
      <w:pPr>
        <w:spacing w:after="0" w:line="225" w:lineRule="exact"/>
        <w:rPr>
          <w:sz w:val="20"/>
          <w:szCs w:val="20"/>
          <w:color w:val="auto"/>
        </w:rPr>
      </w:pPr>
    </w:p>
    <w:p>
      <w:pPr>
        <w:ind w:left="3120"/>
        <w:spacing w:after="0"/>
        <w:tabs>
          <w:tab w:leader="none" w:pos="6620" w:val="left"/>
        </w:tabs>
        <w:rPr>
          <w:sz w:val="20"/>
          <w:szCs w:val="20"/>
          <w:color w:val="auto"/>
        </w:rPr>
      </w:pPr>
      <w:r>
        <w:rPr>
          <w:rFonts w:ascii="Arial" w:cs="Arial" w:eastAsia="Arial" w:hAnsi="Arial"/>
          <w:sz w:val="18"/>
          <w:szCs w:val="18"/>
          <w:color w:val="auto"/>
        </w:rPr>
        <w:t>DEPOSITORY</w:t>
      </w:r>
      <w:r>
        <w:rPr>
          <w:sz w:val="20"/>
          <w:szCs w:val="20"/>
          <w:color w:val="auto"/>
        </w:rPr>
        <w:tab/>
      </w:r>
      <w:r>
        <w:rPr>
          <w:rFonts w:ascii="Arial" w:cs="Arial" w:eastAsia="Arial" w:hAnsi="Arial"/>
          <w:sz w:val="18"/>
          <w:szCs w:val="18"/>
          <w:color w:val="auto"/>
        </w:rPr>
        <w:t>LOCATION COVERED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DEPOSITORIES USED BY THE INSURED</w:t>
      </w:r>
    </w:p>
    <w:p>
      <w:pPr>
        <w:spacing w:after="0" w:line="252" w:lineRule="exact"/>
        <w:rPr>
          <w:sz w:val="20"/>
          <w:szCs w:val="20"/>
          <w:color w:val="auto"/>
        </w:rPr>
      </w:pPr>
    </w:p>
    <w:p>
      <w:pPr>
        <w:ind w:left="1420" w:right="260" w:hanging="439"/>
        <w:spacing w:after="0" w:line="342" w:lineRule="auto"/>
        <w:tabs>
          <w:tab w:leader="none" w:pos="14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Certificated Securities held by such Depository shall be deemed to be Property as defined in the attached bond to the extent of the Insured’s interest therein as effected by the making of appropriate entries on the books and records of such Depository.</w:t>
      </w:r>
    </w:p>
    <w:p>
      <w:pPr>
        <w:spacing w:after="0" w:line="29" w:lineRule="exact"/>
        <w:rPr>
          <w:rFonts w:ascii="Arial" w:cs="Arial" w:eastAsia="Arial" w:hAnsi="Arial"/>
          <w:sz w:val="16"/>
          <w:szCs w:val="16"/>
          <w:color w:val="auto"/>
        </w:rPr>
      </w:pPr>
    </w:p>
    <w:p>
      <w:pPr>
        <w:ind w:left="1420" w:right="60" w:hanging="439"/>
        <w:spacing w:after="0" w:line="311" w:lineRule="auto"/>
        <w:tabs>
          <w:tab w:leader="none" w:pos="14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attached bond does not afford coverage in favor of any Depository listed in the Schedule above. When the Underwriter indemnifies the Insured for a loss covered hereunder, the Insured will assign the rights and causes of action to the extent of the claim payment against the Depository, or any other entity or person against whom it has a cause of action, to the Underwriter.</w:t>
      </w:r>
    </w:p>
    <w:p>
      <w:pPr>
        <w:spacing w:after="0" w:line="54" w:lineRule="exact"/>
        <w:rPr>
          <w:rFonts w:ascii="Arial" w:cs="Arial" w:eastAsia="Arial" w:hAnsi="Arial"/>
          <w:sz w:val="16"/>
          <w:szCs w:val="16"/>
          <w:color w:val="auto"/>
        </w:rPr>
      </w:pPr>
    </w:p>
    <w:p>
      <w:pPr>
        <w:ind w:left="1420" w:right="120" w:hanging="439"/>
        <w:spacing w:after="0" w:line="259"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rules of the Depository named in the Schedule above provide that the Insured shall be assessed for a portion of the judgment (or agreed settlement) taken by the Underwriter based upon the assignment set forth in part 3 above and the Insured actually pays such assessment, then the Underwriter will reimburse the Insured for the amount of the assessment but not exceeding the amount of the loss payment by the Underwriter.</w:t>
      </w:r>
    </w:p>
    <w:p>
      <w:pPr>
        <w:spacing w:after="0" w:line="92" w:lineRule="exact"/>
        <w:rPr>
          <w:rFonts w:ascii="Arial" w:cs="Arial" w:eastAsia="Arial" w:hAnsi="Arial"/>
          <w:sz w:val="18"/>
          <w:szCs w:val="18"/>
          <w:color w:val="auto"/>
        </w:rPr>
      </w:pPr>
    </w:p>
    <w:p>
      <w:pPr>
        <w:ind w:left="1420" w:hanging="439"/>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rider shall become effective as of 12:01 a.m. on 03/08/2020 standard time.</w:t>
      </w:r>
    </w:p>
    <w:p>
      <w:pPr>
        <w:spacing w:after="0" w:line="154"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CENTRAL HANDLING OF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 STANDARD FORMS NOS. 14,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25 TO SCHEDULE THE PREMISES OF DEPOSITORIES.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REVISED TO OCTOBER, 1987.</w:t>
      </w:r>
    </w:p>
    <w:p>
      <w:pPr>
        <w:spacing w:after="0" w:line="116"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SR 5967e Printed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0"/>
          </w:cols>
          <w:pgMar w:left="440" w:top="270" w:right="439" w:bottom="1440" w:gutter="0" w:footer="0" w:header="0"/>
        </w:sectPr>
      </w:pPr>
    </w:p>
    <w:bookmarkStart w:id="28" w:name="page29"/>
    <w:bookmarkEnd w:id="2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003415" cy="883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9</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4"/>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4"/>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UNAUTHORIZED SIGNATURES</w:t>
      </w:r>
    </w:p>
    <w:p>
      <w:pPr>
        <w:spacing w:after="0" w:line="256" w:lineRule="exact"/>
        <w:rPr>
          <w:sz w:val="20"/>
          <w:szCs w:val="20"/>
          <w:color w:val="auto"/>
        </w:rPr>
      </w:pPr>
    </w:p>
    <w:p>
      <w:pPr>
        <w:ind w:left="424" w:hanging="424"/>
        <w:spacing w:after="0"/>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Section entitled Insuring Agreements is amended to add the following:</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80"/>
        </w:numPr>
        <w:rPr>
          <w:rFonts w:ascii="Arial" w:cs="Arial" w:eastAsia="Arial" w:hAnsi="Arial"/>
          <w:sz w:val="18"/>
          <w:szCs w:val="18"/>
          <w:color w:val="auto"/>
        </w:rPr>
      </w:pPr>
      <w:r>
        <w:rPr>
          <w:rFonts w:ascii="Arial" w:cs="Arial" w:eastAsia="Arial" w:hAnsi="Arial"/>
          <w:sz w:val="18"/>
          <w:szCs w:val="18"/>
          <w:color w:val="auto"/>
        </w:rPr>
        <w:t>Unauthorized Signatures</w:t>
      </w:r>
    </w:p>
    <w:p>
      <w:pPr>
        <w:spacing w:after="0" w:line="130" w:lineRule="exact"/>
        <w:rPr>
          <w:rFonts w:ascii="Arial" w:cs="Arial" w:eastAsia="Arial" w:hAnsi="Arial"/>
          <w:sz w:val="18"/>
          <w:szCs w:val="18"/>
          <w:color w:val="auto"/>
        </w:rPr>
      </w:pPr>
    </w:p>
    <w:p>
      <w:pPr>
        <w:ind w:left="964" w:right="320" w:hanging="424"/>
        <w:spacing w:after="0" w:line="259" w:lineRule="auto"/>
        <w:tabs>
          <w:tab w:leader="none" w:pos="964" w:val="left"/>
        </w:tabs>
        <w:numPr>
          <w:ilvl w:val="1"/>
          <w:numId w:val="80"/>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made or drawn on a customer’s account which bears the signature or endorsement of one other than a person whose name and signature is on file with the Insured as a signatory on such account. It shall be a condition precedent to the Insured’s right of recovery under this Coverage that the Insured shall have on file signature of all persons who are signatories on such account.</w:t>
      </w:r>
    </w:p>
    <w:p>
      <w:pPr>
        <w:spacing w:after="0" w:line="78"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The aggregate Limit of Liability on the Unauthorized Signatures Agreement is $100,000, and the deductible is $10,000.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44"/>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4"/>
        <w:spacing w:after="0"/>
        <w:tabs>
          <w:tab w:leader="none" w:pos="5224" w:val="left"/>
          <w:tab w:leader="none" w:pos="10184" w:val="left"/>
        </w:tabs>
        <w:rPr>
          <w:sz w:val="20"/>
          <w:szCs w:val="20"/>
          <w:color w:val="auto"/>
        </w:rPr>
      </w:pPr>
      <w:r>
        <w:rPr>
          <w:rFonts w:ascii="Arial" w:cs="Arial" w:eastAsia="Arial" w:hAnsi="Arial"/>
          <w:sz w:val="18"/>
          <w:szCs w:val="18"/>
          <w:color w:val="auto"/>
        </w:rPr>
        <w:t>PF-33854 (05/11)</w:t>
      </w:r>
      <w:r>
        <w:rPr>
          <w:sz w:val="20"/>
          <w:szCs w:val="20"/>
          <w:color w:val="auto"/>
        </w:rPr>
        <w:tab/>
      </w:r>
      <w:r>
        <w:rPr>
          <w:rFonts w:ascii="Arial" w:cs="Arial" w:eastAsia="Arial" w:hAnsi="Arial"/>
          <w:sz w:val="18"/>
          <w:szCs w:val="18"/>
          <w:color w:val="auto"/>
        </w:rPr>
        <w:t>© 2011</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4"/>
          </w:cols>
          <w:pgMar w:left="436" w:top="270" w:right="439" w:bottom="1440" w:gutter="0" w:footer="0" w:header="0"/>
        </w:sectPr>
      </w:pPr>
    </w:p>
    <w:bookmarkStart w:id="29" w:name="page30"/>
    <w:bookmarkEnd w:id="2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003415" cy="8826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3415" cy="882650"/>
                    </a:xfrm>
                    <a:prstGeom prst="rect">
                      <a:avLst/>
                    </a:prstGeom>
                    <a:noFill/>
                  </pic:spPr>
                </pic:pic>
              </a:graphicData>
            </a:graphic>
          </wp:anchor>
        </w:drawing>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10</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4"/>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4"/>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 DISCOVERY AND NOTICE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24" w:right="600" w:hanging="424"/>
        <w:spacing w:after="0" w:line="277"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first paragraph of General Agreements, Section F, Notice Of Legal Proceedings Against Insured – Election To Defend, is deleted in its entirety and the following is inserted:</w:t>
      </w:r>
    </w:p>
    <w:p>
      <w:pPr>
        <w:spacing w:after="0" w:line="62" w:lineRule="exact"/>
        <w:rPr>
          <w:rFonts w:ascii="Arial" w:cs="Arial" w:eastAsia="Arial" w:hAnsi="Arial"/>
          <w:sz w:val="18"/>
          <w:szCs w:val="18"/>
          <w:color w:val="auto"/>
        </w:rPr>
      </w:pPr>
    </w:p>
    <w:p>
      <w:pPr>
        <w:ind w:left="444" w:right="260"/>
        <w:spacing w:after="0" w:line="259" w:lineRule="auto"/>
        <w:rPr>
          <w:rFonts w:ascii="Arial" w:cs="Arial" w:eastAsia="Arial" w:hAnsi="Arial"/>
          <w:sz w:val="18"/>
          <w:szCs w:val="18"/>
          <w:color w:val="auto"/>
        </w:rPr>
      </w:pPr>
      <w:r>
        <w:rPr>
          <w:rFonts w:ascii="Arial" w:cs="Arial" w:eastAsia="Arial" w:hAnsi="Arial"/>
          <w:sz w:val="18"/>
          <w:szCs w:val="18"/>
          <w:color w:val="auto"/>
        </w:rPr>
        <w:t>The Office of General Counsel, Risk Management Department, or Human Resources Department shall notify the Underwriter at the earliest practicable moment, not to exceed 90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Conditions And Limitations, Section 3, Discovery, is deleted in its entirety and the following is inserted:</w:t>
      </w:r>
    </w:p>
    <w:p>
      <w:pPr>
        <w:spacing w:after="0" w:line="117" w:lineRule="exact"/>
        <w:rPr>
          <w:rFonts w:ascii="Arial" w:cs="Arial" w:eastAsia="Arial" w:hAnsi="Arial"/>
          <w:sz w:val="18"/>
          <w:szCs w:val="18"/>
          <w:color w:val="auto"/>
        </w:rPr>
      </w:pPr>
    </w:p>
    <w:p>
      <w:pPr>
        <w:ind w:left="444" w:right="120"/>
        <w:spacing w:after="0" w:line="311" w:lineRule="auto"/>
        <w:rPr>
          <w:rFonts w:ascii="Arial" w:cs="Arial" w:eastAsia="Arial" w:hAnsi="Arial"/>
          <w:sz w:val="18"/>
          <w:szCs w:val="18"/>
          <w:color w:val="auto"/>
        </w:rPr>
      </w:pPr>
      <w:r>
        <w:rPr>
          <w:rFonts w:ascii="Arial" w:cs="Arial" w:eastAsia="Arial" w:hAnsi="Arial"/>
          <w:sz w:val="16"/>
          <w:szCs w:val="16"/>
          <w:color w:val="auto"/>
        </w:rPr>
        <w:t>This bond applies to loss discovered by the Insured during the Bond Period. Discovery occurs when the Office of General Counsel, Risk Management Department, or Human Resources Department becomes aware of facts which would cause a reasonable person to assume that a loss of the type covered by this bond has been or will be incurred, even though the exact amount or details of loss may not then be known.</w:t>
      </w:r>
    </w:p>
    <w:p>
      <w:pPr>
        <w:spacing w:after="0" w:line="40" w:lineRule="exact"/>
        <w:rPr>
          <w:rFonts w:ascii="Arial" w:cs="Arial" w:eastAsia="Arial" w:hAnsi="Arial"/>
          <w:sz w:val="18"/>
          <w:szCs w:val="18"/>
          <w:color w:val="auto"/>
        </w:rPr>
      </w:pPr>
    </w:p>
    <w:p>
      <w:pPr>
        <w:ind w:left="444" w:right="20"/>
        <w:spacing w:after="0" w:line="263" w:lineRule="auto"/>
        <w:rPr>
          <w:rFonts w:ascii="Arial" w:cs="Arial" w:eastAsia="Arial" w:hAnsi="Arial"/>
          <w:sz w:val="18"/>
          <w:szCs w:val="18"/>
          <w:color w:val="auto"/>
        </w:rPr>
      </w:pPr>
      <w:r>
        <w:rPr>
          <w:rFonts w:ascii="Arial" w:cs="Arial" w:eastAsia="Arial" w:hAnsi="Arial"/>
          <w:sz w:val="18"/>
          <w:szCs w:val="18"/>
          <w:color w:val="auto"/>
        </w:rPr>
        <w:t>Discovery also occurs when the Office of General Counsel, Risk Management Department, or Human Resources Department receives notice of an actual or potential claim in which it is alleged that the Insured is liable to a third party under circumstances which, if true, would constitute a loss under this bond.</w:t>
      </w:r>
    </w:p>
    <w:p>
      <w:pPr>
        <w:spacing w:after="0" w:line="89"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first paragraph of Conditions And Limitations, Section 5, Notice/Proof – Legal Proceedings Against Underwriter, is deleted in its entirety and the following is inserted:</w:t>
      </w:r>
    </w:p>
    <w:p>
      <w:pPr>
        <w:spacing w:after="0" w:line="75" w:lineRule="exact"/>
        <w:rPr>
          <w:rFonts w:ascii="Arial" w:cs="Arial" w:eastAsia="Arial" w:hAnsi="Arial"/>
          <w:sz w:val="18"/>
          <w:szCs w:val="18"/>
          <w:color w:val="auto"/>
        </w:rPr>
      </w:pPr>
    </w:p>
    <w:p>
      <w:pPr>
        <w:jc w:val="both"/>
        <w:ind w:left="964" w:right="440" w:hanging="532"/>
        <w:spacing w:after="0" w:line="342" w:lineRule="auto"/>
        <w:tabs>
          <w:tab w:leader="none" w:pos="964" w:val="left"/>
        </w:tabs>
        <w:numPr>
          <w:ilvl w:val="1"/>
          <w:numId w:val="81"/>
        </w:numPr>
        <w:rPr>
          <w:rFonts w:ascii="Arial" w:cs="Arial" w:eastAsia="Arial" w:hAnsi="Arial"/>
          <w:sz w:val="16"/>
          <w:szCs w:val="16"/>
          <w:color w:val="auto"/>
        </w:rPr>
      </w:pPr>
      <w:r>
        <w:rPr>
          <w:rFonts w:ascii="Arial" w:cs="Arial" w:eastAsia="Arial" w:hAnsi="Arial"/>
          <w:sz w:val="16"/>
          <w:szCs w:val="16"/>
          <w:color w:val="auto"/>
        </w:rPr>
        <w:t>At the earliest practicable moment, not to exceed 90 days after discovery of loss by the Office of General Counsel, Risk Management Department, or Human Resources Department the Insured shall give the Underwriter notice of all such losses which exceed $25,000.</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44"/>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4"/>
        <w:spacing w:after="0"/>
        <w:tabs>
          <w:tab w:leader="none" w:pos="5224" w:val="left"/>
          <w:tab w:leader="none" w:pos="10184" w:val="left"/>
        </w:tabs>
        <w:rPr>
          <w:sz w:val="20"/>
          <w:szCs w:val="20"/>
          <w:color w:val="auto"/>
        </w:rPr>
      </w:pPr>
      <w:r>
        <w:rPr>
          <w:rFonts w:ascii="Arial" w:cs="Arial" w:eastAsia="Arial" w:hAnsi="Arial"/>
          <w:sz w:val="18"/>
          <w:szCs w:val="18"/>
          <w:color w:val="auto"/>
        </w:rPr>
        <w:t>PF-39758 (04/13)</w:t>
      </w:r>
      <w:r>
        <w:rPr>
          <w:sz w:val="20"/>
          <w:szCs w:val="20"/>
          <w:color w:val="auto"/>
        </w:rPr>
        <w:tab/>
      </w:r>
      <w:r>
        <w:rPr>
          <w:rFonts w:ascii="Arial" w:cs="Arial" w:eastAsia="Arial" w:hAnsi="Arial"/>
          <w:sz w:val="18"/>
          <w:szCs w:val="18"/>
          <w:color w:val="auto"/>
        </w:rPr>
        <w:t>© 2013</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4"/>
          </w:cols>
          <w:pgMar w:left="436" w:top="270" w:right="439" w:bottom="1440" w:gutter="0" w:footer="0" w:header="0"/>
        </w:sectPr>
      </w:pPr>
    </w:p>
    <w:bookmarkStart w:id="30" w:name="page31"/>
    <w:bookmarkEnd w:id="3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003415" cy="883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11</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4"/>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4"/>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CLAIMS EXPENSE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24" w:hanging="424"/>
        <w:spacing w:after="0"/>
        <w:tabs>
          <w:tab w:leader="none" w:pos="4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Insuring Agreements, is amended to add the following:</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82"/>
        </w:numPr>
        <w:rPr>
          <w:rFonts w:ascii="Arial" w:cs="Arial" w:eastAsia="Arial" w:hAnsi="Arial"/>
          <w:sz w:val="18"/>
          <w:szCs w:val="18"/>
          <w:color w:val="auto"/>
        </w:rPr>
      </w:pPr>
      <w:r>
        <w:rPr>
          <w:rFonts w:ascii="Arial" w:cs="Arial" w:eastAsia="Arial" w:hAnsi="Arial"/>
          <w:sz w:val="18"/>
          <w:szCs w:val="18"/>
          <w:color w:val="auto"/>
        </w:rPr>
        <w:t>CLAIMS EXPENSE</w:t>
      </w:r>
    </w:p>
    <w:p>
      <w:pPr>
        <w:spacing w:after="0" w:line="117" w:lineRule="exact"/>
        <w:rPr>
          <w:rFonts w:ascii="Arial" w:cs="Arial" w:eastAsia="Arial" w:hAnsi="Arial"/>
          <w:sz w:val="18"/>
          <w:szCs w:val="18"/>
          <w:color w:val="auto"/>
        </w:rPr>
      </w:pPr>
    </w:p>
    <w:p>
      <w:pPr>
        <w:jc w:val="both"/>
        <w:ind w:left="984" w:right="60"/>
        <w:spacing w:after="0" w:line="311" w:lineRule="auto"/>
        <w:rPr>
          <w:rFonts w:ascii="Arial" w:cs="Arial" w:eastAsia="Arial" w:hAnsi="Arial"/>
          <w:sz w:val="18"/>
          <w:szCs w:val="18"/>
          <w:color w:val="auto"/>
        </w:rPr>
      </w:pPr>
      <w:r>
        <w:rPr>
          <w:rFonts w:ascii="Arial" w:cs="Arial" w:eastAsia="Arial" w:hAnsi="Arial"/>
          <w:sz w:val="16"/>
          <w:szCs w:val="16"/>
          <w:color w:val="auto"/>
        </w:rPr>
        <w:t>Reasonable expenses necessarily incurred and paid by the Insured in preparing any valid claim for loss as set forth in Insuring Agreements A through F, and any other valid coverage added by endorsement, which loss exceeds the Single Loss Deductible Amount of $50,000. The Underwriter’s maximum liability for such expenses paid by the Insured in preparing all such claims shall be limited to $5,000.</w:t>
      </w:r>
    </w:p>
    <w:p>
      <w:pPr>
        <w:spacing w:after="0" w:line="54" w:lineRule="exact"/>
        <w:rPr>
          <w:rFonts w:ascii="Arial" w:cs="Arial" w:eastAsia="Arial" w:hAnsi="Arial"/>
          <w:sz w:val="18"/>
          <w:szCs w:val="18"/>
          <w:color w:val="auto"/>
        </w:rPr>
      </w:pPr>
    </w:p>
    <w:p>
      <w:pPr>
        <w:ind w:left="424" w:hanging="424"/>
        <w:spacing w:after="0"/>
        <w:tabs>
          <w:tab w:leader="none" w:pos="4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(u), is deleted in its entirety and the following is inserted:</w:t>
      </w:r>
    </w:p>
    <w:p>
      <w:pPr>
        <w:spacing w:after="0" w:line="130" w:lineRule="exact"/>
        <w:rPr>
          <w:rFonts w:ascii="Arial" w:cs="Arial" w:eastAsia="Arial" w:hAnsi="Arial"/>
          <w:sz w:val="18"/>
          <w:szCs w:val="18"/>
          <w:color w:val="auto"/>
        </w:rPr>
      </w:pPr>
    </w:p>
    <w:p>
      <w:pPr>
        <w:ind w:left="1424" w:right="140" w:hanging="439"/>
        <w:spacing w:after="0" w:line="277" w:lineRule="auto"/>
        <w:tabs>
          <w:tab w:leader="none" w:pos="1424" w:val="left"/>
        </w:tabs>
        <w:numPr>
          <w:ilvl w:val="2"/>
          <w:numId w:val="82"/>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 as a party to any legal proceeding whether or not such legal proceeding exposes the Insured to loss covered by this bond.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44"/>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4"/>
        <w:spacing w:after="0"/>
        <w:tabs>
          <w:tab w:leader="none" w:pos="5224" w:val="left"/>
          <w:tab w:leader="none" w:pos="10184" w:val="left"/>
        </w:tabs>
        <w:rPr>
          <w:sz w:val="20"/>
          <w:szCs w:val="20"/>
          <w:color w:val="auto"/>
        </w:rPr>
      </w:pPr>
      <w:r>
        <w:rPr>
          <w:rFonts w:ascii="Arial" w:cs="Arial" w:eastAsia="Arial" w:hAnsi="Arial"/>
          <w:sz w:val="18"/>
          <w:szCs w:val="18"/>
          <w:color w:val="auto"/>
        </w:rPr>
        <w:t>PF-37674 (05/12)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4"/>
          </w:cols>
          <w:pgMar w:left="436" w:top="270" w:right="4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8826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3415" cy="88265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3200" w:type="dxa"/>
            <w:vAlign w:val="bottom"/>
            <w:tcBorders>
              <w:top w:val="single" w:sz="8" w:color="auto"/>
            </w:tcBorders>
          </w:tcPr>
          <w:p>
            <w:pPr>
              <w:spacing w:after="0"/>
              <w:rPr>
                <w:sz w:val="18"/>
                <w:szCs w:val="18"/>
                <w:color w:val="auto"/>
              </w:rPr>
            </w:pPr>
          </w:p>
        </w:tc>
        <w:tc>
          <w:tcPr>
            <w:tcW w:w="340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47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340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12</w:t>
            </w:r>
          </w:p>
        </w:tc>
      </w:tr>
      <w:tr>
        <w:trPr>
          <w:trHeight w:val="198"/>
        </w:trPr>
        <w:tc>
          <w:tcPr>
            <w:tcW w:w="156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3200" w:type="dxa"/>
            <w:vAlign w:val="bottom"/>
            <w:tcBorders>
              <w:right w:val="single" w:sz="8" w:color="auto"/>
            </w:tcBorders>
          </w:tcPr>
          <w:p>
            <w:pPr>
              <w:ind w:left="560"/>
              <w:spacing w:after="0" w:line="198" w:lineRule="exact"/>
              <w:rPr>
                <w:sz w:val="20"/>
                <w:szCs w:val="20"/>
                <w:color w:val="auto"/>
              </w:rPr>
            </w:pPr>
            <w:r>
              <w:rPr>
                <w:rFonts w:ascii="Arial" w:cs="Arial" w:eastAsia="Arial" w:hAnsi="Arial"/>
                <w:sz w:val="18"/>
                <w:szCs w:val="18"/>
                <w:color w:val="auto"/>
              </w:rPr>
              <w:t>Policy Number</w:t>
            </w:r>
          </w:p>
        </w:tc>
        <w:tc>
          <w:tcPr>
            <w:tcW w:w="340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Period</w:t>
            </w:r>
          </w:p>
        </w:tc>
        <w:tc>
          <w:tcPr>
            <w:tcW w:w="28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5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320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G25562823 006</w:t>
            </w: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03/08/2020 to 03/08/2021</w:t>
            </w:r>
          </w:p>
        </w:tc>
        <w:tc>
          <w:tcPr>
            <w:tcW w:w="2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To be attached to and form part of Financial Institution Bond, Standard Form No. 14, No. G25562823 006 in favor of TPG Specialty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Lending, Inc.</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1420" w:right="60" w:hanging="439"/>
        <w:spacing w:after="0" w:line="311" w:lineRule="auto"/>
        <w:tabs>
          <w:tab w:leader="none" w:pos="14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attached bond shall not be canceled as provided in parts (a) and (b) of the Termination or Cancelation Condition, or modified by rider, except after written notice shall have been given by the acting party to the affected party, and to the Securities and Exchange Commission, Washington, D.C., not less than sixty days prior to the effective date of such cancelation or modification.</w:t>
      </w:r>
    </w:p>
    <w:p>
      <w:pPr>
        <w:spacing w:after="0" w:line="54" w:lineRule="exact"/>
        <w:rPr>
          <w:rFonts w:ascii="Arial" w:cs="Arial" w:eastAsia="Arial" w:hAnsi="Arial"/>
          <w:sz w:val="16"/>
          <w:szCs w:val="16"/>
          <w:color w:val="auto"/>
        </w:rPr>
      </w:pPr>
    </w:p>
    <w:p>
      <w:pPr>
        <w:ind w:left="1420" w:hanging="43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rider shall become effective when the bond becomes effective.</w:t>
      </w:r>
    </w:p>
    <w:p>
      <w:pPr>
        <w:spacing w:after="0" w:line="200" w:lineRule="exact"/>
        <w:rPr>
          <w:sz w:val="20"/>
          <w:szCs w:val="20"/>
          <w:color w:val="auto"/>
        </w:rPr>
      </w:pPr>
    </w:p>
    <w:p>
      <w:pPr>
        <w:spacing w:after="0" w:line="23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S.E.C.-SOLE INSURED CANCELATION CLAUSE RIDER</w:t>
      </w:r>
    </w:p>
    <w:p>
      <w:pPr>
        <w:spacing w:after="0" w:line="229" w:lineRule="exact"/>
        <w:rPr>
          <w:sz w:val="20"/>
          <w:szCs w:val="20"/>
          <w:color w:val="auto"/>
        </w:rPr>
      </w:pPr>
    </w:p>
    <w:p>
      <w:pPr>
        <w:ind w:left="440" w:right="3720"/>
        <w:spacing w:after="0" w:line="259" w:lineRule="auto"/>
        <w:rPr>
          <w:sz w:val="20"/>
          <w:szCs w:val="20"/>
          <w:color w:val="auto"/>
        </w:rPr>
      </w:pPr>
      <w:r>
        <w:rPr>
          <w:rFonts w:ascii="Arial" w:cs="Arial" w:eastAsia="Arial" w:hAnsi="Arial"/>
          <w:sz w:val="18"/>
          <w:szCs w:val="18"/>
          <w:color w:val="auto"/>
        </w:rPr>
        <w:t>FOR USE WITH FINANCIAL INSTITUTION BOND, STANDARD FORM NO. 14, WHEN ISSUED TO A REGISTERED MANAGEMENT INVESTMENT COMPANY COVERED AS A SOLE INSURED, TO COMPLY WITH THE RULES OF THE SECURITIES AND EXCHANGE COMMISION.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ind w:left="440"/>
              <w:spacing w:after="0"/>
              <w:rPr>
                <w:sz w:val="20"/>
                <w:szCs w:val="20"/>
                <w:color w:val="auto"/>
              </w:rPr>
            </w:pPr>
            <w:r>
              <w:rPr>
                <w:rFonts w:ascii="Arial" w:cs="Arial" w:eastAsia="Arial" w:hAnsi="Arial"/>
                <w:sz w:val="18"/>
                <w:szCs w:val="18"/>
                <w:color w:val="auto"/>
              </w:rPr>
              <w:t>REVISED TO MAY, 2011</w:t>
            </w:r>
          </w:p>
        </w:tc>
        <w:tc>
          <w:tcPr>
            <w:tcW w:w="6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780" w:type="dxa"/>
            <w:vAlign w:val="bottom"/>
            <w:vMerge w:val="restart"/>
          </w:tcPr>
          <w:p>
            <w:pPr>
              <w:spacing w:after="0"/>
              <w:rPr>
                <w:sz w:val="20"/>
                <w:szCs w:val="20"/>
                <w:color w:val="auto"/>
              </w:rPr>
            </w:pPr>
            <w:r>
              <w:rPr>
                <w:rFonts w:ascii="Arial" w:cs="Arial" w:eastAsia="Arial" w:hAnsi="Arial"/>
                <w:sz w:val="18"/>
                <w:szCs w:val="18"/>
                <w:color w:val="auto"/>
              </w:rPr>
              <w:t>SR 5834d</w:t>
            </w:r>
          </w:p>
        </w:tc>
        <w:tc>
          <w:tcPr>
            <w:tcW w:w="6220" w:type="dxa"/>
            <w:vAlign w:val="bottom"/>
          </w:tcPr>
          <w:p>
            <w:pPr>
              <w:jc w:val="center"/>
              <w:ind w:right="670"/>
              <w:spacing w:after="0"/>
              <w:rPr>
                <w:sz w:val="20"/>
                <w:szCs w:val="20"/>
                <w:color w:val="auto"/>
              </w:rPr>
            </w:pPr>
            <w:r>
              <w:rPr>
                <w:rFonts w:ascii="Arial" w:cs="Arial" w:eastAsia="Arial" w:hAnsi="Arial"/>
                <w:sz w:val="18"/>
                <w:szCs w:val="18"/>
                <w:color w:val="auto"/>
                <w:w w:val="93"/>
              </w:rPr>
              <w:t>Copyright The Surety &amp; Fidelity Association of America, 2011</w:t>
            </w:r>
          </w:p>
        </w:tc>
        <w:tc>
          <w:tcPr>
            <w:tcW w:w="2020" w:type="dxa"/>
            <w:vAlign w:val="bottom"/>
            <w:vMerge w:val="restart"/>
          </w:tcPr>
          <w:p>
            <w:pPr>
              <w:ind w:left="120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216"/>
        </w:trPr>
        <w:tc>
          <w:tcPr>
            <w:tcW w:w="2780" w:type="dxa"/>
            <w:vAlign w:val="bottom"/>
            <w:vMerge w:val="continue"/>
          </w:tcPr>
          <w:p>
            <w:pPr>
              <w:spacing w:after="0"/>
              <w:rPr>
                <w:sz w:val="18"/>
                <w:szCs w:val="18"/>
                <w:color w:val="auto"/>
              </w:rPr>
            </w:pPr>
          </w:p>
        </w:tc>
        <w:tc>
          <w:tcPr>
            <w:tcW w:w="6220" w:type="dxa"/>
            <w:vAlign w:val="bottom"/>
            <w:vMerge w:val="restart"/>
          </w:tcPr>
          <w:p>
            <w:pPr>
              <w:jc w:val="center"/>
              <w:ind w:right="670"/>
              <w:spacing w:after="0"/>
              <w:rPr>
                <w:sz w:val="20"/>
                <w:szCs w:val="20"/>
                <w:color w:val="auto"/>
              </w:rPr>
            </w:pPr>
            <w:r>
              <w:rPr>
                <w:rFonts w:ascii="Arial" w:cs="Arial" w:eastAsia="Arial" w:hAnsi="Arial"/>
                <w:sz w:val="18"/>
                <w:szCs w:val="18"/>
                <w:b w:val="1"/>
                <w:bCs w:val="1"/>
                <w:color w:val="auto"/>
              </w:rPr>
              <w:t>FI-A-36</w:t>
            </w: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622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2" w:name="page33"/>
    <w:bookmarkEnd w:id="3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003415" cy="883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13</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4"/>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4"/>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ERISA RIDER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It is agreed that:</w:t>
      </w:r>
    </w:p>
    <w:p>
      <w:pPr>
        <w:spacing w:after="0" w:line="225"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Any employee benefit or welfare plan, now existing or hereinafter created or acquired, whether or not required, to be bonded under the Employee Retirement Income Security Act of 1974, as amended.</w:t>
      </w:r>
    </w:p>
    <w:p>
      <w:pPr>
        <w:spacing w:after="0" w:line="76" w:lineRule="exact"/>
        <w:rPr>
          <w:sz w:val="20"/>
          <w:szCs w:val="20"/>
          <w:color w:val="auto"/>
        </w:rPr>
      </w:pPr>
    </w:p>
    <w:p>
      <w:pPr>
        <w:jc w:val="both"/>
        <w:ind w:left="424" w:right="80" w:hanging="424"/>
        <w:spacing w:after="0" w:line="263" w:lineRule="auto"/>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“Employee” as used in the attached bond shall include any natural person who is a director or trustee of the Insured while such director or trustee is engaged in handling funds or other property of any Employees Welfare or Pension Benefit Plan owned, controlled or operated by the Insured or any natural person who is a trustee, manager, officer or employee of any such Plan.</w:t>
      </w:r>
    </w:p>
    <w:p>
      <w:pPr>
        <w:spacing w:after="0" w:line="89" w:lineRule="exact"/>
        <w:rPr>
          <w:rFonts w:ascii="Arial" w:cs="Arial" w:eastAsia="Arial" w:hAnsi="Arial"/>
          <w:sz w:val="18"/>
          <w:szCs w:val="18"/>
          <w:color w:val="auto"/>
        </w:rPr>
      </w:pPr>
    </w:p>
    <w:p>
      <w:pPr>
        <w:ind w:left="424" w:right="60" w:hanging="424"/>
        <w:spacing w:after="0" w:line="275" w:lineRule="auto"/>
        <w:tabs>
          <w:tab w:leader="none" w:pos="424"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Plans Disclosure Act of 1958 to obtain under one or more bonds issued by one or more Insurers an amount of coverage for each such Plan at least equal to that which would be required if such Plans were bonded separately.</w:t>
      </w:r>
    </w:p>
    <w:p>
      <w:pPr>
        <w:spacing w:after="0" w:line="81" w:lineRule="exact"/>
        <w:rPr>
          <w:rFonts w:ascii="Arial" w:cs="Arial" w:eastAsia="Arial" w:hAnsi="Arial"/>
          <w:sz w:val="17"/>
          <w:szCs w:val="17"/>
          <w:color w:val="auto"/>
        </w:rPr>
      </w:pPr>
    </w:p>
    <w:p>
      <w:pPr>
        <w:ind w:left="424" w:hanging="424"/>
        <w:spacing w:after="0" w:line="257" w:lineRule="auto"/>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93" w:lineRule="exact"/>
        <w:rPr>
          <w:rFonts w:ascii="Arial" w:cs="Arial" w:eastAsia="Arial" w:hAnsi="Arial"/>
          <w:sz w:val="18"/>
          <w:szCs w:val="18"/>
          <w:color w:val="auto"/>
        </w:rPr>
      </w:pPr>
    </w:p>
    <w:p>
      <w:pPr>
        <w:ind w:left="424" w:hanging="424"/>
        <w:spacing w:after="0" w:line="311" w:lineRule="auto"/>
        <w:tabs>
          <w:tab w:leader="none" w:pos="424"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54" w:lineRule="exact"/>
        <w:rPr>
          <w:rFonts w:ascii="Arial" w:cs="Arial" w:eastAsia="Arial" w:hAnsi="Arial"/>
          <w:sz w:val="16"/>
          <w:szCs w:val="16"/>
          <w:color w:val="auto"/>
        </w:rPr>
      </w:pPr>
    </w:p>
    <w:p>
      <w:pPr>
        <w:ind w:left="424" w:right="220" w:hanging="424"/>
        <w:spacing w:after="0" w:line="263" w:lineRule="auto"/>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89"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conditions, provisions, agreements or limitations of the bond, other than as stated herein.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rider is effective as of 12:01 a.m. on 03/08/2020.</w:t>
      </w:r>
    </w:p>
    <w:p>
      <w:pPr>
        <w:spacing w:after="0" w:line="117" w:lineRule="exact"/>
        <w:rPr>
          <w:rFonts w:ascii="Arial" w:cs="Arial" w:eastAsia="Arial" w:hAnsi="Arial"/>
          <w:sz w:val="18"/>
          <w:szCs w:val="18"/>
          <w:color w:val="auto"/>
        </w:rPr>
      </w:pPr>
    </w:p>
    <w:p>
      <w:pPr>
        <w:ind w:left="444" w:right="5880"/>
        <w:spacing w:after="0" w:line="269" w:lineRule="auto"/>
        <w:rPr>
          <w:rFonts w:ascii="Arial" w:cs="Arial" w:eastAsia="Arial" w:hAnsi="Arial"/>
          <w:sz w:val="18"/>
          <w:szCs w:val="18"/>
          <w:color w:val="auto"/>
        </w:rPr>
      </w:pPr>
      <w:r>
        <w:rPr>
          <w:rFonts w:ascii="Arial" w:cs="Arial" w:eastAsia="Arial" w:hAnsi="Arial"/>
          <w:sz w:val="17"/>
          <w:szCs w:val="17"/>
          <w:color w:val="auto"/>
        </w:rPr>
        <w:t>TO COMPLY WITH BONDING REGULATIONS MADE APPLICABLE TO THE EMPLOYEE RETIREMENT INCOME SECURITY ACT OF 1974. NOTE: This rider should not be used for any insured exempted from the bonding provisions</w:t>
      </w:r>
    </w:p>
    <w:p>
      <w:pPr>
        <w:spacing w:after="0" w:line="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of the Act.</w:t>
      </w:r>
    </w:p>
    <w:p>
      <w:pPr>
        <w:spacing w:after="0" w:line="9"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REVISED TO JUNE, 1990.</w:t>
      </w:r>
    </w:p>
    <w:p>
      <w:pPr>
        <w:spacing w:after="0" w:line="23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8044"/>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4"/>
        <w:spacing w:after="0"/>
        <w:tabs>
          <w:tab w:leader="none" w:pos="4864" w:val="left"/>
          <w:tab w:leader="none" w:pos="10184" w:val="left"/>
        </w:tabs>
        <w:rPr>
          <w:sz w:val="20"/>
          <w:szCs w:val="20"/>
          <w:color w:val="auto"/>
        </w:rPr>
      </w:pPr>
      <w:r>
        <w:rPr>
          <w:rFonts w:ascii="Arial" w:cs="Arial" w:eastAsia="Arial" w:hAnsi="Arial"/>
          <w:sz w:val="18"/>
          <w:szCs w:val="18"/>
          <w:color w:val="auto"/>
        </w:rPr>
        <w:t>SR 6145b</w:t>
      </w:r>
      <w:r>
        <w:rPr>
          <w:sz w:val="20"/>
          <w:szCs w:val="20"/>
          <w:color w:val="auto"/>
        </w:rPr>
        <w:tab/>
      </w:r>
      <w:r>
        <w:rPr>
          <w:rFonts w:ascii="Arial" w:cs="Arial" w:eastAsia="Arial" w:hAnsi="Arial"/>
          <w:sz w:val="18"/>
          <w:szCs w:val="18"/>
          <w:color w:val="auto"/>
        </w:rPr>
        <w:t>Printed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4"/>
          </w:cols>
          <w:pgMar w:left="436" w:top="270" w:right="4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883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14</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 OF THE INSURED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It is agreed that General Agreements, Section (D), REPRESENTATION OF INSURED, is deleted in its entirety and the following is inserted: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 OF INSURED</w:t>
      </w:r>
    </w:p>
    <w:p>
      <w:pPr>
        <w:spacing w:after="0" w:line="252" w:lineRule="exact"/>
        <w:rPr>
          <w:sz w:val="20"/>
          <w:szCs w:val="20"/>
          <w:color w:val="auto"/>
        </w:rPr>
      </w:pPr>
    </w:p>
    <w:p>
      <w:pPr>
        <w:ind w:left="1420" w:right="120" w:hanging="439"/>
        <w:spacing w:after="0" w:line="277"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Insured represents that the information furnished in the application for this bond is complete, true and correct. Such application constitutes part of this bond.</w:t>
      </w:r>
    </w:p>
    <w:p>
      <w:pPr>
        <w:spacing w:after="0" w:line="62" w:lineRule="exact"/>
        <w:rPr>
          <w:rFonts w:ascii="Arial" w:cs="Arial" w:eastAsia="Arial" w:hAnsi="Arial"/>
          <w:sz w:val="18"/>
          <w:szCs w:val="18"/>
          <w:color w:val="auto"/>
        </w:rPr>
      </w:pPr>
    </w:p>
    <w:p>
      <w:pPr>
        <w:ind w:left="1420" w:right="680"/>
        <w:spacing w:after="0" w:line="277" w:lineRule="auto"/>
        <w:rPr>
          <w:rFonts w:ascii="Arial" w:cs="Arial" w:eastAsia="Arial" w:hAnsi="Arial"/>
          <w:sz w:val="18"/>
          <w:szCs w:val="18"/>
          <w:color w:val="auto"/>
        </w:rPr>
      </w:pPr>
      <w:r>
        <w:rPr>
          <w:rFonts w:ascii="Arial" w:cs="Arial" w:eastAsia="Arial" w:hAnsi="Arial"/>
          <w:sz w:val="18"/>
          <w:szCs w:val="18"/>
          <w:color w:val="auto"/>
        </w:rPr>
        <w:t>Any intentional misrepresentation, omission, concealment or any incorrect statement of a material fact, in the application or otherwise, shall be grounds for the rescission of this bond.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306070</wp:posOffset>
            </wp:positionV>
            <wp:extent cx="26828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PF-37678 (05/12)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0"/>
          </w:cols>
          <w:pgMar w:left="440" w:top="270" w:right="4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8832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224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7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Endorsement Number</w:t>
            </w:r>
          </w:p>
        </w:tc>
      </w:tr>
      <w:tr>
        <w:trPr>
          <w:trHeight w:val="241"/>
        </w:trPr>
        <w:tc>
          <w:tcPr>
            <w:tcW w:w="39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15</w:t>
            </w:r>
          </w:p>
        </w:tc>
      </w:tr>
      <w:tr>
        <w:trPr>
          <w:trHeight w:val="198"/>
        </w:trPr>
        <w:tc>
          <w:tcPr>
            <w:tcW w:w="166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2240" w:type="dxa"/>
            <w:vAlign w:val="bottom"/>
            <w:tcBorders>
              <w:right w:val="single" w:sz="8" w:color="auto"/>
            </w:tcBorders>
          </w:tcPr>
          <w:p>
            <w:pPr>
              <w:ind w:left="56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720" w:type="dxa"/>
            <w:vAlign w:val="bottom"/>
          </w:tcPr>
          <w:p>
            <w:pPr>
              <w:ind w:left="8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224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03/08/2020</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be attached to and form part of Financial Institution Bond, Standard Form No. 14, No. G25562823 006 in favor of TPG Specialty Lending, Inc.</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960" w:hanging="53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attached bond is hereby amended by adding an additional Insuring Agreement as follows:</w:t>
      </w:r>
    </w:p>
    <w:p>
      <w:pPr>
        <w:spacing w:after="0" w:line="117" w:lineRule="exact"/>
        <w:rPr>
          <w:rFonts w:ascii="Arial" w:cs="Arial" w:eastAsia="Arial" w:hAnsi="Arial"/>
          <w:sz w:val="18"/>
          <w:szCs w:val="18"/>
          <w:color w:val="auto"/>
        </w:rPr>
      </w:pPr>
    </w:p>
    <w:p>
      <w:pPr>
        <w:ind w:left="980" w:right="40"/>
        <w:spacing w:after="0" w:line="254" w:lineRule="auto"/>
        <w:rPr>
          <w:rFonts w:ascii="Arial" w:cs="Arial" w:eastAsia="Arial" w:hAnsi="Arial"/>
          <w:sz w:val="18"/>
          <w:szCs w:val="18"/>
          <w:color w:val="auto"/>
        </w:rPr>
      </w:pPr>
      <w:r>
        <w:rPr>
          <w:rFonts w:ascii="Arial" w:cs="Arial" w:eastAsia="Arial" w:hAnsi="Arial"/>
          <w:sz w:val="18"/>
          <w:szCs w:val="18"/>
          <w:color w:val="auto"/>
        </w:rPr>
        <w:t>“(G) Loss resulting directly from the fact that an issuer of securities, transfer agent, bank, banker or trust company received from the Insured or the New York Stock Exchange specimen copies of the Insured’s mechanically reproduced facsimile signature and acted in reliance upon any false, fraudulent or unauthorized reproduction of such facsimile signature, whether such facsimile signature is the facsimile signature duly adopted by the Insured or is one resembling or purporting to be such facsimile signature, regardless of by whom or by what means the same may have been imprinted, and whether or not such loss is sustained by reason of the Insured’s having entered into an agreement to be legally liable when such facsimile signature or one resembling or purporting to be such facsimile signature is used, provided, how ever, that</w:t>
      </w:r>
    </w:p>
    <w:p>
      <w:pPr>
        <w:sectPr>
          <w:pgSz w:w="11900" w:h="16838" w:orient="portrait"/>
          <w:cols w:equalWidth="0" w:num="1">
            <w:col w:w="11020"/>
          </w:cols>
          <w:pgMar w:left="440" w:top="270" w:right="439" w:bottom="1440" w:gutter="0" w:footer="0" w:header="0"/>
        </w:sectPr>
      </w:pPr>
    </w:p>
    <w:p>
      <w:pPr>
        <w:spacing w:after="0" w:line="10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such facsimile signature is used on a document</w:t>
      </w:r>
    </w:p>
    <w:p>
      <w:pPr>
        <w:spacing w:after="0" w:line="153" w:lineRule="exact"/>
        <w:rPr>
          <w:sz w:val="20"/>
          <w:szCs w:val="20"/>
          <w:color w:val="auto"/>
        </w:rPr>
      </w:pPr>
    </w:p>
    <w:p>
      <w:pPr>
        <w:sectPr>
          <w:pgSz w:w="11900" w:h="16838" w:orient="portrait"/>
          <w:cols w:equalWidth="0" w:num="2">
            <w:col w:w="1700" w:space="260"/>
            <w:col w:w="9060"/>
          </w:cols>
          <w:pgMar w:left="440" w:top="270" w:right="439" w:bottom="1440" w:gutter="0" w:footer="0" w:header="0"/>
          <w:type w:val="continuous"/>
        </w:sectPr>
      </w:pPr>
    </w:p>
    <w:p>
      <w:pPr>
        <w:jc w:val="both"/>
        <w:ind w:left="2400" w:right="180" w:hanging="439"/>
        <w:spacing w:after="0" w:line="263" w:lineRule="auto"/>
        <w:tabs>
          <w:tab w:leader="none" w:pos="2380" w:val="left"/>
        </w:tabs>
        <w:rPr>
          <w:sz w:val="20"/>
          <w:szCs w:val="20"/>
          <w:color w:val="auto"/>
        </w:rPr>
      </w:pPr>
      <w:r>
        <w:rPr>
          <w:rFonts w:ascii="Arial" w:cs="Arial" w:eastAsia="Arial" w:hAnsi="Arial"/>
          <w:sz w:val="18"/>
          <w:szCs w:val="18"/>
          <w:color w:val="auto"/>
        </w:rPr>
        <w:t>(1)</w:t>
        <w:tab/>
        <w:t>as the signature to an assignment or other instrument authorizing or effecting the transfer of shares of stock, or other registered securities, which may now or at any time hereafter be registered in the name of the insured on the books of the association, company or corporation issuing the same; or</w:t>
      </w:r>
    </w:p>
    <w:p>
      <w:pPr>
        <w:spacing w:after="0" w:line="89" w:lineRule="exact"/>
        <w:rPr>
          <w:sz w:val="20"/>
          <w:szCs w:val="20"/>
          <w:color w:val="auto"/>
        </w:rPr>
      </w:pPr>
    </w:p>
    <w:p>
      <w:pPr>
        <w:ind w:left="2400" w:right="140" w:hanging="439"/>
        <w:spacing w:after="0" w:line="301" w:lineRule="auto"/>
        <w:tabs>
          <w:tab w:leader="none" w:pos="2380" w:val="left"/>
        </w:tabs>
        <w:rPr>
          <w:sz w:val="20"/>
          <w:szCs w:val="20"/>
          <w:color w:val="auto"/>
        </w:rPr>
      </w:pPr>
      <w:r>
        <w:rPr>
          <w:rFonts w:ascii="Arial" w:cs="Arial" w:eastAsia="Arial" w:hAnsi="Arial"/>
          <w:sz w:val="16"/>
          <w:szCs w:val="16"/>
          <w:color w:val="auto"/>
        </w:rPr>
        <w:t>(2)</w:t>
        <w:tab/>
        <w:t>as the signature to a power of substitution, designating a substitute or substitutes to make the actual transfer on the books of the issuer of shares of stock, or other registered securities, in respect of which the insured may now or at any time hereafter be named as attorney to effect said transfer, whether said power of substitution is embodied in an endorsement on the certificate for said shares of stock or other registered security or in a separate instrument;</w:t>
      </w:r>
    </w:p>
    <w:p>
      <w:pPr>
        <w:sectPr>
          <w:pgSz w:w="11900" w:h="16838" w:orient="portrait"/>
          <w:cols w:equalWidth="0" w:num="1">
            <w:col w:w="11020"/>
          </w:cols>
          <w:pgMar w:left="440" w:top="270" w:right="439" w:bottom="1440" w:gutter="0" w:footer="0" w:header="0"/>
          <w:type w:val="continuous"/>
        </w:sectPr>
      </w:pPr>
    </w:p>
    <w:p>
      <w:pPr>
        <w:spacing w:after="0" w:line="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New York Stock Exchange has not interposed any objections to the use by the Insured of such facsimile signature and such agreement, if any, was required by the said Exchange as a condition to its failing to interpose any such objection; and</w:t>
      </w:r>
    </w:p>
    <w:p>
      <w:pPr>
        <w:spacing w:after="0" w:line="29" w:lineRule="exact"/>
        <w:rPr>
          <w:sz w:val="20"/>
          <w:szCs w:val="20"/>
          <w:color w:val="auto"/>
        </w:rPr>
      </w:pPr>
    </w:p>
    <w:p>
      <w:pPr>
        <w:sectPr>
          <w:pgSz w:w="11900" w:h="16838" w:orient="portrait"/>
          <w:cols w:equalWidth="0" w:num="2">
            <w:col w:w="1720" w:space="240"/>
            <w:col w:w="9060"/>
          </w:cols>
          <w:pgMar w:left="440" w:top="270" w:right="439" w:bottom="1440" w:gutter="0" w:footer="0" w:header="0"/>
          <w:type w:val="continuous"/>
        </w:sectPr>
      </w:pPr>
    </w:p>
    <w:p>
      <w:pPr>
        <w:ind w:left="142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Insuring Agreement (G) shall not apply to any Certificated Securities which are Counterfeit”.</w:t>
      </w:r>
    </w:p>
    <w:p>
      <w:pPr>
        <w:spacing w:after="0" w:line="153" w:lineRule="exact"/>
        <w:rPr>
          <w:sz w:val="20"/>
          <w:szCs w:val="20"/>
          <w:color w:val="auto"/>
        </w:rPr>
      </w:pPr>
    </w:p>
    <w:p>
      <w:pPr>
        <w:sectPr>
          <w:pgSz w:w="11900" w:h="16838" w:orient="portrait"/>
          <w:cols w:equalWidth="0" w:num="2">
            <w:col w:w="1700" w:space="260"/>
            <w:col w:w="9060"/>
          </w:cols>
          <w:pgMar w:left="440" w:top="270" w:right="439" w:bottom="1440" w:gutter="0" w:footer="0" w:header="0"/>
          <w:type w:val="continuous"/>
        </w:sectPr>
      </w:pPr>
    </w:p>
    <w:p>
      <w:pPr>
        <w:ind w:left="960" w:hanging="532"/>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Sub-sections (a) and (e) of Section 2 of the attached bond shall not apply to Insuring Agreement (G).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rider shall become effective as of 12:01 a.m. on 03/08/2020.</w:t>
      </w:r>
    </w:p>
    <w:p>
      <w:pPr>
        <w:spacing w:after="0" w:line="15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INSURING AGREEMENT (G) RIDER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 STANDARD FORM NO. 14, WHEN ISSUED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 ELIGIBLE INSURED TO ADD INSURING AGREEMENT (G) TO PERMIT THE USE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SIGNATURES AS THE SIGNATURE TO AN ASSIGNMENT OR TO A POWER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SUBSTITUTION.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REVISED TO NOVEMBER, 1988.</w:t>
      </w:r>
    </w:p>
    <w:p>
      <w:pPr>
        <w:spacing w:after="0" w:line="131" w:lineRule="exact"/>
        <w:rPr>
          <w:sz w:val="20"/>
          <w:szCs w:val="20"/>
          <w:color w:val="auto"/>
        </w:rPr>
      </w:pPr>
    </w:p>
    <w:p>
      <w:pPr>
        <w:spacing w:after="0"/>
        <w:tabs>
          <w:tab w:leader="none" w:pos="1360" w:val="left"/>
          <w:tab w:leader="none" w:pos="10180" w:val="left"/>
        </w:tabs>
        <w:rPr>
          <w:sz w:val="20"/>
          <w:szCs w:val="20"/>
          <w:color w:val="auto"/>
        </w:rPr>
      </w:pPr>
      <w:r>
        <w:rPr>
          <w:rFonts w:ascii="Arial" w:cs="Arial" w:eastAsia="Arial" w:hAnsi="Arial"/>
          <w:sz w:val="18"/>
          <w:szCs w:val="18"/>
          <w:color w:val="auto"/>
        </w:rPr>
        <w:t>SR 5907a</w:t>
      </w:r>
      <w:r>
        <w:rPr>
          <w:sz w:val="20"/>
          <w:szCs w:val="20"/>
          <w:color w:val="auto"/>
        </w:rPr>
        <w:tab/>
      </w:r>
      <w:r>
        <w:rPr>
          <w:rFonts w:ascii="Arial" w:cs="Arial" w:eastAsia="Arial" w:hAnsi="Arial"/>
          <w:sz w:val="18"/>
          <w:szCs w:val="18"/>
          <w:color w:val="auto"/>
        </w:rPr>
        <w:t>Printed In the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0"/>
          </w:cols>
          <w:pgMar w:left="440" w:top="270" w:right="439" w:bottom="1440" w:gutter="0" w:footer="0" w:header="0"/>
          <w:type w:val="continuous"/>
        </w:sectPr>
      </w:pPr>
    </w:p>
    <w:bookmarkStart w:id="35" w:name="page36"/>
    <w:bookmarkEnd w:id="3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003415" cy="883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16</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4"/>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4"/>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UNCERTIFICATED SECURITIES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24" w:hanging="424"/>
        <w:spacing w:after="0"/>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Insuring Agreements, Section (E) – SECURITIES, Item (1) (e), is deleted in its entirety and the following is inserted: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88"/>
        </w:numPr>
        <w:rPr>
          <w:rFonts w:ascii="Arial" w:cs="Arial" w:eastAsia="Arial" w:hAnsi="Arial"/>
          <w:sz w:val="18"/>
          <w:szCs w:val="18"/>
          <w:color w:val="auto"/>
        </w:rPr>
      </w:pPr>
      <w:r>
        <w:rPr>
          <w:rFonts w:ascii="Arial" w:cs="Arial" w:eastAsia="Arial" w:hAnsi="Arial"/>
          <w:sz w:val="18"/>
          <w:szCs w:val="18"/>
          <w:color w:val="auto"/>
        </w:rPr>
        <w:t>Statement of Uncertificated Security in any book entry form.</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(w) is deleted in its entirety.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44"/>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4"/>
        <w:spacing w:after="0"/>
        <w:tabs>
          <w:tab w:leader="none" w:pos="5224" w:val="left"/>
          <w:tab w:leader="none" w:pos="10184" w:val="left"/>
        </w:tabs>
        <w:rPr>
          <w:sz w:val="20"/>
          <w:szCs w:val="20"/>
          <w:color w:val="auto"/>
        </w:rPr>
      </w:pPr>
      <w:r>
        <w:rPr>
          <w:rFonts w:ascii="Arial" w:cs="Arial" w:eastAsia="Arial" w:hAnsi="Arial"/>
          <w:sz w:val="18"/>
          <w:szCs w:val="18"/>
          <w:color w:val="auto"/>
        </w:rPr>
        <w:t>PF-37679 (05/12)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4"/>
          </w:cols>
          <w:pgMar w:left="436" w:top="270" w:right="4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883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17</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 DEFINITION OF EMPLOYEE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 Definitions, subsection (e), Employee, of the Conditions and Limitations, is amended to add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also means:</w:t>
      </w:r>
    </w:p>
    <w:p>
      <w:pPr>
        <w:spacing w:after="0" w:line="131" w:lineRule="exact"/>
        <w:rPr>
          <w:sz w:val="20"/>
          <w:szCs w:val="20"/>
          <w:color w:val="auto"/>
        </w:rPr>
      </w:pPr>
    </w:p>
    <w:p>
      <w:pPr>
        <w:ind w:left="960" w:hanging="532"/>
        <w:spacing w:after="0"/>
        <w:tabs>
          <w:tab w:leader="none" w:pos="960" w:val="left"/>
        </w:tabs>
        <w:numPr>
          <w:ilvl w:val="0"/>
          <w:numId w:val="89"/>
        </w:numPr>
        <w:rPr>
          <w:rFonts w:ascii="MS PGothic" w:cs="MS PGothic" w:eastAsia="MS PGothic" w:hAnsi="MS PGothic"/>
          <w:sz w:val="17"/>
          <w:szCs w:val="17"/>
          <w:color w:val="auto"/>
        </w:rPr>
      </w:pPr>
      <w:r>
        <w:rPr>
          <w:rFonts w:ascii="Arial" w:cs="Arial" w:eastAsia="Arial" w:hAnsi="Arial"/>
          <w:sz w:val="17"/>
          <w:szCs w:val="17"/>
          <w:color w:val="auto"/>
        </w:rPr>
        <w:t>Any natural person retained as a consultant of the Insured and supervised by the Insured under written contract with the Insured.</w:t>
      </w:r>
    </w:p>
    <w:p>
      <w:pPr>
        <w:spacing w:after="0" w:line="142" w:lineRule="exact"/>
        <w:rPr>
          <w:rFonts w:ascii="MS PGothic" w:cs="MS PGothic" w:eastAsia="MS PGothic" w:hAnsi="MS PGothic"/>
          <w:sz w:val="17"/>
          <w:szCs w:val="17"/>
          <w:color w:val="auto"/>
        </w:rPr>
      </w:pPr>
    </w:p>
    <w:p>
      <w:pPr>
        <w:ind w:left="960" w:right="280" w:hanging="532"/>
        <w:spacing w:after="0" w:line="277" w:lineRule="auto"/>
        <w:tabs>
          <w:tab w:leader="none" w:pos="960" w:val="left"/>
        </w:tabs>
        <w:numPr>
          <w:ilvl w:val="0"/>
          <w:numId w:val="89"/>
        </w:numPr>
        <w:rPr>
          <w:rFonts w:ascii="MS PGothic" w:cs="MS PGothic" w:eastAsia="MS PGothic" w:hAnsi="MS PGothic"/>
          <w:sz w:val="18"/>
          <w:szCs w:val="18"/>
          <w:color w:val="auto"/>
        </w:rPr>
      </w:pPr>
      <w:r>
        <w:rPr>
          <w:rFonts w:ascii="Arial" w:cs="Arial" w:eastAsia="Arial" w:hAnsi="Arial"/>
          <w:sz w:val="18"/>
          <w:szCs w:val="18"/>
          <w:color w:val="auto"/>
        </w:rPr>
        <w:t>Any person set forth in (1) through (6) above, who resigned, retires or is terminated from service of the Insured during the Bond period. Provided that this extension applies only:</w:t>
      </w:r>
    </w:p>
    <w:p>
      <w:pPr>
        <w:spacing w:after="0" w:line="75" w:lineRule="exact"/>
        <w:rPr>
          <w:rFonts w:ascii="MS PGothic" w:cs="MS PGothic" w:eastAsia="MS PGothic" w:hAnsi="MS PGothic"/>
          <w:sz w:val="18"/>
          <w:szCs w:val="18"/>
          <w:color w:val="auto"/>
        </w:rPr>
      </w:pPr>
    </w:p>
    <w:p>
      <w:pPr>
        <w:ind w:left="1420" w:hanging="439"/>
        <w:spacing w:after="0"/>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for a period of 60 days subsequent to such resignation, retirement or termination; and</w:t>
      </w:r>
    </w:p>
    <w:p>
      <w:pPr>
        <w:spacing w:after="0" w:line="130" w:lineRule="exact"/>
        <w:rPr>
          <w:rFonts w:ascii="Arial" w:cs="Arial" w:eastAsia="Arial" w:hAnsi="Arial"/>
          <w:sz w:val="18"/>
          <w:szCs w:val="18"/>
          <w:color w:val="auto"/>
        </w:rPr>
      </w:pPr>
    </w:p>
    <w:p>
      <w:pPr>
        <w:ind w:left="1420" w:right="120" w:hanging="439"/>
        <w:spacing w:after="0" w:line="277" w:lineRule="auto"/>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such resignation, retirement or termination has not arisen from or in connection with the discovery by the Insured of any actual or alleged dishonest, fraudulent or criminal act(s) of such person.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89"/>
        </w:numPr>
        <w:rPr>
          <w:rFonts w:ascii="MS PGothic" w:cs="MS PGothic" w:eastAsia="MS PGothic" w:hAnsi="MS PGothic"/>
          <w:sz w:val="18"/>
          <w:szCs w:val="18"/>
          <w:color w:val="auto"/>
        </w:rPr>
      </w:pPr>
      <w:r>
        <w:rPr>
          <w:rFonts w:ascii="Arial" w:cs="Arial" w:eastAsia="Arial" w:hAnsi="Arial"/>
          <w:sz w:val="18"/>
          <w:szCs w:val="18"/>
          <w:color w:val="auto"/>
        </w:rPr>
        <w:t>Employees on Leave or Military Service.</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89"/>
        </w:numPr>
        <w:rPr>
          <w:rFonts w:ascii="MS PGothic" w:cs="MS PGothic" w:eastAsia="MS PGothic" w:hAnsi="MS PGothic"/>
          <w:sz w:val="18"/>
          <w:szCs w:val="18"/>
          <w:color w:val="auto"/>
        </w:rPr>
      </w:pPr>
      <w:r>
        <w:rPr>
          <w:rFonts w:ascii="Arial" w:cs="Arial" w:eastAsia="Arial" w:hAnsi="Arial"/>
          <w:sz w:val="18"/>
          <w:szCs w:val="18"/>
          <w:color w:val="auto"/>
        </w:rPr>
        <w:t>Guest Students.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4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rPr>
              <w:t>Authorized Representative</w:t>
            </w:r>
          </w:p>
        </w:tc>
      </w:tr>
      <w:tr>
        <w:trPr>
          <w:trHeight w:val="349"/>
        </w:trPr>
        <w:tc>
          <w:tcPr>
            <w:tcW w:w="3260" w:type="dxa"/>
            <w:vAlign w:val="bottom"/>
          </w:tcPr>
          <w:p>
            <w:pPr>
              <w:spacing w:after="0"/>
              <w:rPr>
                <w:sz w:val="20"/>
                <w:szCs w:val="20"/>
                <w:color w:val="auto"/>
              </w:rPr>
            </w:pPr>
            <w:r>
              <w:rPr>
                <w:rFonts w:ascii="Arial" w:cs="Arial" w:eastAsia="Arial" w:hAnsi="Arial"/>
                <w:sz w:val="18"/>
                <w:szCs w:val="18"/>
                <w:color w:val="auto"/>
              </w:rPr>
              <w:t>PF-39751 (04/13)</w:t>
            </w:r>
          </w:p>
        </w:tc>
        <w:tc>
          <w:tcPr>
            <w:tcW w:w="3360" w:type="dxa"/>
            <w:vAlign w:val="bottom"/>
          </w:tcPr>
          <w:p>
            <w:pPr>
              <w:jc w:val="right"/>
              <w:ind w:right="750"/>
              <w:spacing w:after="0"/>
              <w:rPr>
                <w:sz w:val="20"/>
                <w:szCs w:val="20"/>
                <w:color w:val="auto"/>
              </w:rPr>
            </w:pPr>
            <w:r>
              <w:rPr>
                <w:rFonts w:ascii="Arial" w:cs="Arial" w:eastAsia="Arial" w:hAnsi="Arial"/>
                <w:sz w:val="18"/>
                <w:szCs w:val="18"/>
                <w:color w:val="auto"/>
              </w:rPr>
              <w:t>© 2013</w:t>
            </w:r>
          </w:p>
        </w:tc>
        <w:tc>
          <w:tcPr>
            <w:tcW w:w="4400" w:type="dxa"/>
            <w:vAlign w:val="bottom"/>
          </w:tcPr>
          <w:p>
            <w:pPr>
              <w:ind w:left="3580"/>
              <w:spacing w:after="0"/>
              <w:rPr>
                <w:sz w:val="20"/>
                <w:szCs w:val="20"/>
                <w:color w:val="auto"/>
              </w:rPr>
            </w:pPr>
            <w:r>
              <w:rPr>
                <w:rFonts w:ascii="Arial" w:cs="Arial" w:eastAsia="Arial" w:hAnsi="Arial"/>
                <w:sz w:val="18"/>
                <w:szCs w:val="18"/>
                <w:color w:val="auto"/>
                <w:w w:val="86"/>
              </w:rPr>
              <w:t>Page 1 of 1</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1</w:t>
            </w:r>
          </w:p>
        </w:tc>
        <w:tc>
          <w:tcPr>
            <w:tcW w:w="3360" w:type="dxa"/>
            <w:vAlign w:val="bottom"/>
          </w:tcPr>
          <w:p>
            <w:pPr>
              <w:spacing w:after="0"/>
              <w:rPr>
                <w:sz w:val="20"/>
                <w:szCs w:val="20"/>
                <w:color w:val="auto"/>
              </w:rPr>
            </w:pPr>
          </w:p>
        </w:tc>
        <w:tc>
          <w:tcPr>
            <w:tcW w:w="440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883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18</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NAMED INSURED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Item 1 of the Declarations is deleted in its entirety and the following is inserted:</w:t>
      </w:r>
    </w:p>
    <w:p>
      <w:pPr>
        <w:spacing w:after="0" w:line="117" w:lineRule="exact"/>
        <w:rPr>
          <w:sz w:val="20"/>
          <w:szCs w:val="20"/>
          <w:color w:val="auto"/>
        </w:rPr>
      </w:pPr>
    </w:p>
    <w:p>
      <w:pPr>
        <w:ind w:left="440" w:right="20"/>
        <w:spacing w:after="0" w:line="296" w:lineRule="auto"/>
        <w:rPr>
          <w:sz w:val="20"/>
          <w:szCs w:val="20"/>
          <w:color w:val="auto"/>
        </w:rPr>
      </w:pPr>
      <w:r>
        <w:rPr>
          <w:rFonts w:ascii="Arial" w:cs="Arial" w:eastAsia="Arial" w:hAnsi="Arial"/>
          <w:sz w:val="16"/>
          <w:szCs w:val="16"/>
          <w:color w:val="auto"/>
        </w:rPr>
        <w:t>Item 1. Name of Insured (herein called Insured): TPG Specialty Lending, Inc., Subject to the provisions of General Agreement B, as amended, Insured also means: (i) any subsidiary, joint venture, limited liability company, limited partnership, or general partnership, in which 50% or more of the voting interests are owned directly or indirectly by TPG Specialty Lending, Inc., and only while such interest existed or continues to exist; and, (ii) any employee benefit or welfare plan sponsored by the Insured now existing or hereafter created or acquired, that is required to be bonded under the Employee Retirement Income Security Act of 1974, as amended, so long as the Insured sponsors such plan.</w:t>
      </w:r>
    </w:p>
    <w:p>
      <w:pPr>
        <w:sectPr>
          <w:pgSz w:w="11900" w:h="16838" w:orient="portrait"/>
          <w:cols w:equalWidth="0" w:num="1">
            <w:col w:w="11020"/>
          </w:cols>
          <w:pgMar w:left="440" w:top="270" w:right="439" w:bottom="1440" w:gutter="0" w:footer="0" w:header="0"/>
        </w:sectPr>
      </w:pPr>
    </w:p>
    <w:p>
      <w:pPr>
        <w:spacing w:after="0" w:line="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Principal Address: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2100 McKinney Avenue, Suite 1500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TX 75201</w:t>
      </w:r>
    </w:p>
    <w:p>
      <w:pPr>
        <w:spacing w:after="0" w:line="200" w:lineRule="exact"/>
        <w:rPr>
          <w:sz w:val="20"/>
          <w:szCs w:val="20"/>
          <w:color w:val="auto"/>
        </w:rPr>
      </w:pPr>
    </w:p>
    <w:p>
      <w:pPr>
        <w:sectPr>
          <w:pgSz w:w="11900" w:h="16838" w:orient="portrait"/>
          <w:cols w:equalWidth="0" w:num="2">
            <w:col w:w="1760" w:space="640"/>
            <w:col w:w="8620"/>
          </w:cols>
          <w:pgMar w:left="440" w:top="270"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4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rPr>
              <w:t>Authorized Representative</w:t>
            </w:r>
          </w:p>
        </w:tc>
      </w:tr>
      <w:tr>
        <w:trPr>
          <w:trHeight w:val="349"/>
        </w:trPr>
        <w:tc>
          <w:tcPr>
            <w:tcW w:w="3260" w:type="dxa"/>
            <w:vAlign w:val="bottom"/>
          </w:tcPr>
          <w:p>
            <w:pPr>
              <w:spacing w:after="0"/>
              <w:rPr>
                <w:sz w:val="20"/>
                <w:szCs w:val="20"/>
                <w:color w:val="auto"/>
              </w:rPr>
            </w:pPr>
            <w:r>
              <w:rPr>
                <w:rFonts w:ascii="Arial" w:cs="Arial" w:eastAsia="Arial" w:hAnsi="Arial"/>
                <w:sz w:val="18"/>
                <w:szCs w:val="18"/>
                <w:color w:val="auto"/>
              </w:rPr>
              <w:t>PF-39759 (04/13)</w:t>
            </w:r>
          </w:p>
        </w:tc>
        <w:tc>
          <w:tcPr>
            <w:tcW w:w="3360" w:type="dxa"/>
            <w:vAlign w:val="bottom"/>
          </w:tcPr>
          <w:p>
            <w:pPr>
              <w:jc w:val="right"/>
              <w:ind w:right="750"/>
              <w:spacing w:after="0"/>
              <w:rPr>
                <w:sz w:val="20"/>
                <w:szCs w:val="20"/>
                <w:color w:val="auto"/>
              </w:rPr>
            </w:pPr>
            <w:r>
              <w:rPr>
                <w:rFonts w:ascii="Arial" w:cs="Arial" w:eastAsia="Arial" w:hAnsi="Arial"/>
                <w:sz w:val="18"/>
                <w:szCs w:val="18"/>
                <w:color w:val="auto"/>
              </w:rPr>
              <w:t>© 2013</w:t>
            </w:r>
          </w:p>
        </w:tc>
        <w:tc>
          <w:tcPr>
            <w:tcW w:w="4400" w:type="dxa"/>
            <w:vAlign w:val="bottom"/>
          </w:tcPr>
          <w:p>
            <w:pPr>
              <w:ind w:left="3580"/>
              <w:spacing w:after="0"/>
              <w:rPr>
                <w:sz w:val="20"/>
                <w:szCs w:val="20"/>
                <w:color w:val="auto"/>
              </w:rPr>
            </w:pPr>
            <w:r>
              <w:rPr>
                <w:rFonts w:ascii="Arial" w:cs="Arial" w:eastAsia="Arial" w:hAnsi="Arial"/>
                <w:sz w:val="18"/>
                <w:szCs w:val="18"/>
                <w:color w:val="auto"/>
                <w:w w:val="86"/>
              </w:rPr>
              <w:t>Page 1 of 1</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1</w:t>
            </w:r>
          </w:p>
        </w:tc>
        <w:tc>
          <w:tcPr>
            <w:tcW w:w="3360" w:type="dxa"/>
            <w:vAlign w:val="bottom"/>
          </w:tcPr>
          <w:p>
            <w:pPr>
              <w:spacing w:after="0"/>
              <w:rPr>
                <w:sz w:val="20"/>
                <w:szCs w:val="20"/>
                <w:color w:val="auto"/>
              </w:rPr>
            </w:pPr>
          </w:p>
        </w:tc>
        <w:tc>
          <w:tcPr>
            <w:tcW w:w="440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type w:val="continuous"/>
        </w:sectPr>
      </w:pPr>
    </w:p>
    <w:bookmarkStart w:id="38" w:name="page39"/>
    <w:bookmarkEnd w:id="3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003415" cy="883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19</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4"/>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4"/>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PRIVACY EXCLUSIONS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24" w:hanging="424"/>
        <w:spacing w:after="0"/>
        <w:tabs>
          <w:tab w:leader="none" w:pos="424"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Conditions And Limitations, section 2, Exclusions, is amended to add the following:</w:t>
      </w:r>
    </w:p>
    <w:p>
      <w:pPr>
        <w:spacing w:after="0" w:line="130" w:lineRule="exact"/>
        <w:rPr>
          <w:rFonts w:ascii="Arial" w:cs="Arial" w:eastAsia="Arial" w:hAnsi="Arial"/>
          <w:sz w:val="18"/>
          <w:szCs w:val="18"/>
          <w:color w:val="auto"/>
        </w:rPr>
      </w:pPr>
    </w:p>
    <w:p>
      <w:pPr>
        <w:ind w:left="964" w:right="20" w:hanging="532"/>
        <w:spacing w:after="0" w:line="275" w:lineRule="auto"/>
        <w:tabs>
          <w:tab w:leader="none" w:pos="964" w:val="left"/>
        </w:tabs>
        <w:numPr>
          <w:ilvl w:val="1"/>
          <w:numId w:val="90"/>
        </w:numPr>
        <w:rPr>
          <w:rFonts w:ascii="Arial" w:cs="Arial" w:eastAsia="Arial" w:hAnsi="Arial"/>
          <w:sz w:val="17"/>
          <w:szCs w:val="17"/>
          <w:color w:val="auto"/>
        </w:rPr>
      </w:pPr>
      <w:r>
        <w:rPr>
          <w:rFonts w:ascii="Arial" w:cs="Arial" w:eastAsia="Arial" w:hAnsi="Arial"/>
          <w:sz w:val="17"/>
          <w:szCs w:val="17"/>
          <w:color w:val="auto"/>
        </w:rPr>
        <w:t>loss resulting from the theft, disappearance, or destruction of, or access to, or disclosure or use of, or purported use or disclosure of, the Insured’s or another person’s or entity’s confidential or personal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81" w:lineRule="exact"/>
        <w:rPr>
          <w:rFonts w:ascii="Arial" w:cs="Arial" w:eastAsia="Arial" w:hAnsi="Arial"/>
          <w:sz w:val="17"/>
          <w:szCs w:val="17"/>
          <w:color w:val="auto"/>
        </w:rPr>
      </w:pPr>
    </w:p>
    <w:p>
      <w:pPr>
        <w:ind w:left="964" w:right="80" w:hanging="532"/>
        <w:spacing w:after="0" w:line="308" w:lineRule="auto"/>
        <w:tabs>
          <w:tab w:leader="none" w:pos="964" w:val="left"/>
        </w:tabs>
        <w:numPr>
          <w:ilvl w:val="1"/>
          <w:numId w:val="90"/>
        </w:numPr>
        <w:rPr>
          <w:rFonts w:ascii="Arial" w:cs="Arial" w:eastAsia="Arial" w:hAnsi="Arial"/>
          <w:sz w:val="17"/>
          <w:szCs w:val="17"/>
          <w:color w:val="auto"/>
        </w:rPr>
      </w:pPr>
      <w:r>
        <w:rPr>
          <w:rFonts w:ascii="Arial" w:cs="Arial" w:eastAsia="Arial" w:hAnsi="Arial"/>
          <w:sz w:val="17"/>
          <w:szCs w:val="17"/>
          <w:color w:val="auto"/>
        </w:rPr>
        <w:t>loss resulting from the theft, disappearance, or destruction of, or access to, or use or disclosure of, or purported use or disclosure of, credit, debit, charge, access, convenience, identification, stored-value or other cards or the information contained on such cards.</w:t>
      </w:r>
    </w:p>
    <w:p>
      <w:pPr>
        <w:spacing w:after="0" w:line="51" w:lineRule="exact"/>
        <w:rPr>
          <w:rFonts w:ascii="Arial" w:cs="Arial" w:eastAsia="Arial" w:hAnsi="Arial"/>
          <w:sz w:val="17"/>
          <w:szCs w:val="17"/>
          <w:color w:val="auto"/>
        </w:rPr>
      </w:pPr>
    </w:p>
    <w:p>
      <w:pPr>
        <w:ind w:left="964" w:right="60" w:hanging="532"/>
        <w:spacing w:after="0" w:line="255" w:lineRule="auto"/>
        <w:tabs>
          <w:tab w:leader="none" w:pos="964" w:val="left"/>
        </w:tabs>
        <w:numPr>
          <w:ilvl w:val="1"/>
          <w:numId w:val="90"/>
        </w:numPr>
        <w:rPr>
          <w:rFonts w:ascii="Arial" w:cs="Arial" w:eastAsia="Arial" w:hAnsi="Arial"/>
          <w:sz w:val="18"/>
          <w:szCs w:val="18"/>
          <w:color w:val="auto"/>
        </w:rPr>
      </w:pPr>
      <w:r>
        <w:rPr>
          <w:rFonts w:ascii="Arial" w:cs="Arial" w:eastAsia="Arial" w:hAnsi="Arial"/>
          <w:sz w:val="18"/>
          <w:szCs w:val="18"/>
          <w:color w:val="auto"/>
        </w:rPr>
        <w:t>fees, costs, fines, penalties and other expenses incurred by an Insured arising out of the theft, disappearance, or destruction of, or access to, or disclosure or use of, or purported use or disclosure of, the Insured’s or another person’s or entity’s confidential or person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97" w:lineRule="exact"/>
        <w:rPr>
          <w:rFonts w:ascii="Arial" w:cs="Arial" w:eastAsia="Arial" w:hAnsi="Arial"/>
          <w:sz w:val="18"/>
          <w:szCs w:val="18"/>
          <w:color w:val="auto"/>
        </w:rPr>
      </w:pPr>
    </w:p>
    <w:p>
      <w:pPr>
        <w:ind w:left="964" w:right="260" w:hanging="532"/>
        <w:spacing w:after="0" w:line="279" w:lineRule="auto"/>
        <w:tabs>
          <w:tab w:leader="none" w:pos="964" w:val="left"/>
        </w:tabs>
        <w:numPr>
          <w:ilvl w:val="1"/>
          <w:numId w:val="90"/>
        </w:numPr>
        <w:rPr>
          <w:rFonts w:ascii="Arial" w:cs="Arial" w:eastAsia="Arial" w:hAnsi="Arial"/>
          <w:sz w:val="17"/>
          <w:szCs w:val="17"/>
          <w:color w:val="auto"/>
        </w:rPr>
      </w:pPr>
      <w:r>
        <w:rPr>
          <w:rFonts w:ascii="Arial" w:cs="Arial" w:eastAsia="Arial" w:hAnsi="Arial"/>
          <w:sz w:val="17"/>
          <w:szCs w:val="17"/>
          <w:color w:val="auto"/>
        </w:rPr>
        <w:t>expenses related to the Insured’s obligations to comply with federal and state privacy laws and Payment Card Industry Data Security Standards (if applicable) arising from a data security breach, including, but not limited to, forensic audit expenses, fines, penalties and expenses related to notifying affected individuals when the affected individuals’ personally identifiable financial or medical information was stolen, accessed, downloaded or misappropriated while in the Insured’s care, custody or control.</w:t>
      </w:r>
    </w:p>
    <w:p>
      <w:pPr>
        <w:spacing w:after="0" w:line="76" w:lineRule="exact"/>
        <w:rPr>
          <w:rFonts w:ascii="Arial" w:cs="Arial" w:eastAsia="Arial" w:hAnsi="Arial"/>
          <w:sz w:val="17"/>
          <w:szCs w:val="17"/>
          <w:color w:val="auto"/>
        </w:rPr>
      </w:pPr>
    </w:p>
    <w:p>
      <w:pPr>
        <w:ind w:left="424" w:hanging="424"/>
        <w:spacing w:after="0"/>
        <w:tabs>
          <w:tab w:leader="none" w:pos="424"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Conditions And Limitations, is amended to add the following:</w:t>
      </w:r>
    </w:p>
    <w:p>
      <w:pPr>
        <w:spacing w:after="0" w:line="117" w:lineRule="exact"/>
        <w:rPr>
          <w:rFonts w:ascii="Arial" w:cs="Arial" w:eastAsia="Arial" w:hAnsi="Arial"/>
          <w:sz w:val="18"/>
          <w:szCs w:val="18"/>
          <w:color w:val="auto"/>
        </w:rPr>
      </w:pPr>
    </w:p>
    <w:p>
      <w:pPr>
        <w:ind w:left="444" w:right="20"/>
        <w:spacing w:after="0" w:line="272" w:lineRule="auto"/>
        <w:rPr>
          <w:rFonts w:ascii="Arial" w:cs="Arial" w:eastAsia="Arial" w:hAnsi="Arial"/>
          <w:sz w:val="18"/>
          <w:szCs w:val="18"/>
          <w:color w:val="auto"/>
        </w:rPr>
      </w:pPr>
      <w:r>
        <w:rPr>
          <w:rFonts w:ascii="Arial" w:cs="Arial" w:eastAsia="Arial" w:hAnsi="Arial"/>
          <w:sz w:val="17"/>
          <w:szCs w:val="17"/>
          <w:color w:val="auto"/>
        </w:rPr>
        <w:t>Notwithstanding anything in this Bond to the contrary, including but not limited to any Insuring Agreement or endorsement providing for any coverage whatsoever for fees, costs or expenses, in no event shall there be any coverage under this Bond for fees, costs and expenses arising out of the theft, disappearance, or destruction of, or access to, or disclosure or use of, or purported use or disclosure of, the Insured’s or another person’s or entity’s confidential or person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and conditions of this policy remain unchanged.</w:t>
      </w:r>
    </w:p>
    <w:p>
      <w:pPr>
        <w:spacing w:after="0" w:line="200" w:lineRule="exact"/>
        <w:rPr>
          <w:sz w:val="20"/>
          <w:szCs w:val="20"/>
          <w:color w:val="auto"/>
        </w:rPr>
      </w:pPr>
    </w:p>
    <w:p>
      <w:pPr>
        <w:spacing w:after="0" w:line="262" w:lineRule="exact"/>
        <w:rPr>
          <w:sz w:val="20"/>
          <w:szCs w:val="20"/>
          <w:color w:val="auto"/>
        </w:rPr>
      </w:pPr>
    </w:p>
    <w:tbl>
      <w:tblPr>
        <w:tblLayout w:type="fixed"/>
        <w:tblInd w:w="4" w:type="dxa"/>
        <w:tblCellMar>
          <w:top w:w="0" w:type="dxa"/>
          <w:left w:w="0" w:type="dxa"/>
          <w:bottom w:w="0" w:type="dxa"/>
          <w:right w:w="0" w:type="dxa"/>
        </w:tblCellMar>
      </w:tblPr>
      <w:tr>
        <w:trPr>
          <w:trHeight w:val="244"/>
        </w:trPr>
        <w:tc>
          <w:tcPr>
            <w:tcW w:w="32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4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rPr>
              <w:t>Authorized Representative</w:t>
            </w:r>
          </w:p>
        </w:tc>
      </w:tr>
      <w:tr>
        <w:trPr>
          <w:trHeight w:val="592"/>
        </w:trPr>
        <w:tc>
          <w:tcPr>
            <w:tcW w:w="3260" w:type="dxa"/>
            <w:vAlign w:val="bottom"/>
          </w:tcPr>
          <w:p>
            <w:pPr>
              <w:spacing w:after="0"/>
              <w:rPr>
                <w:sz w:val="20"/>
                <w:szCs w:val="20"/>
                <w:color w:val="auto"/>
              </w:rPr>
            </w:pPr>
            <w:r>
              <w:rPr>
                <w:rFonts w:ascii="Arial" w:cs="Arial" w:eastAsia="Arial" w:hAnsi="Arial"/>
                <w:sz w:val="18"/>
                <w:szCs w:val="18"/>
                <w:color w:val="auto"/>
              </w:rPr>
              <w:t>PF-42750 (07/14)</w:t>
            </w:r>
          </w:p>
        </w:tc>
        <w:tc>
          <w:tcPr>
            <w:tcW w:w="3360" w:type="dxa"/>
            <w:vAlign w:val="bottom"/>
          </w:tcPr>
          <w:p>
            <w:pPr>
              <w:jc w:val="right"/>
              <w:ind w:right="750"/>
              <w:spacing w:after="0"/>
              <w:rPr>
                <w:sz w:val="20"/>
                <w:szCs w:val="20"/>
                <w:color w:val="auto"/>
              </w:rPr>
            </w:pPr>
            <w:r>
              <w:rPr>
                <w:rFonts w:ascii="Arial" w:cs="Arial" w:eastAsia="Arial" w:hAnsi="Arial"/>
                <w:sz w:val="18"/>
                <w:szCs w:val="18"/>
                <w:color w:val="auto"/>
              </w:rPr>
              <w:t>© 2014</w:t>
            </w:r>
          </w:p>
        </w:tc>
        <w:tc>
          <w:tcPr>
            <w:tcW w:w="4400" w:type="dxa"/>
            <w:vAlign w:val="bottom"/>
          </w:tcPr>
          <w:p>
            <w:pPr>
              <w:ind w:left="3580"/>
              <w:spacing w:after="0"/>
              <w:rPr>
                <w:sz w:val="20"/>
                <w:szCs w:val="20"/>
                <w:color w:val="auto"/>
              </w:rPr>
            </w:pPr>
            <w:r>
              <w:rPr>
                <w:rFonts w:ascii="Arial" w:cs="Arial" w:eastAsia="Arial" w:hAnsi="Arial"/>
                <w:sz w:val="18"/>
                <w:szCs w:val="18"/>
                <w:color w:val="auto"/>
                <w:w w:val="86"/>
              </w:rPr>
              <w:t>Page 1 of 1</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FI Bonds 14 &amp; 24</w:t>
            </w:r>
          </w:p>
        </w:tc>
        <w:tc>
          <w:tcPr>
            <w:tcW w:w="3360" w:type="dxa"/>
            <w:vAlign w:val="bottom"/>
          </w:tcPr>
          <w:p>
            <w:pPr>
              <w:spacing w:after="0"/>
              <w:rPr>
                <w:sz w:val="20"/>
                <w:szCs w:val="20"/>
                <w:color w:val="auto"/>
              </w:rPr>
            </w:pPr>
          </w:p>
        </w:tc>
        <w:tc>
          <w:tcPr>
            <w:tcW w:w="4400" w:type="dxa"/>
            <w:vAlign w:val="bottom"/>
          </w:tcPr>
          <w:p>
            <w:pPr>
              <w:spacing w:after="0"/>
              <w:rPr>
                <w:sz w:val="20"/>
                <w:szCs w:val="20"/>
                <w:color w:val="auto"/>
              </w:rPr>
            </w:pPr>
          </w:p>
        </w:tc>
      </w:tr>
    </w:tbl>
    <w:p>
      <w:pPr>
        <w:sectPr>
          <w:pgSz w:w="11900" w:h="16838" w:orient="portrait"/>
          <w:cols w:equalWidth="0" w:num="1">
            <w:col w:w="11024"/>
          </w:cols>
          <w:pgMar w:left="436" w:top="270" w:right="4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883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80" w:type="dxa"/>
            <w:vAlign w:val="bottom"/>
            <w:tcBorders>
              <w:top w:val="single" w:sz="8" w:color="auto"/>
            </w:tcBorders>
          </w:tcPr>
          <w:p>
            <w:pPr>
              <w:spacing w:after="0"/>
              <w:rPr>
                <w:sz w:val="18"/>
                <w:szCs w:val="18"/>
                <w:color w:val="auto"/>
              </w:rPr>
            </w:pPr>
          </w:p>
        </w:tc>
        <w:tc>
          <w:tcPr>
            <w:tcW w:w="440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w:t>
            </w:r>
          </w:p>
        </w:tc>
      </w:tr>
      <w:tr>
        <w:trPr>
          <w:trHeight w:val="198"/>
        </w:trPr>
        <w:tc>
          <w:tcPr>
            <w:tcW w:w="168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4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006</w:t>
            </w:r>
          </w:p>
        </w:tc>
        <w:tc>
          <w:tcPr>
            <w:tcW w:w="4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03/08/2020 to 03/08/2021</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03/08/2020</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 DEDUCTIBLE AMOUNT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11., DEDUCTIBLE AMOUNT, of the attached bond is amended to include the following: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shall be no Single Loss Deductible amount applicable to any loss under Insuring Agreement (A), Employee Dishonesty, sustained by any business development company in compliance with Section 54 of the Investment Company Act of 1940.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220" w:val="left"/>
          <w:tab w:leader="none" w:pos="10180" w:val="left"/>
        </w:tabs>
        <w:rPr>
          <w:sz w:val="20"/>
          <w:szCs w:val="20"/>
          <w:color w:val="auto"/>
        </w:rPr>
      </w:pPr>
      <w:r>
        <w:rPr>
          <w:rFonts w:ascii="Arial" w:cs="Arial" w:eastAsia="Arial" w:hAnsi="Arial"/>
          <w:sz w:val="18"/>
          <w:szCs w:val="18"/>
          <w:color w:val="auto"/>
        </w:rPr>
        <w:t>MS-47981 (03/16)</w:t>
      </w:r>
      <w:r>
        <w:rPr>
          <w:sz w:val="20"/>
          <w:szCs w:val="20"/>
          <w:color w:val="auto"/>
        </w:rPr>
        <w:tab/>
      </w:r>
      <w:r>
        <w:rPr>
          <w:rFonts w:ascii="Arial" w:cs="Arial" w:eastAsia="Arial" w:hAnsi="Arial"/>
          <w:sz w:val="18"/>
          <w:szCs w:val="18"/>
          <w:color w:val="auto"/>
        </w:rPr>
        <w:t>© 2016</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020"/>
          </w:cols>
          <w:pgMar w:left="440" w:top="270"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Treasury Department’s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4871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Of Foreign Assets Control (“OFAC”)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Advisory Notice to Policyholders</w:t>
      </w:r>
    </w:p>
    <w:p>
      <w:pPr>
        <w:spacing w:after="0" w:line="2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8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 xml:space="preserve">This Notice provides information concerning possible impact on your insurance coverage due to directives issued by OFAC. </w:t>
      </w:r>
      <w:r>
        <w:rPr>
          <w:rFonts w:ascii="Arial" w:cs="Arial" w:eastAsia="Arial" w:hAnsi="Arial"/>
          <w:sz w:val="18"/>
          <w:szCs w:val="18"/>
          <w:b w:val="1"/>
          <w:bCs w:val="1"/>
          <w:color w:val="auto"/>
        </w:rPr>
        <w:t>Please read this Notice</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Office of Foreign Assets Control (OFAC) administers and enforces sanctions policy, based on Presidential declarations of “national emergency”.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OFAC has identified and listed numerous:</w:t>
      </w:r>
    </w:p>
    <w:p>
      <w:pPr>
        <w:spacing w:after="0" w:line="116" w:lineRule="exact"/>
        <w:rPr>
          <w:sz w:val="20"/>
          <w:szCs w:val="20"/>
          <w:color w:val="auto"/>
        </w:rPr>
      </w:pPr>
    </w:p>
    <w:p>
      <w:pPr>
        <w:ind w:left="960" w:hanging="53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Foreign agents;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Front organizations;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Terrorists;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Terrorist organizations;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Narcotics traffickers;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“Specially Designated Nationals and Blocked Persons”. This list can be located on the United States Treasury’s web site – http//www.treas.gov/ofac.</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1900" w:h="16838" w:orient="portrait"/>
          <w:cols w:equalWidth="0" w:num="1">
            <w:col w:w="11020"/>
          </w:cols>
          <w:pgMar w:left="440" w:top="270" w:right="439" w:bottom="144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PF-17914a (04/16)</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2620"/>
        <w:spacing w:after="0"/>
        <w:rPr>
          <w:sz w:val="20"/>
          <w:szCs w:val="20"/>
          <w:color w:val="auto"/>
        </w:rPr>
      </w:pPr>
      <w:r>
        <w:rPr>
          <w:rFonts w:ascii="Arial" w:cs="Arial" w:eastAsia="Arial" w:hAnsi="Arial"/>
          <w:sz w:val="16"/>
          <w:szCs w:val="16"/>
          <w:color w:val="auto"/>
        </w:rPr>
        <w:t>Reprinted, in part, with permission of</w:t>
      </w:r>
    </w:p>
    <w:p>
      <w:pPr>
        <w:spacing w:after="0" w:line="46" w:lineRule="exact"/>
        <w:rPr>
          <w:sz w:val="20"/>
          <w:szCs w:val="20"/>
          <w:color w:val="auto"/>
        </w:rPr>
      </w:pPr>
    </w:p>
    <w:p>
      <w:pPr>
        <w:jc w:val="center"/>
        <w:ind w:right="2620"/>
        <w:spacing w:after="0"/>
        <w:rPr>
          <w:sz w:val="20"/>
          <w:szCs w:val="20"/>
          <w:color w:val="auto"/>
        </w:rPr>
      </w:pPr>
      <w:r>
        <w:rPr>
          <w:rFonts w:ascii="Arial" w:cs="Arial" w:eastAsia="Arial" w:hAnsi="Arial"/>
          <w:sz w:val="18"/>
          <w:szCs w:val="18"/>
          <w:color w:val="auto"/>
        </w:rPr>
        <w:t>ISO Properties, Inc.</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3">
            <w:col w:w="3440" w:space="720"/>
            <w:col w:w="5320" w:space="720"/>
            <w:col w:w="820"/>
          </w:cols>
          <w:pgMar w:left="440" w:top="270" w:right="4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4871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Chubb Producer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Practices &amp; Policies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Arial" w:cs="Arial" w:eastAsia="Arial" w:hAnsi="Arial"/>
          <w:sz w:val="18"/>
          <w:szCs w:val="18"/>
          <w:u w:val="single" w:color="auto"/>
          <w:color w:val="auto"/>
        </w:rPr>
        <w:t>http://www.chubbproducercompensation.com</w:t>
      </w:r>
      <w:r>
        <w:rPr>
          <w:rFonts w:ascii="Arial" w:cs="Arial" w:eastAsia="Arial" w:hAnsi="Arial"/>
          <w:sz w:val="18"/>
          <w:szCs w:val="18"/>
          <w:color w:val="auto"/>
        </w:rPr>
        <w:t xml:space="preserve"> or by calling the following toll-free telephone number: 1-866-512-2862.</w:t>
      </w:r>
    </w:p>
    <w:p>
      <w:pPr>
        <w:spacing w:after="0" w:line="116"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ALL-20887a (03/16)</w:t>
      </w:r>
      <w:r>
        <w:rPr>
          <w:sz w:val="20"/>
          <w:szCs w:val="20"/>
          <w:color w:val="auto"/>
        </w:rPr>
        <w:tab/>
      </w:r>
      <w:r>
        <w:rPr>
          <w:rFonts w:ascii="Arial" w:cs="Arial" w:eastAsia="Arial" w:hAnsi="Arial"/>
          <w:sz w:val="16"/>
          <w:szCs w:val="16"/>
          <w:color w:val="auto"/>
        </w:rPr>
        <w:t>Page 1 of 1</w:t>
      </w:r>
    </w:p>
    <w:sectPr>
      <w:pgSz w:w="11900" w:h="16838" w:orient="portrait"/>
      <w:cols w:equalWidth="0" w:num="1">
        <w:col w:w="11020"/>
      </w:cols>
      <w:pgMar w:left="44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1."/>
      <w:numFmt w:val="decimal"/>
      <w:start w:val="1"/>
    </w:lvl>
  </w:abstractNum>
  <w:abstractNum w:abstractNumId="2">
    <w:nsid w:val="6DE91B18"/>
    <w:multiLevelType w:val="hybridMultilevel"/>
    <w:lvl w:ilvl="0">
      <w:lvlJc w:val="left"/>
      <w:lvlText w:val="(%1)"/>
      <w:numFmt w:val="decimal"/>
      <w:start w:val="19"/>
    </w:lvl>
  </w:abstractNum>
  <w:abstractNum w:abstractNumId="3">
    <w:nsid w:val="38437FDB"/>
    <w:multiLevelType w:val="hybridMultilevel"/>
    <w:lvl w:ilvl="0">
      <w:lvlJc w:val="left"/>
      <w:lvlText w:val="(%1)"/>
      <w:numFmt w:val="upperLetter"/>
      <w:start w:val="1"/>
    </w:lvl>
  </w:abstractNum>
  <w:abstractNum w:abstractNumId="4">
    <w:nsid w:val="7644A45C"/>
    <w:multiLevelType w:val="hybridMultilevel"/>
    <w:lvl w:ilvl="0">
      <w:lvlJc w:val="left"/>
      <w:lvlText w:val="(%1)"/>
      <w:numFmt w:val="lowerRoman"/>
      <w:start w:val="3"/>
    </w:lvl>
  </w:abstractNum>
  <w:abstractNum w:abstractNumId="5">
    <w:nsid w:val="32FFF902"/>
    <w:multiLevelType w:val="hybridMultilevel"/>
    <w:lvl w:ilvl="0">
      <w:lvlJc w:val="left"/>
      <w:lvlText w:val="(%1)"/>
      <w:numFmt w:val="lowerLetter"/>
      <w:start w:val="1"/>
    </w:lvl>
  </w:abstractNum>
  <w:abstractNum w:abstractNumId="6">
    <w:nsid w:val="684A481A"/>
    <w:multiLevelType w:val="hybridMultilevel"/>
    <w:lvl w:ilvl="0">
      <w:lvlJc w:val="left"/>
      <w:lvlText w:val="(%1)"/>
      <w:numFmt w:val="upperLetter"/>
      <w:start w:val="2"/>
    </w:lvl>
    <w:lvl w:ilvl="1">
      <w:lvlJc w:val="left"/>
      <w:lvlText w:val="(%2)"/>
      <w:numFmt w:val="lowerLetter"/>
      <w:start w:val="1"/>
    </w:lvl>
  </w:abstractNum>
  <w:abstractNum w:abstractNumId="7">
    <w:nsid w:val="579478FE"/>
    <w:multiLevelType w:val="hybridMultilevel"/>
    <w:lvl w:ilvl="0">
      <w:lvlJc w:val="left"/>
      <w:lvlText w:val="(%1)"/>
      <w:numFmt w:val="upperLetter"/>
      <w:start w:val="4"/>
    </w:lvl>
    <w:lvl w:ilvl="1">
      <w:lvlJc w:val="left"/>
      <w:lvlText w:val="(%2)"/>
      <w:numFmt w:val="decimal"/>
      <w:start w:val="1"/>
    </w:lvl>
  </w:abstractNum>
  <w:abstractNum w:abstractNumId="8">
    <w:nsid w:val="749ABB43"/>
    <w:multiLevelType w:val="hybridMultilevel"/>
    <w:lvl w:ilvl="0">
      <w:lvlJc w:val="left"/>
      <w:lvlText w:val="(%1)"/>
      <w:numFmt w:val="lowerLetter"/>
      <w:start w:val="1"/>
    </w:lvl>
  </w:abstractNum>
  <w:abstractNum w:abstractNumId="9">
    <w:nsid w:val="3DC240FB"/>
    <w:multiLevelType w:val="hybridMultilevel"/>
    <w:lvl w:ilvl="0">
      <w:lvlJc w:val="left"/>
      <w:lvlText w:val="(%1)"/>
      <w:numFmt w:val="lowerRoman"/>
      <w:start w:val="1"/>
    </w:lvl>
  </w:abstractNum>
  <w:abstractNum w:abstractNumId="10">
    <w:nsid w:val="1BA026FA"/>
    <w:multiLevelType w:val="hybridMultilevel"/>
    <w:lvl w:ilvl="0">
      <w:lvlJc w:val="left"/>
      <w:lvlText w:val="(%1)"/>
      <w:numFmt w:val="upperLetter"/>
      <w:start w:val="3"/>
    </w:lvl>
  </w:abstractNum>
  <w:abstractNum w:abstractNumId="11">
    <w:nsid w:val="79A1DEAA"/>
    <w:multiLevelType w:val="hybridMultilevel"/>
    <w:lvl w:ilvl="0">
      <w:lvlJc w:val="left"/>
      <w:lvlText w:val="(%1)"/>
      <w:numFmt w:val="lowerLetter"/>
      <w:start w:val="1"/>
    </w:lvl>
  </w:abstractNum>
  <w:abstractNum w:abstractNumId="12">
    <w:nsid w:val="75C6C33A"/>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3">
    <w:nsid w:val="12E685FB"/>
    <w:multiLevelType w:val="hybridMultilevel"/>
    <w:lvl w:ilvl="0">
      <w:lvlJc w:val="left"/>
      <w:lvlText w:val="%1"/>
      <w:numFmt w:val="decimal"/>
      <w:start w:val="1"/>
    </w:lvl>
    <w:lvl w:ilvl="1">
      <w:lvlJc w:val="left"/>
      <w:lvlText w:val="(%2)"/>
      <w:numFmt w:val="lowerRoman"/>
      <w:start w:val="1"/>
    </w:lvl>
  </w:abstractNum>
  <w:abstractNum w:abstractNumId="14">
    <w:nsid w:val="70C6A529"/>
    <w:multiLevelType w:val="hybridMultilevel"/>
    <w:lvl w:ilvl="0">
      <w:lvlJc w:val="left"/>
      <w:lvlText w:val="(%1)"/>
      <w:numFmt w:val="decimal"/>
      <w:start w:val="2"/>
    </w:lvl>
    <w:lvl w:ilvl="1">
      <w:lvlJc w:val="left"/>
      <w:lvlText w:val="%2"/>
      <w:numFmt w:val="lowerRoman"/>
      <w:start w:val="1"/>
    </w:lvl>
  </w:abstractNum>
  <w:abstractNum w:abstractNumId="15">
    <w:nsid w:val="520EEDD1"/>
    <w:multiLevelType w:val="hybridMultilevel"/>
    <w:lvl w:ilvl="0">
      <w:lvlJc w:val="left"/>
      <w:lvlText w:val="(%1)"/>
      <w:numFmt w:val="lowerLetter"/>
      <w:start w:val="3"/>
    </w:lvl>
    <w:lvl w:ilvl="1">
      <w:lvlJc w:val="left"/>
      <w:lvlText w:val="(%2)"/>
      <w:numFmt w:val="lowerLetter"/>
      <w:start w:val="9"/>
    </w:lvl>
  </w:abstractNum>
  <w:abstractNum w:abstractNumId="16">
    <w:nsid w:val="374A3FE6"/>
    <w:multiLevelType w:val="hybridMultilevel"/>
    <w:lvl w:ilvl="0">
      <w:lvlJc w:val="left"/>
      <w:lvlText w:val="(%1)"/>
      <w:numFmt w:val="lowerRoman"/>
      <w:start w:val="2"/>
    </w:lvl>
  </w:abstractNum>
  <w:abstractNum w:abstractNumId="17">
    <w:nsid w:val="4F4EF005"/>
    <w:multiLevelType w:val="hybridMultilevel"/>
    <w:lvl w:ilvl="0">
      <w:lvlJc w:val="left"/>
      <w:lvlText w:val="(%1)"/>
      <w:numFmt w:val="upperLetter"/>
      <w:start w:val="6"/>
    </w:lvl>
  </w:abstractNum>
  <w:abstractNum w:abstractNumId="18">
    <w:nsid w:val="23F9C13C"/>
    <w:multiLevelType w:val="hybridMultilevel"/>
    <w:lvl w:ilvl="0">
      <w:lvlJc w:val="left"/>
      <w:lvlText w:val="(%1)"/>
      <w:numFmt w:val="lowerLetter"/>
      <w:start w:val="1"/>
    </w:lvl>
    <w:lvl w:ilvl="1">
      <w:lvlJc w:val="left"/>
      <w:lvlText w:val="(%2)"/>
      <w:numFmt w:val="lowerRoman"/>
      <w:start w:val="1"/>
    </w:lvl>
  </w:abstractNum>
  <w:abstractNum w:abstractNumId="19">
    <w:nsid w:val="649BB77C"/>
    <w:multiLevelType w:val="hybridMultilevel"/>
    <w:lvl w:ilvl="0">
      <w:lvlJc w:val="left"/>
      <w:lvlText w:val="(%1)"/>
      <w:numFmt w:val="lowerRoman"/>
      <w:start w:val="3"/>
    </w:lvl>
  </w:abstractNum>
  <w:abstractNum w:abstractNumId="20">
    <w:nsid w:val="275AC794"/>
    <w:multiLevelType w:val="hybridMultilevel"/>
    <w:lvl w:ilvl="0">
      <w:lvlJc w:val="left"/>
      <w:lvlText w:val="(%1)"/>
      <w:numFmt w:val="lowerLetter"/>
      <w:start w:val="1"/>
    </w:lvl>
    <w:lvl w:ilvl="1">
      <w:lvlJc w:val="left"/>
      <w:lvlText w:val="(%2)"/>
      <w:numFmt w:val="decimal"/>
      <w:start w:val="1"/>
    </w:lvl>
  </w:abstractNum>
  <w:abstractNum w:abstractNumId="21">
    <w:nsid w:val="39386575"/>
    <w:multiLevelType w:val="hybridMultilevel"/>
    <w:lvl w:ilvl="0">
      <w:lvlJc w:val="left"/>
      <w:lvlText w:val="%1"/>
      <w:numFmt w:val="lowerLetter"/>
      <w:start w:val="1"/>
    </w:lvl>
    <w:lvl w:ilvl="1">
      <w:lvlJc w:val="left"/>
      <w:lvlText w:val="(%2)"/>
      <w:numFmt w:val="decimal"/>
      <w:start w:val="6"/>
    </w:lvl>
  </w:abstractNum>
  <w:abstractNum w:abstractNumId="22">
    <w:nsid w:val="1CF10FD8"/>
    <w:multiLevelType w:val="hybridMultilevel"/>
    <w:lvl w:ilvl="0">
      <w:lvlJc w:val="left"/>
      <w:lvlText w:val="(%1)"/>
      <w:numFmt w:val="lowerLetter"/>
      <w:start w:val="6"/>
    </w:lvl>
    <w:lvl w:ilvl="1">
      <w:lvlJc w:val="left"/>
      <w:lvlText w:val="(%2)"/>
      <w:numFmt w:val="decimal"/>
      <w:start w:val="1"/>
    </w:lvl>
  </w:abstractNum>
  <w:abstractNum w:abstractNumId="23">
    <w:nsid w:val="180115BE"/>
    <w:multiLevelType w:val="hybridMultilevel"/>
    <w:lvl w:ilvl="0">
      <w:lvlJc w:val="left"/>
      <w:lvlText w:val="(%1)"/>
      <w:numFmt w:val="lowerLetter"/>
      <w:start w:val="5"/>
    </w:lvl>
    <w:lvl w:ilvl="1">
      <w:lvlJc w:val="left"/>
      <w:lvlText w:val="(%2)"/>
      <w:numFmt w:val="decimal"/>
      <w:start w:val="1"/>
    </w:lvl>
  </w:abstractNum>
  <w:abstractNum w:abstractNumId="24">
    <w:nsid w:val="235BA861"/>
    <w:multiLevelType w:val="hybridMultilevel"/>
    <w:lvl w:ilvl="0">
      <w:lvlJc w:val="left"/>
      <w:lvlText w:val="(%1)"/>
      <w:numFmt w:val="lowerLetter"/>
      <w:start w:val="1"/>
    </w:lvl>
  </w:abstractNum>
  <w:abstractNum w:abstractNumId="25">
    <w:nsid w:val="47398C89"/>
    <w:multiLevelType w:val="hybridMultilevel"/>
    <w:lvl w:ilvl="0">
      <w:lvlJc w:val="left"/>
      <w:lvlText w:val="(%1)"/>
      <w:numFmt w:val="lowerLetter"/>
      <w:start w:val="2"/>
    </w:lvl>
  </w:abstractNum>
  <w:abstractNum w:abstractNumId="26">
    <w:nsid w:val="354FE9F9"/>
    <w:multiLevelType w:val="hybridMultilevel"/>
    <w:lvl w:ilvl="0">
      <w:lvlJc w:val="left"/>
      <w:lvlText w:val="%1"/>
      <w:numFmt w:val="lowerLetter"/>
      <w:start w:val="1"/>
    </w:lvl>
    <w:lvl w:ilvl="1">
      <w:lvlJc w:val="left"/>
      <w:lvlText w:val="(%2)"/>
      <w:numFmt w:val="decimal"/>
      <w:start w:val="2"/>
    </w:lvl>
  </w:abstractNum>
  <w:abstractNum w:abstractNumId="27">
    <w:nsid w:val="15B5AF5C"/>
    <w:multiLevelType w:val="hybridMultilevel"/>
    <w:lvl w:ilvl="0">
      <w:lvlJc w:val="left"/>
      <w:lvlText w:val="(%1)"/>
      <w:numFmt w:val="lowerLetter"/>
      <w:start w:val="8"/>
    </w:lvl>
    <w:lvl w:ilvl="1">
      <w:lvlJc w:val="left"/>
      <w:lvlText w:val="%2"/>
      <w:numFmt w:val="decimal"/>
      <w:start w:val="1"/>
    </w:lvl>
  </w:abstractNum>
  <w:abstractNum w:abstractNumId="28">
    <w:nsid w:val="741226BB"/>
    <w:multiLevelType w:val="hybridMultilevel"/>
    <w:lvl w:ilvl="0">
      <w:lvlJc w:val="left"/>
      <w:lvlText w:val="(%1)"/>
      <w:numFmt w:val="upperLetter"/>
      <w:start w:val="9"/>
    </w:lvl>
  </w:abstractNum>
  <w:abstractNum w:abstractNumId="29">
    <w:nsid w:val="D34B6A8"/>
    <w:multiLevelType w:val="hybridMultilevel"/>
    <w:lvl w:ilvl="0">
      <w:lvlJc w:val="left"/>
      <w:lvlText w:val="(%1)"/>
      <w:numFmt w:val="lowerLetter"/>
      <w:start w:val="13"/>
    </w:lvl>
    <w:lvl w:ilvl="1">
      <w:lvlJc w:val="left"/>
      <w:lvlText w:val="(%2)"/>
      <w:numFmt w:val="decimal"/>
      <w:start w:val="1"/>
    </w:lvl>
    <w:lvl w:ilvl="2">
      <w:lvlJc w:val="left"/>
      <w:lvlText w:val="(%3)"/>
      <w:numFmt w:val="lowerLetter"/>
      <w:start w:val="1"/>
    </w:lvl>
  </w:abstractNum>
  <w:abstractNum w:abstractNumId="30">
    <w:nsid w:val="10233C99"/>
    <w:multiLevelType w:val="hybridMultilevel"/>
    <w:lvl w:ilvl="0">
      <w:lvlJc w:val="left"/>
      <w:lvlText w:val="%1"/>
      <w:numFmt w:val="lowerLetter"/>
      <w:start w:val="1"/>
    </w:lvl>
    <w:lvl w:ilvl="1">
      <w:lvlJc w:val="left"/>
      <w:lvlText w:val="(%2)"/>
      <w:numFmt w:val="decimal"/>
      <w:start w:val="3"/>
    </w:lvl>
  </w:abstractNum>
  <w:abstractNum w:abstractNumId="31">
    <w:nsid w:val="3F6AB60F"/>
    <w:multiLevelType w:val="hybridMultilevel"/>
    <w:lvl w:ilvl="0">
      <w:lvlJc w:val="left"/>
      <w:lvlText w:val="(%1)"/>
      <w:numFmt w:val="lowerLetter"/>
      <w:start w:val="19"/>
    </w:lvl>
    <w:lvl w:ilvl="1">
      <w:lvlJc w:val="left"/>
      <w:lvlText w:val="%2"/>
      <w:numFmt w:val="decimal"/>
      <w:start w:val="1"/>
    </w:lvl>
  </w:abstractNum>
  <w:abstractNum w:abstractNumId="32">
    <w:nsid w:val="61574095"/>
    <w:multiLevelType w:val="hybridMultilevel"/>
    <w:lvl w:ilvl="0">
      <w:lvlJc w:val="left"/>
      <w:lvlText w:val="(%1)"/>
      <w:numFmt w:val="lowerLetter"/>
      <w:start w:val="1"/>
    </w:lvl>
    <w:lvl w:ilvl="1">
      <w:lvlJc w:val="left"/>
      <w:lvlText w:val="(%2)"/>
      <w:numFmt w:val="decimal"/>
      <w:start w:val="1"/>
    </w:lvl>
  </w:abstractNum>
  <w:abstractNum w:abstractNumId="33">
    <w:nsid w:val="7E0C57B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4">
    <w:nsid w:val="77AE35EB"/>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5">
    <w:nsid w:val="579BE4F1"/>
    <w:multiLevelType w:val="hybridMultilevel"/>
    <w:lvl w:ilvl="0">
      <w:lvlJc w:val="left"/>
      <w:lvlText w:val="(%1)"/>
      <w:numFmt w:val="lowerLetter"/>
      <w:start w:val="17"/>
    </w:lvl>
    <w:lvl w:ilvl="1">
      <w:lvlJc w:val="left"/>
      <w:lvlText w:val="(%2)"/>
      <w:numFmt w:val="decimal"/>
      <w:start w:val="1"/>
    </w:lvl>
    <w:lvl w:ilvl="2">
      <w:lvlJc w:val="left"/>
      <w:lvlText w:val="%3"/>
      <w:numFmt w:val="lowerLetter"/>
      <w:start w:val="1"/>
    </w:lvl>
  </w:abstractNum>
  <w:abstractNum w:abstractNumId="36">
    <w:nsid w:val="310C50B3"/>
    <w:multiLevelType w:val="hybridMultilevel"/>
    <w:lvl w:ilvl="0">
      <w:lvlJc w:val="left"/>
      <w:lvlText w:val="(%1)"/>
      <w:numFmt w:val="lowerLetter"/>
      <w:start w:val="10"/>
    </w:lvl>
    <w:lvl w:ilvl="1">
      <w:lvlJc w:val="left"/>
      <w:lvlText w:val="(%2)"/>
      <w:numFmt w:val="decimal"/>
      <w:start w:val="1"/>
    </w:lvl>
  </w:abstractNum>
  <w:abstractNum w:abstractNumId="37">
    <w:nsid w:val="5FF87E05"/>
    <w:multiLevelType w:val="hybridMultilevel"/>
    <w:lvl w:ilvl="0">
      <w:lvlJc w:val="left"/>
      <w:lvlText w:val="(%1)"/>
      <w:numFmt w:val="upperLetter"/>
      <w:start w:val="9"/>
    </w:lvl>
  </w:abstractNum>
  <w:abstractNum w:abstractNumId="38">
    <w:nsid w:val="2F305DEF"/>
    <w:multiLevelType w:val="hybridMultilevel"/>
    <w:lvl w:ilvl="0">
      <w:lvlJc w:val="left"/>
      <w:lvlText w:val="(%1)"/>
      <w:numFmt w:val="lowerLetter"/>
      <w:start w:val="13"/>
    </w:lvl>
    <w:lvl w:ilvl="1">
      <w:lvlJc w:val="left"/>
      <w:lvlText w:val="(%2)"/>
      <w:numFmt w:val="decimal"/>
      <w:start w:val="1"/>
    </w:lvl>
  </w:abstractNum>
  <w:abstractNum w:abstractNumId="39">
    <w:nsid w:val="25A70BF7"/>
    <w:multiLevelType w:val="hybridMultilevel"/>
    <w:lvl w:ilvl="0">
      <w:lvlJc w:val="left"/>
      <w:lvlText w:val="(%1)"/>
      <w:numFmt w:val="lowerLetter"/>
      <w:start w:val="19"/>
    </w:lvl>
    <w:lvl w:ilvl="1">
      <w:lvlJc w:val="left"/>
      <w:lvlText w:val="(%2)"/>
      <w:numFmt w:val="decimal"/>
      <w:start w:val="1"/>
    </w:lvl>
  </w:abstractNum>
  <w:abstractNum w:abstractNumId="40">
    <w:nsid w:val="1DBABF00"/>
    <w:multiLevelType w:val="hybridMultilevel"/>
    <w:lvl w:ilvl="0">
      <w:lvlJc w:val="left"/>
      <w:lvlText w:val="(%1)"/>
      <w:numFmt w:val="lowerLetter"/>
      <w:start w:val="1"/>
    </w:lvl>
  </w:abstractNum>
  <w:abstractNum w:abstractNumId="41">
    <w:nsid w:val="4AD084E9"/>
    <w:multiLevelType w:val="hybridMultilevel"/>
    <w:lvl w:ilvl="0">
      <w:lvlJc w:val="left"/>
      <w:lvlText w:val="(%1)"/>
      <w:numFmt w:val="lowerLetter"/>
      <w:start w:val="1"/>
    </w:lvl>
  </w:abstractNum>
  <w:abstractNum w:abstractNumId="42">
    <w:nsid w:val="1F48EAA1"/>
    <w:multiLevelType w:val="hybridMultilevel"/>
    <w:lvl w:ilvl="0">
      <w:lvlJc w:val="left"/>
      <w:lvlText w:val="(%1)"/>
      <w:numFmt w:val="lowerLetter"/>
      <w:start w:val="1"/>
    </w:lvl>
  </w:abstractNum>
  <w:abstractNum w:abstractNumId="43">
    <w:nsid w:val="1381823A"/>
    <w:multiLevelType w:val="hybridMultilevel"/>
    <w:lvl w:ilvl="0">
      <w:lvlJc w:val="left"/>
      <w:lvlText w:val="(%1)"/>
      <w:numFmt w:val="lowerLetter"/>
      <w:start w:val="20"/>
    </w:lvl>
  </w:abstractNum>
  <w:abstractNum w:abstractNumId="44">
    <w:nsid w:val="5DB70AE5"/>
    <w:multiLevelType w:val="hybridMultilevel"/>
    <w:lvl w:ilvl="0">
      <w:lvlJc w:val="left"/>
      <w:lvlText w:val="(%1)"/>
      <w:numFmt w:val="lowerLetter"/>
      <w:start w:val="26"/>
    </w:lvl>
  </w:abstractNum>
  <w:abstractNum w:abstractNumId="45">
    <w:nsid w:val="100F8FCA"/>
    <w:multiLevelType w:val="hybridMultilevel"/>
    <w:lvl w:ilvl="0">
      <w:lvlJc w:val="left"/>
      <w:lvlText w:val="(%1)"/>
      <w:numFmt w:val="lowerLetter"/>
      <w:start w:val="27"/>
    </w:lvl>
  </w:abstractNum>
  <w:abstractNum w:abstractNumId="46">
    <w:nsid w:val="6590700B"/>
    <w:multiLevelType w:val="hybridMultilevel"/>
    <w:lvl w:ilvl="0">
      <w:lvlJc w:val="left"/>
      <w:lvlText w:val="(%1)"/>
      <w:numFmt w:val="lowerLetter"/>
      <w:start w:val="1"/>
    </w:lvl>
    <w:lvl w:ilvl="1">
      <w:lvlJc w:val="left"/>
      <w:lvlText w:val="(%2)"/>
      <w:numFmt w:val="decimal"/>
      <w:start w:val="1"/>
    </w:lvl>
  </w:abstractNum>
  <w:abstractNum w:abstractNumId="47">
    <w:nsid w:val="15014ACB"/>
    <w:multiLevelType w:val="hybridMultilevel"/>
    <w:lvl w:ilvl="0">
      <w:lvlJc w:val="left"/>
      <w:lvlText w:val="(%1)"/>
      <w:numFmt w:val="lowerLetter"/>
      <w:start w:val="17"/>
    </w:lvl>
  </w:abstractNum>
  <w:abstractNum w:abstractNumId="48">
    <w:nsid w:val="5F5E7FD0"/>
    <w:multiLevelType w:val="hybridMultilevel"/>
    <w:lvl w:ilvl="0">
      <w:lvlJc w:val="left"/>
      <w:lvlText w:val="%1."/>
      <w:numFmt w:val="decimal"/>
      <w:start w:val="1"/>
    </w:lvl>
    <w:lvl w:ilvl="1">
      <w:lvlJc w:val="left"/>
      <w:lvlText w:val="(%2)"/>
      <w:numFmt w:val="lowerLetter"/>
      <w:start w:val="4"/>
    </w:lvl>
  </w:abstractNum>
  <w:abstractNum w:abstractNumId="49">
    <w:nsid w:val="98A3148"/>
    <w:multiLevelType w:val="hybridMultilevel"/>
    <w:lvl w:ilvl="0">
      <w:lvlJc w:val="left"/>
      <w:lvlText w:val="%1"/>
      <w:numFmt w:val="decimal"/>
      <w:start w:val="1"/>
    </w:lvl>
    <w:lvl w:ilvl="1">
      <w:lvlJc w:val="left"/>
      <w:lvlText w:val="(%2)"/>
      <w:numFmt w:val="lowerLetter"/>
      <w:start w:val="7"/>
    </w:lvl>
  </w:abstractNum>
  <w:abstractNum w:abstractNumId="50">
    <w:nsid w:val="799D0247"/>
    <w:multiLevelType w:val="hybridMultilevel"/>
    <w:lvl w:ilvl="0">
      <w:lvlJc w:val="left"/>
      <w:lvlText w:val="%1."/>
      <w:numFmt w:val="decimal"/>
      <w:start w:val="3"/>
    </w:lvl>
    <w:lvl w:ilvl="1">
      <w:lvlJc w:val="left"/>
      <w:lvlText w:val="%2"/>
      <w:numFmt w:val="lowerLetter"/>
      <w:start w:val="1"/>
    </w:lvl>
  </w:abstractNum>
  <w:abstractNum w:abstractNumId="51">
    <w:nsid w:val="6B94764"/>
    <w:multiLevelType w:val="hybridMultilevel"/>
    <w:lvl w:ilvl="0">
      <w:lvlJc w:val="left"/>
      <w:lvlText w:val="%1."/>
      <w:numFmt w:val="decimal"/>
      <w:start w:val="4"/>
    </w:lvl>
  </w:abstractNum>
  <w:abstractNum w:abstractNumId="52">
    <w:nsid w:val="42C296BD"/>
    <w:multiLevelType w:val="hybridMultilevel"/>
    <w:lvl w:ilvl="0">
      <w:lvlJc w:val="left"/>
      <w:lvlText w:val="%1."/>
      <w:numFmt w:val="decimal"/>
      <w:start w:val="5"/>
    </w:lvl>
  </w:abstractNum>
  <w:abstractNum w:abstractNumId="53">
    <w:nsid w:val="168E121F"/>
    <w:multiLevelType w:val="hybridMultilevel"/>
    <w:lvl w:ilvl="0">
      <w:lvlJc w:val="left"/>
      <w:lvlText w:val="%1."/>
      <w:numFmt w:val="decimal"/>
      <w:start w:val="1"/>
    </w:lvl>
    <w:lvl w:ilvl="1">
      <w:lvlJc w:val="left"/>
      <w:lvlText w:val="•"/>
      <w:numFmt w:val="bullet"/>
      <w:start w:val="1"/>
    </w:lvl>
    <w:lvl w:ilvl="2">
      <w:lvlJc w:val="left"/>
      <w:lvlText w:val="%3."/>
      <w:numFmt w:val="decimal"/>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
      <w:numFmt w:val="bullet"/>
      <w:start w:val="1"/>
    </w:lvl>
    <w:lvl w:ilvl="1">
      <w:lvlJc w:val="left"/>
      <w:lvlText w:val="%2."/>
      <w:numFmt w:val="decimal"/>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lowerLetter"/>
      <w:start w:val="1"/>
    </w:lvl>
  </w:abstractNum>
  <w:abstractNum w:abstractNumId="59">
    <w:nsid w:val="51D9C564"/>
    <w:multiLevelType w:val="hybridMultilevel"/>
    <w:lvl w:ilvl="0">
      <w:lvlJc w:val="left"/>
      <w:lvlText w:val="•"/>
      <w:numFmt w:val="bullet"/>
      <w:start w:val="1"/>
    </w:lvl>
    <w:lvl w:ilvl="1">
      <w:lvlJc w:val="left"/>
      <w:lvlText w:val="%2."/>
      <w:numFmt w:val="decimal"/>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decimal"/>
      <w:start w:val="1"/>
    </w:lvl>
    <w:lvl w:ilvl="1">
      <w:lvlJc w:val="left"/>
      <w:lvlText w:val="%2)"/>
      <w:numFmt w:val="lowerLetter"/>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8">
    <w:nsid w:val="68EB2F63"/>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1."/>
      <w:numFmt w:val="decimal"/>
      <w:start w:val="3"/>
    </w:lvl>
    <w:lvl w:ilvl="1">
      <w:lvlJc w:val="left"/>
      <w:lvlText w:val="•"/>
      <w:numFmt w:val="bullet"/>
      <w:start w:val="1"/>
    </w:lvl>
    <w:lvl w:ilvl="2">
      <w:lvlJc w:val="left"/>
      <w:lvlText w:val="%3."/>
      <w:numFmt w:val="decimal"/>
      <w:start w:val="1"/>
    </w:lvl>
  </w:abstractNum>
  <w:abstractNum w:abstractNumId="71">
    <w:nsid w:val="6A5EE64"/>
    <w:multiLevelType w:val="hybridMultilevel"/>
    <w:lvl w:ilvl="0">
      <w:lvlJc w:val="left"/>
      <w:lvlText w:val="•"/>
      <w:numFmt w:val="bullet"/>
      <w:start w:val="1"/>
    </w:lvl>
    <w:lvl w:ilvl="1">
      <w:lvlJc w:val="left"/>
      <w:lvlText w:val="%2."/>
      <w:numFmt w:val="decimal"/>
      <w:start w:val="1"/>
    </w:lvl>
  </w:abstractNum>
  <w:abstractNum w:abstractNumId="72">
    <w:nsid w:val="14330624"/>
    <w:multiLevelType w:val="hybridMultilevel"/>
    <w:lvl w:ilvl="0">
      <w:lvlJc w:val="left"/>
      <w:lvlText w:val="•"/>
      <w:numFmt w:val="bullet"/>
      <w:start w:val="1"/>
    </w:lvl>
    <w:lvl w:ilvl="1">
      <w:lvlJc w:val="left"/>
      <w:lvlText w:val="(%2)"/>
      <w:numFmt w:val="decimal"/>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1)"/>
      <w:numFmt w:val="lowerLetter"/>
      <w:start w:val="10"/>
    </w:lvl>
  </w:abstractNum>
  <w:abstractNum w:abstractNumId="75">
    <w:nsid w:val="71EA1109"/>
    <w:multiLevelType w:val="hybridMultilevel"/>
    <w:lvl w:ilvl="0">
      <w:lvlJc w:val="left"/>
      <w:lvlText w:val="(%1)"/>
      <w:numFmt w:val="upperLetter"/>
      <w:start w:val="6"/>
    </w:lvl>
  </w:abstractNum>
  <w:abstractNum w:abstractNumId="76">
    <w:nsid w:val="100F59D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21"/>
    </w:lvl>
    <w:lvl w:ilvl="3">
      <w:lvlJc w:val="left"/>
      <w:lvlText w:val="(%4)"/>
      <w:numFmt w:val="decimal"/>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2"/>
    </w:lvl>
  </w:abstractNum>
  <w:abstractNum w:abstractNumId="79">
    <w:nsid w:val="6F6DD9AC"/>
    <w:multiLevelType w:val="hybridMultilevel"/>
    <w:lvl w:ilvl="0">
      <w:lvlJc w:val="left"/>
      <w:lvlText w:val="%1."/>
      <w:numFmt w:val="decimal"/>
      <w:start w:val="1"/>
    </w:lvl>
    <w:lvl w:ilvl="1">
      <w:lvlJc w:val="left"/>
      <w:lvlText w:val="•"/>
      <w:numFmt w:val="bullet"/>
      <w:start w:val="1"/>
    </w:lvl>
  </w:abstractNum>
  <w:abstractNum w:abstractNumId="80">
    <w:nsid w:val="94211F2"/>
    <w:multiLevelType w:val="hybridMultilevel"/>
    <w:lvl w:ilvl="0">
      <w:lvlJc w:val="left"/>
      <w:lvlText w:val="%1."/>
      <w:numFmt w:val="decimal"/>
      <w:start w:val="1"/>
    </w:lvl>
    <w:lvl w:ilvl="1">
      <w:lvlJc w:val="left"/>
      <w:lvlText w:val="(%2)"/>
      <w:numFmt w:val="lowerLetter"/>
      <w:start w:val="1"/>
    </w:lvl>
  </w:abstractNum>
  <w:abstractNum w:abstractNumId="81">
    <w:nsid w:val="885E1B"/>
    <w:multiLevelType w:val="hybridMultilevel"/>
    <w:lvl w:ilvl="0">
      <w:lvlJc w:val="left"/>
      <w:lvlText w:val="%1."/>
      <w:numFmt w:val="decimal"/>
      <w:start w:val="1"/>
    </w:lvl>
    <w:lvl w:ilvl="1">
      <w:lvlJc w:val="left"/>
      <w:lvlText w:val="•"/>
      <w:numFmt w:val="bullet"/>
      <w:start w:val="1"/>
    </w:lvl>
    <w:lvl w:ilvl="2">
      <w:lvlJc w:val="left"/>
      <w:lvlText w:val="(%3)"/>
      <w:numFmt w:val="lowerLetter"/>
      <w:start w:val="21"/>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upperLetter"/>
      <w:start w:val="4"/>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2"/>
    </w:lvl>
  </w:abstractNum>
  <w:abstractNum w:abstractNumId="87">
    <w:nsid w:val="74DE0EE3"/>
    <w:multiLevelType w:val="hybridMultilevel"/>
    <w:lvl w:ilvl="0">
      <w:lvlJc w:val="left"/>
      <w:lvlText w:val="%1."/>
      <w:numFmt w:val="decimal"/>
      <w:start w:val="1"/>
    </w:lvl>
    <w:lvl w:ilvl="1">
      <w:lvlJc w:val="left"/>
      <w:lvlText w:val="(%2)"/>
      <w:numFmt w:val="lowerLetter"/>
      <w:start w:val="5"/>
    </w:lvl>
  </w:abstractNum>
  <w:abstractNum w:abstractNumId="88">
    <w:nsid w:val="68EBC550"/>
    <w:multiLevelType w:val="hybridMultilevel"/>
    <w:lvl w:ilvl="0">
      <w:lvlJc w:val="left"/>
      <w:lvlText w:val="☒"/>
      <w:numFmt w:val="bullet"/>
      <w:start w:val="1"/>
    </w:lvl>
    <w:lvl w:ilvl="1">
      <w:lvlJc w:val="left"/>
      <w:lvlText w:val="(%2)"/>
      <w:numFmt w:val="lowerRoman"/>
      <w:start w:val="1"/>
    </w:lvl>
  </w:abstractNum>
  <w:abstractNum w:abstractNumId="89">
    <w:nsid w:val="2DF6D648"/>
    <w:multiLevelType w:val="hybridMultilevel"/>
    <w:lvl w:ilvl="0">
      <w:lvlJc w:val="left"/>
      <w:lvlText w:val="%1."/>
      <w:numFmt w:val="decimal"/>
      <w:start w:val="1"/>
    </w:lvl>
    <w:lvl w:ilvl="1">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2020-03-12T16:02:50Z</dcterms:created>
  <dcterms:modified xsi:type="dcterms:W3CDTF">2020-03-12T16:02:50Z</dcterms:modified>
</cp:coreProperties>
</file>