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March 28,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2040" w:type="dxa"/>
        <w:tblCellMar>
          <w:top w:w="0" w:type="dxa"/>
          <w:left w:w="0" w:type="dxa"/>
          <w:bottom w:w="0" w:type="dxa"/>
          <w:right w:w="0" w:type="dxa"/>
        </w:tblCellMar>
      </w:tblPr>
      <w:tr>
        <w:trPr>
          <w:trHeight w:val="212"/>
        </w:trPr>
        <w:tc>
          <w:tcPr>
            <w:tcW w:w="3120" w:type="dxa"/>
            <w:vAlign w:val="bottom"/>
          </w:tcPr>
          <w:p>
            <w:pPr>
              <w:jc w:val="center"/>
              <w:ind w:right="1339"/>
              <w:spacing w:after="0"/>
              <w:rPr>
                <w:sz w:val="20"/>
                <w:szCs w:val="20"/>
                <w:color w:val="auto"/>
              </w:rPr>
            </w:pPr>
            <w:r>
              <w:rPr>
                <w:rFonts w:ascii="Arial" w:cs="Arial" w:eastAsia="Arial" w:hAnsi="Arial"/>
                <w:sz w:val="18"/>
                <w:szCs w:val="18"/>
                <w:b w:val="1"/>
                <w:bCs w:val="1"/>
                <w:color w:val="auto"/>
                <w:w w:val="93"/>
              </w:rPr>
              <w:t>Delaware</w:t>
            </w:r>
          </w:p>
        </w:tc>
        <w:tc>
          <w:tcPr>
            <w:tcW w:w="1980" w:type="dxa"/>
            <w:vAlign w:val="bottom"/>
          </w:tcPr>
          <w:p>
            <w:pPr>
              <w:ind w:left="260"/>
              <w:spacing w:after="0"/>
              <w:rPr>
                <w:sz w:val="20"/>
                <w:szCs w:val="20"/>
                <w:color w:val="auto"/>
              </w:rPr>
            </w:pPr>
            <w:r>
              <w:rPr>
                <w:rFonts w:ascii="Arial" w:cs="Arial" w:eastAsia="Arial" w:hAnsi="Arial"/>
                <w:sz w:val="18"/>
                <w:szCs w:val="18"/>
                <w:b w:val="1"/>
                <w:bCs w:val="1"/>
                <w:color w:val="auto"/>
              </w:rPr>
              <w:t>001-36364</w:t>
            </w:r>
          </w:p>
        </w:tc>
        <w:tc>
          <w:tcPr>
            <w:tcW w:w="2040" w:type="dxa"/>
            <w:vAlign w:val="bottom"/>
          </w:tcPr>
          <w:p>
            <w:pPr>
              <w:jc w:val="right"/>
              <w:ind w:right="4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3120" w:type="dxa"/>
            <w:vAlign w:val="bottom"/>
          </w:tcPr>
          <w:p>
            <w:pPr>
              <w:jc w:val="center"/>
              <w:ind w:right="133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9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(Commission</w:t>
            </w:r>
          </w:p>
        </w:tc>
        <w:tc>
          <w:tcPr>
            <w:tcW w:w="2040" w:type="dxa"/>
            <w:vAlign w:val="bottom"/>
          </w:tcPr>
          <w:p>
            <w:pPr>
              <w:jc w:val="center"/>
              <w:ind w:left="8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120" w:type="dxa"/>
            <w:vAlign w:val="bottom"/>
          </w:tcPr>
          <w:p>
            <w:pPr>
              <w:jc w:val="center"/>
              <w:ind w:right="1339"/>
              <w:spacing w:after="0"/>
              <w:rPr>
                <w:sz w:val="20"/>
                <w:szCs w:val="20"/>
                <w:color w:val="auto"/>
              </w:rPr>
            </w:pPr>
            <w:r>
              <w:rPr>
                <w:rFonts w:ascii="Arial" w:cs="Arial" w:eastAsia="Arial" w:hAnsi="Arial"/>
                <w:sz w:val="14"/>
                <w:szCs w:val="14"/>
                <w:b w:val="1"/>
                <w:bCs w:val="1"/>
                <w:color w:val="auto"/>
                <w:w w:val="94"/>
              </w:rPr>
              <w:t>of Incorporation)</w:t>
            </w:r>
          </w:p>
        </w:tc>
        <w:tc>
          <w:tcPr>
            <w:tcW w:w="1980" w:type="dxa"/>
            <w:vAlign w:val="bottom"/>
          </w:tcPr>
          <w:p>
            <w:pPr>
              <w:ind w:left="240"/>
              <w:spacing w:after="0"/>
              <w:rPr>
                <w:sz w:val="20"/>
                <w:szCs w:val="20"/>
                <w:color w:val="auto"/>
              </w:rPr>
            </w:pPr>
            <w:r>
              <w:rPr>
                <w:rFonts w:ascii="Arial" w:cs="Arial" w:eastAsia="Arial" w:hAnsi="Arial"/>
                <w:sz w:val="14"/>
                <w:szCs w:val="14"/>
                <w:b w:val="1"/>
                <w:bCs w:val="1"/>
                <w:color w:val="auto"/>
              </w:rPr>
              <w:t>File Number)</w:t>
            </w:r>
          </w:p>
        </w:tc>
        <w:tc>
          <w:tcPr>
            <w:tcW w:w="2040" w:type="dxa"/>
            <w:vAlign w:val="bottom"/>
          </w:tcPr>
          <w:p>
            <w:pPr>
              <w:jc w:val="center"/>
              <w:ind w:left="8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5100" w:type="dxa"/>
            <w:vAlign w:val="bottom"/>
            <w:gridSpan w:val="2"/>
          </w:tcPr>
          <w:p>
            <w:pPr>
              <w:jc w:val="center"/>
              <w:ind w:right="482"/>
              <w:spacing w:after="0"/>
              <w:rPr>
                <w:sz w:val="20"/>
                <w:szCs w:val="20"/>
                <w:color w:val="auto"/>
              </w:rPr>
            </w:pPr>
            <w:r>
              <w:rPr>
                <w:rFonts w:ascii="Arial" w:cs="Arial" w:eastAsia="Arial" w:hAnsi="Arial"/>
                <w:sz w:val="18"/>
                <w:szCs w:val="18"/>
                <w:b w:val="1"/>
                <w:bCs w:val="1"/>
                <w:color w:val="auto"/>
                <w:w w:val="89"/>
              </w:rPr>
              <w:t>301 Commerce Street, Suite 3300</w:t>
            </w:r>
          </w:p>
        </w:tc>
        <w:tc>
          <w:tcPr>
            <w:tcW w:w="2040" w:type="dxa"/>
            <w:vAlign w:val="bottom"/>
          </w:tcPr>
          <w:p>
            <w:pPr>
              <w:spacing w:after="0"/>
              <w:rPr>
                <w:sz w:val="24"/>
                <w:szCs w:val="24"/>
                <w:color w:val="auto"/>
              </w:rPr>
            </w:pPr>
          </w:p>
        </w:tc>
      </w:tr>
      <w:tr>
        <w:trPr>
          <w:trHeight w:val="225"/>
        </w:trPr>
        <w:tc>
          <w:tcPr>
            <w:tcW w:w="3120" w:type="dxa"/>
            <w:vAlign w:val="bottom"/>
          </w:tcPr>
          <w:p>
            <w:pPr>
              <w:jc w:val="center"/>
              <w:ind w:left="1339"/>
              <w:spacing w:after="0"/>
              <w:rPr>
                <w:sz w:val="20"/>
                <w:szCs w:val="20"/>
                <w:color w:val="auto"/>
              </w:rPr>
            </w:pPr>
            <w:r>
              <w:rPr>
                <w:rFonts w:ascii="Arial" w:cs="Arial" w:eastAsia="Arial" w:hAnsi="Arial"/>
                <w:sz w:val="18"/>
                <w:szCs w:val="18"/>
                <w:b w:val="1"/>
                <w:bCs w:val="1"/>
                <w:color w:val="auto"/>
                <w:w w:val="97"/>
              </w:rPr>
              <w:t>Fort Worth, TX</w:t>
            </w:r>
          </w:p>
        </w:tc>
        <w:tc>
          <w:tcPr>
            <w:tcW w:w="1980" w:type="dxa"/>
            <w:vAlign w:val="bottom"/>
          </w:tcPr>
          <w:p>
            <w:pPr>
              <w:spacing w:after="0"/>
              <w:rPr>
                <w:sz w:val="19"/>
                <w:szCs w:val="19"/>
                <w:color w:val="auto"/>
              </w:rPr>
            </w:pPr>
          </w:p>
        </w:tc>
        <w:tc>
          <w:tcPr>
            <w:tcW w:w="204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5100" w:type="dxa"/>
            <w:vAlign w:val="bottom"/>
            <w:gridSpan w:val="2"/>
          </w:tcPr>
          <w:p>
            <w:pPr>
              <w:jc w:val="center"/>
              <w:ind w:right="482"/>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040" w:type="dxa"/>
            <w:vAlign w:val="bottom"/>
          </w:tcPr>
          <w:p>
            <w:pPr>
              <w:jc w:val="center"/>
              <w:ind w:left="86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 Regulation FD Disclosure</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March 28, 2017, the registrant issued a press release, included herewith as Exhibit 99.1, announcing that the record date for the registrant’s first fiscal quarter 2017 dividend has been moved from March 31, 2017 to April 7, 2017. The previously announced dividend amount of $0.39 per share and payment date of April 28, 2017 remain unchanged.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5080</wp:posOffset>
            </wp:positionV>
            <wp:extent cx="66465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pacing w:after="0" w:line="8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28, 2017</w:t>
      </w:r>
    </w:p>
    <w:p>
      <w:pPr>
        <w:sectPr>
          <w:pgSz w:w="11900" w:h="16838" w:orient="portrait"/>
          <w:cols w:equalWidth="0" w:num="1">
            <w:col w:w="11240"/>
          </w:cols>
          <w:pgMar w:left="240" w:top="270" w:right="41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304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30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March 28, 2017</w:t>
      </w:r>
      <w:r>
        <w:rPr>
          <w:sz w:val="20"/>
          <w:szCs w:val="20"/>
          <w:color w:val="auto"/>
        </w:rPr>
        <w:tab/>
      </w:r>
      <w:r>
        <w:rPr>
          <w:rFonts w:ascii="Arial" w:cs="Arial" w:eastAsia="Arial" w:hAnsi="Arial"/>
          <w:sz w:val="16"/>
          <w:szCs w:val="16"/>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Ian Simmonds</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 Announces Change of Record Date for First Quarter 2017 Dividend</w:t>
      </w:r>
    </w:p>
    <w:p>
      <w:pPr>
        <w:spacing w:after="0" w:line="12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NEW YORK—(BUSINESS WIRE)—March 28, 2017— TPG Specialty Lending, Inc. (NYSE: TSLX, or the “Company”) today announced that the record date for the Company’s upcoming quarterly dividend has been moved from March 31, 2017 to April 7, 2017. The change ensures that the record date for the dividend is consistent with stock exchange notice requirements. The previously announced dividend amount of $0.39 per share and payment date of April 28, 2017 remain unchanged.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TSLX is a specialty finance company focused on lending to middle-market companies. The Company seeks to generate current income primarily in U.S.-domiciled middle-market companies through direct originations of senior secured loans and, to a lesser extent, originations of mezzanine and unsecured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over $18 billion of assets under management as of December 31, 2016, and the broader TPG platform, a global private investment firm with approximately $72 billion of assets under management as of December 31, 2016. For more information, visit the Company’s website at www.tpgspecialtylending.com.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Statements included herein may constitute “forward-looking statements,” which relate to future events or the Company’s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 TSLX undertakes no duty to update any forward-looking statements made herein.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Source: TPG Specialty Lending,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Lucy 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lbarrett@tpg.com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Owen Blicksilver PR,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Hurson, 845-507-0571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jennifer@blicksilverpr.com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2019-12-07T14:13:51Z</dcterms:created>
  <dcterms:modified xsi:type="dcterms:W3CDTF">2019-12-07T14:13:51Z</dcterms:modified>
</cp:coreProperties>
</file>