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3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PROXY STATEMENT PURSUANT TO SECTION 14(a) OF THE</w:t>
      </w:r>
    </w:p>
    <w:p>
      <w:pPr>
        <w:spacing w:after="0" w:line="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TICC CAPITAL CORP.</w:t>
      </w:r>
    </w:p>
    <w:p>
      <w:pPr>
        <w:spacing w:after="0" w:line="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34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line="282"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282"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-4424045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-3978275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-3395345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-2948940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-2503170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-1028065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-582295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-136525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443" w:right="47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t>On August 8, 2016, TPG Specialty Lending, Inc. issued the following press release:</w:t>
      </w:r>
    </w:p>
    <w:p>
      <w:pPr>
        <w:spacing w:after="0" w:line="11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TPG Specialty Lending, Inc. Details How Terminating TICC Capital Corp.’s Existing External Adviser Could Unlock Significant Value for TICC Stockholders</w:t>
      </w:r>
    </w:p>
    <w:p>
      <w:pPr>
        <w:spacing w:after="0" w:line="15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Outlines Numerous Benefits and Value Creation Opportunities Potentially Available to Stockholders Upon Replacing the Existing Failed External Adviser</w:t>
      </w:r>
    </w:p>
    <w:p>
      <w:pPr>
        <w:spacing w:after="0" w:line="15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TICC Stockholders Have Missed Opportunity to Generate an Additional 189% in Returns Had Assets Been Managed by an Average External Adviser for the Past 12 Years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Eliminating TICC’s Current Discount to Net Asset Value Would Potentially Generate $43.8 Million of Direct Value to Stockholders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Encourages TICC Stockholders to Vote the GOLD Proxy Card to Terminate TICC’s External Adviser’s Advisory Contract and to Elect T. Kelley Millet to the TICC Board</w:t>
      </w:r>
    </w:p>
    <w:p>
      <w:pPr>
        <w:spacing w:after="0" w:line="15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NEW YORK—(BUSINESS WIRE)—TPG Specialty Lending, Inc. (“TSLX”; NYSE:TSLX), a specialty finance company focused on lending to middle-market companies, today issued a letter to TICC Capital Corp.’s (“TICC”; NASDAQ: TICC) stockholders describing how terminating the existing external adviser’s advisory contract could potentially unlock significant value for stockholders. Please click here to view the full letter:http://www.changeticcnow.com/content/uploads/2016/08/Unlocking-Value-at-TICC.pdf</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 the letter, TSLX notes that TICC stockholders would have realized significant gains had TICC installed an external adviser that delivered average returns over the last 12 years, instead of the existing external adviser that has underperformed nearly every significant benchmark since 2003. Further, eliminating the persistent discount to net asset value (“NAV”) at which TICC shares currently trade could potentially generate $43.8 million in direct value to stockholders.</w:t>
      </w:r>
    </w:p>
    <w:p>
      <w:pPr>
        <w:spacing w:after="0" w:line="15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letter also urges stockholders to protect their investment in TICC by signing and returning the GOLD proxy card FOR the termination of the investment advisory agreement between TICC and its external adviser and FOR the election of TSLX’s highly-qualified and independent nominee, T. Kelley Millet, to TICC’s Board of Directors at the upcoming annual meeting scheduled for September 2,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TSLX’s proxy materials are also available through the SEC’s website and at www.changeTICCnow.com.</w:t>
      </w:r>
    </w:p>
    <w:p>
      <w:pPr>
        <w:sectPr>
          <w:pgSz w:w="11900" w:h="16838" w:orient="portrait"/>
          <w:cols w:equalWidth="0" w:num="1">
            <w:col w:w="11400"/>
          </w:cols>
          <w:pgMar w:left="240" w:top="1161"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t>
      </w:r>
      <w:r>
        <w:rPr>
          <w:rFonts w:ascii="Times New Roman" w:cs="Times New Roman" w:eastAsia="Times New Roman" w:hAnsi="Times New Roman"/>
          <w:sz w:val="18"/>
          <w:szCs w:val="18"/>
          <w:u w:val="single" w:color="auto"/>
          <w:color w:val="auto"/>
        </w:rPr>
        <w:t>www.tpgspecialtylending.com</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w:t>
      </w:r>
    </w:p>
    <w:p>
      <w:pPr>
        <w:sectPr>
          <w:pgSz w:w="11900" w:h="16838" w:orient="portrait"/>
          <w:cols w:equalWidth="0" w:num="1">
            <w:col w:w="11420"/>
          </w:cols>
          <w:pgMar w:left="240" w:top="266" w:right="239" w:bottom="1440" w:gutter="0" w:footer="0" w:header="0"/>
        </w:sectPr>
      </w:pPr>
    </w:p>
    <w:bookmarkStart w:id="3" w:name="page4"/>
    <w:bookmarkEnd w:id="3"/>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to these factors, other factors that may affect TSLX’s plans, results or stock price are set forth in TSLX’s Annual Report on Form 10-K and in its reports on Forms 10-Q and 8-K.</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Party-Sourced Statements and Information</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 Information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to stockholders of TICC. This communication is not a substitute for the TSLX Proxy Statement.</w:t>
      </w:r>
    </w:p>
    <w:p>
      <w:pPr>
        <w:spacing w:after="0" w:line="1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TSLX STRONGLY ADVISES ALL STOCKHOLDERS OF TICC TO READ THE TSLX PROXY STATEMENT AND THE OTHER PROXY MATERIALS AS THEY BECOME AVAILABLE BECAUSE THEY CONTAIN IMPORTANT INFORMATION. SUCH TSLX PROXY MATERIALS ARE AND WILL BECOME AVAILABLE AT NO CHARGE ON THE SEC’S WEB 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AND ON TSLX’S WEBSITE</w:t>
      </w:r>
    </w:p>
    <w:p>
      <w:pPr>
        <w:spacing w:after="0" w:line="2" w:lineRule="exact"/>
        <w:rPr>
          <w:sz w:val="20"/>
          <w:szCs w:val="20"/>
          <w:color w:val="auto"/>
        </w:rPr>
      </w:pPr>
    </w:p>
    <w:p>
      <w:pPr>
        <w:ind w:right="820"/>
        <w:spacing w:after="0" w:line="255"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HTTP://WWW.TPGSPECIALTYLENDING.COM</w:t>
      </w:r>
      <w:r>
        <w:rPr>
          <w:rFonts w:ascii="Times New Roman" w:cs="Times New Roman" w:eastAsia="Times New Roman" w:hAnsi="Times New Roman"/>
          <w:sz w:val="18"/>
          <w:szCs w:val="18"/>
          <w:color w:val="auto"/>
        </w:rPr>
        <w:t xml:space="preserve">. IN ADDITION, TSLX WILL PROVIDE COPIES OF THE TSLX PROXY STATEMENT WITHOUT CHARGE UPON REQUEST. REQUESTS FOR COPIES SHOULD BE DIRECTED TO TSLX’S PROXY SOLICITOR AT </w:t>
      </w:r>
      <w:r>
        <w:rPr>
          <w:rFonts w:ascii="Times New Roman" w:cs="Times New Roman" w:eastAsia="Times New Roman" w:hAnsi="Times New Roman"/>
          <w:sz w:val="18"/>
          <w:szCs w:val="18"/>
          <w:u w:val="single" w:color="auto"/>
          <w:color w:val="auto"/>
        </w:rPr>
        <w:t>TPG@MACKENZIEPARTNERS.COM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ectPr>
          <w:pgSz w:w="11900" w:h="16838" w:orient="portrait"/>
          <w:cols w:equalWidth="0" w:num="1">
            <w:col w:w="11400"/>
          </w:cols>
          <w:pgMar w:left="240" w:top="270" w:right="259" w:bottom="1440" w:gutter="0" w:footer="0" w:header="0"/>
        </w:sectPr>
      </w:pPr>
    </w:p>
    <w:bookmarkStart w:id="4" w:name="page5"/>
    <w:bookmarkEnd w:id="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Johnson, 212-371-5999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tbj@abmac.com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Scorpio, 212-371-5999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pct@abmac.com</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2019-12-20T23:20:07Z</dcterms:created>
  <dcterms:modified xsi:type="dcterms:W3CDTF">2019-12-20T23:20:07Z</dcterms:modified>
</cp:coreProperties>
</file>