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7"/>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left="4" w:right="120"/>
        <w:spacing w:after="0" w:line="276" w:lineRule="auto"/>
        <w:rPr>
          <w:sz w:val="20"/>
          <w:szCs w:val="20"/>
          <w:color w:val="auto"/>
        </w:rPr>
      </w:pPr>
      <w:r>
        <w:rPr>
          <w:rFonts w:ascii="Times New Roman" w:cs="Times New Roman" w:eastAsia="Times New Roman" w:hAnsi="Times New Roman"/>
          <w:sz w:val="17"/>
          <w:szCs w:val="17"/>
          <w:color w:val="auto"/>
        </w:rPr>
        <w:t>On February 5, 2021, Sixth Street Specialty Lending, Inc. (the “Company”) entered into a tenth amendment to the Company’s second amended and restated senior secured revolving credit facility, dated February 27, 2014 (as amended, the “Revolving Credit Facility”), which, among other changes,</w:t>
      </w:r>
    </w:p>
    <w:p>
      <w:pPr>
        <w:spacing w:after="0" w:line="1" w:lineRule="exact"/>
        <w:rPr>
          <w:sz w:val="20"/>
          <w:szCs w:val="20"/>
          <w:color w:val="auto"/>
        </w:rPr>
      </w:pPr>
    </w:p>
    <w:p>
      <w:pPr>
        <w:jc w:val="both"/>
        <w:ind w:left="4" w:hanging="4"/>
        <w:spacing w:after="0" w:line="253" w:lineRule="auto"/>
        <w:tabs>
          <w:tab w:leader="none" w:pos="2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aggregate commitments under the Revolving Credit Facility from $1.335 billion to $1.485 billion, (b) extends the termination of the revolving period on $1.390 billion of commitments from January 31, 2024 to February 4, 2025 and the stated maturity date from January 31, 2025 to February 4, 2026 and (c) increases the accordion feature, which allows the Company, under certain circumstances, to increase the size of the Revolving Credit Facility, from a maximum of $1.75 billion to a maximum of $2.0 billion.</w:t>
      </w:r>
    </w:p>
    <w:p>
      <w:pPr>
        <w:spacing w:after="0" w:line="189"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The foregoing description is only a summary of certain of the provisions of the Revolving Credit Facility and is qualified in its entirety by the underlying agreement, which will be filed as an exhibit to the Company’s next Annual Report on Form 10-K.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into this Item 2.03.</w:t>
      </w:r>
    </w:p>
    <w:p>
      <w:pPr>
        <w:sectPr>
          <w:pgSz w:w="11900" w:h="16838" w:orient="portrait"/>
          <w:cols w:equalWidth="0" w:num="1">
            <w:col w:w="10904"/>
          </w:cols>
          <w:pgMar w:left="436" w:top="266" w:right="55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5,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2021-02-05T16:53:58Z</dcterms:created>
  <dcterms:modified xsi:type="dcterms:W3CDTF">2021-02-05T16:53:58Z</dcterms:modified>
</cp:coreProperties>
</file>