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74" w:lineRule="exact"/>
        <w:rPr>
          <w:sz w:val="24"/>
          <w:szCs w:val="24"/>
          <w:color w:val="auto"/>
        </w:rPr>
      </w:pPr>
    </w:p>
    <w:p>
      <w:pPr>
        <w:ind w:left="4360" w:right="2060" w:hanging="4352"/>
        <w:spacing w:after="0" w:line="303" w:lineRule="auto"/>
        <w:tabs>
          <w:tab w:leader="none" w:pos="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7"/>
          <w:szCs w:val="17"/>
          <w:b w:val="1"/>
          <w:bCs w:val="1"/>
          <w:color w:val="auto"/>
        </w:rPr>
        <w:t>For the fiscal year ended December 31, 2018</w:t>
      </w:r>
    </w:p>
    <w:p>
      <w:pPr>
        <w:ind w:left="56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7"/>
          <w:szCs w:val="17"/>
          <w:b w:val="1"/>
          <w:bCs w:val="1"/>
          <w:color w:val="auto"/>
        </w:rPr>
        <w:t>or</w:t>
      </w:r>
    </w:p>
    <w:p>
      <w:pPr>
        <w:spacing w:after="0" w:line="65" w:lineRule="exact"/>
        <w:rPr>
          <w:sz w:val="24"/>
          <w:szCs w:val="24"/>
          <w:color w:val="auto"/>
        </w:rPr>
      </w:pPr>
    </w:p>
    <w:p>
      <w:pPr>
        <w:ind w:left="4420" w:right="1700" w:hanging="4412"/>
        <w:spacing w:after="0" w:line="331" w:lineRule="auto"/>
        <w:tabs>
          <w:tab w:leader="none" w:pos="51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7"/>
          <w:szCs w:val="17"/>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3175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TPG Specialty Lending, Inc.</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8200" w:type="dxa"/>
            <w:vAlign w:val="bottom"/>
            <w:gridSpan w:val="3"/>
          </w:tcPr>
          <w:p>
            <w:pPr>
              <w:jc w:val="center"/>
              <w:ind w:left="314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580" w:type="dxa"/>
            <w:vAlign w:val="bottom"/>
          </w:tcPr>
          <w:p>
            <w:pPr>
              <w:jc w:val="center"/>
              <w:ind w:left="106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5240" w:type="dxa"/>
            <w:vAlign w:val="bottom"/>
            <w:gridSpan w:val="4"/>
          </w:tcPr>
          <w:p>
            <w:pPr>
              <w:jc w:val="right"/>
              <w:ind w:right="755"/>
              <w:spacing w:after="0"/>
              <w:rPr>
                <w:sz w:val="20"/>
                <w:szCs w:val="20"/>
                <w:color w:val="auto"/>
              </w:rPr>
            </w:pPr>
            <w:r>
              <w:rPr>
                <w:rFonts w:ascii="Times New Roman" w:cs="Times New Roman" w:eastAsia="Times New Roman" w:hAnsi="Times New Roman"/>
                <w:sz w:val="17"/>
                <w:szCs w:val="17"/>
                <w:b w:val="1"/>
                <w:bCs w:val="1"/>
                <w:color w:val="auto"/>
              </w:rPr>
              <w:t>27-3380000</w:t>
            </w:r>
          </w:p>
        </w:tc>
        <w:tc>
          <w:tcPr>
            <w:tcW w:w="0" w:type="dxa"/>
            <w:vAlign w:val="bottom"/>
          </w:tcPr>
          <w:p>
            <w:pPr>
              <w:spacing w:after="0"/>
              <w:rPr>
                <w:sz w:val="1"/>
                <w:szCs w:val="1"/>
                <w:color w:val="auto"/>
              </w:rPr>
            </w:pPr>
          </w:p>
        </w:tc>
      </w:tr>
      <w:tr>
        <w:trPr>
          <w:trHeight w:val="149"/>
        </w:trPr>
        <w:tc>
          <w:tcPr>
            <w:tcW w:w="4580" w:type="dxa"/>
            <w:vAlign w:val="bottom"/>
          </w:tcPr>
          <w:p>
            <w:pPr>
              <w:jc w:val="center"/>
              <w:ind w:left="10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2280" w:type="dxa"/>
            <w:vAlign w:val="bottom"/>
          </w:tcPr>
          <w:p>
            <w:pPr>
              <w:spacing w:after="0"/>
              <w:rPr>
                <w:sz w:val="12"/>
                <w:szCs w:val="12"/>
                <w:color w:val="auto"/>
              </w:rPr>
            </w:pPr>
          </w:p>
        </w:tc>
        <w:tc>
          <w:tcPr>
            <w:tcW w:w="2960" w:type="dxa"/>
            <w:vAlign w:val="bottom"/>
            <w:gridSpan w:val="3"/>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c>
          <w:tcPr>
            <w:tcW w:w="0" w:type="dxa"/>
            <w:vAlign w:val="bottom"/>
          </w:tcPr>
          <w:p>
            <w:pPr>
              <w:spacing w:after="0"/>
              <w:rPr>
                <w:sz w:val="1"/>
                <w:szCs w:val="1"/>
                <w:color w:val="auto"/>
              </w:rPr>
            </w:pPr>
          </w:p>
        </w:tc>
      </w:tr>
      <w:tr>
        <w:trPr>
          <w:trHeight w:val="178"/>
        </w:trPr>
        <w:tc>
          <w:tcPr>
            <w:tcW w:w="4580" w:type="dxa"/>
            <w:vAlign w:val="bottom"/>
          </w:tcPr>
          <w:p>
            <w:pPr>
              <w:jc w:val="center"/>
              <w:ind w:left="1080"/>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2280" w:type="dxa"/>
            <w:vAlign w:val="bottom"/>
          </w:tcPr>
          <w:p>
            <w:pPr>
              <w:spacing w:after="0"/>
              <w:rPr>
                <w:sz w:val="15"/>
                <w:szCs w:val="15"/>
                <w:color w:val="auto"/>
              </w:rPr>
            </w:pPr>
          </w:p>
        </w:tc>
        <w:tc>
          <w:tcPr>
            <w:tcW w:w="2960" w:type="dxa"/>
            <w:vAlign w:val="bottom"/>
            <w:gridSpan w:val="3"/>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0" w:type="dxa"/>
            <w:vAlign w:val="bottom"/>
          </w:tcPr>
          <w:p>
            <w:pPr>
              <w:spacing w:after="0"/>
              <w:rPr>
                <w:sz w:val="1"/>
                <w:szCs w:val="1"/>
                <w:color w:val="auto"/>
              </w:rPr>
            </w:pPr>
          </w:p>
        </w:tc>
      </w:tr>
      <w:tr>
        <w:trPr>
          <w:trHeight w:val="231"/>
        </w:trPr>
        <w:tc>
          <w:tcPr>
            <w:tcW w:w="4580" w:type="dxa"/>
            <w:vAlign w:val="bottom"/>
          </w:tcPr>
          <w:p>
            <w:pPr>
              <w:jc w:val="center"/>
              <w:ind w:left="1080"/>
              <w:spacing w:after="0"/>
              <w:rPr>
                <w:sz w:val="20"/>
                <w:szCs w:val="20"/>
                <w:color w:val="auto"/>
              </w:rPr>
            </w:pPr>
            <w:r>
              <w:rPr>
                <w:rFonts w:ascii="Times New Roman" w:cs="Times New Roman" w:eastAsia="Times New Roman" w:hAnsi="Times New Roman"/>
                <w:sz w:val="17"/>
                <w:szCs w:val="17"/>
                <w:b w:val="1"/>
                <w:bCs w:val="1"/>
                <w:color w:val="auto"/>
              </w:rPr>
              <w:t>301 Commerce Street, Suite 3300,</w:t>
            </w:r>
          </w:p>
        </w:tc>
        <w:tc>
          <w:tcPr>
            <w:tcW w:w="2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80" w:type="dxa"/>
            <w:vAlign w:val="bottom"/>
          </w:tcPr>
          <w:p>
            <w:pPr>
              <w:jc w:val="center"/>
              <w:ind w:left="1060"/>
              <w:spacing w:after="0"/>
              <w:rPr>
                <w:sz w:val="20"/>
                <w:szCs w:val="20"/>
                <w:color w:val="auto"/>
              </w:rPr>
            </w:pPr>
            <w:r>
              <w:rPr>
                <w:rFonts w:ascii="Times New Roman" w:cs="Times New Roman" w:eastAsia="Times New Roman" w:hAnsi="Times New Roman"/>
                <w:sz w:val="17"/>
                <w:szCs w:val="17"/>
                <w:b w:val="1"/>
                <w:bCs w:val="1"/>
                <w:color w:val="auto"/>
                <w:w w:val="99"/>
              </w:rPr>
              <w:t>Fort Worth, TX</w:t>
            </w:r>
          </w:p>
        </w:tc>
        <w:tc>
          <w:tcPr>
            <w:tcW w:w="2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76102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580" w:type="dxa"/>
            <w:vAlign w:val="bottom"/>
          </w:tcPr>
          <w:p>
            <w:pPr>
              <w:jc w:val="center"/>
              <w:ind w:left="1080"/>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(Zip Code)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8920" w:type="dxa"/>
            <w:vAlign w:val="bottom"/>
            <w:gridSpan w:val="4"/>
          </w:tcPr>
          <w:p>
            <w:pPr>
              <w:jc w:val="center"/>
              <w:ind w:left="2440"/>
              <w:spacing w:after="0"/>
              <w:rPr>
                <w:sz w:val="20"/>
                <w:szCs w:val="20"/>
                <w:color w:val="auto"/>
              </w:rPr>
            </w:pPr>
            <w:r>
              <w:rPr>
                <w:rFonts w:ascii="Times New Roman" w:cs="Times New Roman" w:eastAsia="Times New Roman" w:hAnsi="Times New Roman"/>
                <w:sz w:val="17"/>
                <w:szCs w:val="17"/>
                <w:b w:val="1"/>
                <w:bCs w:val="1"/>
                <w:color w:val="auto"/>
                <w:w w:val="99"/>
              </w:rPr>
              <w:t>Registrant’s Telephone Number, Including Area Code: (817) 871-4000</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200" w:type="dxa"/>
            <w:vAlign w:val="bottom"/>
            <w:gridSpan w:val="3"/>
          </w:tcPr>
          <w:p>
            <w:pPr>
              <w:jc w:val="center"/>
              <w:ind w:left="314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4580" w:type="dxa"/>
            <w:vAlign w:val="bottom"/>
          </w:tcPr>
          <w:p>
            <w:pPr>
              <w:jc w:val="center"/>
              <w:ind w:left="1080"/>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280" w:type="dxa"/>
            <w:vAlign w:val="bottom"/>
          </w:tcPr>
          <w:p>
            <w:pPr>
              <w:spacing w:after="0"/>
              <w:rPr>
                <w:sz w:val="20"/>
                <w:szCs w:val="20"/>
                <w:color w:val="auto"/>
              </w:rPr>
            </w:pPr>
          </w:p>
        </w:tc>
        <w:tc>
          <w:tcPr>
            <w:tcW w:w="2960" w:type="dxa"/>
            <w:vAlign w:val="bottom"/>
            <w:gridSpan w:val="3"/>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w w:val="95"/>
              </w:rPr>
              <w:t>Name of each exchange on which registered</w:t>
            </w:r>
          </w:p>
        </w:tc>
        <w:tc>
          <w:tcPr>
            <w:tcW w:w="0" w:type="dxa"/>
            <w:vAlign w:val="bottom"/>
          </w:tcPr>
          <w:p>
            <w:pPr>
              <w:spacing w:after="0"/>
              <w:rPr>
                <w:sz w:val="1"/>
                <w:szCs w:val="1"/>
                <w:color w:val="auto"/>
              </w:rPr>
            </w:pPr>
          </w:p>
        </w:tc>
      </w:tr>
      <w:tr>
        <w:trPr>
          <w:trHeight w:val="242"/>
        </w:trPr>
        <w:tc>
          <w:tcPr>
            <w:tcW w:w="4580" w:type="dxa"/>
            <w:vAlign w:val="bottom"/>
          </w:tcPr>
          <w:p>
            <w:pPr>
              <w:jc w:val="center"/>
              <w:ind w:left="1080"/>
              <w:spacing w:after="0"/>
              <w:rPr>
                <w:sz w:val="20"/>
                <w:szCs w:val="20"/>
                <w:color w:val="auto"/>
              </w:rPr>
            </w:pPr>
            <w:r>
              <w:rPr>
                <w:rFonts w:ascii="Times New Roman" w:cs="Times New Roman" w:eastAsia="Times New Roman" w:hAnsi="Times New Roman"/>
                <w:sz w:val="17"/>
                <w:szCs w:val="17"/>
                <w:b w:val="1"/>
                <w:bCs w:val="1"/>
                <w:color w:val="auto"/>
              </w:rPr>
              <w:t>Common Stock, par value $0.01 per share</w:t>
            </w:r>
          </w:p>
        </w:tc>
        <w:tc>
          <w:tcPr>
            <w:tcW w:w="2280" w:type="dxa"/>
            <w:vAlign w:val="bottom"/>
          </w:tcPr>
          <w:p>
            <w:pPr>
              <w:spacing w:after="0"/>
              <w:rPr>
                <w:sz w:val="21"/>
                <w:szCs w:val="21"/>
                <w:color w:val="auto"/>
              </w:rPr>
            </w:pPr>
          </w:p>
        </w:tc>
        <w:tc>
          <w:tcPr>
            <w:tcW w:w="2960" w:type="dxa"/>
            <w:vAlign w:val="bottom"/>
            <w:gridSpan w:val="3"/>
          </w:tcPr>
          <w:p>
            <w:pPr>
              <w:jc w:val="center"/>
              <w:ind w:left="388"/>
              <w:spacing w:after="0"/>
              <w:rPr>
                <w:sz w:val="20"/>
                <w:szCs w:val="20"/>
                <w:color w:val="auto"/>
              </w:rPr>
            </w:pPr>
            <w:r>
              <w:rPr>
                <w:rFonts w:ascii="Times New Roman" w:cs="Times New Roman" w:eastAsia="Times New Roman" w:hAnsi="Times New Roman"/>
                <w:sz w:val="17"/>
                <w:szCs w:val="17"/>
                <w:b w:val="1"/>
                <w:bCs w:val="1"/>
                <w:color w:val="auto"/>
                <w:w w:val="99"/>
              </w:rPr>
              <w:t>The New York Stock Exchange</w:t>
            </w:r>
          </w:p>
        </w:tc>
        <w:tc>
          <w:tcPr>
            <w:tcW w:w="0" w:type="dxa"/>
            <w:vAlign w:val="bottom"/>
          </w:tcPr>
          <w:p>
            <w:pPr>
              <w:spacing w:after="0"/>
              <w:rPr>
                <w:sz w:val="1"/>
                <w:szCs w:val="1"/>
                <w:color w:val="auto"/>
              </w:rPr>
            </w:pPr>
          </w:p>
        </w:tc>
      </w:tr>
      <w:tr>
        <w:trPr>
          <w:trHeight w:val="257"/>
        </w:trPr>
        <w:tc>
          <w:tcPr>
            <w:tcW w:w="8200" w:type="dxa"/>
            <w:vAlign w:val="bottom"/>
            <w:gridSpan w:val="3"/>
          </w:tcPr>
          <w:p>
            <w:pPr>
              <w:jc w:val="center"/>
              <w:ind w:left="314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2"/>
                <w:szCs w:val="22"/>
                <w:color w:val="auto"/>
              </w:rPr>
            </w:pPr>
          </w:p>
        </w:tc>
        <w:tc>
          <w:tcPr>
            <w:tcW w:w="3620" w:type="dxa"/>
            <w:vAlign w:val="bottom"/>
            <w:gridSpan w:val="2"/>
          </w:tcPr>
          <w:p>
            <w:pPr>
              <w:jc w:val="center"/>
              <w:ind w:right="1288"/>
              <w:spacing w:after="0"/>
              <w:rPr>
                <w:sz w:val="20"/>
                <w:szCs w:val="20"/>
                <w:color w:val="auto"/>
              </w:rPr>
            </w:pPr>
            <w:r>
              <w:rPr>
                <w:rFonts w:ascii="Times New Roman" w:cs="Times New Roman" w:eastAsia="Times New Roman" w:hAnsi="Times New Roman"/>
                <w:sz w:val="17"/>
                <w:szCs w:val="17"/>
                <w:b w:val="1"/>
                <w:bCs w:val="1"/>
                <w:color w:val="auto"/>
              </w:rPr>
              <w:t>None</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2"/>
                <w:szCs w:val="22"/>
                <w:color w:val="auto"/>
              </w:rPr>
            </w:pPr>
          </w:p>
        </w:tc>
        <w:tc>
          <w:tcPr>
            <w:tcW w:w="3620" w:type="dxa"/>
            <w:vAlign w:val="bottom"/>
            <w:gridSpan w:val="2"/>
          </w:tcPr>
          <w:p>
            <w:pPr>
              <w:jc w:val="center"/>
              <w:ind w:right="1288"/>
              <w:spacing w:after="0"/>
              <w:rPr>
                <w:sz w:val="20"/>
                <w:szCs w:val="20"/>
                <w:color w:val="auto"/>
              </w:rPr>
            </w:pPr>
            <w:r>
              <w:rPr>
                <w:rFonts w:ascii="Times New Roman" w:cs="Times New Roman" w:eastAsia="Times New Roman" w:hAnsi="Times New Roman"/>
                <w:sz w:val="17"/>
                <w:szCs w:val="17"/>
                <w:b w:val="1"/>
                <w:bCs w:val="1"/>
                <w:color w:val="auto"/>
                <w:w w:val="99"/>
              </w:rPr>
              <w:t>(Title of class)</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458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720" w:type="dxa"/>
            <w:vAlign w:val="bottom"/>
            <w:vMerge w:val="restart"/>
          </w:tcPr>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6"/>
                <w:szCs w:val="16"/>
                <w:color w:val="auto"/>
              </w:rPr>
              <w:t>☐</w:t>
            </w:r>
          </w:p>
        </w:tc>
        <w:tc>
          <w:tcPr>
            <w:tcW w:w="900" w:type="dxa"/>
            <w:vAlign w:val="bottom"/>
            <w:vMerge w:val="restart"/>
          </w:tcPr>
          <w:p>
            <w:pPr>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8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tc>
        <w:tc>
          <w:tcPr>
            <w:tcW w:w="72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tc>
        <w:tc>
          <w:tcPr>
            <w:tcW w:w="720" w:type="dxa"/>
            <w:vAlign w:val="bottom"/>
          </w:tcPr>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6"/>
                <w:szCs w:val="16"/>
                <w:color w:val="auto"/>
              </w:rPr>
              <w:t>☐</w:t>
            </w:r>
          </w:p>
        </w:tc>
        <w:tc>
          <w:tcPr>
            <w:tcW w:w="900" w:type="dxa"/>
            <w:vAlign w:val="bottom"/>
          </w:tcPr>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right="140"/>
        <w:spacing w:after="0" w:line="21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60"/>
        <w:spacing w:after="0" w:line="24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20"/>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3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500" w:type="dxa"/>
        <w:tblCellMar>
          <w:top w:w="0" w:type="dxa"/>
          <w:left w:w="0" w:type="dxa"/>
          <w:bottom w:w="0" w:type="dxa"/>
          <w:right w:w="0" w:type="dxa"/>
        </w:tblCellMar>
      </w:tblPr>
      <w:tr>
        <w:trPr>
          <w:trHeight w:val="28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196" w:lineRule="exact"/>
        <w:tabs>
          <w:tab w:leader="none" w:pos="7200" w:val="left"/>
          <w:tab w:leader="none" w:pos="792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6"/>
          <w:szCs w:val="16"/>
          <w:color w:val="auto"/>
        </w:rPr>
        <w:t>☒</w:t>
      </w:r>
    </w:p>
    <w:p>
      <w:pPr>
        <w:spacing w:after="0" w:line="73" w:lineRule="exact"/>
        <w:rPr>
          <w:sz w:val="24"/>
          <w:szCs w:val="24"/>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The aggregate market value of the voting stock held by non-affiliates of the registrant on June 30, 2018, based on the closing price on that date of $17.94 on The New York Stock Exchange, was approximately $1,112,495,323. The number of shares of the registrant’s common stock, $.01 par value per share, outstanding at February 19, 2019 was 65,625,635.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48895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98"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Portions of the Registrant’s proxy statement for the 2019 annual meeting of stockholders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554355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04"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80" w:type="dxa"/>
            <w:vAlign w:val="bottom"/>
            <w:gridSpan w:val="11"/>
          </w:tcPr>
          <w:p>
            <w:pPr>
              <w:jc w:val="center"/>
              <w:ind w:right="2300"/>
              <w:spacing w:after="0"/>
              <w:rPr>
                <w:sz w:val="20"/>
                <w:szCs w:val="20"/>
                <w:color w:val="auto"/>
              </w:rPr>
            </w:pPr>
            <w:r>
              <w:rPr>
                <w:rFonts w:ascii="Times New Roman" w:cs="Times New Roman" w:eastAsia="Times New Roman" w:hAnsi="Times New Roman"/>
                <w:sz w:val="22"/>
                <w:szCs w:val="22"/>
                <w:b w:val="1"/>
                <w:bCs w:val="1"/>
                <w:color w:val="auto"/>
                <w:w w:val="97"/>
              </w:rPr>
              <w:t>TPG SPECIALTY LENDING, INC.</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80" w:type="dxa"/>
            <w:vAlign w:val="bottom"/>
            <w:gridSpan w:val="11"/>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9"/>
              </w:rPr>
              <w:t>Index to Annual Report on Form 10-K for</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9"/>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2018</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vMerge w:val="restart"/>
          </w:tcPr>
          <w:p>
            <w:pPr>
              <w:spacing w:after="0"/>
              <w:rPr>
                <w:rFonts w:ascii="Times New Roman" w:cs="Times New Roman" w:eastAsia="Times New Roman" w:hAnsi="Times New Roman"/>
                <w:sz w:val="18"/>
                <w:szCs w:val="18"/>
                <w:b w:val="1"/>
                <w:bCs w:val="1"/>
                <w:color w:val="0000EE"/>
                <w:w w:val="95"/>
              </w:rPr>
            </w:pPr>
            <w:hyperlink w:anchor="page4">
              <w:r>
                <w:rPr>
                  <w:rFonts w:ascii="Times New Roman" w:cs="Times New Roman" w:eastAsia="Times New Roman" w:hAnsi="Times New Roman"/>
                  <w:sz w:val="18"/>
                  <w:szCs w:val="18"/>
                  <w:b w:val="1"/>
                  <w:bCs w:val="1"/>
                  <w:color w:val="0000EE"/>
                  <w:w w:val="95"/>
                </w:rPr>
                <w:t>PART I</w:t>
              </w:r>
            </w:hyperlink>
          </w:p>
        </w:tc>
        <w:tc>
          <w:tcPr>
            <w:tcW w:w="66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600" w:type="dxa"/>
            <w:vAlign w:val="bottom"/>
            <w:tcBorders>
              <w:bottom w:val="single" w:sz="8" w:color="0000EE"/>
            </w:tcBorders>
            <w:vMerge w:val="continue"/>
          </w:tcPr>
          <w:p>
            <w:pPr>
              <w:spacing w:after="0"/>
              <w:rPr>
                <w:sz w:val="13"/>
                <w:szCs w:val="13"/>
                <w:color w:val="auto"/>
              </w:rPr>
            </w:pPr>
          </w:p>
        </w:tc>
        <w:tc>
          <w:tcPr>
            <w:tcW w:w="66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40" w:type="dxa"/>
            <w:vAlign w:val="bottom"/>
            <w:gridSpan w:val="21"/>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Risk Factors</w:t>
              </w:r>
            </w:hyperlink>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Unresolved Staff Comments</w:t>
              </w:r>
            </w:hyperlink>
          </w:p>
        </w:tc>
        <w:tc>
          <w:tcPr>
            <w:tcW w:w="7080" w:type="dxa"/>
            <w:vAlign w:val="bottom"/>
            <w:gridSpan w:val="11"/>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53">
              <w:r>
                <w:rPr>
                  <w:rFonts w:ascii="Times New Roman" w:cs="Times New Roman" w:eastAsia="Times New Roman" w:hAnsi="Times New Roman"/>
                  <w:sz w:val="18"/>
                  <w:szCs w:val="18"/>
                  <w:color w:val="0000EE"/>
                  <w:w w:val="98"/>
                </w:rPr>
                <w:t>Properties</w:t>
              </w:r>
            </w:hyperlink>
          </w:p>
        </w:tc>
        <w:tc>
          <w:tcPr>
            <w:tcW w:w="8400" w:type="dxa"/>
            <w:vAlign w:val="bottom"/>
            <w:gridSpan w:val="19"/>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53">
              <w:r>
                <w:rPr>
                  <w:rFonts w:ascii="Times New Roman" w:cs="Times New Roman" w:eastAsia="Times New Roman" w:hAnsi="Times New Roman"/>
                  <w:sz w:val="18"/>
                  <w:szCs w:val="18"/>
                  <w:color w:val="0000EE"/>
                  <w:w w:val="98"/>
                </w:rPr>
                <w:t>Legal Proceedings</w:t>
              </w:r>
            </w:hyperlink>
          </w:p>
        </w:tc>
        <w:tc>
          <w:tcPr>
            <w:tcW w:w="7800" w:type="dxa"/>
            <w:vAlign w:val="bottom"/>
            <w:gridSpan w:val="16"/>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40" w:type="dxa"/>
            <w:vAlign w:val="bottom"/>
            <w:gridSpan w:val="21"/>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Mine Safety Disclosures</w:t>
              </w:r>
            </w:hyperlink>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318"/>
        </w:trPr>
        <w:tc>
          <w:tcPr>
            <w:tcW w:w="1260" w:type="dxa"/>
            <w:vAlign w:val="bottom"/>
            <w:gridSpan w:val="5"/>
          </w:tcPr>
          <w:p>
            <w:pPr>
              <w:spacing w:after="0"/>
              <w:rPr>
                <w:rFonts w:ascii="Times New Roman" w:cs="Times New Roman" w:eastAsia="Times New Roman" w:hAnsi="Times New Roman"/>
                <w:sz w:val="18"/>
                <w:szCs w:val="18"/>
                <w:b w:val="1"/>
                <w:bCs w:val="1"/>
                <w:color w:val="0000EE"/>
              </w:rPr>
            </w:pPr>
            <w:hyperlink w:anchor="page54">
              <w:r>
                <w:rPr>
                  <w:rFonts w:ascii="Times New Roman" w:cs="Times New Roman" w:eastAsia="Times New Roman" w:hAnsi="Times New Roman"/>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600" w:type="dxa"/>
            <w:vAlign w:val="bottom"/>
            <w:gridSpan w:val="3"/>
          </w:tcPr>
          <w:p>
            <w:pPr>
              <w:spacing w:after="0"/>
              <w:rPr>
                <w:sz w:val="17"/>
                <w:szCs w:val="17"/>
                <w:color w:val="auto"/>
              </w:rPr>
            </w:pPr>
          </w:p>
        </w:tc>
        <w:tc>
          <w:tcPr>
            <w:tcW w:w="9140" w:type="dxa"/>
            <w:vAlign w:val="bottom"/>
            <w:gridSpan w:val="21"/>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7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40" w:type="dxa"/>
            <w:vAlign w:val="bottom"/>
            <w:gridSpan w:val="21"/>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Quantitative and Qualitative Disclosures About Market Risk</w:t>
              </w:r>
            </w:hyperlink>
          </w:p>
        </w:tc>
        <w:tc>
          <w:tcPr>
            <w:tcW w:w="2680" w:type="dxa"/>
            <w:vAlign w:val="bottom"/>
            <w:gridSpan w:val="4"/>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3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Consolidated Financial Statements and Supplementary Data</w:t>
              </w:r>
            </w:hyperlink>
          </w:p>
        </w:tc>
        <w:tc>
          <w:tcPr>
            <w:tcW w:w="4780" w:type="dxa"/>
            <w:vAlign w:val="bottom"/>
            <w:gridSpan w:val="6"/>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40" w:type="dxa"/>
            <w:vAlign w:val="bottom"/>
            <w:gridSpan w:val="21"/>
          </w:tcPr>
          <w:p>
            <w:pPr>
              <w:spacing w:after="0" w:line="196" w:lineRule="exact"/>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124">
              <w:r>
                <w:rPr>
                  <w:rFonts w:ascii="Times New Roman" w:cs="Times New Roman" w:eastAsia="Times New Roman" w:hAnsi="Times New Roman"/>
                  <w:sz w:val="18"/>
                  <w:szCs w:val="18"/>
                  <w:color w:val="0000EE"/>
                  <w:w w:val="99"/>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2660" w:type="dxa"/>
            <w:vAlign w:val="bottom"/>
            <w:gridSpan w:val="3"/>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40" w:type="dxa"/>
            <w:vAlign w:val="bottom"/>
            <w:gridSpan w:val="21"/>
          </w:tcPr>
          <w:p>
            <w:pPr>
              <w:spacing w:after="0" w:line="196" w:lineRule="exact"/>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Other Information</w:t>
              </w:r>
            </w:hyperlink>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318"/>
        </w:trPr>
        <w:tc>
          <w:tcPr>
            <w:tcW w:w="74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6"/>
              </w:rPr>
            </w:pPr>
            <w:hyperlink w:anchor="page125">
              <w:r>
                <w:rPr>
                  <w:rFonts w:ascii="Times New Roman" w:cs="Times New Roman" w:eastAsia="Times New Roman" w:hAnsi="Times New Roman"/>
                  <w:sz w:val="18"/>
                  <w:szCs w:val="18"/>
                  <w:b w:val="1"/>
                  <w:bCs w:val="1"/>
                  <w:color w:val="0000EE"/>
                  <w:w w:val="96"/>
                </w:rPr>
                <w:t>PART III</w:t>
              </w:r>
            </w:hyperlink>
          </w:p>
        </w:tc>
        <w:tc>
          <w:tcPr>
            <w:tcW w:w="5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125">
              <w:r>
                <w:rPr>
                  <w:rFonts w:ascii="Times New Roman" w:cs="Times New Roman" w:eastAsia="Times New Roman" w:hAnsi="Times New Roman"/>
                  <w:sz w:val="18"/>
                  <w:szCs w:val="18"/>
                  <w:color w:val="0000EE"/>
                  <w:w w:val="99"/>
                </w:rPr>
                <w:t>Directors, Executive Officers and Corporate Governance</w:t>
              </w:r>
            </w:hyperlink>
          </w:p>
        </w:tc>
        <w:tc>
          <w:tcPr>
            <w:tcW w:w="5040" w:type="dxa"/>
            <w:vAlign w:val="bottom"/>
            <w:gridSpan w:val="8"/>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40" w:type="dxa"/>
            <w:vAlign w:val="bottom"/>
            <w:gridSpan w:val="21"/>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Executive Compensation</w:t>
              </w:r>
            </w:hyperlink>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125">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1840" w:type="dxa"/>
            <w:vAlign w:val="bottom"/>
            <w:gridSpan w:val="2"/>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125">
              <w:r>
                <w:rPr>
                  <w:rFonts w:ascii="Times New Roman" w:cs="Times New Roman" w:eastAsia="Times New Roman" w:hAnsi="Times New Roman"/>
                  <w:sz w:val="18"/>
                  <w:szCs w:val="18"/>
                  <w:color w:val="0000EE"/>
                  <w:w w:val="99"/>
                </w:rPr>
                <w:t>Certain Relationships and Related Transactions, and Director Independence</w:t>
              </w:r>
            </w:hyperlink>
          </w:p>
        </w:tc>
        <w:tc>
          <w:tcPr>
            <w:tcW w:w="3680" w:type="dxa"/>
            <w:vAlign w:val="bottom"/>
            <w:gridSpan w:val="5"/>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40" w:type="dxa"/>
            <w:vAlign w:val="bottom"/>
            <w:gridSpan w:val="21"/>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Principal Accountant Fees and Services</w:t>
              </w:r>
            </w:hyperlink>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318"/>
        </w:trPr>
        <w:tc>
          <w:tcPr>
            <w:tcW w:w="1260" w:type="dxa"/>
            <w:vAlign w:val="bottom"/>
            <w:gridSpan w:val="5"/>
          </w:tcPr>
          <w:p>
            <w:pPr>
              <w:spacing w:after="0"/>
              <w:rPr>
                <w:rFonts w:ascii="Times New Roman" w:cs="Times New Roman" w:eastAsia="Times New Roman" w:hAnsi="Times New Roman"/>
                <w:sz w:val="18"/>
                <w:szCs w:val="18"/>
                <w:b w:val="1"/>
                <w:bCs w:val="1"/>
                <w:color w:val="0000EE"/>
              </w:rPr>
            </w:pPr>
            <w:hyperlink w:anchor="page126">
              <w:r>
                <w:rPr>
                  <w:rFonts w:ascii="Times New Roman" w:cs="Times New Roman" w:eastAsia="Times New Roman" w:hAnsi="Times New Roman"/>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ITEM 15.</w:t>
            </w:r>
          </w:p>
        </w:tc>
        <w:tc>
          <w:tcPr>
            <w:tcW w:w="540" w:type="dxa"/>
            <w:vAlign w:val="bottom"/>
            <w:gridSpan w:val="2"/>
          </w:tcPr>
          <w:p>
            <w:pPr>
              <w:spacing w:after="0"/>
              <w:rPr>
                <w:sz w:val="17"/>
                <w:szCs w:val="17"/>
                <w:color w:val="auto"/>
              </w:rPr>
            </w:pPr>
          </w:p>
        </w:tc>
        <w:tc>
          <w:tcPr>
            <w:tcW w:w="9140" w:type="dxa"/>
            <w:vAlign w:val="bottom"/>
            <w:gridSpan w:val="21"/>
          </w:tcPr>
          <w:p>
            <w:pPr>
              <w:spacing w:after="0" w:line="196" w:lineRule="exact"/>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Exhibits and Financial Statement Schedules</w:t>
              </w:r>
            </w:hyperlink>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128">
              <w:r>
                <w:rPr>
                  <w:rFonts w:ascii="Times New Roman" w:cs="Times New Roman" w:eastAsia="Times New Roman" w:hAnsi="Times New Roman"/>
                  <w:sz w:val="18"/>
                  <w:szCs w:val="18"/>
                  <w:color w:val="0000EE"/>
                  <w:w w:val="99"/>
                </w:rPr>
                <w:t>Form 10-K Summary</w:t>
              </w:r>
            </w:hyperlink>
          </w:p>
        </w:tc>
        <w:tc>
          <w:tcPr>
            <w:tcW w:w="1600" w:type="dxa"/>
            <w:vAlign w:val="bottom"/>
            <w:tcBorders>
              <w:top w:val="single" w:sz="8" w:color="0000EE"/>
            </w:tcBorders>
            <w:gridSpan w:val="6"/>
          </w:tcPr>
          <w:p>
            <w:pPr>
              <w:spacing w:after="0"/>
              <w:rPr>
                <w:sz w:val="17"/>
                <w:szCs w:val="17"/>
                <w:color w:val="auto"/>
              </w:rPr>
            </w:pPr>
          </w:p>
        </w:tc>
        <w:tc>
          <w:tcPr>
            <w:tcW w:w="5980" w:type="dxa"/>
            <w:vAlign w:val="bottom"/>
            <w:gridSpan w:val="9"/>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885"/>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60" w:type="dxa"/>
            <w:vAlign w:val="bottom"/>
            <w:gridSpan w:val="16"/>
          </w:tcPr>
          <w:p>
            <w:pPr>
              <w:jc w:val="center"/>
              <w:ind w:left="335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3" w:right="2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80" w:firstLine="259"/>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8" w:lineRule="exact"/>
        <w:rPr>
          <w:sz w:val="20"/>
          <w:szCs w:val="20"/>
          <w:color w:val="auto"/>
        </w:rPr>
      </w:pPr>
    </w:p>
    <w:p>
      <w:pPr>
        <w:ind w:right="340" w:firstLine="259"/>
        <w:spacing w:after="0" w:line="266" w:lineRule="auto"/>
        <w:rPr>
          <w:sz w:val="20"/>
          <w:szCs w:val="20"/>
          <w:color w:val="auto"/>
        </w:rPr>
      </w:pPr>
      <w:r>
        <w:rPr>
          <w:rFonts w:ascii="Times New Roman" w:cs="Times New Roman" w:eastAsia="Times New Roman" w:hAnsi="Times New Roman"/>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68" w:lineRule="exact"/>
        <w:rPr>
          <w:sz w:val="20"/>
          <w:szCs w:val="20"/>
          <w:color w:val="auto"/>
        </w:rPr>
      </w:pPr>
    </w:p>
    <w:p>
      <w:pPr>
        <w:ind w:left="520" w:right="620" w:hanging="255"/>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53" w:lineRule="exact"/>
        <w:rPr>
          <w:rFonts w:ascii="Times New Roman" w:cs="Times New Roman" w:eastAsia="Times New Roman" w:hAnsi="Times New Roman"/>
          <w:sz w:val="18"/>
          <w:szCs w:val="18"/>
          <w:color w:val="auto"/>
        </w:rPr>
      </w:pPr>
    </w:p>
    <w:p>
      <w:pPr>
        <w:ind w:left="520" w:right="420" w:hanging="255"/>
        <w:spacing w:after="0" w:line="313" w:lineRule="auto"/>
        <w:tabs>
          <w:tab w:leader="none" w:pos="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30" w:lineRule="exact"/>
        <w:rPr>
          <w:rFonts w:ascii="Times New Roman" w:cs="Times New Roman" w:eastAsia="Times New Roman" w:hAnsi="Times New Roman"/>
          <w:sz w:val="17"/>
          <w:szCs w:val="17"/>
          <w:color w:val="auto"/>
        </w:rPr>
      </w:pPr>
    </w:p>
    <w:p>
      <w:pPr>
        <w:ind w:left="520" w:hanging="255"/>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report and elsewhere in our filings with the SEC.</w:t>
      </w:r>
    </w:p>
    <w:p>
      <w:pPr>
        <w:spacing w:after="0" w:line="225"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 because we are an investment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right="100" w:firstLine="259"/>
        <w:spacing w:after="0" w:line="266" w:lineRule="auto"/>
        <w:rPr>
          <w:sz w:val="20"/>
          <w:szCs w:val="20"/>
          <w:color w:val="auto"/>
        </w:rPr>
      </w:pPr>
      <w:r>
        <w:rPr>
          <w:rFonts w:ascii="Times New Roman" w:cs="Times New Roman" w:eastAsia="Times New Roman" w:hAnsi="Times New Roman"/>
          <w:sz w:val="18"/>
          <w:szCs w:val="18"/>
          <w:color w:val="auto"/>
        </w:rPr>
        <w:t>In this Annual Report, except where the context suggests otherwise, the terms “TSL,” “TSLX,” “we,” “us,” “our,” and “the Company” refer to TPG Specialty Lending, Inc. The term “Adviser” refers to TSL Advisers, LLC, a Delaware limited liability company. The term “TSSP” refers to TPG Sixth Street Partners. The term “TPG” refers to TPG Global, LLC and its affiliates.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right="100" w:firstLine="259"/>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December 31, 2018, we have originated more than $9.5 billion aggregate principal amount of investments and retained approximately $5.2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2018, our core portfolio companies, which exclude certain investments that fall outside of our typical borrower profile and represent 83.7% of our total investments based on fair value, had weighted average annual revenue of $101.7 million and weighted average annual EBITDA of $27.9 million.</w:t>
      </w:r>
    </w:p>
    <w:p>
      <w:pPr>
        <w:spacing w:after="0" w:line="189" w:lineRule="exact"/>
        <w:rPr>
          <w:sz w:val="20"/>
          <w:szCs w:val="20"/>
          <w:color w:val="auto"/>
        </w:rPr>
      </w:pPr>
    </w:p>
    <w:p>
      <w:pPr>
        <w:ind w:right="360" w:firstLine="259"/>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equity investments, capital gains on the sale of investments and various loan origination and other fees.</w:t>
      </w:r>
    </w:p>
    <w:p>
      <w:pPr>
        <w:spacing w:after="0" w:line="162"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We have operated as a business development company, or a BDC, since we began our investment activities in July 2011, and we are currently one of the largest publicly listed BDCs by total assets. In conducting our investment activities, we believe that we benefit from the significant scale and resources of our Adviser and its affiliates.</w:t>
      </w:r>
    </w:p>
    <w:p>
      <w:pPr>
        <w:spacing w:after="0" w:line="176" w:lineRule="exact"/>
        <w:rPr>
          <w:sz w:val="20"/>
          <w:szCs w:val="20"/>
          <w:color w:val="auto"/>
        </w:rPr>
      </w:pPr>
    </w:p>
    <w:p>
      <w:pPr>
        <w:ind w:firstLine="259"/>
        <w:spacing w:after="0" w:line="253"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As of December 31, 2018, based on fair value our portfolio consisted of 96.9% first-lien debt investments, 0.2% second-lien debt investments, 0.2% mezzanine investments, and 2.7% equity and other investments. As of December 31, 2018, 99.7% of our debt investments based on fair value bore interest at floating rates (when including investment specific hedges), with 93.4% of these subject to interest rate floors, which we believe helps act as a portfolio-wide hedge against inflation. As of December 31, 2018 we had investments in 46 portfolio companies, with an average investment size of approximately $37.1 million based on fair value. As of December 31, 2018, the largest single investment based on fair value represented 4.9% of our total investment portfolio.</w:t>
      </w:r>
    </w:p>
    <w:p>
      <w:pPr>
        <w:spacing w:after="0" w:line="193" w:lineRule="exact"/>
        <w:rPr>
          <w:sz w:val="20"/>
          <w:szCs w:val="20"/>
          <w:color w:val="auto"/>
        </w:rPr>
      </w:pPr>
    </w:p>
    <w:p>
      <w:pPr>
        <w:ind w:right="180" w:firstLine="259"/>
        <w:spacing w:after="0" w:line="266" w:lineRule="auto"/>
        <w:rPr>
          <w:sz w:val="20"/>
          <w:szCs w:val="20"/>
          <w:color w:val="auto"/>
        </w:rPr>
      </w:pPr>
      <w:r>
        <w:rPr>
          <w:rFonts w:ascii="Times New Roman" w:cs="Times New Roman" w:eastAsia="Times New Roman" w:hAnsi="Times New Roman"/>
          <w:sz w:val="18"/>
          <w:szCs w:val="18"/>
          <w:color w:val="auto"/>
        </w:rPr>
        <w:t>As of December 31, 2018, our portfolio was invested across 17 different industries. The largest industries in our portfolio as of December 31, 2018 were business services and financial services (primarily payment processing and financing technology companies), which represented, as a percentage of our portfolio, 19.3%, and 19.2%, respectively, based on fair value.</w:t>
      </w:r>
    </w:p>
    <w:p>
      <w:pPr>
        <w:spacing w:after="0" w:line="176" w:lineRule="exact"/>
        <w:rPr>
          <w:sz w:val="20"/>
          <w:szCs w:val="20"/>
          <w:color w:val="auto"/>
        </w:rPr>
      </w:pPr>
    </w:p>
    <w:p>
      <w:pPr>
        <w:ind w:right="180" w:firstLine="259"/>
        <w:spacing w:after="0" w:line="258" w:lineRule="auto"/>
        <w:rPr>
          <w:sz w:val="20"/>
          <w:szCs w:val="20"/>
          <w:color w:val="auto"/>
        </w:rPr>
      </w:pPr>
      <w:r>
        <w:rPr>
          <w:rFonts w:ascii="Times New Roman" w:cs="Times New Roman" w:eastAsia="Times New Roman" w:hAnsi="Times New Roman"/>
          <w:sz w:val="18"/>
          <w:szCs w:val="18"/>
          <w:color w:val="auto"/>
        </w:rPr>
        <w:t>We are an externally managed, closed-end, non-diversified management investment company that has elected to be regulated as a BDC under the Investment Company Act of 1940, as amended, or the 1940 Act. In addition, for U.S. federal income tax purposes, we have elected to be treated as a regulated investment company, or RIC, under Subchapter M of the Internal Revenue Code of 1986, as amended, which we refer to as the Code. As a consequence of our BDC and RIC elections, our portfolio is and will continue to be subject to diversification and other requirements to maintain such status elections.</w:t>
      </w:r>
    </w:p>
    <w:p>
      <w:pPr>
        <w:spacing w:after="0" w:line="184" w:lineRule="exact"/>
        <w:rPr>
          <w:sz w:val="20"/>
          <w:szCs w:val="20"/>
          <w:color w:val="auto"/>
        </w:rPr>
      </w:pPr>
    </w:p>
    <w:p>
      <w:pPr>
        <w:ind w:right="100" w:firstLine="259"/>
        <w:spacing w:after="0" w:line="277" w:lineRule="auto"/>
        <w:rPr>
          <w:sz w:val="20"/>
          <w:szCs w:val="20"/>
          <w:color w:val="auto"/>
        </w:rPr>
      </w:pPr>
      <w:r>
        <w:rPr>
          <w:rFonts w:ascii="Times New Roman" w:cs="Times New Roman" w:eastAsia="Times New Roman" w:hAnsi="Times New Roman"/>
          <w:sz w:val="17"/>
          <w:szCs w:val="17"/>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our ratio of total assets (less total liabilities other than indebtedness) to total indebtedness plus preferred stock is at least 150% (prior to October 9, 2018, our minimum asset coverage requirement was 200%). In determining whether to borrow money, we analyze the maturity, covenant package and rate structure of the proposed borrowings, as well as the risks of those borrowings compared to our investment outlook. The use of borrowed funds or the proceeds of preferred stock offerings to make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investments has its own specific set of benefits and risks, and all of the costs of borrowing funds or issuing preferred stock are borne by us, and ultimately the holders of our common stock.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Our Business and Structure—We borrow money, which magnifies the 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gain or loss and increases the risk of investing in us.” </w:t>
      </w:r>
      <w:r>
        <w:rPr>
          <w:rFonts w:ascii="Times New Roman" w:cs="Times New Roman" w:eastAsia="Times New Roman" w:hAnsi="Times New Roman"/>
          <w:sz w:val="18"/>
          <w:szCs w:val="18"/>
          <w:color w:val="auto"/>
        </w:rPr>
        <w:t>See also “</w:t>
      </w:r>
      <w:r>
        <w:rPr>
          <w:rFonts w:ascii="Times New Roman" w:cs="Times New Roman" w:eastAsia="Times New Roman" w:hAnsi="Times New Roman"/>
          <w:sz w:val="18"/>
          <w:szCs w:val="18"/>
          <w:i w:val="1"/>
          <w:iCs w:val="1"/>
          <w:color w:val="auto"/>
        </w:rPr>
        <w:t>Regulation as a Business Development Company—Senior Securities.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operations comprise only a single reportable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our Adviser, and TSSP</w:t>
      </w:r>
    </w:p>
    <w:p>
      <w:pPr>
        <w:spacing w:after="0" w:line="121" w:lineRule="exact"/>
        <w:rPr>
          <w:sz w:val="20"/>
          <w:szCs w:val="20"/>
          <w:color w:val="auto"/>
        </w:rPr>
      </w:pPr>
    </w:p>
    <w:p>
      <w:pPr>
        <w:ind w:right="80" w:firstLine="259"/>
        <w:spacing w:after="0" w:line="25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 Our Adviser sources and manages our portfolio through a dedicated team of investment professionals predominately focused on us,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TPG Sixth Street Partners, LLC, or “TSSP”.</w:t>
      </w:r>
    </w:p>
    <w:p>
      <w:pPr>
        <w:spacing w:after="0" w:line="188"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TPG Sixth Street Partners (TSSP), with approximately $28 billion of assets under management as of September 30, 2018, is the global credit and credit-related investment firm partnered with TPG. TSSP’s core platforms include TPG Specialty Lending, TSL Europe (TSLE), which is aimed at European middle-market loan originations, TSSP Adjacent Opportunities (TAO), which has the flexibility to invest across all of TSSP’s private credit market investments, TSSP Opportunities Partners (TOP), which focuses on actively managed opportunistic investments across the credit cycle, TPG Institutional Credit Partners (TICP), which is the firm’s “public-side” credit investment platform focused on investment opportunities in broadly syndicated leveraged loan markets, and TSSP Capital Solutions (TCS),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200 investment and operating professionals. As of December 31, 2018, thirty three (33) of these personnel are dedicated to our business, including twenty five (25) investment professionals.</w:t>
      </w:r>
    </w:p>
    <w:p>
      <w:pPr>
        <w:spacing w:after="0" w:line="186"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TPG is a leading global private investment firm founded in 1992. TPG is headquartered in San Francisco and Fort Worth, with additional offices in offices in Austin, Beijing, Boston, Dallas, Hong Kong, Houston, London, Luxembourg, Melbourne, Moscow, Mumbai, New York, Seoul, and Singapore.</w:t>
      </w:r>
    </w:p>
    <w:p>
      <w:pPr>
        <w:spacing w:after="0" w:line="162"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Our Adviser consults with TSSP in connection with a substantial number of our investments. The TSSP platform provides us with the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88" w:lineRule="exact"/>
        <w:rPr>
          <w:sz w:val="20"/>
          <w:szCs w:val="20"/>
          <w:color w:val="auto"/>
        </w:rPr>
      </w:pPr>
    </w:p>
    <w:p>
      <w:pPr>
        <w:jc w:val="both"/>
        <w:ind w:right="120" w:firstLine="259"/>
        <w:spacing w:after="0" w:line="261"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0"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See “</w:t>
      </w:r>
      <w:r>
        <w:rPr>
          <w:rFonts w:ascii="Times New Roman" w:cs="Times New Roman" w:eastAsia="Times New Roman" w:hAnsi="Times New Roman"/>
          <w:sz w:val="18"/>
          <w:szCs w:val="18"/>
          <w:i w:val="1"/>
          <w:iCs w:val="1"/>
          <w:color w:val="auto"/>
        </w:rPr>
        <w:t>Regulation as a Business Development Company—Transactions with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affiliates.”</w:t>
      </w:r>
    </w:p>
    <w:p>
      <w:pPr>
        <w:spacing w:after="0" w:line="184"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62" w:lineRule="exact"/>
        <w:rPr>
          <w:sz w:val="20"/>
          <w:szCs w:val="20"/>
          <w:color w:val="auto"/>
        </w:rPr>
      </w:pPr>
    </w:p>
    <w:p>
      <w:pPr>
        <w:ind w:right="620" w:firstLine="259"/>
        <w:spacing w:after="0" w:line="282" w:lineRule="auto"/>
        <w:rPr>
          <w:sz w:val="20"/>
          <w:szCs w:val="20"/>
          <w:color w:val="auto"/>
        </w:rPr>
      </w:pPr>
      <w:r>
        <w:rPr>
          <w:rFonts w:ascii="Times New Roman" w:cs="Times New Roman" w:eastAsia="Times New Roman" w:hAnsi="Times New Roman"/>
          <w:sz w:val="18"/>
          <w:szCs w:val="18"/>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 w:name="page6"/>
    <w:bookmarkEnd w:id="5"/>
    <w:p>
      <w:pPr>
        <w:ind w:firstLine="259"/>
        <w:spacing w:after="0" w:line="258"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w:t>
      </w:r>
      <w:r>
        <w:rPr>
          <w:rFonts w:ascii="Times New Roman" w:cs="Times New Roman" w:eastAsia="Times New Roman" w:hAnsi="Times New Roman"/>
          <w:sz w:val="18"/>
          <w:szCs w:val="18"/>
          <w:i w:val="1"/>
          <w:iCs w:val="1"/>
          <w:color w:val="auto"/>
        </w:rPr>
        <w:t>Management Agreements—Investment Advisory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Administration Agreement; License Agreement</w:t>
      </w:r>
      <w:r>
        <w:rPr>
          <w:rFonts w:ascii="Times New Roman" w:cs="Times New Roman" w:eastAsia="Times New Roman" w:hAnsi="Times New Roman"/>
          <w:sz w:val="18"/>
          <w:szCs w:val="18"/>
          <w:color w:val="auto"/>
        </w:rPr>
        <w:t>.” Our Board monitors the mix and performance of our investments over time and seeks to satisfy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itself that the Adviser is acting in our interests and that our fee structure appropriately incentivizes the Adviser to do so.</w:t>
      </w:r>
    </w:p>
    <w:p>
      <w:pPr>
        <w:spacing w:after="0" w:line="184"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In November 2018, our Board renewed the Investment Advisory Agreement. Unless earlier terminated, the Investment Advisory Agreement will remain in effect until November 2019, and may be extended subject to required approvals.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Criteria/Guidelines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Decision Process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investment approach involves, among other things:</w:t>
      </w:r>
    </w:p>
    <w:p>
      <w:pPr>
        <w:spacing w:after="0" w:line="117" w:lineRule="exact"/>
        <w:rPr>
          <w:sz w:val="20"/>
          <w:szCs w:val="20"/>
          <w:color w:val="auto"/>
        </w:rPr>
      </w:pPr>
    </w:p>
    <w:p>
      <w:pPr>
        <w:ind w:left="520" w:hanging="255"/>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the markets, overall macroeconomic environment and how the assessment may impact industry and investment selection;</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company-specific research and analysis;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ind w:right="160" w:firstLine="259"/>
        <w:spacing w:after="0" w:line="282" w:lineRule="auto"/>
        <w:rPr>
          <w:sz w:val="20"/>
          <w:szCs w:val="20"/>
          <w:color w:val="auto"/>
        </w:rPr>
      </w:pPr>
      <w:r>
        <w:rPr>
          <w:rFonts w:ascii="Times New Roman" w:cs="Times New Roman" w:eastAsia="Times New Roman" w:hAnsi="Times New Roman"/>
          <w:sz w:val="18"/>
          <w:szCs w:val="18"/>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54" w:lineRule="exact"/>
        <w:rPr>
          <w:sz w:val="20"/>
          <w:szCs w:val="20"/>
          <w:color w:val="auto"/>
        </w:rPr>
      </w:pPr>
    </w:p>
    <w:p>
      <w:pPr>
        <w:ind w:left="520" w:hanging="255"/>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analysis of issuer creditworthiness, including a quantitative and qualitative assessment of the issuer’s business;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evaluation of management and its economic incentives;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analysis of business strategy and industry trends;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40" w:firstLine="259"/>
        <w:spacing w:after="0" w:line="282" w:lineRule="auto"/>
        <w:rPr>
          <w:sz w:val="20"/>
          <w:szCs w:val="20"/>
          <w:color w:val="auto"/>
        </w:rPr>
      </w:pPr>
      <w:r>
        <w:rPr>
          <w:rFonts w:ascii="Times New Roman" w:cs="Times New Roman" w:eastAsia="Times New Roman" w:hAnsi="Times New Roman"/>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 Overview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 and Sourcing</w:t>
      </w:r>
    </w:p>
    <w:p>
      <w:pPr>
        <w:spacing w:after="0" w:line="119"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 The substantial majority of our deals are informed by our current sector views and are sourced directly by our Adviser through our network of contacts. We also identify opportunities through our Adviser’s relationships with TSSP.</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Diligence Process</w:t>
      </w:r>
    </w:p>
    <w:p>
      <w:pPr>
        <w:spacing w:after="0" w:line="119" w:lineRule="exact"/>
        <w:rPr>
          <w:sz w:val="20"/>
          <w:szCs w:val="20"/>
          <w:color w:val="auto"/>
        </w:rPr>
      </w:pPr>
    </w:p>
    <w:p>
      <w:pPr>
        <w:ind w:right="140" w:firstLine="259"/>
        <w:spacing w:after="0" w:line="261" w:lineRule="auto"/>
        <w:rPr>
          <w:sz w:val="20"/>
          <w:szCs w:val="20"/>
          <w:color w:val="auto"/>
        </w:rPr>
      </w:pPr>
      <w:r>
        <w:rPr>
          <w:rFonts w:ascii="Times New Roman" w:cs="Times New Roman" w:eastAsia="Times New Roman" w:hAnsi="Times New Roman"/>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72" w:lineRule="exact"/>
        <w:rPr>
          <w:sz w:val="20"/>
          <w:szCs w:val="20"/>
          <w:color w:val="auto"/>
        </w:rPr>
      </w:pPr>
    </w:p>
    <w:p>
      <w:pPr>
        <w:ind w:left="520" w:hanging="255"/>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the purpose of the capital requirement, the key personnel and variables, as well as the sources and uses of the proceeds;</w:t>
      </w:r>
    </w:p>
    <w:p>
      <w:pPr>
        <w:spacing w:after="0" w:line="117" w:lineRule="exact"/>
        <w:rPr>
          <w:rFonts w:ascii="Times New Roman" w:cs="Times New Roman" w:eastAsia="Times New Roman" w:hAnsi="Times New Roman"/>
          <w:sz w:val="18"/>
          <w:szCs w:val="18"/>
          <w:color w:val="auto"/>
        </w:rPr>
      </w:pPr>
    </w:p>
    <w:p>
      <w:pPr>
        <w:ind w:left="520" w:right="360" w:hanging="255"/>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the company’s management, including top and middle-level executives, to get an insider’s view of the business, and to probe for potential weaknesses in business prospects;</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checking management’s backgrounds and references;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 w:name="page7"/>
    <w:bookmarkEnd w:id="6"/>
    <w:p>
      <w:pPr>
        <w:ind w:left="520" w:hanging="255"/>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detailed review of historical financial performance, including performance through various economic cycles, and the quality of earnings;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customers and vendors to assess both business prospects and standard practices;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competitive analysis, and comparing the company to its main competitors on an operating, financial, market share and valuation basis;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researching the industry for historic growth trends and future prospects as well as to identify future exit alternatives;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asset value and the ability of physical infrastructure and information systems to handle anticipated growth;</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TSSP internal resources with institutional knowledge of the company’s business;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legal and regulatory risks and financial and accounting systems and practices.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Selective Investment Process</w:t>
      </w:r>
    </w:p>
    <w:p>
      <w:pPr>
        <w:spacing w:after="0" w:line="119" w:lineRule="exact"/>
        <w:rPr>
          <w:sz w:val="20"/>
          <w:szCs w:val="20"/>
          <w:color w:val="auto"/>
        </w:rPr>
      </w:pPr>
    </w:p>
    <w:p>
      <w:pPr>
        <w:ind w:right="200" w:firstLine="259"/>
        <w:spacing w:after="0" w:line="281" w:lineRule="auto"/>
        <w:rPr>
          <w:sz w:val="20"/>
          <w:szCs w:val="20"/>
          <w:color w:val="auto"/>
        </w:rPr>
      </w:pPr>
      <w:r>
        <w:rPr>
          <w:rFonts w:ascii="Times New Roman" w:cs="Times New Roman" w:eastAsia="Times New Roman" w:hAnsi="Times New Roman"/>
          <w:sz w:val="17"/>
          <w:szCs w:val="17"/>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Formal Commitment</w:t>
      </w:r>
    </w:p>
    <w:p>
      <w:pPr>
        <w:spacing w:after="0" w:line="119"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Approval of an investment requires the approval of the Investment Review Committee or, depending on the size and nature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Monitoring</w:t>
      </w:r>
    </w:p>
    <w:p>
      <w:pPr>
        <w:spacing w:after="0" w:line="119"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Adviser has a number of methods of evaluating and monitoring the performance of our investments, which may include the following:</w:t>
      </w:r>
    </w:p>
    <w:p>
      <w:pPr>
        <w:spacing w:after="0" w:line="117" w:lineRule="exact"/>
        <w:rPr>
          <w:sz w:val="20"/>
          <w:szCs w:val="20"/>
          <w:color w:val="auto"/>
        </w:rPr>
      </w:pPr>
    </w:p>
    <w:p>
      <w:pPr>
        <w:ind w:left="520" w:hanging="255"/>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17" w:lineRule="exact"/>
        <w:rPr>
          <w:rFonts w:ascii="Times New Roman" w:cs="Times New Roman" w:eastAsia="Times New Roman" w:hAnsi="Times New Roman"/>
          <w:sz w:val="18"/>
          <w:szCs w:val="18"/>
          <w:color w:val="auto"/>
        </w:rPr>
      </w:pPr>
    </w:p>
    <w:p>
      <w:pPr>
        <w:ind w:left="520" w:right="220" w:hanging="255"/>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00" w:firstLine="259"/>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jc w:val="both"/>
        <w:ind w:left="520" w:right="780" w:hanging="255"/>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8" w:lineRule="exact"/>
        <w:rPr>
          <w:rFonts w:ascii="Times New Roman" w:cs="Times New Roman" w:eastAsia="Times New Roman" w:hAnsi="Times New Roman"/>
          <w:sz w:val="18"/>
          <w:szCs w:val="18"/>
          <w:color w:val="auto"/>
        </w:rPr>
      </w:pPr>
    </w:p>
    <w:p>
      <w:pPr>
        <w:ind w:left="520" w:right="260" w:hanging="255"/>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8" w:lineRule="exact"/>
        <w:rPr>
          <w:rFonts w:ascii="Times New Roman" w:cs="Times New Roman" w:eastAsia="Times New Roman" w:hAnsi="Times New Roman"/>
          <w:sz w:val="18"/>
          <w:szCs w:val="18"/>
          <w:color w:val="auto"/>
        </w:rPr>
      </w:pPr>
    </w:p>
    <w:p>
      <w:pPr>
        <w:ind w:left="520" w:right="340" w:hanging="255"/>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7" w:name="page8"/>
    <w:bookmarkEnd w:id="7"/>
    <w:p>
      <w:pPr>
        <w:ind w:left="520" w:right="140" w:hanging="255"/>
        <w:spacing w:after="0" w:line="25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79" w:lineRule="exact"/>
        <w:rPr>
          <w:rFonts w:ascii="Times New Roman" w:cs="Times New Roman" w:eastAsia="Times New Roman" w:hAnsi="Times New Roman"/>
          <w:sz w:val="18"/>
          <w:szCs w:val="18"/>
          <w:color w:val="auto"/>
        </w:rPr>
      </w:pPr>
    </w:p>
    <w:p>
      <w:pPr>
        <w:ind w:left="520" w:right="100" w:hanging="255"/>
        <w:spacing w:after="0" w:line="261"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and/or principal payments. For these investments, our Adviser reviews the investment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8" w:lineRule="exact"/>
        <w:rPr>
          <w:sz w:val="20"/>
          <w:szCs w:val="20"/>
          <w:color w:val="auto"/>
        </w:rPr>
      </w:pPr>
    </w:p>
    <w:p>
      <w:pPr>
        <w:ind w:right="580" w:firstLine="259"/>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on the investment performance ratings of our portfolio, see </w:t>
      </w:r>
      <w:r>
        <w:rPr>
          <w:rFonts w:ascii="Times New Roman" w:cs="Times New Roman" w:eastAsia="Times New Roman" w:hAnsi="Times New Roman"/>
          <w:sz w:val="18"/>
          <w:szCs w:val="18"/>
          <w:i w:val="1"/>
          <w:iCs w:val="1"/>
          <w:color w:val="auto"/>
        </w:rPr>
        <w:t>“ITEM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OPERATIONS—Portfolio and Investment Activity.”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Review Committee</w:t>
      </w:r>
    </w:p>
    <w:p>
      <w:pPr>
        <w:spacing w:after="0" w:line="121"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The Adviser manages our portfolio under the general oversight of the Investment Review Committee. The Investment Review Committee includes certain individuals who are senior personnel of the Adviser and TSSP, as well as certain other persons appointed by the Adviser from time to time. Our Investment Team and the Investment Review Committee are supported by and have access to the investment professionals, analytical capabilities and support personnel of TSSP.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 of Investments</w:t>
      </w:r>
    </w:p>
    <w:p>
      <w:pPr>
        <w:spacing w:after="0" w:line="121" w:lineRule="exact"/>
        <w:rPr>
          <w:sz w:val="20"/>
          <w:szCs w:val="20"/>
          <w:color w:val="auto"/>
        </w:rPr>
      </w:pPr>
    </w:p>
    <w:p>
      <w:pPr>
        <w:jc w:val="both"/>
        <w:ind w:right="120" w:firstLine="259"/>
        <w:spacing w:after="0" w:line="266" w:lineRule="auto"/>
        <w:rPr>
          <w:sz w:val="20"/>
          <w:szCs w:val="20"/>
          <w:color w:val="auto"/>
        </w:rPr>
      </w:pPr>
      <w:r>
        <w:rPr>
          <w:rFonts w:ascii="Times New Roman" w:cs="Times New Roman" w:eastAsia="Times New Roman" w:hAnsi="Times New Roman"/>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and unsecured loans and investments in corporate bonds and equity and other investments.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Investments</w:t>
      </w:r>
    </w:p>
    <w:p>
      <w:pPr>
        <w:spacing w:after="0" w:line="119" w:lineRule="exact"/>
        <w:rPr>
          <w:sz w:val="20"/>
          <w:szCs w:val="20"/>
          <w:color w:val="auto"/>
        </w:rPr>
      </w:pPr>
    </w:p>
    <w:p>
      <w:pPr>
        <w:ind w:right="280" w:firstLine="259"/>
        <w:spacing w:after="0" w:line="266" w:lineRule="auto"/>
        <w:rPr>
          <w:sz w:val="20"/>
          <w:szCs w:val="20"/>
          <w:color w:val="auto"/>
        </w:rPr>
      </w:pPr>
      <w:r>
        <w:rPr>
          <w:rFonts w:ascii="Times New Roman" w:cs="Times New Roman" w:eastAsia="Times New Roman" w:hAnsi="Times New Roman"/>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64" w:lineRule="exact"/>
        <w:rPr>
          <w:sz w:val="20"/>
          <w:szCs w:val="20"/>
          <w:color w:val="auto"/>
        </w:rPr>
      </w:pPr>
    </w:p>
    <w:p>
      <w:pPr>
        <w:ind w:left="520" w:right="100" w:hanging="255"/>
        <w:spacing w:after="0" w:line="26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First-lien debt. </w:t>
      </w:r>
      <w:r>
        <w:rPr>
          <w:rFonts w:ascii="Times New Roman" w:cs="Times New Roman" w:eastAsia="Times New Roman" w:hAnsi="Times New Roman"/>
          <w:sz w:val="18"/>
          <w:szCs w:val="18"/>
          <w:color w:val="auto"/>
        </w:rPr>
        <w:t>First-lien debt is typically senior on a lien basis to other liabilities in the issuer’s capital structure and has the benefit of a first-priority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68" w:lineRule="exact"/>
        <w:rPr>
          <w:rFonts w:ascii="Times New Roman" w:cs="Times New Roman" w:eastAsia="Times New Roman" w:hAnsi="Times New Roman"/>
          <w:sz w:val="18"/>
          <w:szCs w:val="18"/>
          <w:color w:val="auto"/>
        </w:rPr>
      </w:pPr>
    </w:p>
    <w:p>
      <w:pPr>
        <w:ind w:left="520" w:hanging="255"/>
        <w:spacing w:after="0" w:line="28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Stand-alone first-lien loans. </w:t>
      </w:r>
      <w:r>
        <w:rPr>
          <w:rFonts w:ascii="Times New Roman" w:cs="Times New Roman" w:eastAsia="Times New Roman" w:hAnsi="Times New Roman"/>
          <w:sz w:val="18"/>
          <w:szCs w:val="18"/>
          <w:color w:val="auto"/>
        </w:rPr>
        <w:t>Stand-alone first-lien loans are traditional first-lien loans. All lenders in the facility have equal rights to the collateral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subject to the first-priority security interest.</w:t>
      </w:r>
    </w:p>
    <w:p>
      <w:pPr>
        <w:spacing w:after="0" w:line="46" w:lineRule="exact"/>
        <w:rPr>
          <w:rFonts w:ascii="Times New Roman" w:cs="Times New Roman" w:eastAsia="Times New Roman" w:hAnsi="Times New Roman"/>
          <w:sz w:val="18"/>
          <w:szCs w:val="18"/>
          <w:color w:val="auto"/>
        </w:rPr>
      </w:pPr>
    </w:p>
    <w:p>
      <w:pPr>
        <w:ind w:left="520" w:right="60" w:hanging="255"/>
        <w:spacing w:after="0" w:line="274" w:lineRule="auto"/>
        <w:tabs>
          <w:tab w:leader="none" w:pos="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“Last out” first-lien loans. </w:t>
      </w:r>
      <w:r>
        <w:rPr>
          <w:rFonts w:ascii="Times New Roman" w:cs="Times New Roman" w:eastAsia="Times New Roman" w:hAnsi="Times New Roman"/>
          <w:sz w:val="17"/>
          <w:szCs w:val="17"/>
          <w:color w:val="auto"/>
        </w:rPr>
        <w:t>“Last out” first-lien loans have a secondary priority behind super-senior “first out” first-lien loans in the collateral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58" w:lineRule="exact"/>
        <w:rPr>
          <w:rFonts w:ascii="Times New Roman" w:cs="Times New Roman" w:eastAsia="Times New Roman" w:hAnsi="Times New Roman"/>
          <w:sz w:val="17"/>
          <w:szCs w:val="17"/>
          <w:color w:val="auto"/>
        </w:rPr>
      </w:pPr>
    </w:p>
    <w:p>
      <w:pPr>
        <w:ind w:left="520" w:right="40" w:hanging="255"/>
        <w:spacing w:after="0" w:line="268"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“Unitranche” loans. </w:t>
      </w:r>
      <w:r>
        <w:rPr>
          <w:rFonts w:ascii="Times New Roman" w:cs="Times New Roman" w:eastAsia="Times New Roman" w:hAnsi="Times New Roman"/>
          <w:sz w:val="18"/>
          <w:szCs w:val="18"/>
          <w:color w:val="auto"/>
        </w:rPr>
        <w:t>Unitranche loans combine features of first-lien, second-lien and mezzanine debt, generally in a first-lien position. In many cases,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may provide the borrower most, if not all, of the capital structure above the equity. The primary advantages to the borrower are the ability to negotiate the entire debt financing with one lender and the elimination of intercreditor issues.</w:t>
      </w:r>
    </w:p>
    <w:p>
      <w:pPr>
        <w:spacing w:after="0" w:line="62" w:lineRule="exact"/>
        <w:rPr>
          <w:rFonts w:ascii="Times New Roman" w:cs="Times New Roman" w:eastAsia="Times New Roman" w:hAnsi="Times New Roman"/>
          <w:sz w:val="18"/>
          <w:szCs w:val="18"/>
          <w:color w:val="auto"/>
        </w:rPr>
      </w:pPr>
    </w:p>
    <w:p>
      <w:pPr>
        <w:ind w:left="520" w:right="160" w:hanging="255"/>
        <w:spacing w:after="0" w:line="268"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Second-lien debt. </w:t>
      </w:r>
      <w:r>
        <w:rPr>
          <w:rFonts w:ascii="Times New Roman" w:cs="Times New Roman" w:eastAsia="Times New Roman" w:hAnsi="Times New Roman"/>
          <w:sz w:val="18"/>
          <w:szCs w:val="18"/>
          <w:color w:val="auto"/>
        </w:rPr>
        <w:t>Our second-lien debt may include secured loans, and, to a lesser extent, secured corporate bonds, with a secondary priority behind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first-lien debt. Second-lien debt typically is senior on a lien basis to other liabilities in the issuer’s capital structure and has the benefit of a security interest over assets of the issuer, though ranking junior to first-lien debt secured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 w:name="page9"/>
    <w:bookmarkEnd w:id="8"/>
    <w:p>
      <w:pPr>
        <w:ind w:left="520" w:right="280"/>
        <w:spacing w:after="0" w:line="282" w:lineRule="auto"/>
        <w:rPr>
          <w:sz w:val="20"/>
          <w:szCs w:val="20"/>
          <w:color w:val="auto"/>
        </w:rPr>
      </w:pPr>
      <w:r>
        <w:rPr>
          <w:rFonts w:ascii="Times New Roman" w:cs="Times New Roman" w:eastAsia="Times New Roman" w:hAnsi="Times New Roman"/>
          <w:sz w:val="18"/>
          <w:szCs w:val="18"/>
          <w:color w:val="auto"/>
        </w:rPr>
        <w:t>by those assets. First-lien lenders and second-lien lenders typically have separate liens on the collateral, and an intercreditor agreement provides the first-lien lenders with priority over the second-lien lenders’ liens on the collateral.</w:t>
      </w:r>
    </w:p>
    <w:p>
      <w:pPr>
        <w:spacing w:after="0" w:line="50" w:lineRule="exact"/>
        <w:rPr>
          <w:sz w:val="20"/>
          <w:szCs w:val="20"/>
          <w:color w:val="auto"/>
        </w:rPr>
      </w:pPr>
    </w:p>
    <w:p>
      <w:pPr>
        <w:ind w:left="520" w:right="80" w:hanging="255"/>
        <w:spacing w:after="0" w:line="272" w:lineRule="auto"/>
        <w:tabs>
          <w:tab w:leader="none" w:pos="5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“Mezzanine” and “Unsecured” debt. </w:t>
      </w:r>
      <w:r>
        <w:rPr>
          <w:rFonts w:ascii="Times New Roman" w:cs="Times New Roman" w:eastAsia="Times New Roman" w:hAnsi="Times New Roman"/>
          <w:sz w:val="17"/>
          <w:szCs w:val="17"/>
          <w:color w:val="auto"/>
        </w:rPr>
        <w:t>Structurally, mezzanine debt usually ranks subordinate in priority of payment to first-lien and second-lien debt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76"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54" w:lineRule="exact"/>
        <w:rPr>
          <w:sz w:val="20"/>
          <w:szCs w:val="20"/>
          <w:color w:val="auto"/>
        </w:rPr>
      </w:pPr>
    </w:p>
    <w:p>
      <w:pPr>
        <w:ind w:left="520" w:hanging="255"/>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total return on our investments (including both interest and potential equity appreciation) that compensates us for credit risk; and</w:t>
      </w:r>
    </w:p>
    <w:p>
      <w:pPr>
        <w:spacing w:after="0" w:line="117" w:lineRule="exact"/>
        <w:rPr>
          <w:rFonts w:ascii="Times New Roman" w:cs="Times New Roman" w:eastAsia="Times New Roman" w:hAnsi="Times New Roman"/>
          <w:sz w:val="18"/>
          <w:szCs w:val="18"/>
          <w:color w:val="auto"/>
        </w:rPr>
      </w:pPr>
    </w:p>
    <w:p>
      <w:pPr>
        <w:ind w:left="520" w:right="20" w:hanging="255"/>
        <w:spacing w:after="0" w:line="26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0" w:lineRule="exact"/>
        <w:rPr>
          <w:sz w:val="20"/>
          <w:szCs w:val="20"/>
          <w:color w:val="auto"/>
        </w:rPr>
      </w:pPr>
    </w:p>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and Other Investments</w:t>
      </w:r>
    </w:p>
    <w:p>
      <w:pPr>
        <w:spacing w:after="0" w:line="119" w:lineRule="exact"/>
        <w:rPr>
          <w:sz w:val="20"/>
          <w:szCs w:val="20"/>
          <w:color w:val="auto"/>
        </w:rPr>
      </w:pPr>
    </w:p>
    <w:p>
      <w:pPr>
        <w:jc w:val="both"/>
        <w:ind w:right="640" w:firstLine="259"/>
        <w:spacing w:after="0" w:line="266" w:lineRule="auto"/>
        <w:rPr>
          <w:sz w:val="20"/>
          <w:szCs w:val="20"/>
          <w:color w:val="auto"/>
        </w:rPr>
      </w:pPr>
      <w:r>
        <w:rPr>
          <w:rFonts w:ascii="Times New Roman" w:cs="Times New Roman" w:eastAsia="Times New Roman" w:hAnsi="Times New Roman"/>
          <w:sz w:val="18"/>
          <w:szCs w:val="18"/>
          <w:color w:val="auto"/>
        </w:rPr>
        <w:t>Our loans may include an equity interest in the issuer, such as a warrant or profit participation right. In certain instances, we also will make equity investments, although those situations are generally limited to those cases where we are also making an investment in a more senior part of the capital structure of the issuer.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220" w:firstLine="259"/>
        <w:spacing w:after="0" w:line="282" w:lineRule="auto"/>
        <w:rPr>
          <w:sz w:val="20"/>
          <w:szCs w:val="20"/>
          <w:color w:val="auto"/>
        </w:rPr>
      </w:pPr>
      <w:r>
        <w:rPr>
          <w:rFonts w:ascii="Times New Roman" w:cs="Times New Roman" w:eastAsia="Times New Roman" w:hAnsi="Times New Roman"/>
          <w:sz w:val="18"/>
          <w:szCs w:val="18"/>
          <w:color w:val="auto"/>
        </w:rPr>
        <w:t>As of December 31, 2018 and 2017, we had made investments with an aggregate fair value of $1,706.0 million and $1,693.7 million, respectively, in 46 and 45 portfolio companies, respectively.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Investments consisted of the following at December 31, 2018 and 2017:</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6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 in millions)</w:t>
            </w:r>
          </w:p>
        </w:tc>
        <w:tc>
          <w:tcPr>
            <w:tcW w:w="3180" w:type="dxa"/>
            <w:vAlign w:val="bottom"/>
            <w:gridSpan w:val="3"/>
          </w:tcPr>
          <w:p>
            <w:pPr>
              <w:ind w:left="2000"/>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0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0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300" w:type="dxa"/>
            <w:vAlign w:val="bottom"/>
            <w:vMerge w:val="continue"/>
            <w:shd w:val="clear" w:color="auto" w:fill="CFF0FC"/>
          </w:tcPr>
          <w:p>
            <w:pPr>
              <w:spacing w:after="0"/>
              <w:rPr>
                <w:sz w:val="19"/>
                <w:szCs w:val="19"/>
                <w:color w:val="auto"/>
              </w:rPr>
            </w:pPr>
          </w:p>
        </w:tc>
        <w:tc>
          <w:tcPr>
            <w:tcW w:w="20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bottom w:val="single" w:sz="8" w:color="CFF0FC"/>
            </w:tcBorders>
            <w:vMerge w:val="restart"/>
          </w:tcPr>
          <w:p>
            <w:pPr>
              <w:jc w:val="right"/>
              <w:ind w:right="619"/>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9" w:name="page10"/>
    <w:bookmarkEnd w:id="9"/>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2"/>
                <w:szCs w:val="12"/>
                <w:color w:val="auto"/>
              </w:rPr>
            </w:pPr>
          </w:p>
        </w:tc>
      </w:tr>
      <w:tr>
        <w:trPr>
          <w:trHeight w:val="173"/>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78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Gain (Loss)</w:t>
            </w:r>
          </w:p>
        </w:tc>
      </w:tr>
      <w:tr>
        <w:trPr>
          <w:trHeight w:val="223"/>
        </w:trPr>
        <w:tc>
          <w:tcPr>
            <w:tcW w:w="2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6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6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58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cost represents the original cost adjusted for the amortization of discounts or premiums, as applicable, on debt investments using the effective interest method.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December 31, 2018 and 2017 was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8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8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Chemicals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6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Education</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Marketing services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vMerge w:val="continue"/>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259"/>
        <w:spacing w:after="0" w:line="282" w:lineRule="auto"/>
        <w:rPr>
          <w:sz w:val="20"/>
          <w:szCs w:val="20"/>
          <w:color w:val="auto"/>
        </w:rPr>
      </w:pPr>
      <w:r>
        <w:rPr>
          <w:rFonts w:ascii="Times New Roman" w:cs="Times New Roman" w:eastAsia="Times New Roman" w:hAnsi="Times New Roman"/>
          <w:sz w:val="18"/>
          <w:szCs w:val="18"/>
          <w:color w:val="auto"/>
        </w:rPr>
        <w:t>We classify the industries of our portfolio companies by end-market (such as healthcare, and business services) and not by the product or services (such as software) directed to those end-markets.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December 31, 2018 and 2017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3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Midwest</w:t>
            </w:r>
          </w:p>
        </w:tc>
        <w:tc>
          <w:tcPr>
            <w:tcW w:w="4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12.0%</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Northeast</w:t>
            </w:r>
          </w:p>
        </w:tc>
        <w:tc>
          <w:tcPr>
            <w:tcW w:w="49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23.5%</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South</w:t>
            </w:r>
          </w:p>
        </w:tc>
        <w:tc>
          <w:tcPr>
            <w:tcW w:w="4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19.6%</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West</w:t>
            </w:r>
          </w:p>
        </w:tc>
        <w:tc>
          <w:tcPr>
            <w:tcW w:w="49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40.2%</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4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33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33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00" w:type="dxa"/>
            <w:vAlign w:val="bottom"/>
            <w:vMerge w:val="restart"/>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2700" w:type="dxa"/>
            <w:vAlign w:val="bottom"/>
            <w:vMerge w:val="continue"/>
            <w:shd w:val="clear" w:color="auto" w:fill="CFF0FC"/>
          </w:tcPr>
          <w:p>
            <w:pPr>
              <w:spacing w:after="0"/>
              <w:rPr>
                <w:sz w:val="19"/>
                <w:szCs w:val="19"/>
                <w:color w:val="auto"/>
              </w:rPr>
            </w:pPr>
          </w:p>
        </w:tc>
        <w:tc>
          <w:tcPr>
            <w:tcW w:w="3300" w:type="dxa"/>
            <w:vAlign w:val="bottom"/>
            <w:vMerge w:val="continue"/>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tcBorders>
              <w:top w:val="single" w:sz="8" w:color="CFF0FC"/>
            </w:tcBorders>
          </w:tcPr>
          <w:p>
            <w:pPr>
              <w:spacing w:after="0" w:line="20" w:lineRule="exact"/>
              <w:rPr>
                <w:sz w:val="1"/>
                <w:szCs w:val="1"/>
                <w:color w:val="auto"/>
              </w:rPr>
            </w:pPr>
          </w:p>
        </w:tc>
        <w:tc>
          <w:tcPr>
            <w:tcW w:w="3300" w:type="dxa"/>
            <w:vAlign w:val="bottom"/>
            <w:tcBorders>
              <w:top w:val="single" w:sz="8" w:color="CFF0FC"/>
              <w:bottom w:val="single" w:sz="8" w:color="CFF0FC"/>
            </w:tcBorders>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28" w:right="2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Investment Commitments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2018 and 2017, we had the following commitments to fund investments in current portfolio companies: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60" w:type="dxa"/>
            <w:vAlign w:val="bottom"/>
          </w:tcPr>
          <w:p>
            <w:pPr>
              <w:spacing w:after="0"/>
              <w:rPr>
                <w:sz w:val="15"/>
                <w:szCs w:val="15"/>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23"/>
        </w:trPr>
        <w:tc>
          <w:tcPr>
            <w:tcW w:w="20" w:type="dxa"/>
            <w:vAlign w:val="bottom"/>
          </w:tcPr>
          <w:p>
            <w:pPr>
              <w:spacing w:after="0"/>
              <w:rPr>
                <w:sz w:val="19"/>
                <w:szCs w:val="19"/>
                <w:color w:val="auto"/>
              </w:rPr>
            </w:pPr>
          </w:p>
        </w:tc>
        <w:tc>
          <w:tcPr>
            <w:tcW w:w="6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AppStar Financial, LLC - Revolver</w:t>
            </w:r>
          </w:p>
        </w:tc>
        <w:tc>
          <w:tcPr>
            <w:tcW w:w="480" w:type="dxa"/>
            <w:vAlign w:val="bottom"/>
            <w:tcBorders>
              <w:top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Caris Life Sciences, Ltd. - Delayed Draw</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ClearCompany, LLC - Delayed Draw</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Ferrellgas, L.P.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Frontline Technologies Group, LLC - Delayed Draw</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G Treasury SS, LLC - Delayed Draw</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 Treasury SS, LLC - Revolver</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Government Brands, LLC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Helix Health, Ltd. - Revolver</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Illuminate Education, Inc.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Industrial Physics, LLC - Revolver</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Integration Appliance, Inc.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IRGSE Holding Corp. - Revolver</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Leaf US Holdings, Inc.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Lithium Technologies, LLC - Revolver</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MD America Energy, LLC - Delayed Draw</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Marketo, Inc. - Revolver</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Motus, LLC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Northern Oil and Gas, Inc. - Delayed Draw</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PageUp People Limited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PayLease, LLC - Revolver</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PaySimple, Inc.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PrimeRevenue, Inc. - Revolver</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Rex Energy Corporation - Delayed Draw</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Riskonnect, Inc. - Revolver</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ScentAir Technologies, Inc.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Sovos Compliance, LLC - Delayed Draw</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Sovos Compliance, LLC - Revolver</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480" w:type="dxa"/>
            <w:vAlign w:val="bottom"/>
            <w:tcBorders>
              <w:bottom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right="60" w:firstLine="259"/>
        <w:spacing w:after="0" w:line="313" w:lineRule="auto"/>
        <w:rPr>
          <w:sz w:val="20"/>
          <w:szCs w:val="20"/>
          <w:color w:val="auto"/>
        </w:rPr>
      </w:pPr>
      <w:r>
        <w:rPr>
          <w:rFonts w:ascii="Times New Roman" w:cs="Times New Roman" w:eastAsia="Times New Roman" w:hAnsi="Times New Roman"/>
          <w:sz w:val="18"/>
          <w:szCs w:val="18"/>
          <w:color w:val="auto"/>
        </w:rPr>
        <w:t>As of December 31, 2018 and 2017, we did not have any unfunded commitments to fund investments to new borrowers that were not current portfolio companies as of such date.</w:t>
      </w:r>
    </w:p>
    <w:p>
      <w:pPr>
        <w:spacing w:after="0" w:line="135" w:lineRule="exact"/>
        <w:rPr>
          <w:sz w:val="20"/>
          <w:szCs w:val="20"/>
          <w:color w:val="auto"/>
        </w:rPr>
      </w:pPr>
    </w:p>
    <w:p>
      <w:pPr>
        <w:ind w:right="360"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may become a party to certain legal proceedings incidental to the normal course of our business. As of December 31, 2018, management is not aware of any pending or threatened litigation.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19"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We compete for investments with a number of capital providers, including BDCs,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including the broadly syndicated loan market and high yield capital market. Many of these capital providers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Times New Roman" w:cs="Times New Roman" w:eastAsia="Times New Roman" w:hAnsi="Times New Roman"/>
          <w:sz w:val="18"/>
          <w:szCs w:val="18"/>
          <w:i w:val="1"/>
          <w:iCs w:val="1"/>
          <w:color w:val="auto"/>
        </w:rPr>
        <w:t>ITEM 1A. RISK FACTORS—Risks Related to Our Business and Structure—We operate in a highly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competitive market for investment opportunities.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484"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Capital Resources and Borrowings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anticipate generating cash in the future from cash flows from operations, including interest received on our cash and cash equivalents,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securities and other high-quality debt investments that mature in one year or less, and through issuances of common stock.</w:t>
      </w:r>
    </w:p>
    <w:p>
      <w:pPr>
        <w:spacing w:after="0" w:line="207"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Additionally, we are permitted, under specified conditions, to issue multiple classes of indebtedness and one class of shares senior to our common stock if our asset coverage, as defined in the 1940 Act, is at least equal to 150% immediately after each such issuance (prior to October 9, 2018, our minimum asset coverage requirement was 200%). As of December 31, 2018 and 2017, our asset coverage was 270.5% and 235.5%, respectively. See “</w:t>
      </w:r>
      <w:r>
        <w:rPr>
          <w:rFonts w:ascii="Times New Roman" w:cs="Times New Roman" w:eastAsia="Times New Roman" w:hAnsi="Times New Roman"/>
          <w:sz w:val="18"/>
          <w:szCs w:val="18"/>
          <w:i w:val="1"/>
          <w:iCs w:val="1"/>
          <w:color w:val="auto"/>
        </w:rPr>
        <w:t>Regulation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Development Company—Senior Securities</w:t>
      </w:r>
      <w:r>
        <w:rPr>
          <w:rFonts w:ascii="Times New Roman" w:cs="Times New Roman" w:eastAsia="Times New Roman" w:hAnsi="Times New Roman"/>
          <w:sz w:val="18"/>
          <w:szCs w:val="18"/>
          <w:color w:val="auto"/>
        </w:rPr>
        <w:t>” below.</w:t>
      </w:r>
    </w:p>
    <w:p>
      <w:pPr>
        <w:spacing w:after="0" w:line="180"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Furthermore, while any indebtedness and senior securities remain outstanding, we must make provisions to prohibit any distribution to our stockholders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debt obligations consisted of the following as of December 31, 2018 and 2017:</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7"/>
              <w:spacing w:after="0" w:line="14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275"/>
              <w:spacing w:after="0" w:line="14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r>
      <w:tr>
        <w:trPr>
          <w:trHeight w:val="173"/>
        </w:trPr>
        <w:tc>
          <w:tcPr>
            <w:tcW w:w="2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22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2"/>
                <w:szCs w:val="12"/>
                <w:b w:val="1"/>
                <w:bCs w:val="1"/>
                <w:color w:val="auto"/>
              </w:rPr>
              <w:t>(1)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2"/>
                <w:szCs w:val="12"/>
                <w:b w:val="1"/>
                <w:bCs w:val="1"/>
                <w:color w:val="auto"/>
              </w:rPr>
              <w:t>(2)</w:t>
            </w:r>
          </w:p>
        </w:tc>
      </w:tr>
      <w:tr>
        <w:trPr>
          <w:trHeight w:val="223"/>
        </w:trPr>
        <w:tc>
          <w:tcPr>
            <w:tcW w:w="20" w:type="dxa"/>
            <w:vAlign w:val="bottom"/>
          </w:tcPr>
          <w:p>
            <w:pPr>
              <w:spacing w:after="0"/>
              <w:rPr>
                <w:sz w:val="19"/>
                <w:szCs w:val="19"/>
                <w:color w:val="auto"/>
              </w:rPr>
            </w:pPr>
          </w:p>
        </w:tc>
        <w:tc>
          <w:tcPr>
            <w:tcW w:w="27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9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2019</w:t>
            </w: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2022</w:t>
            </w:r>
          </w:p>
        </w:tc>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w w:val="99"/>
              </w:rPr>
              <w:t>2023</w:t>
            </w:r>
          </w:p>
        </w:tc>
        <w:tc>
          <w:tcPr>
            <w:tcW w:w="24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9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78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9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1,377.5</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520" w:right="300" w:hanging="512"/>
        <w:spacing w:after="0" w:line="261"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Convertible Notes, and 2023 Notes are presented net of deferred financing costs and original issue discounts of $8.7 million, $5.6 million and $2.7 million, respectively.</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8"/>
              <w:spacing w:after="0" w:line="14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r>
      <w:tr>
        <w:trPr>
          <w:trHeight w:val="173"/>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22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 xml:space="preserve">Available </w:t>
            </w:r>
            <w:r>
              <w:rPr>
                <w:rFonts w:ascii="Times New Roman" w:cs="Times New Roman" w:eastAsia="Times New Roman" w:hAnsi="Times New Roman"/>
                <w:sz w:val="12"/>
                <w:szCs w:val="12"/>
                <w:b w:val="1"/>
                <w:bCs w:val="1"/>
                <w:color w:val="auto"/>
                <w:w w:val="99"/>
              </w:rPr>
              <w:t>(1)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2"/>
                <w:szCs w:val="12"/>
                <w:b w:val="1"/>
                <w:bCs w:val="1"/>
                <w:color w:val="auto"/>
              </w:rPr>
              <w:t>(2)</w:t>
            </w:r>
          </w:p>
        </w:tc>
      </w:tr>
      <w:tr>
        <w:trPr>
          <w:trHeight w:val="223"/>
        </w:trPr>
        <w:tc>
          <w:tcPr>
            <w:tcW w:w="20" w:type="dxa"/>
            <w:vAlign w:val="bottom"/>
          </w:tcPr>
          <w:p>
            <w:pPr>
              <w:spacing w:after="0"/>
              <w:rPr>
                <w:sz w:val="19"/>
                <w:szCs w:val="19"/>
                <w:color w:val="auto"/>
              </w:rPr>
            </w:pPr>
          </w:p>
        </w:tc>
        <w:tc>
          <w:tcPr>
            <w:tcW w:w="2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9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2019 Convertible Notes</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Convertible Notes</w:t>
            </w: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7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9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1,205.0</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520" w:right="120" w:hanging="512"/>
        <w:spacing w:after="0" w:line="26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and Convertible Notes are presented net of deferred financing costs and original issue discounts of $7.1 million, $6.3 million, respectively.</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years ended December 31, 2018, 2017 and 2016, the components of interest expense were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32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Swap settlement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3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debt outstanding</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1-month LIBOR rate</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220" w:firstLine="259"/>
        <w:spacing w:after="0" w:line="284" w:lineRule="auto"/>
        <w:rPr>
          <w:sz w:val="20"/>
          <w:szCs w:val="20"/>
          <w:color w:val="auto"/>
        </w:rPr>
      </w:pPr>
      <w:r>
        <w:rPr>
          <w:rFonts w:ascii="Times New Roman" w:cs="Times New Roman" w:eastAsia="Times New Roman" w:hAnsi="Times New Roman"/>
          <w:sz w:val="18"/>
          <w:szCs w:val="18"/>
          <w:color w:val="auto"/>
        </w:rPr>
        <w:t>For more information on our debt, see “</w:t>
      </w:r>
      <w:r>
        <w:rPr>
          <w:rFonts w:ascii="Times New Roman" w:cs="Times New Roman" w:eastAsia="Times New Roman" w:hAnsi="Times New Roman"/>
          <w:sz w:val="18"/>
          <w:szCs w:val="18"/>
          <w:i w:val="1"/>
          <w:iCs w:val="1"/>
          <w:color w:val="auto"/>
        </w:rPr>
        <w:t>ITEM 7.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OPERATIONS——Financial Condition, Liquidity and Capital Resources.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9"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19"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80" w:lineRule="exact"/>
        <w:rPr>
          <w:sz w:val="20"/>
          <w:szCs w:val="20"/>
          <w:color w:val="auto"/>
        </w:rPr>
      </w:pPr>
    </w:p>
    <w:p>
      <w:pPr>
        <w:ind w:left="520" w:hanging="255"/>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17" w:lineRule="exact"/>
        <w:rPr>
          <w:rFonts w:ascii="Times New Roman" w:cs="Times New Roman" w:eastAsia="Times New Roman" w:hAnsi="Times New Roman"/>
          <w:sz w:val="18"/>
          <w:szCs w:val="18"/>
          <w:color w:val="auto"/>
        </w:rPr>
      </w:pPr>
    </w:p>
    <w:p>
      <w:pPr>
        <w:ind w:left="520" w:right="140" w:hanging="255"/>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140" w:firstLine="259"/>
        <w:spacing w:after="0" w:line="258" w:lineRule="auto"/>
        <w:rPr>
          <w:sz w:val="20"/>
          <w:szCs w:val="20"/>
          <w:color w:val="auto"/>
        </w:rPr>
      </w:pPr>
      <w:r>
        <w:rPr>
          <w:rFonts w:ascii="Times New Roman" w:cs="Times New Roman" w:eastAsia="Times New Roman" w:hAnsi="Times New Roman"/>
          <w:sz w:val="18"/>
          <w:szCs w:val="18"/>
          <w:color w:val="auto"/>
        </w:rPr>
        <w:t xml:space="preserve">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excise tax entirely. In that event, we will be liable for the excise tax only on the amount by which we do not meet the foregoing distribution requirement. </w:t>
      </w:r>
      <w:r>
        <w:rPr>
          <w:rFonts w:ascii="Times New Roman" w:cs="Times New Roman" w:eastAsia="Times New Roman" w:hAnsi="Times New Roman"/>
          <w:sz w:val="18"/>
          <w:szCs w:val="18"/>
          <w:i w:val="1"/>
          <w:iCs w:val="1"/>
          <w:color w:val="auto"/>
        </w:rPr>
        <w:t>See “ITEM 1A. RISK FACTORS—Risks Related to Our Business and Structure—We will be subject to corporate-level income tax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are unable to maintain our qualification as a RIC under Subchapter M of the Code.”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Reinvestment Plan</w:t>
      </w:r>
    </w:p>
    <w:p>
      <w:pPr>
        <w:spacing w:after="0" w:line="119" w:lineRule="exact"/>
        <w:rPr>
          <w:sz w:val="20"/>
          <w:szCs w:val="20"/>
          <w:color w:val="auto"/>
        </w:rPr>
      </w:pPr>
    </w:p>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0" w:lineRule="exact"/>
        <w:rPr>
          <w:sz w:val="20"/>
          <w:szCs w:val="20"/>
          <w:color w:val="auto"/>
        </w:rPr>
      </w:pPr>
    </w:p>
    <w:p>
      <w:pPr>
        <w:ind w:right="60" w:firstLine="259"/>
        <w:spacing w:after="0" w:line="258" w:lineRule="auto"/>
        <w:rPr>
          <w:sz w:val="20"/>
          <w:szCs w:val="20"/>
          <w:color w:val="auto"/>
        </w:rPr>
      </w:pPr>
      <w:r>
        <w:rPr>
          <w:rFonts w:ascii="Times New Roman" w:cs="Times New Roman" w:eastAsia="Times New Roman" w:hAnsi="Times New Roman"/>
          <w:sz w:val="18"/>
          <w:szCs w:val="18"/>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84" w:lineRule="exact"/>
        <w:rPr>
          <w:sz w:val="20"/>
          <w:szCs w:val="20"/>
          <w:color w:val="auto"/>
        </w:rPr>
      </w:pPr>
    </w:p>
    <w:p>
      <w:pPr>
        <w:ind w:right="560" w:firstLine="259"/>
        <w:spacing w:after="0" w:line="282" w:lineRule="auto"/>
        <w:rPr>
          <w:sz w:val="20"/>
          <w:szCs w:val="20"/>
          <w:color w:val="auto"/>
        </w:rPr>
      </w:pPr>
      <w:r>
        <w:rPr>
          <w:rFonts w:ascii="Times New Roman" w:cs="Times New Roman" w:eastAsia="Times New Roman" w:hAnsi="Times New Roman"/>
          <w:sz w:val="18"/>
          <w:szCs w:val="18"/>
          <w:color w:val="auto"/>
        </w:rPr>
        <w:t>Those stockholders whose shares are held by a broker or other financial intermediary may receive cash dividends and other distributions in cash by notifying their broker or other financial intermediary of their election.</w:t>
      </w:r>
    </w:p>
    <w:p>
      <w:pPr>
        <w:spacing w:after="0" w:line="162"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or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9" w:lineRule="exact"/>
        <w:rPr>
          <w:sz w:val="20"/>
          <w:szCs w:val="20"/>
          <w:color w:val="auto"/>
        </w:rPr>
      </w:pPr>
    </w:p>
    <w:p>
      <w:pPr>
        <w:ind w:right="80" w:firstLine="259"/>
        <w:spacing w:after="0" w:line="258"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13" w:name="page14"/>
    <w:bookmarkEnd w:id="13"/>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right="120" w:firstLine="259"/>
        <w:spacing w:after="0" w:line="255" w:lineRule="auto"/>
        <w:rPr>
          <w:sz w:val="20"/>
          <w:szCs w:val="20"/>
          <w:color w:val="auto"/>
        </w:rPr>
      </w:pPr>
      <w:r>
        <w:rPr>
          <w:rFonts w:ascii="Times New Roman" w:cs="Times New Roman" w:eastAsia="Times New Roman" w:hAnsi="Times New Roman"/>
          <w:sz w:val="18"/>
          <w:szCs w:val="18"/>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Times New Roman" w:cs="Times New Roman" w:eastAsia="Times New Roman" w:hAnsi="Times New Roman"/>
          <w:sz w:val="18"/>
          <w:szCs w:val="18"/>
          <w:i w:val="1"/>
          <w:iCs w:val="1"/>
          <w:color w:val="auto"/>
        </w:rPr>
        <w:t>Investment Advisory Agreement; Administration Agreement; License Agreement</w:t>
      </w:r>
      <w:r>
        <w:rPr>
          <w:rFonts w:ascii="Times New Roman" w:cs="Times New Roman" w:eastAsia="Times New Roman" w:hAnsi="Times New Roman"/>
          <w:sz w:val="18"/>
          <w:szCs w:val="18"/>
          <w:color w:val="auto"/>
        </w:rPr>
        <w:t>” below.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 Administration Agreement; License Agreement</w:t>
      </w:r>
    </w:p>
    <w:p>
      <w:pPr>
        <w:spacing w:after="0" w:line="119" w:lineRule="exact"/>
        <w:rPr>
          <w:sz w:val="20"/>
          <w:szCs w:val="20"/>
          <w:color w:val="auto"/>
        </w:rPr>
      </w:pPr>
    </w:p>
    <w:p>
      <w:pPr>
        <w:ind w:right="640" w:firstLine="259"/>
        <w:spacing w:after="0" w:line="282" w:lineRule="auto"/>
        <w:rPr>
          <w:sz w:val="20"/>
          <w:szCs w:val="20"/>
          <w:color w:val="auto"/>
        </w:rPr>
      </w:pPr>
      <w:r>
        <w:rPr>
          <w:rFonts w:ascii="Times New Roman" w:cs="Times New Roman" w:eastAsia="Times New Roman" w:hAnsi="Times New Roman"/>
          <w:sz w:val="18"/>
          <w:szCs w:val="18"/>
          <w:color w:val="auto"/>
        </w:rPr>
        <w:t>On April 15, 2011, we entered into the Investment Advisory Agreement with our Adviser. The Investment Advisory Agreement was subsequently amended on December 12, 2011.</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Under the Investment Advisory Agreement, the Adviser:</w:t>
      </w:r>
    </w:p>
    <w:p>
      <w:pPr>
        <w:spacing w:after="0" w:line="117" w:lineRule="exact"/>
        <w:rPr>
          <w:sz w:val="20"/>
          <w:szCs w:val="20"/>
          <w:color w:val="auto"/>
        </w:rPr>
      </w:pPr>
    </w:p>
    <w:p>
      <w:pPr>
        <w:ind w:left="520" w:hanging="255"/>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those changes;</w:t>
      </w:r>
    </w:p>
    <w:p>
      <w:pPr>
        <w:spacing w:after="0" w:line="117" w:lineRule="exact"/>
        <w:rPr>
          <w:rFonts w:ascii="Times New Roman" w:cs="Times New Roman" w:eastAsia="Times New Roman" w:hAnsi="Times New Roman"/>
          <w:sz w:val="18"/>
          <w:szCs w:val="18"/>
          <w:color w:val="auto"/>
        </w:rPr>
      </w:pPr>
    </w:p>
    <w:p>
      <w:pPr>
        <w:ind w:left="520" w:right="680" w:hanging="255"/>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assets we will originate, purchase, retain or sell;</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administers the investments we make, including the exercise of any rights in our capacity as a lender or equity holder; and</w:t>
      </w:r>
    </w:p>
    <w:p>
      <w:pPr>
        <w:spacing w:after="0" w:line="117" w:lineRule="exact"/>
        <w:rPr>
          <w:rFonts w:ascii="Times New Roman" w:cs="Times New Roman" w:eastAsia="Times New Roman" w:hAnsi="Times New Roman"/>
          <w:sz w:val="18"/>
          <w:szCs w:val="18"/>
          <w:color w:val="auto"/>
        </w:rPr>
      </w:pPr>
    </w:p>
    <w:p>
      <w:pPr>
        <w:ind w:left="520" w:right="120" w:hanging="255"/>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62"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62" w:lineRule="exact"/>
        <w:rPr>
          <w:sz w:val="20"/>
          <w:szCs w:val="20"/>
          <w:color w:val="auto"/>
        </w:rPr>
      </w:pPr>
    </w:p>
    <w:p>
      <w:pPr>
        <w:ind w:right="100" w:firstLine="259"/>
        <w:spacing w:after="0" w:line="282" w:lineRule="auto"/>
        <w:rPr>
          <w:sz w:val="20"/>
          <w:szCs w:val="20"/>
          <w:color w:val="auto"/>
        </w:rPr>
      </w:pPr>
      <w:r>
        <w:rPr>
          <w:rFonts w:ascii="Times New Roman" w:cs="Times New Roman" w:eastAsia="Times New Roman" w:hAnsi="Times New Roman"/>
          <w:sz w:val="18"/>
          <w:szCs w:val="18"/>
          <w:color w:val="auto"/>
        </w:rPr>
        <w:t>Under the terms of the Investment Advisory Agreement, we pay the Adviser a base management fee, or the “Management Fee,” and may also pay certain incentive fees, or “Incentive Fees”.</w:t>
      </w:r>
    </w:p>
    <w:p>
      <w:pPr>
        <w:spacing w:after="0" w:line="162" w:lineRule="exact"/>
        <w:rPr>
          <w:sz w:val="20"/>
          <w:szCs w:val="20"/>
          <w:color w:val="auto"/>
        </w:rPr>
      </w:pPr>
    </w:p>
    <w:p>
      <w:pPr>
        <w:ind w:right="160" w:firstLine="259"/>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76" w:lineRule="exact"/>
        <w:rPr>
          <w:sz w:val="20"/>
          <w:szCs w:val="20"/>
          <w:color w:val="auto"/>
        </w:rPr>
      </w:pPr>
    </w:p>
    <w:p>
      <w:pPr>
        <w:ind w:right="580" w:firstLine="259"/>
        <w:spacing w:after="0" w:line="282" w:lineRule="auto"/>
        <w:rPr>
          <w:sz w:val="20"/>
          <w:szCs w:val="20"/>
          <w:color w:val="auto"/>
        </w:rPr>
      </w:pPr>
      <w:r>
        <w:rPr>
          <w:rFonts w:ascii="Times New Roman" w:cs="Times New Roman" w:eastAsia="Times New Roman" w:hAnsi="Times New Roman"/>
          <w:sz w:val="18"/>
          <w:szCs w:val="18"/>
          <w:color w:val="auto"/>
        </w:rPr>
        <w:t>For each of the years ended December 31, 2018, 2017, and 2016 Management Fees (gross of waivers) were $28.6 million, $24.3 million and $24.3 million, respectively, of which less than $0.1 million, less than $0.1 million and $0.1 million, respectively, were waived in each period.</w:t>
      </w:r>
    </w:p>
    <w:p>
      <w:pPr>
        <w:spacing w:after="0" w:line="162" w:lineRule="exact"/>
        <w:rPr>
          <w:sz w:val="20"/>
          <w:szCs w:val="20"/>
          <w:color w:val="auto"/>
        </w:rPr>
      </w:pPr>
    </w:p>
    <w:p>
      <w:pPr>
        <w:ind w:right="400" w:firstLine="259"/>
        <w:spacing w:after="0" w:line="282" w:lineRule="auto"/>
        <w:rPr>
          <w:sz w:val="20"/>
          <w:szCs w:val="20"/>
          <w:color w:val="auto"/>
        </w:rPr>
      </w:pPr>
      <w:r>
        <w:rPr>
          <w:rFonts w:ascii="Times New Roman" w:cs="Times New Roman" w:eastAsia="Times New Roman" w:hAnsi="Times New Roman"/>
          <w:sz w:val="18"/>
          <w:szCs w:val="18"/>
          <w:color w:val="auto"/>
        </w:rPr>
        <w:t>For the period ended December 31, 2016, the Adviser voluntarily waived the Management Fee on our ownership of shares of common stock in TICC Capital Corp., now known as Oxford Square Capital Corp. (the “OXSQ Shares”).</w:t>
      </w:r>
    </w:p>
    <w:p>
      <w:pPr>
        <w:spacing w:after="0" w:line="162" w:lineRule="exact"/>
        <w:rPr>
          <w:sz w:val="20"/>
          <w:szCs w:val="20"/>
          <w:color w:val="auto"/>
        </w:rPr>
      </w:pPr>
    </w:p>
    <w:p>
      <w:pPr>
        <w:ind w:right="200" w:firstLine="259"/>
        <w:spacing w:after="0" w:line="266" w:lineRule="auto"/>
        <w:rPr>
          <w:sz w:val="20"/>
          <w:szCs w:val="20"/>
          <w:color w:val="auto"/>
        </w:rPr>
      </w:pPr>
      <w:r>
        <w:rPr>
          <w:rFonts w:ascii="Times New Roman" w:cs="Times New Roman" w:eastAsia="Times New Roman" w:hAnsi="Times New Roman"/>
          <w:sz w:val="18"/>
          <w:szCs w:val="18"/>
          <w:color w:val="auto"/>
        </w:rPr>
        <w:t>In addition, the Adviser voluntarily waived the Management Fee on our ownership of shares of common stock in Triangle Capital Corp. (the “TCAP Shares”) for any period in which Triangle Capital Corp. remained our portfolio company. As of June 30, 2018 we had fully exited our position in the TCAP Shares.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 w:name="page15"/>
    <w:bookmarkEnd w:id="14"/>
    <w:p>
      <w:pPr>
        <w:ind w:firstLine="25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and 2017, Management Fees of less than $0.1 million were waived consisting solely of Management Fees attributable to our ownership of the TCAP Shares. For the year ended December 31, 2016, Management Fees of $0.1 million were waived consisting solely of Management Fees attributable to our ownership of the OXSQ Shares. Any waived Management Fees are not subject to recoupment by the Adviser.</w:t>
      </w:r>
    </w:p>
    <w:p>
      <w:pPr>
        <w:spacing w:after="0" w:line="176"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The Adviser also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As of December 31, 2018, no Management Fees have been waived pursuant to the Leverage Waiver.</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20" w:right="100" w:hanging="255"/>
        <w:spacing w:after="0" w:line="255"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1" w:lineRule="exact"/>
        <w:rPr>
          <w:rFonts w:ascii="Times New Roman" w:cs="Times New Roman" w:eastAsia="Times New Roman" w:hAnsi="Times New Roman"/>
          <w:sz w:val="18"/>
          <w:szCs w:val="18"/>
          <w:color w:val="auto"/>
        </w:rPr>
      </w:pPr>
    </w:p>
    <w:p>
      <w:pPr>
        <w:ind w:left="5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 or loss.</w:t>
      </w:r>
    </w:p>
    <w:p>
      <w:pPr>
        <w:spacing w:after="0" w:line="79" w:lineRule="exact"/>
        <w:rPr>
          <w:rFonts w:ascii="Times New Roman" w:cs="Times New Roman" w:eastAsia="Times New Roman" w:hAnsi="Times New Roman"/>
          <w:sz w:val="18"/>
          <w:szCs w:val="18"/>
          <w:color w:val="auto"/>
        </w:rPr>
      </w:pPr>
    </w:p>
    <w:p>
      <w:pPr>
        <w:ind w:left="520" w:right="40" w:hanging="255"/>
        <w:spacing w:after="0" w:line="254"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capital gains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89" w:lineRule="exact"/>
        <w:rPr>
          <w:sz w:val="20"/>
          <w:szCs w:val="20"/>
          <w:color w:val="auto"/>
        </w:rPr>
      </w:pPr>
    </w:p>
    <w:p>
      <w:pPr>
        <w:ind w:right="580" w:firstLine="259"/>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62"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85" w:lineRule="exact"/>
        <w:rPr>
          <w:sz w:val="20"/>
          <w:szCs w:val="20"/>
          <w:color w:val="auto"/>
        </w:rPr>
      </w:pPr>
    </w:p>
    <w:p>
      <w:pPr>
        <w:ind w:right="360" w:firstLine="259"/>
        <w:spacing w:after="0" w:line="282" w:lineRule="auto"/>
        <w:rPr>
          <w:sz w:val="20"/>
          <w:szCs w:val="20"/>
          <w:color w:val="auto"/>
        </w:rPr>
      </w:pPr>
      <w:r>
        <w:rPr>
          <w:rFonts w:ascii="Times New Roman" w:cs="Times New Roman" w:eastAsia="Times New Roman" w:hAnsi="Times New Roman"/>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5" w:name="page16"/>
    <w:bookmarkEnd w:id="15"/>
    <w:p>
      <w:pPr>
        <w:ind w:right="100" w:firstLine="25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2017 and 2016, Incentive Fees (gross of waivers) were $30.5 million, $25.5 million and $22.7 million, respectively, all of which were realized and payable to the Adviser. For the years ended December 31, 2018, 2017 and 2016, no Incentive Fees were accrued related to capital gains.</w:t>
      </w:r>
    </w:p>
    <w:p>
      <w:pPr>
        <w:spacing w:after="0" w:line="176"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For the period ended December 31, 2016, the Adviser voluntarily waived the Incentive Fees attributable to pre-Incentive Fee net investment income accrued by us as a result of our ownership of the OXSQ Shares. The Adviser did not waive any part of the Capital Gains Fee attributable to our ownership of the OXSQ Shares and, accordingly, any realized capital gains or losses and unrealized capital losses with respect to the OXSQ Shares were applied against our cumulative realized capital gains on which the Capital Gains Fee is calculated.</w:t>
      </w:r>
    </w:p>
    <w:p>
      <w:pPr>
        <w:spacing w:after="0" w:line="180" w:lineRule="exact"/>
        <w:rPr>
          <w:sz w:val="20"/>
          <w:szCs w:val="20"/>
          <w:color w:val="auto"/>
        </w:rPr>
      </w:pPr>
    </w:p>
    <w:p>
      <w:pPr>
        <w:ind w:right="180" w:firstLine="259"/>
        <w:spacing w:after="0" w:line="261" w:lineRule="auto"/>
        <w:rPr>
          <w:sz w:val="20"/>
          <w:szCs w:val="20"/>
          <w:color w:val="auto"/>
        </w:rPr>
      </w:pPr>
      <w:r>
        <w:rPr>
          <w:rFonts w:ascii="Times New Roman" w:cs="Times New Roman" w:eastAsia="Times New Roman" w:hAnsi="Times New Roman"/>
          <w:sz w:val="18"/>
          <w:szCs w:val="18"/>
          <w:color w:val="auto"/>
        </w:rPr>
        <w:t>The Adviser voluntarily waived the Incentive Fees attributable to pre-Incentive Fee net investment income accrued by the Company as a result of our ownership of the TCAP Shares. The Adviser did not waive any part of the Capital Gains Fee attributable to our ownership of the TCAP Shares and, accordingly, any realized capital gains or losses and unrealized capital losses with respect to the TCAP Shares were applied against our cumulative realized capital gains on which the Capital Gains Fee is calculated.</w:t>
      </w:r>
    </w:p>
    <w:p>
      <w:pPr>
        <w:spacing w:after="0" w:line="180"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and 2017, Incentive Fees of less than $0.1 million were waived consisting solely of Incentive Fees attributable to our ownership of the TCAP Shares. For the year ended December 31, 2016, Incentive Fees of $0.3 million were waived consisting solely of Incentive Fees attributable to our ownership of the OXSQ Shares. Any waived Incentive Fees are not subject to recoupment by the Adviser.</w:t>
      </w:r>
    </w:p>
    <w:p>
      <w:pPr>
        <w:spacing w:after="0" w:line="176" w:lineRule="exact"/>
        <w:rPr>
          <w:sz w:val="20"/>
          <w:szCs w:val="20"/>
          <w:color w:val="auto"/>
        </w:rPr>
      </w:pPr>
    </w:p>
    <w:p>
      <w:pPr>
        <w:ind w:right="320" w:firstLine="259"/>
        <w:spacing w:after="0" w:line="266" w:lineRule="auto"/>
        <w:rPr>
          <w:sz w:val="20"/>
          <w:szCs w:val="20"/>
          <w:color w:val="auto"/>
        </w:rPr>
      </w:pPr>
      <w:r>
        <w:rPr>
          <w:rFonts w:ascii="Times New Roman" w:cs="Times New Roman" w:eastAsia="Times New Roman" w:hAnsi="Times New Roman"/>
          <w:sz w:val="18"/>
          <w:szCs w:val="18"/>
          <w:color w:val="auto"/>
        </w:rPr>
        <w:t>Since our IPO, with the exception of its waiver of Management Fees and certain Incentive Fees attributable to our ownership of the TCAP Shares and OXSQ Shares and the Leverage Waiver, the Adviser has not waived its right to receive any Management Fees or Incentive Fees payable pursuant to the Investment Advisory Agreement.</w:t>
      </w:r>
    </w:p>
    <w:p>
      <w:pPr>
        <w:spacing w:after="0" w:line="176" w:lineRule="exact"/>
        <w:rPr>
          <w:sz w:val="20"/>
          <w:szCs w:val="20"/>
          <w:color w:val="auto"/>
        </w:rPr>
      </w:pPr>
    </w:p>
    <w:p>
      <w:pPr>
        <w:ind w:right="320" w:firstLine="259"/>
        <w:spacing w:after="0" w:line="266" w:lineRule="auto"/>
        <w:rPr>
          <w:sz w:val="20"/>
          <w:szCs w:val="20"/>
          <w:color w:val="auto"/>
        </w:rPr>
      </w:pPr>
      <w:r>
        <w:rPr>
          <w:rFonts w:ascii="Times New Roman" w:cs="Times New Roman" w:eastAsia="Times New Roman" w:hAnsi="Times New Roman"/>
          <w:sz w:val="18"/>
          <w:szCs w:val="18"/>
          <w:color w:val="auto"/>
        </w:rPr>
        <w:t>In November 2018, the Board renewed the Investment Advisory Agreement. Unless earlier terminated as described below, the Investment Advisory Agreement will remain in effect until November 2019,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76"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62"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The Administration Agreement was subsequently amended on February 22, 2017 to make certain clarifications to the agreement to provide greater detail regarding the scope of the reimbursable costs and expenses of the Administrator’s services.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w:t>
      </w:r>
      <w:r>
        <w:rPr>
          <w:rFonts w:ascii="Times New Roman" w:cs="Times New Roman" w:eastAsia="Times New Roman" w:hAnsi="Times New Roman"/>
          <w:sz w:val="18"/>
          <w:szCs w:val="18"/>
          <w:i w:val="1"/>
          <w:iCs w:val="1"/>
          <w:color w:val="auto"/>
        </w:rPr>
        <w:t>Payment of Our Expenses</w:t>
      </w:r>
      <w:r>
        <w:rPr>
          <w:rFonts w:ascii="Times New Roman" w:cs="Times New Roman" w:eastAsia="Times New Roman" w:hAnsi="Times New Roman"/>
          <w:sz w:val="18"/>
          <w:szCs w:val="18"/>
          <w:color w:val="auto"/>
        </w:rPr>
        <w:t>” below. In addition, the Adviser is permitted to delegate its duties under the Administration Agreement to affiliates or third parties and we pay or reimburse the Adviser expenses incurred by any such affiliates or third parties for work done on our behalf. For the years ended December 31, 2018, 2017, and 2016, we incurred expenses of $3.4 million, $3.5 million, and $3.1 million, respectively, for administrative services payable under the terms of the Administration Agreement.</w:t>
      </w:r>
    </w:p>
    <w:p>
      <w:pPr>
        <w:spacing w:after="0" w:line="189"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76" w:lineRule="exact"/>
        <w:rPr>
          <w:sz w:val="20"/>
          <w:szCs w:val="20"/>
          <w:color w:val="auto"/>
        </w:rPr>
      </w:pPr>
    </w:p>
    <w:p>
      <w:pPr>
        <w:jc w:val="both"/>
        <w:ind w:right="80" w:firstLine="259"/>
        <w:spacing w:after="0" w:line="266" w:lineRule="auto"/>
        <w:rPr>
          <w:sz w:val="20"/>
          <w:szCs w:val="20"/>
          <w:color w:val="auto"/>
        </w:rPr>
      </w:pPr>
      <w:r>
        <w:rPr>
          <w:rFonts w:ascii="Times New Roman" w:cs="Times New Roman" w:eastAsia="Times New Roman" w:hAnsi="Times New Roman"/>
          <w:sz w:val="18"/>
          <w:szCs w:val="18"/>
          <w:color w:val="auto"/>
        </w:rPr>
        <w:t>In November 2018, the Board renewed the Administration Agreement. Unless earlier terminated as described below, the Administration Agreement will remain in effect until November 2019,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16" w:name="page17"/>
    <w:bookmarkEnd w:id="16"/>
    <w:p>
      <w:pPr>
        <w:ind w:firstLine="259"/>
        <w:spacing w:after="0" w:line="253" w:lineRule="auto"/>
        <w:rPr>
          <w:sz w:val="20"/>
          <w:szCs w:val="20"/>
          <w:color w:val="auto"/>
        </w:rPr>
      </w:pPr>
      <w:r>
        <w:rPr>
          <w:rFonts w:ascii="Times New Roman" w:cs="Times New Roman" w:eastAsia="Times New Roman" w:hAnsi="Times New Roman"/>
          <w:sz w:val="18"/>
          <w:szCs w:val="18"/>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91" w:lineRule="exact"/>
        <w:rPr>
          <w:sz w:val="20"/>
          <w:szCs w:val="20"/>
          <w:color w:val="auto"/>
        </w:rPr>
      </w:pPr>
    </w:p>
    <w:p>
      <w:pPr>
        <w:ind w:right="300" w:firstLine="259"/>
        <w:spacing w:after="0" w:line="282" w:lineRule="auto"/>
        <w:rPr>
          <w:sz w:val="20"/>
          <w:szCs w:val="20"/>
          <w:color w:val="auto"/>
        </w:rPr>
      </w:pPr>
      <w:r>
        <w:rPr>
          <w:rFonts w:ascii="Times New Roman" w:cs="Times New Roman" w:eastAsia="Times New Roman" w:hAnsi="Times New Roman"/>
          <w:sz w:val="18"/>
          <w:szCs w:val="18"/>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62" w:lineRule="exact"/>
        <w:rPr>
          <w:sz w:val="20"/>
          <w:szCs w:val="20"/>
          <w:color w:val="auto"/>
        </w:rPr>
      </w:pPr>
    </w:p>
    <w:p>
      <w:pPr>
        <w:jc w:val="both"/>
        <w:ind w:right="220" w:firstLine="259"/>
        <w:spacing w:after="0" w:line="266" w:lineRule="auto"/>
        <w:rPr>
          <w:sz w:val="20"/>
          <w:szCs w:val="20"/>
          <w:color w:val="auto"/>
        </w:rPr>
      </w:pPr>
      <w:r>
        <w:rPr>
          <w:rFonts w:ascii="Times New Roman" w:cs="Times New Roman" w:eastAsia="Times New Roman" w:hAnsi="Times New Roman"/>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is a graphical representation of the calculation of the income-related portion of the Incentive Fee:</w:t>
      </w:r>
    </w:p>
    <w:p>
      <w:pPr>
        <w:spacing w:after="0" w:line="3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Quarterly Incentive Fee Based on Net Investment Income</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154940</wp:posOffset>
            </wp:positionV>
            <wp:extent cx="4562475" cy="883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6247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Percentage of pre-Incentive Fee net investment income allocated to income-related portion of Incentive Fee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2%</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Management Fee (2) = 0.375%</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expenses (legal, accounting, custodian, transfer agent, etc.) (3) = 0.20%</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Pre-Incentive Fee net investment income</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 income – (Management Fee + other expenses)) = 1.425%</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2.375%</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Management Fee (2) = 0.375%</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expenses (legal, accounting, custodian, transfer agent, etc.) (3) = 0.20%</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Pre-Incentive Fee net investment income</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 income – (Management Fee + other expenses)) = 1.8%</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Incentive Fee = 100% × pre-Incentive Fee net investment income, subject to the “catch-up” (4)</w:t>
      </w:r>
    </w:p>
    <w:p>
      <w:pPr>
        <w:spacing w:after="0" w:line="9" w:lineRule="exact"/>
        <w:rPr>
          <w:sz w:val="20"/>
          <w:szCs w:val="20"/>
          <w:color w:val="auto"/>
        </w:rPr>
      </w:pPr>
    </w:p>
    <w:p>
      <w:pPr>
        <w:ind w:left="940" w:hanging="156"/>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 (1.8% – 1.5%)</w:t>
      </w:r>
    </w:p>
    <w:p>
      <w:pPr>
        <w:spacing w:after="0" w:line="9" w:lineRule="exact"/>
        <w:rPr>
          <w:rFonts w:ascii="Times New Roman" w:cs="Times New Roman" w:eastAsia="Times New Roman" w:hAnsi="Times New Roman"/>
          <w:sz w:val="18"/>
          <w:szCs w:val="18"/>
          <w:color w:val="auto"/>
        </w:rPr>
      </w:pPr>
    </w:p>
    <w:p>
      <w:pPr>
        <w:ind w:left="940" w:hanging="156"/>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3.5%</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Management Fee (2) = 0.375%</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expenses (legal, accounting, custodian, transfer agent, etc.) (3) = 0.20%</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Pre-Incentive Fee net investment income</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 income – (Management Fee + other expenses)) = 2.925%</w:t>
      </w:r>
    </w:p>
    <w:p>
      <w:pPr>
        <w:spacing w:after="0" w:line="9" w:lineRule="exact"/>
        <w:rPr>
          <w:sz w:val="20"/>
          <w:szCs w:val="20"/>
          <w:color w:val="auto"/>
        </w:rPr>
      </w:pPr>
    </w:p>
    <w:p>
      <w:pPr>
        <w:ind w:left="260" w:right="3900"/>
        <w:spacing w:after="0" w:line="250" w:lineRule="auto"/>
        <w:rPr>
          <w:sz w:val="20"/>
          <w:szCs w:val="20"/>
          <w:color w:val="auto"/>
        </w:rPr>
      </w:pPr>
      <w:r>
        <w:rPr>
          <w:rFonts w:ascii="Times New Roman" w:cs="Times New Roman" w:eastAsia="Times New Roman" w:hAnsi="Times New Roman"/>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Incentive Fee = (100% × 0.32%) + (17.5% × (2.925% – 1.82%))</w:t>
      </w:r>
    </w:p>
    <w:p>
      <w:pPr>
        <w:spacing w:after="0" w:line="9" w:lineRule="exact"/>
        <w:rPr>
          <w:sz w:val="20"/>
          <w:szCs w:val="20"/>
          <w:color w:val="auto"/>
        </w:rPr>
      </w:pPr>
    </w:p>
    <w:p>
      <w:pPr>
        <w:ind w:left="940" w:hanging="156"/>
        <w:spacing w:after="0"/>
        <w:tabs>
          <w:tab w:leader="none" w:pos="9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0.32% + (17.5% × 1.105%)</w:t>
      </w:r>
    </w:p>
    <w:p>
      <w:pPr>
        <w:spacing w:after="0" w:line="9" w:lineRule="exact"/>
        <w:rPr>
          <w:rFonts w:ascii="Times New Roman" w:cs="Times New Roman" w:eastAsia="Times New Roman" w:hAnsi="Times New Roman"/>
          <w:sz w:val="18"/>
          <w:szCs w:val="18"/>
          <w:color w:val="auto"/>
        </w:rPr>
      </w:pPr>
    </w:p>
    <w:p>
      <w:pPr>
        <w:ind w:left="940" w:hanging="156"/>
        <w:spacing w:after="0"/>
        <w:tabs>
          <w:tab w:leader="none" w:pos="9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0.32% + 0.193%</w:t>
      </w:r>
    </w:p>
    <w:p>
      <w:pPr>
        <w:spacing w:after="0" w:line="9" w:lineRule="exact"/>
        <w:rPr>
          <w:rFonts w:ascii="Times New Roman" w:cs="Times New Roman" w:eastAsia="Times New Roman" w:hAnsi="Times New Roman"/>
          <w:sz w:val="18"/>
          <w:szCs w:val="18"/>
          <w:color w:val="auto"/>
        </w:rPr>
      </w:pPr>
    </w:p>
    <w:p>
      <w:pPr>
        <w:ind w:left="940" w:hanging="156"/>
        <w:spacing w:after="0"/>
        <w:tabs>
          <w:tab w:leader="none" w:pos="9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0.513%</w:t>
      </w:r>
    </w:p>
    <w:p>
      <w:pPr>
        <w:spacing w:after="0" w:line="98"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6.0% annualized hurdle rate.</w:t>
      </w:r>
    </w:p>
    <w:p>
      <w:pPr>
        <w:spacing w:after="0" w:line="117" w:lineRule="exact"/>
        <w:rPr>
          <w:rFonts w:ascii="Times New Roman" w:cs="Times New Roman" w:eastAsia="Times New Roman" w:hAnsi="Times New Roman"/>
          <w:sz w:val="18"/>
          <w:szCs w:val="18"/>
          <w:color w:val="auto"/>
        </w:rPr>
      </w:pPr>
    </w:p>
    <w:p>
      <w:pPr>
        <w:ind w:left="520" w:right="220" w:hanging="255"/>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 annualized Management Fee. For the purposes of these examples the Management Fee is assumed to be based on net assets, rather than gross assets.</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organizational and offering expenses.</w:t>
      </w:r>
    </w:p>
    <w:p>
      <w:pPr>
        <w:spacing w:after="0" w:line="117" w:lineRule="exact"/>
        <w:rPr>
          <w:rFonts w:ascii="Times New Roman" w:cs="Times New Roman" w:eastAsia="Times New Roman" w:hAnsi="Times New Roman"/>
          <w:sz w:val="18"/>
          <w:szCs w:val="18"/>
          <w:color w:val="auto"/>
        </w:rPr>
      </w:pPr>
    </w:p>
    <w:p>
      <w:pPr>
        <w:ind w:left="520" w:hanging="255"/>
        <w:spacing w:after="0" w:line="26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“catch-up” provision is intended to provide the Adviser with an Incentive Fee of 17.5% on all of our pre-Incentive Fee net investment income as if a hurdle rate did not apply when our net investment income exceeds 1.5% in any calendar quarter and is not applied once the Adviser has received</w:t>
      </w:r>
    </w:p>
    <w:p>
      <w:pPr>
        <w:ind w:left="52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72" w:lineRule="exact"/>
        <w:rPr>
          <w:sz w:val="20"/>
          <w:szCs w:val="20"/>
          <w:color w:val="auto"/>
        </w:rPr>
      </w:pPr>
    </w:p>
    <w:p>
      <w:pPr>
        <w:ind w:left="5620" w:right="2260" w:hanging="5355"/>
        <w:spacing w:after="0" w:line="532" w:lineRule="auto"/>
        <w:tabs>
          <w:tab w:leader="none" w:pos="51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hypothetical amount of pre-Incentive Fee net investment income shown is based on a percentage of total net assets.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Example 2: Capital Gains Portion of Incentive Fee: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520" w:hanging="255"/>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$10 million investment made in Company A (“Investment A”), $10 million investment made in Company B (“Investment B”), $10 million investment made in Company C (“Investment C”), $10 million investment made in Company D (“Investment D”) and $10 million investment made in Company E (“Investment E”).</w:t>
      </w:r>
    </w:p>
    <w:p>
      <w:pPr>
        <w:spacing w:after="0" w:line="68" w:lineRule="exact"/>
        <w:rPr>
          <w:rFonts w:ascii="Times New Roman" w:cs="Times New Roman" w:eastAsia="Times New Roman" w:hAnsi="Times New Roman"/>
          <w:sz w:val="18"/>
          <w:szCs w:val="18"/>
          <w:color w:val="auto"/>
        </w:rPr>
      </w:pPr>
    </w:p>
    <w:p>
      <w:pPr>
        <w:ind w:left="520" w:hanging="255"/>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53" w:lineRule="exact"/>
        <w:rPr>
          <w:rFonts w:ascii="Times New Roman" w:cs="Times New Roman" w:eastAsia="Times New Roman" w:hAnsi="Times New Roman"/>
          <w:sz w:val="18"/>
          <w:szCs w:val="18"/>
          <w:color w:val="auto"/>
        </w:rPr>
      </w:pPr>
    </w:p>
    <w:p>
      <w:pPr>
        <w:ind w:left="520" w:right="480" w:hanging="255"/>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53" w:lineRule="exact"/>
        <w:rPr>
          <w:rFonts w:ascii="Times New Roman" w:cs="Times New Roman" w:eastAsia="Times New Roman" w:hAnsi="Times New Roman"/>
          <w:sz w:val="18"/>
          <w:szCs w:val="18"/>
          <w:color w:val="auto"/>
        </w:rPr>
      </w:pPr>
    </w:p>
    <w:p>
      <w:pPr>
        <w:ind w:left="520" w:right="20" w:hanging="255"/>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53" w:lineRule="exact"/>
        <w:rPr>
          <w:rFonts w:ascii="Times New Roman" w:cs="Times New Roman" w:eastAsia="Times New Roman" w:hAnsi="Times New Roman"/>
          <w:sz w:val="18"/>
          <w:szCs w:val="18"/>
          <w:color w:val="auto"/>
        </w:rPr>
      </w:pPr>
    </w:p>
    <w:p>
      <w:pPr>
        <w:ind w:left="520" w:right="200" w:hanging="255"/>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5: Investment C sold for $20 million, FMV of Investment B determined to be $14 million, FMV of Investment E determined to be $10 million and FMV of Investment F determined to $12 million.</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 6: Investment B sold for $16 million, FMV of Investment E determined to be $8 million and FMV of Investment F determined to be $15 million.</w:t>
      </w:r>
    </w:p>
    <w:p>
      <w:pPr>
        <w:spacing w:after="0" w:line="128" w:lineRule="exact"/>
        <w:rPr>
          <w:rFonts w:ascii="Times New Roman" w:cs="Times New Roman" w:eastAsia="Times New Roman" w:hAnsi="Times New Roman"/>
          <w:sz w:val="17"/>
          <w:szCs w:val="17"/>
          <w:color w:val="auto"/>
        </w:rPr>
      </w:pPr>
    </w:p>
    <w:p>
      <w:pPr>
        <w:ind w:left="520" w:hanging="255"/>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7: Investment E sold for $8 million and FMV of Investment F determined to be $17 million.</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8: Investment F sold for $18 million.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19" w:name="page20"/>
    <w:bookmarkEnd w:id="19"/>
    <w:p>
      <w:pPr>
        <w:ind w:left="260"/>
        <w:spacing w:after="0"/>
        <w:rPr>
          <w:sz w:val="20"/>
          <w:szCs w:val="20"/>
          <w:color w:val="auto"/>
        </w:rPr>
      </w:pPr>
      <w:r>
        <w:rPr>
          <w:rFonts w:ascii="Times New Roman" w:cs="Times New Roman" w:eastAsia="Times New Roman" w:hAnsi="Times New Roman"/>
          <w:sz w:val="18"/>
          <w:szCs w:val="18"/>
          <w:color w:val="auto"/>
        </w:rPr>
        <w:t>These assumptions are summarized in the following chart: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D</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2"/>
              </w:rPr>
              <w:t>F</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0" w:type="dxa"/>
            <w:vAlign w:val="bottom"/>
          </w:tcPr>
          <w:p>
            <w:pPr>
              <w:spacing w:after="0"/>
              <w:rPr>
                <w:sz w:val="1"/>
                <w:szCs w:val="1"/>
                <w:color w:val="auto"/>
              </w:rPr>
            </w:pPr>
          </w:p>
        </w:tc>
      </w:tr>
      <w:tr>
        <w:trPr>
          <w:trHeight w:val="205"/>
        </w:trPr>
        <w:tc>
          <w:tcPr>
            <w:tcW w:w="106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1</w:t>
            </w:r>
          </w:p>
        </w:tc>
        <w:tc>
          <w:tcPr>
            <w:tcW w:w="96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$10 million</w:t>
            </w:r>
          </w:p>
        </w:tc>
        <w:tc>
          <w:tcPr>
            <w:tcW w:w="1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$10 million</w:t>
            </w:r>
          </w:p>
        </w:tc>
        <w:tc>
          <w:tcPr>
            <w:tcW w:w="20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$10 million</w:t>
            </w:r>
          </w:p>
        </w:tc>
        <w:tc>
          <w:tcPr>
            <w:tcW w:w="20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$10 million</w:t>
            </w:r>
          </w:p>
        </w:tc>
        <w:tc>
          <w:tcPr>
            <w:tcW w:w="20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$10 million</w:t>
            </w:r>
          </w:p>
        </w:tc>
        <w:tc>
          <w:tcPr>
            <w:tcW w:w="20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1060" w:type="dxa"/>
            <w:vAlign w:val="bottom"/>
            <w:vMerge w:val="continue"/>
            <w:shd w:val="clear" w:color="auto" w:fill="CFF0FC"/>
          </w:tcPr>
          <w:p>
            <w:pPr>
              <w:spacing w:after="0"/>
              <w:rPr>
                <w:sz w:val="9"/>
                <w:szCs w:val="9"/>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(cost basis)</w:t>
            </w:r>
          </w:p>
        </w:tc>
        <w:tc>
          <w:tcPr>
            <w:tcW w:w="11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(cost basis)</w:t>
            </w: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(cost basis)</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(cost basis)</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(cost basis)</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1060" w:type="dxa"/>
            <w:vAlign w:val="bottom"/>
            <w:shd w:val="clear" w:color="auto" w:fill="CFF0FC"/>
          </w:tcPr>
          <w:p>
            <w:pPr>
              <w:spacing w:after="0"/>
              <w:rPr>
                <w:sz w:val="10"/>
                <w:szCs w:val="10"/>
                <w:color w:val="auto"/>
              </w:rPr>
            </w:pPr>
          </w:p>
        </w:tc>
        <w:tc>
          <w:tcPr>
            <w:tcW w:w="1140" w:type="dxa"/>
            <w:vAlign w:val="bottom"/>
            <w:gridSpan w:val="2"/>
            <w:vMerge w:val="continue"/>
            <w:shd w:val="clear" w:color="auto" w:fill="CFF0FC"/>
          </w:tcPr>
          <w:p>
            <w:pPr>
              <w:spacing w:after="0"/>
              <w:rPr>
                <w:sz w:val="10"/>
                <w:szCs w:val="10"/>
                <w:color w:val="auto"/>
              </w:rPr>
            </w:pPr>
          </w:p>
        </w:tc>
        <w:tc>
          <w:tcPr>
            <w:tcW w:w="1180" w:type="dxa"/>
            <w:vAlign w:val="bottom"/>
            <w:gridSpan w:val="2"/>
            <w:vMerge w:val="continue"/>
            <w:shd w:val="clear" w:color="auto" w:fill="CFF0FC"/>
          </w:tcPr>
          <w:p>
            <w:pPr>
              <w:spacing w:after="0"/>
              <w:rPr>
                <w:sz w:val="10"/>
                <w:szCs w:val="10"/>
                <w:color w:val="auto"/>
              </w:rPr>
            </w:pPr>
          </w:p>
        </w:tc>
        <w:tc>
          <w:tcPr>
            <w:tcW w:w="1160" w:type="dxa"/>
            <w:vAlign w:val="bottom"/>
            <w:gridSpan w:val="2"/>
            <w:vMerge w:val="continue"/>
            <w:shd w:val="clear" w:color="auto" w:fill="CFF0FC"/>
          </w:tcPr>
          <w:p>
            <w:pPr>
              <w:spacing w:after="0"/>
              <w:rPr>
                <w:sz w:val="10"/>
                <w:szCs w:val="10"/>
                <w:color w:val="auto"/>
              </w:rPr>
            </w:pPr>
          </w:p>
        </w:tc>
        <w:tc>
          <w:tcPr>
            <w:tcW w:w="1160" w:type="dxa"/>
            <w:vAlign w:val="bottom"/>
            <w:gridSpan w:val="2"/>
            <w:vMerge w:val="continue"/>
            <w:shd w:val="clear" w:color="auto" w:fill="CFF0FC"/>
          </w:tcPr>
          <w:p>
            <w:pPr>
              <w:spacing w:after="0"/>
              <w:rPr>
                <w:sz w:val="10"/>
                <w:szCs w:val="10"/>
                <w:color w:val="auto"/>
              </w:rPr>
            </w:pPr>
          </w:p>
        </w:tc>
        <w:tc>
          <w:tcPr>
            <w:tcW w:w="1160" w:type="dxa"/>
            <w:vAlign w:val="bottom"/>
            <w:gridSpan w:val="2"/>
            <w:vMerge w:val="continue"/>
            <w:shd w:val="clear" w:color="auto" w:fill="CFF0FC"/>
          </w:tcPr>
          <w:p>
            <w:pPr>
              <w:spacing w:after="0"/>
              <w:rPr>
                <w:sz w:val="10"/>
                <w:szCs w:val="10"/>
                <w:color w:val="auto"/>
              </w:rPr>
            </w:pPr>
          </w:p>
        </w:tc>
        <w:tc>
          <w:tcPr>
            <w:tcW w:w="1160" w:type="dxa"/>
            <w:vAlign w:val="bottom"/>
            <w:gridSpan w:val="2"/>
            <w:vMerge w:val="continue"/>
            <w:shd w:val="clear" w:color="auto" w:fill="CFF0FC"/>
          </w:tcPr>
          <w:p>
            <w:pPr>
              <w:spacing w:after="0"/>
              <w:rPr>
                <w:sz w:val="10"/>
                <w:szCs w:val="10"/>
                <w:color w:val="auto"/>
              </w:rPr>
            </w:pPr>
          </w:p>
        </w:tc>
        <w:tc>
          <w:tcPr>
            <w:tcW w:w="1200" w:type="dxa"/>
            <w:vAlign w:val="bottom"/>
            <w:gridSpan w:val="2"/>
            <w:vMerge w:val="continue"/>
            <w:shd w:val="clear" w:color="auto" w:fill="CFF0FC"/>
          </w:tcPr>
          <w:p>
            <w:pPr>
              <w:spacing w:after="0"/>
              <w:rPr>
                <w:sz w:val="10"/>
                <w:szCs w:val="10"/>
                <w:color w:val="auto"/>
              </w:rPr>
            </w:pPr>
          </w:p>
        </w:tc>
        <w:tc>
          <w:tcPr>
            <w:tcW w:w="1200" w:type="dxa"/>
            <w:vAlign w:val="bottom"/>
            <w:gridSpan w:val="2"/>
            <w:vMerge w:val="continue"/>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Year 2</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 million</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 million</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 million</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 million</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 million</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060" w:type="dxa"/>
            <w:vAlign w:val="bottom"/>
            <w:vMerge w:val="continue"/>
          </w:tcPr>
          <w:p>
            <w:pPr>
              <w:spacing w:after="0"/>
              <w:rPr>
                <w:sz w:val="10"/>
                <w:szCs w:val="10"/>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(sale price)</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FMV</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FMV</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FMV</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FMV</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 million</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 million</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0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3 (IPO)</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 million</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 million</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 million</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 million</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060" w:type="dxa"/>
            <w:vAlign w:val="bottom"/>
            <w:vMerge w:val="continue"/>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FMV at IPO</w:t>
            </w: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FMV at IPO</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FMV at IPO</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FMV at IPO</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 million</w:t>
            </w:r>
          </w:p>
        </w:tc>
        <w:tc>
          <w:tcPr>
            <w:tcW w:w="12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million</w:t>
            </w:r>
          </w:p>
        </w:tc>
        <w:tc>
          <w:tcPr>
            <w:tcW w:w="0" w:type="dxa"/>
            <w:vAlign w:val="bottom"/>
          </w:tcPr>
          <w:p>
            <w:pPr>
              <w:spacing w:after="0"/>
              <w:rPr>
                <w:sz w:val="1"/>
                <w:szCs w:val="1"/>
                <w:color w:val="auto"/>
              </w:rPr>
            </w:pPr>
          </w:p>
        </w:tc>
      </w:tr>
      <w:tr>
        <w:trPr>
          <w:trHeight w:val="108"/>
        </w:trPr>
        <w:tc>
          <w:tcPr>
            <w:tcW w:w="1060" w:type="dxa"/>
            <w:vAlign w:val="bottom"/>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0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Year 4</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 million</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 million</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 million</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 million</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 million</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060" w:type="dxa"/>
            <w:vAlign w:val="bottom"/>
            <w:vMerge w:val="continue"/>
          </w:tcPr>
          <w:p>
            <w:pPr>
              <w:spacing w:after="0"/>
              <w:rPr>
                <w:sz w:val="10"/>
                <w:szCs w:val="10"/>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FMV</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FMV</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(sale price)</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FMV</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(cost basis)</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 million</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0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5</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 million</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 million</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 million</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 million</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060" w:type="dxa"/>
            <w:vAlign w:val="bottom"/>
            <w:vMerge w:val="continue"/>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FMV</w:t>
            </w: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(sale price)</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FMV</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FMV</w:t>
            </w:r>
          </w:p>
        </w:tc>
        <w:tc>
          <w:tcPr>
            <w:tcW w:w="12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million</w:t>
            </w:r>
          </w:p>
        </w:tc>
        <w:tc>
          <w:tcPr>
            <w:tcW w:w="0" w:type="dxa"/>
            <w:vAlign w:val="bottom"/>
          </w:tcPr>
          <w:p>
            <w:pPr>
              <w:spacing w:after="0"/>
              <w:rPr>
                <w:sz w:val="1"/>
                <w:szCs w:val="1"/>
                <w:color w:val="auto"/>
              </w:rPr>
            </w:pPr>
          </w:p>
        </w:tc>
      </w:tr>
      <w:tr>
        <w:trPr>
          <w:trHeight w:val="108"/>
        </w:trPr>
        <w:tc>
          <w:tcPr>
            <w:tcW w:w="1060" w:type="dxa"/>
            <w:vAlign w:val="bottom"/>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0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Year 6</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 million</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 million</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 million</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060" w:type="dxa"/>
            <w:vAlign w:val="bottom"/>
            <w:vMerge w:val="continue"/>
          </w:tcPr>
          <w:p>
            <w:pPr>
              <w:spacing w:after="0"/>
              <w:rPr>
                <w:sz w:val="10"/>
                <w:szCs w:val="10"/>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(sale price)</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FMV</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FMV</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 million</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 million</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0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7</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 million</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 million</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060" w:type="dxa"/>
            <w:vAlign w:val="bottom"/>
            <w:vMerge w:val="continue"/>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(sale price)</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FMV</w:t>
            </w:r>
          </w:p>
        </w:tc>
        <w:tc>
          <w:tcPr>
            <w:tcW w:w="12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 million</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million</w:t>
            </w:r>
          </w:p>
        </w:tc>
        <w:tc>
          <w:tcPr>
            <w:tcW w:w="0" w:type="dxa"/>
            <w:vAlign w:val="bottom"/>
          </w:tcPr>
          <w:p>
            <w:pPr>
              <w:spacing w:after="0"/>
              <w:rPr>
                <w:sz w:val="1"/>
                <w:szCs w:val="1"/>
                <w:color w:val="auto"/>
              </w:rPr>
            </w:pPr>
          </w:p>
        </w:tc>
      </w:tr>
      <w:tr>
        <w:trPr>
          <w:trHeight w:val="108"/>
        </w:trPr>
        <w:tc>
          <w:tcPr>
            <w:tcW w:w="1060" w:type="dxa"/>
            <w:vAlign w:val="bottom"/>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0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Year 8</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 million</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060" w:type="dxa"/>
            <w:vAlign w:val="bottom"/>
            <w:vMerge w:val="continue"/>
          </w:tcPr>
          <w:p>
            <w:pPr>
              <w:spacing w:after="0"/>
              <w:rPr>
                <w:sz w:val="10"/>
                <w:szCs w:val="10"/>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(sale price)</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 million</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 million</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capital gains portion of the Incentive Fee would be:</w:t>
      </w:r>
    </w:p>
    <w:p>
      <w:pPr>
        <w:spacing w:after="0" w:line="117" w:lineRule="exact"/>
        <w:rPr>
          <w:sz w:val="20"/>
          <w:szCs w:val="20"/>
          <w:color w:val="auto"/>
        </w:rPr>
      </w:pPr>
    </w:p>
    <w:p>
      <w:pPr>
        <w:ind w:left="520" w:hanging="255"/>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None</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w:t>
      </w:r>
    </w:p>
    <w:p>
      <w:pPr>
        <w:spacing w:after="0" w:line="117" w:lineRule="exact"/>
        <w:rPr>
          <w:rFonts w:ascii="Times New Roman" w:cs="Times New Roman" w:eastAsia="Times New Roman" w:hAnsi="Times New Roman"/>
          <w:sz w:val="18"/>
          <w:szCs w:val="18"/>
          <w:color w:val="auto"/>
        </w:rPr>
      </w:pPr>
    </w:p>
    <w:p>
      <w:pPr>
        <w:ind w:left="52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Gains Fee = 15% multiplied by ($10 million realized capital gains on sale of Investment A less $2 million cumulative capital depreciation) = </w:t>
      </w:r>
      <w:r>
        <w:rPr>
          <w:rFonts w:ascii="Times New Roman" w:cs="Times New Roman" w:eastAsia="Times New Roman" w:hAnsi="Times New Roman"/>
          <w:sz w:val="18"/>
          <w:szCs w:val="18"/>
          <w:b w:val="1"/>
          <w:bCs w:val="1"/>
          <w:color w:val="auto"/>
        </w:rPr>
        <w:t>$1.2 million</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w:t>
      </w:r>
    </w:p>
    <w:p>
      <w:pPr>
        <w:spacing w:after="0" w:line="117" w:lineRule="exact"/>
        <w:rPr>
          <w:rFonts w:ascii="Times New Roman" w:cs="Times New Roman" w:eastAsia="Times New Roman" w:hAnsi="Times New Roman"/>
          <w:sz w:val="18"/>
          <w:szCs w:val="18"/>
          <w:color w:val="auto"/>
        </w:rPr>
      </w:pPr>
    </w:p>
    <w:p>
      <w:pPr>
        <w:ind w:left="520" w:right="10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Times New Roman" w:cs="Times New Roman" w:eastAsia="Times New Roman" w:hAnsi="Times New Roman"/>
          <w:sz w:val="18"/>
          <w:szCs w:val="18"/>
          <w:b w:val="1"/>
          <w:bCs w:val="1"/>
          <w:color w:val="auto"/>
        </w:rPr>
        <w:t>$0.00</w:t>
      </w:r>
    </w:p>
    <w:p>
      <w:pPr>
        <w:spacing w:after="0" w:line="53" w:lineRule="exact"/>
        <w:rPr>
          <w:rFonts w:ascii="Times New Roman" w:cs="Times New Roman" w:eastAsia="Times New Roman" w:hAnsi="Times New Roman"/>
          <w:sz w:val="18"/>
          <w:szCs w:val="18"/>
          <w:color w:val="auto"/>
        </w:rPr>
      </w:pPr>
    </w:p>
    <w:p>
      <w:pPr>
        <w:ind w:left="52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Times New Roman" w:cs="Times New Roman" w:eastAsia="Times New Roman" w:hAnsi="Times New Roman"/>
          <w:sz w:val="18"/>
          <w:szCs w:val="18"/>
          <w:b w:val="1"/>
          <w:bCs w:val="1"/>
          <w:color w:val="auto"/>
        </w:rPr>
        <w:t>15%</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w:t>
      </w:r>
    </w:p>
    <w:p>
      <w:pPr>
        <w:spacing w:after="0" w:line="117" w:lineRule="exact"/>
        <w:rPr>
          <w:rFonts w:ascii="Times New Roman" w:cs="Times New Roman" w:eastAsia="Times New Roman" w:hAnsi="Times New Roman"/>
          <w:sz w:val="18"/>
          <w:szCs w:val="18"/>
          <w:color w:val="auto"/>
        </w:rPr>
      </w:pPr>
    </w:p>
    <w:p>
      <w:pPr>
        <w:ind w:left="520"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Times New Roman" w:cs="Times New Roman" w:eastAsia="Times New Roman" w:hAnsi="Times New Roman"/>
          <w:sz w:val="18"/>
          <w:szCs w:val="18"/>
          <w:b w:val="1"/>
          <w:bCs w:val="1"/>
          <w:color w:val="auto"/>
        </w:rPr>
        <w:t>$0.6 million</w:t>
      </w:r>
    </w:p>
    <w:p>
      <w:pPr>
        <w:spacing w:after="0" w:line="53" w:lineRule="exact"/>
        <w:rPr>
          <w:rFonts w:ascii="Times New Roman" w:cs="Times New Roman" w:eastAsia="Times New Roman" w:hAnsi="Times New Roman"/>
          <w:sz w:val="18"/>
          <w:szCs w:val="18"/>
          <w:color w:val="auto"/>
        </w:rPr>
      </w:pPr>
    </w:p>
    <w:p>
      <w:pPr>
        <w:ind w:lef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Weighted Percentage = (15% multiplied by ($12 million Pre-IPO Gain Amount divided by $12 million Total Gain Amount)) plus (17.5% multiplied by ($0 Post-IPO Gain Amount divided by $12 million Total Gain Amount)) = </w:t>
      </w:r>
      <w:r>
        <w:rPr>
          <w:rFonts w:ascii="Times New Roman" w:cs="Times New Roman" w:eastAsia="Times New Roman" w:hAnsi="Times New Roman"/>
          <w:sz w:val="18"/>
          <w:szCs w:val="18"/>
          <w:b w:val="1"/>
          <w:bCs w:val="1"/>
          <w:color w:val="auto"/>
        </w:rPr>
        <w:t>15%</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5:</w:t>
      </w:r>
    </w:p>
    <w:p>
      <w:pPr>
        <w:spacing w:after="0" w:line="117" w:lineRule="exact"/>
        <w:rPr>
          <w:rFonts w:ascii="Times New Roman" w:cs="Times New Roman" w:eastAsia="Times New Roman" w:hAnsi="Times New Roman"/>
          <w:sz w:val="18"/>
          <w:szCs w:val="18"/>
          <w:color w:val="auto"/>
        </w:rPr>
      </w:pPr>
    </w:p>
    <w:p>
      <w:pPr>
        <w:ind w:left="520"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Times New Roman" w:cs="Times New Roman" w:eastAsia="Times New Roman" w:hAnsi="Times New Roman"/>
          <w:sz w:val="18"/>
          <w:szCs w:val="18"/>
          <w:b w:val="1"/>
          <w:bCs w:val="1"/>
          <w:color w:val="auto"/>
        </w:rPr>
        <w:t>$1.65 million</w:t>
      </w:r>
    </w:p>
    <w:p>
      <w:pPr>
        <w:spacing w:after="0" w:line="53" w:lineRule="exact"/>
        <w:rPr>
          <w:rFonts w:ascii="Times New Roman" w:cs="Times New Roman" w:eastAsia="Times New Roman" w:hAnsi="Times New Roman"/>
          <w:sz w:val="18"/>
          <w:szCs w:val="18"/>
          <w:color w:val="auto"/>
        </w:rPr>
      </w:pPr>
    </w:p>
    <w:p>
      <w:pPr>
        <w:ind w:lef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Times New Roman" w:cs="Times New Roman" w:eastAsia="Times New Roman" w:hAnsi="Times New Roman"/>
          <w:sz w:val="18"/>
          <w:szCs w:val="18"/>
          <w:b w:val="1"/>
          <w:bCs w:val="1"/>
          <w:color w:val="auto"/>
        </w:rPr>
        <w:t>15.68%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0" w:name="page21"/>
    <w:bookmarkEnd w:id="20"/>
    <w:p>
      <w:pPr>
        <w:ind w:left="520" w:hanging="255"/>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6:</w:t>
      </w:r>
    </w:p>
    <w:p>
      <w:pPr>
        <w:spacing w:after="0" w:line="117" w:lineRule="exact"/>
        <w:rPr>
          <w:rFonts w:ascii="Times New Roman" w:cs="Times New Roman" w:eastAsia="Times New Roman" w:hAnsi="Times New Roman"/>
          <w:sz w:val="18"/>
          <w:szCs w:val="18"/>
          <w:color w:val="auto"/>
        </w:rPr>
      </w:pPr>
    </w:p>
    <w:p>
      <w:pPr>
        <w:ind w:left="520" w:right="10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Times New Roman" w:cs="Times New Roman" w:eastAsia="Times New Roman" w:hAnsi="Times New Roman"/>
          <w:sz w:val="18"/>
          <w:szCs w:val="18"/>
          <w:b w:val="1"/>
          <w:bCs w:val="1"/>
          <w:color w:val="auto"/>
        </w:rPr>
        <w:t>$0.73 million</w:t>
      </w:r>
    </w:p>
    <w:p>
      <w:pPr>
        <w:spacing w:after="0" w:line="53" w:lineRule="exact"/>
        <w:rPr>
          <w:rFonts w:ascii="Times New Roman" w:cs="Times New Roman" w:eastAsia="Times New Roman" w:hAnsi="Times New Roman"/>
          <w:sz w:val="18"/>
          <w:szCs w:val="18"/>
          <w:color w:val="auto"/>
        </w:rPr>
      </w:pPr>
    </w:p>
    <w:p>
      <w:pPr>
        <w:ind w:lef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Times New Roman" w:cs="Times New Roman" w:eastAsia="Times New Roman" w:hAnsi="Times New Roman"/>
          <w:sz w:val="18"/>
          <w:szCs w:val="18"/>
          <w:b w:val="1"/>
          <w:bCs w:val="1"/>
          <w:color w:val="auto"/>
        </w:rPr>
        <w:t>16.07%</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7:</w:t>
      </w:r>
    </w:p>
    <w:p>
      <w:pPr>
        <w:spacing w:after="0" w:line="117" w:lineRule="exact"/>
        <w:rPr>
          <w:rFonts w:ascii="Times New Roman" w:cs="Times New Roman" w:eastAsia="Times New Roman" w:hAnsi="Times New Roman"/>
          <w:sz w:val="18"/>
          <w:szCs w:val="18"/>
          <w:color w:val="auto"/>
        </w:rPr>
      </w:pPr>
    </w:p>
    <w:p>
      <w:pPr>
        <w:ind w:left="520" w:righ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Times New Roman" w:cs="Times New Roman" w:eastAsia="Times New Roman" w:hAnsi="Times New Roman"/>
          <w:sz w:val="18"/>
          <w:szCs w:val="18"/>
          <w:b w:val="1"/>
          <w:bCs w:val="1"/>
          <w:color w:val="auto"/>
        </w:rPr>
        <w:t>$0.00</w:t>
      </w:r>
    </w:p>
    <w:p>
      <w:pPr>
        <w:spacing w:after="0" w:line="53" w:lineRule="exact"/>
        <w:rPr>
          <w:rFonts w:ascii="Times New Roman" w:cs="Times New Roman" w:eastAsia="Times New Roman" w:hAnsi="Times New Roman"/>
          <w:sz w:val="18"/>
          <w:szCs w:val="18"/>
          <w:color w:val="auto"/>
        </w:rPr>
      </w:pPr>
    </w:p>
    <w:p>
      <w:pPr>
        <w:ind w:lef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Times New Roman" w:cs="Times New Roman" w:eastAsia="Times New Roman" w:hAnsi="Times New Roman"/>
          <w:sz w:val="18"/>
          <w:szCs w:val="18"/>
          <w:b w:val="1"/>
          <w:bCs w:val="1"/>
          <w:color w:val="auto"/>
        </w:rPr>
        <w:t>16.07%</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8:</w:t>
      </w:r>
    </w:p>
    <w:p>
      <w:pPr>
        <w:spacing w:after="0" w:line="117" w:lineRule="exact"/>
        <w:rPr>
          <w:rFonts w:ascii="Times New Roman" w:cs="Times New Roman" w:eastAsia="Times New Roman" w:hAnsi="Times New Roman"/>
          <w:sz w:val="18"/>
          <w:szCs w:val="18"/>
          <w:color w:val="auto"/>
        </w:rPr>
      </w:pPr>
    </w:p>
    <w:p>
      <w:pPr>
        <w:ind w:left="520" w:righ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Times New Roman" w:cs="Times New Roman" w:eastAsia="Times New Roman" w:hAnsi="Times New Roman"/>
          <w:sz w:val="18"/>
          <w:szCs w:val="18"/>
          <w:b w:val="1"/>
          <w:bCs w:val="1"/>
          <w:color w:val="auto"/>
        </w:rPr>
        <w:t>$1.39 million</w:t>
      </w:r>
    </w:p>
    <w:p>
      <w:pPr>
        <w:spacing w:after="0" w:line="53" w:lineRule="exact"/>
        <w:rPr>
          <w:rFonts w:ascii="Times New Roman" w:cs="Times New Roman" w:eastAsia="Times New Roman" w:hAnsi="Times New Roman"/>
          <w:sz w:val="18"/>
          <w:szCs w:val="18"/>
          <w:color w:val="auto"/>
        </w:rPr>
      </w:pPr>
    </w:p>
    <w:p>
      <w:pPr>
        <w:ind w:lef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Weighted Percentage = (15% multiplied by ($16 million Pre-IPO Gain Amount divided by $36 million Total Gain Amount)) plus (17.5% multiplied by ($20 million Post-IPO Gain Amount divided by $36 million Total Gain Amount)) = </w:t>
      </w:r>
      <w:r>
        <w:rPr>
          <w:rFonts w:ascii="Times New Roman" w:cs="Times New Roman" w:eastAsia="Times New Roman" w:hAnsi="Times New Roman"/>
          <w:sz w:val="18"/>
          <w:szCs w:val="18"/>
          <w:b w:val="1"/>
          <w:bCs w:val="1"/>
          <w:color w:val="auto"/>
        </w:rPr>
        <w:t>16.39%</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of Our Expenses</w:t>
      </w:r>
    </w:p>
    <w:p>
      <w:pPr>
        <w:spacing w:after="0" w:line="119" w:lineRule="exact"/>
        <w:rPr>
          <w:sz w:val="20"/>
          <w:szCs w:val="20"/>
          <w:color w:val="auto"/>
        </w:rPr>
      </w:pPr>
    </w:p>
    <w:p>
      <w:pPr>
        <w:ind w:right="360" w:firstLine="259"/>
        <w:spacing w:after="0" w:line="266" w:lineRule="auto"/>
        <w:rPr>
          <w:sz w:val="20"/>
          <w:szCs w:val="20"/>
          <w:color w:val="auto"/>
        </w:rPr>
      </w:pPr>
      <w:r>
        <w:rPr>
          <w:rFonts w:ascii="Times New Roman" w:cs="Times New Roman" w:eastAsia="Times New Roman" w:hAnsi="Times New Roman"/>
          <w:sz w:val="18"/>
          <w:szCs w:val="18"/>
          <w:color w:val="auto"/>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68" w:lineRule="exact"/>
        <w:rPr>
          <w:sz w:val="20"/>
          <w:szCs w:val="20"/>
          <w:color w:val="auto"/>
        </w:rPr>
      </w:pPr>
    </w:p>
    <w:p>
      <w:pPr>
        <w:ind w:left="520" w:hanging="25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17" w:lineRule="exact"/>
        <w:rPr>
          <w:rFonts w:ascii="Times New Roman" w:cs="Times New Roman" w:eastAsia="Times New Roman" w:hAnsi="Times New Roman"/>
          <w:sz w:val="18"/>
          <w:szCs w:val="18"/>
          <w:color w:val="auto"/>
        </w:rPr>
      </w:pPr>
    </w:p>
    <w:p>
      <w:pPr>
        <w:ind w:left="520" w:right="480" w:hanging="255"/>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68"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17" w:lineRule="exact"/>
        <w:rPr>
          <w:rFonts w:ascii="Times New Roman" w:cs="Times New Roman" w:eastAsia="Times New Roman" w:hAnsi="Times New Roman"/>
          <w:sz w:val="18"/>
          <w:szCs w:val="18"/>
          <w:color w:val="auto"/>
        </w:rPr>
      </w:pPr>
    </w:p>
    <w:p>
      <w:pPr>
        <w:ind w:left="520" w:right="20" w:hanging="255"/>
        <w:spacing w:after="0" w:line="261"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1" w:name="page22"/>
    <w:bookmarkEnd w:id="21"/>
    <w:p>
      <w:pPr>
        <w:ind w:left="520" w:right="340" w:hanging="255"/>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and Termination</w:t>
      </w:r>
    </w:p>
    <w:p>
      <w:pPr>
        <w:spacing w:after="0" w:line="119" w:lineRule="exact"/>
        <w:rPr>
          <w:sz w:val="20"/>
          <w:szCs w:val="20"/>
          <w:color w:val="auto"/>
        </w:rPr>
      </w:pPr>
    </w:p>
    <w:p>
      <w:pPr>
        <w:ind w:right="160" w:firstLine="259"/>
        <w:spacing w:after="0" w:line="255" w:lineRule="auto"/>
        <w:rPr>
          <w:sz w:val="20"/>
          <w:szCs w:val="20"/>
          <w:color w:val="auto"/>
        </w:rPr>
      </w:pPr>
      <w:r>
        <w:rPr>
          <w:rFonts w:ascii="Times New Roman" w:cs="Times New Roman" w:eastAsia="Times New Roman" w:hAnsi="Times New Roman"/>
          <w:sz w:val="18"/>
          <w:szCs w:val="18"/>
          <w:color w:val="auto"/>
        </w:rPr>
        <w:t>Unless earlier terminated as described below, both the Investment Advisory Agreement and the Administration Agreement will remain in effect until November 2019,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the directors of the Board who are not “interested persons” of us, the Adviser or any of our or its respective affiliates, as defined in the 1940 Act (known as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w:t>
      </w:r>
      <w:r>
        <w:rPr>
          <w:rFonts w:ascii="Times New Roman" w:cs="Times New Roman" w:eastAsia="Times New Roman" w:hAnsi="Times New Roman"/>
          <w:sz w:val="18"/>
          <w:szCs w:val="18"/>
          <w:i w:val="1"/>
          <w:iCs w:val="1"/>
          <w:color w:val="auto"/>
        </w:rPr>
        <w:t>ITEM 1A. 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Business and Structure—We are dependent upon management personnel of the Adviser, TSSP, and their affiliates for our future success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right="40" w:firstLine="259"/>
        <w:spacing w:after="0" w:line="253"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Approval of the Investment Advisory Agreement</w:t>
      </w:r>
    </w:p>
    <w:p>
      <w:pPr>
        <w:spacing w:after="0" w:line="119"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2018. In its consideration of the Investment Advisory Agreement at the time of approval and renewal, the Board focused on information it had received relating to, among other things:</w:t>
      </w:r>
    </w:p>
    <w:p>
      <w:pPr>
        <w:spacing w:after="0" w:line="72" w:lineRule="exact"/>
        <w:rPr>
          <w:sz w:val="20"/>
          <w:szCs w:val="20"/>
          <w:color w:val="auto"/>
        </w:rPr>
      </w:pPr>
    </w:p>
    <w:p>
      <w:pPr>
        <w:ind w:left="520" w:hanging="255"/>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extent of the advisory and other services to be provided to us by the Adviser;</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and financial performance on a standalone basis and against a comparative universe of peers;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2" w:name="page23"/>
    <w:bookmarkEnd w:id="22"/>
    <w:p>
      <w:pPr>
        <w:ind w:left="520" w:right="120" w:hanging="255"/>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comparative data with respect to advisory fees or similar expenses paid by other BDCs with similar investment objectives;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expense ratio compared to BDCs with similar investment objectives;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and potential sources of indirect income to the Adviser from its relationships with us and the profitability of those income sources;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services to be performed and the personnel performing those services under the Investment Advisory Agreement;</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and functional capabilities and financial condition of the Adviser and its respective affiliates;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jc w:val="both"/>
        <w:ind w:right="260" w:firstLine="259"/>
        <w:spacing w:after="0" w:line="266" w:lineRule="auto"/>
        <w:rPr>
          <w:sz w:val="20"/>
          <w:szCs w:val="20"/>
          <w:color w:val="auto"/>
        </w:rPr>
      </w:pPr>
      <w:r>
        <w:rPr>
          <w:rFonts w:ascii="Times New Roman" w:cs="Times New Roman" w:eastAsia="Times New Roman" w:hAnsi="Times New Roman"/>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 No one factor was given greater weight than any others, but rather the Board considered all factors collectively as a whole.</w:t>
      </w:r>
    </w:p>
    <w:p>
      <w:pPr>
        <w:spacing w:after="0" w:line="176"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as a Business Development Company</w:t>
      </w:r>
    </w:p>
    <w:p>
      <w:pPr>
        <w:spacing w:after="0" w:line="121" w:lineRule="exact"/>
        <w:rPr>
          <w:sz w:val="20"/>
          <w:szCs w:val="20"/>
          <w:color w:val="auto"/>
        </w:rPr>
      </w:pPr>
    </w:p>
    <w:p>
      <w:pPr>
        <w:ind w:right="240" w:firstLine="259"/>
        <w:spacing w:after="0" w:line="266" w:lineRule="auto"/>
        <w:rPr>
          <w:sz w:val="20"/>
          <w:szCs w:val="20"/>
          <w:color w:val="auto"/>
        </w:rPr>
      </w:pPr>
      <w:r>
        <w:rPr>
          <w:rFonts w:ascii="Times New Roman" w:cs="Times New Roman" w:eastAsia="Times New Roman" w:hAnsi="Times New Roman"/>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76" w:lineRule="exact"/>
        <w:rPr>
          <w:sz w:val="20"/>
          <w:szCs w:val="20"/>
          <w:color w:val="auto"/>
        </w:rPr>
      </w:pPr>
    </w:p>
    <w:p>
      <w:pPr>
        <w:ind w:right="180" w:firstLine="259"/>
        <w:spacing w:after="0" w:line="258" w:lineRule="auto"/>
        <w:rPr>
          <w:sz w:val="20"/>
          <w:szCs w:val="20"/>
          <w:color w:val="auto"/>
        </w:rPr>
      </w:pPr>
      <w:r>
        <w:rPr>
          <w:rFonts w:ascii="Times New Roman" w:cs="Times New Roman" w:eastAsia="Times New Roman" w:hAnsi="Times New Roman"/>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4"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As a BDC, we are permitted, under specified conditions, to issue multiple classes of indebtedness and one class of shares senior to our common stock if our asset coverage, as defined in the 1940 Act, is at least equal to 150% immediately after any borrowing or issuance (prior to October 9, 2018, our minimum asset coverage requirement was 200%). See “</w:t>
      </w:r>
      <w:r>
        <w:rPr>
          <w:rFonts w:ascii="Times New Roman" w:cs="Times New Roman" w:eastAsia="Times New Roman" w:hAnsi="Times New Roman"/>
          <w:sz w:val="18"/>
          <w:szCs w:val="18"/>
          <w:i w:val="1"/>
          <w:iCs w:val="1"/>
          <w:color w:val="auto"/>
        </w:rPr>
        <w:t>—Senior Securities</w:t>
      </w:r>
      <w:r>
        <w:rPr>
          <w:rFonts w:ascii="Times New Roman" w:cs="Times New Roman" w:eastAsia="Times New Roman" w:hAnsi="Times New Roman"/>
          <w:sz w:val="18"/>
          <w:szCs w:val="18"/>
          <w:color w:val="auto"/>
        </w:rPr>
        <w:t>” for more information.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Business and Structure—We borrow money, which magnifies the potential for gain or loss and increases the risk of investing in us</w:t>
      </w:r>
      <w:r>
        <w:rPr>
          <w:rFonts w:ascii="Times New Roman" w:cs="Times New Roman" w:eastAsia="Times New Roman" w:hAnsi="Times New Roman"/>
          <w:sz w:val="18"/>
          <w:szCs w:val="18"/>
          <w:color w:val="auto"/>
        </w:rPr>
        <w: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December 31, 2018 and 2017, our asset coverage was 270.5% and 235.5% respectively.</w:t>
      </w:r>
    </w:p>
    <w:p>
      <w:pPr>
        <w:spacing w:after="0" w:line="185"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and (b) more than 50% of the outstanding voting securities of such company.</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do not anticipate any substantial change in the nature of our business.</w:t>
      </w:r>
    </w:p>
    <w:p>
      <w:pPr>
        <w:spacing w:after="0" w:line="225" w:lineRule="exact"/>
        <w:rPr>
          <w:sz w:val="20"/>
          <w:szCs w:val="20"/>
          <w:color w:val="auto"/>
        </w:rPr>
      </w:pPr>
    </w:p>
    <w:p>
      <w:pPr>
        <w:ind w:right="120" w:firstLine="259"/>
        <w:spacing w:after="0" w:line="256" w:lineRule="auto"/>
        <w:rPr>
          <w:sz w:val="20"/>
          <w:szCs w:val="20"/>
          <w:color w:val="auto"/>
        </w:rPr>
      </w:pPr>
      <w:r>
        <w:rPr>
          <w:rFonts w:ascii="Times New Roman" w:cs="Times New Roman" w:eastAsia="Times New Roman" w:hAnsi="Times New Roman"/>
          <w:sz w:val="18"/>
          <w:szCs w:val="18"/>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“—Regulated Investment Company Classification” for more information.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3" w:name="page24"/>
    <w:bookmarkEnd w:id="23"/>
    <w:p>
      <w:pPr>
        <w:ind w:right="300" w:firstLine="259"/>
        <w:spacing w:after="0" w:line="261" w:lineRule="auto"/>
        <w:rPr>
          <w:sz w:val="20"/>
          <w:szCs w:val="20"/>
          <w:color w:val="auto"/>
        </w:rPr>
      </w:pPr>
      <w:r>
        <w:rPr>
          <w:rFonts w:ascii="Times New Roman" w:cs="Times New Roman" w:eastAsia="Times New Roman" w:hAnsi="Times New Roman"/>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80" w:lineRule="exact"/>
        <w:rPr>
          <w:sz w:val="20"/>
          <w:szCs w:val="20"/>
          <w:color w:val="auto"/>
        </w:rPr>
      </w:pPr>
    </w:p>
    <w:p>
      <w:pPr>
        <w:ind w:firstLine="259"/>
        <w:spacing w:after="0" w:line="270" w:lineRule="auto"/>
        <w:rPr>
          <w:sz w:val="20"/>
          <w:szCs w:val="20"/>
          <w:color w:val="auto"/>
        </w:rPr>
      </w:pPr>
      <w:r>
        <w:rPr>
          <w:rFonts w:ascii="Times New Roman" w:cs="Times New Roman" w:eastAsia="Times New Roman" w:hAnsi="Times New Roman"/>
          <w:sz w:val="17"/>
          <w:szCs w:val="17"/>
          <w:color w:val="auto"/>
        </w:rPr>
        <w:t>We are generally not able to issue and sell our common stock at a price below net asset value per share. See “ITEM 1A. RISK FACTORS—Risks Related to Our Business and Structure—Regulations governing our operation as a BDC affect our ability to, and the way in which we, raise additional capital.”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We may in the future seek such approval again;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periodic examination by the SEC for compliance with the 1940 Act.</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a BDC, we are subject to certain risks and uncertainties. See “</w:t>
      </w:r>
      <w:r>
        <w:rPr>
          <w:rFonts w:ascii="Times New Roman" w:cs="Times New Roman" w:eastAsia="Times New Roman" w:hAnsi="Times New Roman"/>
          <w:sz w:val="18"/>
          <w:szCs w:val="18"/>
          <w:i w:val="1"/>
          <w:iCs w:val="1"/>
          <w:color w:val="auto"/>
        </w:rPr>
        <w:t>ITEM 1A. RISK FACTORS—Risks Related to Our Business and Structure.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our Affiliates</w:t>
      </w:r>
    </w:p>
    <w:p>
      <w:pPr>
        <w:spacing w:after="0" w:line="119" w:lineRule="exact"/>
        <w:rPr>
          <w:sz w:val="20"/>
          <w:szCs w:val="20"/>
          <w:color w:val="auto"/>
        </w:rPr>
      </w:pPr>
    </w:p>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0"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0"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right="480" w:firstLine="259"/>
        <w:spacing w:after="0" w:line="282" w:lineRule="auto"/>
        <w:rPr>
          <w:sz w:val="20"/>
          <w:szCs w:val="20"/>
          <w:color w:val="auto"/>
        </w:rPr>
      </w:pPr>
      <w:r>
        <w:rPr>
          <w:rFonts w:ascii="Times New Roman" w:cs="Times New Roman" w:eastAsia="Times New Roman" w:hAnsi="Times New Roman"/>
          <w:sz w:val="18"/>
          <w:szCs w:val="18"/>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54" w:lineRule="exact"/>
        <w:rPr>
          <w:sz w:val="20"/>
          <w:szCs w:val="20"/>
          <w:color w:val="auto"/>
        </w:rPr>
      </w:pPr>
    </w:p>
    <w:p>
      <w:pPr>
        <w:ind w:left="520" w:right="360" w:hanging="255"/>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consistent with the interests of our stockholders and our investment strategies and policies;</w:t>
      </w:r>
    </w:p>
    <w:p>
      <w:pPr>
        <w:spacing w:after="0" w:line="117" w:lineRule="exact"/>
        <w:rPr>
          <w:rFonts w:ascii="Times New Roman" w:cs="Times New Roman" w:eastAsia="Times New Roman" w:hAnsi="Times New Roman"/>
          <w:sz w:val="18"/>
          <w:szCs w:val="18"/>
          <w:color w:val="auto"/>
        </w:rPr>
      </w:pPr>
    </w:p>
    <w:p>
      <w:pPr>
        <w:ind w:left="520" w:right="240" w:hanging="255"/>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by our affiliate would not disadvantage us, and our participation is not on a basis different from or less advantageous than that of our affiliate; and</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will not benefit any affiliate other than the affiliate participating in the investment, and as otherwise permitted by the order.</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13. CERTAIN RELATIONSHIPS AND RELATED TRANSACTIONS, AND DIRECTOR INDEPENDENCE.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Qualifying Assets</w:t>
      </w:r>
    </w:p>
    <w:p>
      <w:pPr>
        <w:spacing w:after="0" w:line="119"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68" w:lineRule="exact"/>
        <w:rPr>
          <w:sz w:val="20"/>
          <w:szCs w:val="20"/>
          <w:color w:val="auto"/>
        </w:rPr>
      </w:pPr>
    </w:p>
    <w:p>
      <w:pPr>
        <w:ind w:left="520" w:right="20" w:hanging="255"/>
        <w:spacing w:after="0" w:line="272" w:lineRule="auto"/>
        <w:tabs>
          <w:tab w:leader="none" w:pos="5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w:t>
      </w:r>
    </w:p>
    <w:p>
      <w:pPr>
        <w:spacing w:after="0" w:line="1" w:lineRule="exact"/>
        <w:rPr>
          <w:rFonts w:ascii="Times New Roman" w:cs="Times New Roman" w:eastAsia="Times New Roman" w:hAnsi="Times New Roman"/>
          <w:sz w:val="17"/>
          <w:szCs w:val="17"/>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1940 Act as any issuer which:</w:t>
      </w:r>
    </w:p>
    <w:p>
      <w:pPr>
        <w:spacing w:after="0" w:line="98" w:lineRule="exact"/>
        <w:rPr>
          <w:rFonts w:ascii="Times New Roman" w:cs="Times New Roman" w:eastAsia="Times New Roman" w:hAnsi="Times New Roman"/>
          <w:sz w:val="17"/>
          <w:szCs w:val="17"/>
          <w:color w:val="auto"/>
        </w:rPr>
      </w:pPr>
    </w:p>
    <w:p>
      <w:pPr>
        <w:ind w:left="780" w:hanging="259"/>
        <w:spacing w:after="0"/>
        <w:tabs>
          <w:tab w:leader="none" w:pos="7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117" w:lineRule="exact"/>
        <w:rPr>
          <w:rFonts w:ascii="Times New Roman" w:cs="Times New Roman" w:eastAsia="Times New Roman" w:hAnsi="Times New Roman"/>
          <w:sz w:val="18"/>
          <w:szCs w:val="18"/>
          <w:color w:val="auto"/>
        </w:rPr>
      </w:pPr>
    </w:p>
    <w:p>
      <w:pPr>
        <w:ind w:left="780" w:right="220" w:hanging="259"/>
        <w:spacing w:after="0" w:line="282" w:lineRule="auto"/>
        <w:tabs>
          <w:tab w:leader="none" w:pos="7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53"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of the following:</w:t>
      </w:r>
    </w:p>
    <w:p>
      <w:pPr>
        <w:spacing w:after="0" w:line="117" w:lineRule="exact"/>
        <w:rPr>
          <w:rFonts w:ascii="Times New Roman" w:cs="Times New Roman" w:eastAsia="Times New Roman" w:hAnsi="Times New Roman"/>
          <w:sz w:val="18"/>
          <w:szCs w:val="18"/>
          <w:color w:val="auto"/>
        </w:rPr>
      </w:pPr>
    </w:p>
    <w:p>
      <w:pPr>
        <w:ind w:left="1300" w:hanging="266"/>
        <w:spacing w:after="0"/>
        <w:tabs>
          <w:tab w:leader="none" w:pos="1300"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an equity market capitalization of less than $250 million or does not have any class of securities listed on a national securities exchange;</w:t>
      </w:r>
    </w:p>
    <w:p>
      <w:pPr>
        <w:spacing w:after="0" w:line="128" w:lineRule="exact"/>
        <w:rPr>
          <w:rFonts w:ascii="Times New Roman" w:cs="Times New Roman" w:eastAsia="Times New Roman" w:hAnsi="Times New Roman"/>
          <w:sz w:val="17"/>
          <w:szCs w:val="17"/>
          <w:color w:val="auto"/>
        </w:rPr>
      </w:pPr>
    </w:p>
    <w:p>
      <w:pPr>
        <w:ind w:left="1300" w:right="80" w:hanging="266"/>
        <w:spacing w:after="0" w:line="266" w:lineRule="auto"/>
        <w:tabs>
          <w:tab w:leader="none" w:pos="130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68" w:lineRule="exact"/>
        <w:rPr>
          <w:rFonts w:ascii="Times New Roman" w:cs="Times New Roman" w:eastAsia="Times New Roman" w:hAnsi="Times New Roman"/>
          <w:sz w:val="18"/>
          <w:szCs w:val="18"/>
          <w:color w:val="auto"/>
        </w:rPr>
      </w:pPr>
    </w:p>
    <w:p>
      <w:pPr>
        <w:ind w:left="1300" w:hanging="266"/>
        <w:spacing w:after="0"/>
        <w:tabs>
          <w:tab w:leader="none" w:pos="130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small and solvent company having total assets of not more than $4 million and capital and surplus of not less than $2 million.</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that we control.</w:t>
      </w:r>
    </w:p>
    <w:p>
      <w:pPr>
        <w:spacing w:after="0" w:line="117" w:lineRule="exact"/>
        <w:rPr>
          <w:rFonts w:ascii="Times New Roman" w:cs="Times New Roman" w:eastAsia="Times New Roman" w:hAnsi="Times New Roman"/>
          <w:sz w:val="18"/>
          <w:szCs w:val="18"/>
          <w:color w:val="auto"/>
        </w:rPr>
      </w:pPr>
    </w:p>
    <w:p>
      <w:pPr>
        <w:ind w:left="520" w:right="120" w:hanging="255"/>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68" w:lineRule="exact"/>
        <w:rPr>
          <w:rFonts w:ascii="Times New Roman" w:cs="Times New Roman" w:eastAsia="Times New Roman" w:hAnsi="Times New Roman"/>
          <w:sz w:val="18"/>
          <w:szCs w:val="18"/>
          <w:color w:val="auto"/>
        </w:rPr>
      </w:pPr>
    </w:p>
    <w:p>
      <w:pPr>
        <w:ind w:left="520" w:right="260" w:hanging="255"/>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3" w:lineRule="exact"/>
        <w:rPr>
          <w:rFonts w:ascii="Times New Roman" w:cs="Times New Roman" w:eastAsia="Times New Roman" w:hAnsi="Times New Roman"/>
          <w:sz w:val="18"/>
          <w:szCs w:val="18"/>
          <w:color w:val="auto"/>
        </w:rPr>
      </w:pPr>
    </w:p>
    <w:p>
      <w:pPr>
        <w:ind w:left="520" w:right="380" w:hanging="255"/>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above, or pursuant to the exercise of warrants or rights relating to such securities.</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U.S. Government securities or high-quality debt securities maturing in one year or less from the time of investment.</w:t>
      </w:r>
    </w:p>
    <w:p>
      <w:pPr>
        <w:spacing w:after="0" w:line="225" w:lineRule="exact"/>
        <w:rPr>
          <w:sz w:val="20"/>
          <w:szCs w:val="20"/>
          <w:color w:val="auto"/>
        </w:rPr>
      </w:pPr>
    </w:p>
    <w:p>
      <w:pPr>
        <w:ind w:right="160" w:firstLine="259"/>
        <w:spacing w:after="0" w:line="261" w:lineRule="auto"/>
        <w:rPr>
          <w:sz w:val="20"/>
          <w:szCs w:val="20"/>
          <w:color w:val="auto"/>
        </w:rPr>
      </w:pPr>
      <w:r>
        <w:rPr>
          <w:rFonts w:ascii="Times New Roman" w:cs="Times New Roman" w:eastAsia="Times New Roman" w:hAnsi="Times New Roman"/>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Managerial Assistance to Portfolio Companies</w:t>
      </w:r>
    </w:p>
    <w:p>
      <w:pPr>
        <w:spacing w:after="0" w:line="119"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Securities</w:t>
      </w:r>
    </w:p>
    <w:p>
      <w:pPr>
        <w:spacing w:after="0" w:line="119" w:lineRule="exact"/>
        <w:rPr>
          <w:sz w:val="20"/>
          <w:szCs w:val="20"/>
          <w:color w:val="auto"/>
        </w:rPr>
      </w:pPr>
    </w:p>
    <w:p>
      <w:pPr>
        <w:ind w:right="80" w:firstLine="259"/>
        <w:spacing w:after="0" w:line="258" w:lineRule="auto"/>
        <w:rPr>
          <w:sz w:val="20"/>
          <w:szCs w:val="20"/>
          <w:color w:val="auto"/>
        </w:rPr>
      </w:pPr>
      <w:r>
        <w:rPr>
          <w:rFonts w:ascii="Times New Roman" w:cs="Times New Roman" w:eastAsia="Times New Roman" w:hAnsi="Times New Roman"/>
          <w:sz w:val="18"/>
          <w:szCs w:val="18"/>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Small Business Credit Availability Act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25" w:name="page26"/>
    <w:bookmarkEnd w:id="25"/>
    <w:p>
      <w:pPr>
        <w:ind w:right="160" w:firstLine="259"/>
        <w:spacing w:after="0" w:line="261" w:lineRule="auto"/>
        <w:rPr>
          <w:sz w:val="20"/>
          <w:szCs w:val="20"/>
          <w:color w:val="auto"/>
        </w:rPr>
      </w:pPr>
      <w:r>
        <w:rPr>
          <w:rFonts w:ascii="Times New Roman" w:cs="Times New Roman" w:eastAsia="Times New Roman" w:hAnsi="Times New Roman"/>
          <w:sz w:val="18"/>
          <w:szCs w:val="18"/>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80"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shares senior to our common stock if our asset coverage, as defined in the 1940 Act, is at least equal to 150% immediately after any borrowing or issuance. In addition, while any preferred stock or publicly-traded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w:t>
      </w:r>
    </w:p>
    <w:p>
      <w:pPr>
        <w:spacing w:after="0" w:line="184" w:lineRule="exact"/>
        <w:rPr>
          <w:sz w:val="20"/>
          <w:szCs w:val="20"/>
          <w:color w:val="auto"/>
        </w:rPr>
      </w:pPr>
    </w:p>
    <w:p>
      <w:pPr>
        <w:ind w:right="260" w:firstLine="259"/>
        <w:spacing w:after="0" w:line="282" w:lineRule="auto"/>
        <w:rPr>
          <w:sz w:val="20"/>
          <w:szCs w:val="20"/>
          <w:color w:val="auto"/>
        </w:rPr>
      </w:pPr>
      <w:r>
        <w:rPr>
          <w:rFonts w:ascii="Times New Roman" w:cs="Times New Roman" w:eastAsia="Times New Roman" w:hAnsi="Times New Roman"/>
          <w:sz w:val="18"/>
          <w:szCs w:val="18"/>
          <w:color w:val="auto"/>
        </w:rPr>
        <w:t>The 1940 Act imposes limitations on a BDC’s issuance of preferred stock, which is considered a “senior security” and thus is subject to the 150% asset coverage requirement described above.</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2018 and 2017, our asset coverage was 270.5% and 235.5%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119"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As required by the Advisers Act and the 1940 Act, we and the Adviser have adopted codes of ethics which apply to, among others, our and our Adviser’s executive officers, including our Chief Executive Officer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Chief Executive Officer or Chief Financial Officer.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Policies and Procedures</w:t>
      </w:r>
    </w:p>
    <w:p>
      <w:pPr>
        <w:spacing w:after="0" w:line="119" w:lineRule="exact"/>
        <w:rPr>
          <w:sz w:val="20"/>
          <w:szCs w:val="20"/>
          <w:color w:val="auto"/>
        </w:rPr>
      </w:pPr>
    </w:p>
    <w:p>
      <w:pPr>
        <w:ind w:right="380" w:firstLine="259"/>
        <w:spacing w:after="0" w:line="266" w:lineRule="auto"/>
        <w:rPr>
          <w:sz w:val="20"/>
          <w:szCs w:val="20"/>
          <w:color w:val="auto"/>
        </w:rPr>
      </w:pPr>
      <w:r>
        <w:rPr>
          <w:rFonts w:ascii="Times New Roman" w:cs="Times New Roman" w:eastAsia="Times New Roman" w:hAnsi="Times New Roman"/>
          <w:sz w:val="18"/>
          <w:szCs w:val="18"/>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Sarbanes-Oxley Act of 2002</w:t>
      </w:r>
    </w:p>
    <w:p>
      <w:pPr>
        <w:spacing w:after="0" w:line="119" w:lineRule="exact"/>
        <w:rPr>
          <w:sz w:val="20"/>
          <w:szCs w:val="20"/>
          <w:color w:val="auto"/>
        </w:rPr>
      </w:pPr>
    </w:p>
    <w:p>
      <w:pPr>
        <w:ind w:right="440" w:firstLine="259"/>
        <w:spacing w:after="0" w:line="282" w:lineRule="auto"/>
        <w:rPr>
          <w:sz w:val="20"/>
          <w:szCs w:val="20"/>
          <w:color w:val="auto"/>
        </w:rPr>
      </w:pPr>
      <w:r>
        <w:rPr>
          <w:rFonts w:ascii="Times New Roman" w:cs="Times New Roman" w:eastAsia="Times New Roman" w:hAnsi="Times New Roman"/>
          <w:sz w:val="18"/>
          <w:szCs w:val="18"/>
          <w:color w:val="auto"/>
        </w:rPr>
        <w:t>The Sarbanes-Oxley Act of 2002 imposes a wide variety of regulatory requirements on certain publicly held companies and their insiders. Assuming certain requirements are met, many of these requirements affect us. For example:</w:t>
      </w:r>
    </w:p>
    <w:p>
      <w:pPr>
        <w:spacing w:after="0" w:line="54" w:lineRule="exact"/>
        <w:rPr>
          <w:sz w:val="20"/>
          <w:szCs w:val="20"/>
          <w:color w:val="auto"/>
        </w:rPr>
      </w:pPr>
    </w:p>
    <w:p>
      <w:pPr>
        <w:ind w:left="520" w:right="120" w:hanging="255"/>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13a-14 of the Exchange Act, our Chief Executive Officer and Chief Financial Officer certify the accuracy of the financial statements contained in our periodic reports;</w:t>
      </w:r>
    </w:p>
    <w:p>
      <w:pPr>
        <w:spacing w:after="0" w:line="53" w:lineRule="exact"/>
        <w:rPr>
          <w:rFonts w:ascii="Times New Roman" w:cs="Times New Roman" w:eastAsia="Times New Roman" w:hAnsi="Times New Roman"/>
          <w:sz w:val="18"/>
          <w:szCs w:val="18"/>
          <w:color w:val="auto"/>
        </w:rPr>
      </w:pPr>
    </w:p>
    <w:p>
      <w:pPr>
        <w:ind w:left="520" w:right="840" w:hanging="255"/>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307 of Regulation S-K, our periodic reports disclose our conclusions about the effectiveness of our disclosure controls and procedures;</w:t>
      </w:r>
    </w:p>
    <w:p>
      <w:pPr>
        <w:spacing w:after="0" w:line="53" w:lineRule="exact"/>
        <w:rPr>
          <w:rFonts w:ascii="Times New Roman" w:cs="Times New Roman" w:eastAsia="Times New Roman" w:hAnsi="Times New Roman"/>
          <w:sz w:val="18"/>
          <w:szCs w:val="18"/>
          <w:color w:val="auto"/>
        </w:rPr>
      </w:pPr>
    </w:p>
    <w:p>
      <w:pPr>
        <w:ind w:left="520" w:right="180" w:hanging="255"/>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53" w:lineRule="exact"/>
        <w:rPr>
          <w:rFonts w:ascii="Times New Roman" w:cs="Times New Roman" w:eastAsia="Times New Roman" w:hAnsi="Times New Roman"/>
          <w:sz w:val="18"/>
          <w:szCs w:val="18"/>
          <w:color w:val="auto"/>
        </w:rPr>
      </w:pPr>
    </w:p>
    <w:p>
      <w:pPr>
        <w:jc w:val="both"/>
        <w:ind w:left="520" w:right="120" w:hanging="255"/>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76" w:lineRule="exact"/>
        <w:rPr>
          <w:sz w:val="20"/>
          <w:szCs w:val="20"/>
          <w:color w:val="auto"/>
        </w:rPr>
      </w:pPr>
    </w:p>
    <w:p>
      <w:pPr>
        <w:ind w:right="400" w:firstLine="259"/>
        <w:spacing w:after="0" w:line="266" w:lineRule="auto"/>
        <w:rPr>
          <w:sz w:val="20"/>
          <w:szCs w:val="20"/>
          <w:color w:val="auto"/>
        </w:rPr>
      </w:pPr>
      <w:r>
        <w:rPr>
          <w:rFonts w:ascii="Times New Roman" w:cs="Times New Roman" w:eastAsia="Times New Roman" w:hAnsi="Times New Roman"/>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The NYSE Corporate Governance Rules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NYSE has adopted corporate governance rules that listed companies must comply with. We believe we are in compliance with these rules.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Voting Policies and Procedures</w:t>
      </w:r>
    </w:p>
    <w:p>
      <w:pPr>
        <w:spacing w:after="0" w:line="119" w:lineRule="exact"/>
        <w:rPr>
          <w:sz w:val="20"/>
          <w:szCs w:val="20"/>
          <w:color w:val="auto"/>
        </w:rPr>
      </w:pPr>
    </w:p>
    <w:p>
      <w:pPr>
        <w:ind w:right="160" w:firstLine="259"/>
        <w:spacing w:after="0" w:line="282" w:lineRule="auto"/>
        <w:rPr>
          <w:sz w:val="20"/>
          <w:szCs w:val="20"/>
          <w:color w:val="auto"/>
        </w:rPr>
      </w:pPr>
      <w:r>
        <w:rPr>
          <w:rFonts w:ascii="Times New Roman" w:cs="Times New Roman" w:eastAsia="Times New Roman" w:hAnsi="Times New Roman"/>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62"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0"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Principles</w:t>
      </w:r>
    </w:p>
    <w:p>
      <w:pPr>
        <w:spacing w:after="0" w:line="119"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76"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85" w:lineRule="exact"/>
        <w:rPr>
          <w:sz w:val="20"/>
          <w:szCs w:val="20"/>
          <w:color w:val="auto"/>
        </w:rPr>
      </w:pPr>
    </w:p>
    <w:p>
      <w:pPr>
        <w:ind w:right="220" w:firstLine="259"/>
        <w:spacing w:after="0" w:line="261" w:lineRule="auto"/>
        <w:rPr>
          <w:sz w:val="20"/>
          <w:szCs w:val="20"/>
          <w:color w:val="auto"/>
        </w:rPr>
      </w:pPr>
      <w:r>
        <w:rPr>
          <w:rFonts w:ascii="Times New Roman" w:cs="Times New Roman" w:eastAsia="Times New Roman" w:hAnsi="Times New Roman"/>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Obligations</w:t>
      </w:r>
    </w:p>
    <w:p>
      <w:pPr>
        <w:spacing w:after="0" w:line="119" w:lineRule="exact"/>
        <w:rPr>
          <w:sz w:val="20"/>
          <w:szCs w:val="20"/>
          <w:color w:val="auto"/>
        </w:rPr>
      </w:pPr>
    </w:p>
    <w:p>
      <w:pPr>
        <w:ind w:right="400" w:firstLine="259"/>
        <w:spacing w:after="0" w:line="266" w:lineRule="auto"/>
        <w:rPr>
          <w:sz w:val="20"/>
          <w:szCs w:val="20"/>
          <w:color w:val="auto"/>
        </w:rPr>
      </w:pPr>
      <w:r>
        <w:rPr>
          <w:rFonts w:ascii="Times New Roman" w:cs="Times New Roman" w:eastAsia="Times New Roman" w:hAnsi="Times New Roman"/>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76" w:lineRule="exact"/>
        <w:rPr>
          <w:sz w:val="20"/>
          <w:szCs w:val="20"/>
          <w:color w:val="auto"/>
        </w:rPr>
      </w:pPr>
    </w:p>
    <w:p>
      <w:pPr>
        <w:ind w:right="80" w:firstLine="259"/>
        <w:spacing w:after="0" w:line="282" w:lineRule="auto"/>
        <w:rPr>
          <w:sz w:val="20"/>
          <w:szCs w:val="20"/>
          <w:color w:val="auto"/>
        </w:rPr>
      </w:pPr>
      <w:r>
        <w:rPr>
          <w:rFonts w:ascii="Times New Roman" w:cs="Times New Roman" w:eastAsia="Times New Roman" w:hAnsi="Times New Roman"/>
          <w:sz w:val="18"/>
          <w:szCs w:val="18"/>
          <w:color w:val="auto"/>
        </w:rPr>
        <w:t>We make available on our website (www.tpgspecialtylending.com) our proxy statements, our annual reports on Form 10-K, quarterly reports on Form 10-Q and our current reports on Form 8-K that we file with the SEC.</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SEC also maintains a website (www.sec.gov) that contains this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Regulated Investment Company Classification</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a BDC, we have elected to be treated as a RIC for U.S. federal income tax purposes.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17" w:lineRule="exact"/>
        <w:rPr>
          <w:sz w:val="20"/>
          <w:szCs w:val="20"/>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17" w:lineRule="exact"/>
        <w:rPr>
          <w:rFonts w:ascii="Times New Roman" w:cs="Times New Roman" w:eastAsia="Times New Roman" w:hAnsi="Times New Roman"/>
          <w:sz w:val="18"/>
          <w:szCs w:val="18"/>
          <w:color w:val="auto"/>
        </w:rPr>
      </w:pPr>
    </w:p>
    <w:p>
      <w:pPr>
        <w:ind w:left="520" w:right="60" w:hanging="255"/>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17" w:lineRule="exact"/>
        <w:rPr>
          <w:rFonts w:ascii="Times New Roman" w:cs="Times New Roman" w:eastAsia="Times New Roman" w:hAnsi="Times New Roman"/>
          <w:sz w:val="18"/>
          <w:szCs w:val="18"/>
          <w:color w:val="auto"/>
        </w:rPr>
      </w:pPr>
    </w:p>
    <w:p>
      <w:pPr>
        <w:ind w:left="780" w:right="300" w:hanging="259"/>
        <w:spacing w:after="0" w:line="266" w:lineRule="auto"/>
        <w:tabs>
          <w:tab w:leader="none" w:pos="7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68" w:lineRule="exact"/>
        <w:rPr>
          <w:rFonts w:ascii="Times New Roman" w:cs="Times New Roman" w:eastAsia="Times New Roman" w:hAnsi="Times New Roman"/>
          <w:sz w:val="18"/>
          <w:szCs w:val="18"/>
          <w:color w:val="auto"/>
        </w:rPr>
      </w:pPr>
    </w:p>
    <w:p>
      <w:pPr>
        <w:ind w:left="780" w:right="20" w:hanging="259"/>
        <w:spacing w:after="0" w:line="266" w:lineRule="auto"/>
        <w:tabs>
          <w:tab w:leader="none" w:pos="7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80" w:lineRule="exact"/>
        <w:rPr>
          <w:sz w:val="20"/>
          <w:szCs w:val="20"/>
          <w:color w:val="auto"/>
        </w:rPr>
      </w:pPr>
    </w:p>
    <w:p>
      <w:pPr>
        <w:ind w:left="780" w:hanging="259"/>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17" w:lineRule="exact"/>
        <w:rPr>
          <w:rFonts w:ascii="Times New Roman" w:cs="Times New Roman" w:eastAsia="Times New Roman" w:hAnsi="Times New Roman"/>
          <w:sz w:val="18"/>
          <w:szCs w:val="18"/>
          <w:color w:val="auto"/>
        </w:rPr>
      </w:pPr>
    </w:p>
    <w:p>
      <w:pPr>
        <w:ind w:left="780" w:right="80" w:hanging="259"/>
        <w:spacing w:after="0" w:line="282" w:lineRule="auto"/>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53"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0" w:lineRule="exact"/>
        <w:rPr>
          <w:sz w:val="20"/>
          <w:szCs w:val="20"/>
          <w:color w:val="auto"/>
        </w:rPr>
      </w:pPr>
    </w:p>
    <w:p>
      <w:pPr>
        <w:ind w:right="100" w:firstLine="259"/>
        <w:spacing w:after="0" w:line="289" w:lineRule="auto"/>
        <w:rPr>
          <w:sz w:val="20"/>
          <w:szCs w:val="20"/>
          <w:color w:val="auto"/>
        </w:rPr>
      </w:pPr>
      <w:r>
        <w:rPr>
          <w:rFonts w:ascii="Times New Roman" w:cs="Times New Roman" w:eastAsia="Times New Roman" w:hAnsi="Times New Roman"/>
          <w:sz w:val="17"/>
          <w:szCs w:val="17"/>
          <w:color w:val="auto"/>
        </w:rPr>
        <w:t>We generally expect to distribute substantially all of our earnings on a quarterly basis, but will reinvest dividends on behalf of those investors that do not elect to receive their dividends in cash. See “—</w:t>
      </w:r>
      <w:r>
        <w:rPr>
          <w:rFonts w:ascii="Times New Roman" w:cs="Times New Roman" w:eastAsia="Times New Roman" w:hAnsi="Times New Roman"/>
          <w:sz w:val="17"/>
          <w:szCs w:val="17"/>
          <w:i w:val="1"/>
          <w:iCs w:val="1"/>
          <w:color w:val="auto"/>
        </w:rPr>
        <w:t>Dividend Policy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Dividend Reinvestment Plan</w:t>
      </w:r>
      <w:r>
        <w:rPr>
          <w:rFonts w:ascii="Times New Roman" w:cs="Times New Roman" w:eastAsia="Times New Roman" w:hAnsi="Times New Roman"/>
          <w:sz w:val="17"/>
          <w:szCs w:val="17"/>
          <w:color w:val="auto"/>
        </w:rPr>
        <w:t>” for a description of our dividend policy and obligations. One or more of the considerations described below, however, could result in the deferral of dividend distributions until the end of the fiscal year:</w:t>
      </w:r>
    </w:p>
    <w:p>
      <w:pPr>
        <w:spacing w:after="0" w:line="50" w:lineRule="exact"/>
        <w:rPr>
          <w:sz w:val="20"/>
          <w:szCs w:val="20"/>
          <w:color w:val="auto"/>
        </w:rPr>
      </w:pPr>
    </w:p>
    <w:p>
      <w:pPr>
        <w:ind w:left="520" w:right="200" w:hanging="255"/>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acquire securities issued with original issue discount, that original issue discount may be accrued in income before we receive any corresponding cash payments.</w:t>
      </w:r>
    </w:p>
    <w:p>
      <w:pPr>
        <w:spacing w:after="0" w:line="68" w:lineRule="exact"/>
        <w:rPr>
          <w:rFonts w:ascii="Times New Roman" w:cs="Times New Roman" w:eastAsia="Times New Roman" w:hAnsi="Times New Roman"/>
          <w:sz w:val="18"/>
          <w:szCs w:val="18"/>
          <w:color w:val="auto"/>
        </w:rPr>
      </w:pPr>
    </w:p>
    <w:p>
      <w:pPr>
        <w:ind w:left="520" w:right="260" w:hanging="255"/>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right="120" w:firstLine="259"/>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28" w:name="page29"/>
    <w:bookmarkEnd w:id="28"/>
    <w:p>
      <w:pPr>
        <w:ind w:right="180" w:firstLine="259"/>
        <w:spacing w:after="0" w:line="255"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85" w:lineRule="exact"/>
        <w:rPr>
          <w:sz w:val="20"/>
          <w:szCs w:val="20"/>
          <w:color w:val="auto"/>
        </w:rPr>
      </w:pPr>
    </w:p>
    <w:p>
      <w:pPr>
        <w:ind w:right="80" w:firstLine="259"/>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Before you invest in our securities, you should be aware of various risks associated with the investment, including those described below.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management personnel of the Adviser, TSSP and their affiliates for our future success.</w:t>
      </w:r>
    </w:p>
    <w:p>
      <w:pPr>
        <w:spacing w:after="0" w:line="121" w:lineRule="exact"/>
        <w:rPr>
          <w:sz w:val="20"/>
          <w:szCs w:val="20"/>
          <w:color w:val="auto"/>
        </w:rPr>
      </w:pPr>
    </w:p>
    <w:p>
      <w:pPr>
        <w:ind w:right="140" w:firstLine="259"/>
        <w:spacing w:after="0" w:line="258" w:lineRule="auto"/>
        <w:rPr>
          <w:sz w:val="20"/>
          <w:szCs w:val="20"/>
          <w:color w:val="auto"/>
        </w:rPr>
      </w:pPr>
      <w:r>
        <w:rPr>
          <w:rFonts w:ascii="Times New Roman" w:cs="Times New Roman" w:eastAsia="Times New Roman" w:hAnsi="Times New Roman"/>
          <w:sz w:val="18"/>
          <w:szCs w:val="18"/>
          <w:color w:val="auto"/>
        </w:rPr>
        <w:t>We depend on the experience, diligence, skill and network of business contacts of senior members of our Investment Team. Our Investment Team, together with other professionals at TSSP and its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84"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In addition, we cannot assure you that the Adviser will remain our investment adviser or that we will continue to have access to TSSP or its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and the way in which we, raise additional capital.</w:t>
      </w:r>
    </w:p>
    <w:p>
      <w:pPr>
        <w:spacing w:after="0" w:line="119"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The 1940 Act imposes numerous constraints on the operations of BDCs. See “</w:t>
      </w:r>
      <w:r>
        <w:rPr>
          <w:rFonts w:ascii="Times New Roman" w:cs="Times New Roman" w:eastAsia="Times New Roman" w:hAnsi="Times New Roman"/>
          <w:sz w:val="18"/>
          <w:szCs w:val="18"/>
          <w:i w:val="1"/>
          <w:iCs w:val="1"/>
          <w:color w:val="auto"/>
        </w:rPr>
        <w:t>ITEM 1. BUSINESS—Regulation as a Business Development Company</w:t>
      </w:r>
      <w:r>
        <w:rPr>
          <w:rFonts w:ascii="Times New Roman" w:cs="Times New Roman" w:eastAsia="Times New Roman" w:hAnsi="Times New Roman"/>
          <w:sz w:val="18"/>
          <w:szCs w:val="18"/>
          <w:color w:val="auto"/>
        </w:rPr>
        <w:t>”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2"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76"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80"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9" w:name="page30"/>
    <w:bookmarkEnd w:id="29"/>
    <w:p>
      <w:pPr>
        <w:ind w:right="160"/>
        <w:spacing w:after="0" w:line="258" w:lineRule="auto"/>
        <w:rPr>
          <w:sz w:val="20"/>
          <w:szCs w:val="20"/>
          <w:color w:val="auto"/>
        </w:rPr>
      </w:pPr>
      <w:r>
        <w:rPr>
          <w:rFonts w:ascii="Times New Roman" w:cs="Times New Roman" w:eastAsia="Times New Roman" w:hAnsi="Times New Roman"/>
          <w:sz w:val="18"/>
          <w:szCs w:val="18"/>
          <w:color w:val="auto"/>
        </w:rPr>
        <w:t>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84" w:lineRule="exact"/>
        <w:rPr>
          <w:sz w:val="20"/>
          <w:szCs w:val="20"/>
          <w:color w:val="auto"/>
        </w:rPr>
      </w:pPr>
    </w:p>
    <w:p>
      <w:pPr>
        <w:ind w:right="140" w:firstLine="259"/>
        <w:spacing w:after="0" w:line="255" w:lineRule="auto"/>
        <w:rPr>
          <w:sz w:val="20"/>
          <w:szCs w:val="20"/>
          <w:color w:val="auto"/>
        </w:rPr>
      </w:pPr>
      <w:r>
        <w:rPr>
          <w:rFonts w:ascii="Times New Roman" w:cs="Times New Roman" w:eastAsia="Times New Roman" w:hAnsi="Times New Roman"/>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ind w:right="60" w:firstLine="259"/>
        <w:spacing w:after="0" w:line="252" w:lineRule="auto"/>
        <w:rPr>
          <w:sz w:val="20"/>
          <w:szCs w:val="20"/>
          <w:color w:val="auto"/>
        </w:rPr>
      </w:pPr>
      <w:r>
        <w:rPr>
          <w:rFonts w:ascii="Times New Roman" w:cs="Times New Roman" w:eastAsia="Times New Roman" w:hAnsi="Times New Roman"/>
          <w:sz w:val="18"/>
          <w:szCs w:val="18"/>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We may in the future seek such approval again;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99"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Times New Roman" w:cs="Times New Roman" w:eastAsia="Times New Roman" w:hAnsi="Times New Roman"/>
          <w:sz w:val="18"/>
          <w:szCs w:val="18"/>
          <w:i w:val="1"/>
          <w:iCs w:val="1"/>
          <w:color w:val="auto"/>
        </w:rPr>
        <w:t>—Risks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Portfolio Company Investments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We may securitize certain of our investments, which may subject us to certain structured financing risks</w:t>
      </w:r>
      <w:r>
        <w:rPr>
          <w:rFonts w:ascii="Times New Roman" w:cs="Times New Roman" w:eastAsia="Times New Roman" w:hAnsi="Times New Roman"/>
          <w:sz w:val="18"/>
          <w:szCs w:val="18"/>
          <w:color w:val="auto"/>
        </w:rPr>
        <w: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borrow money, which magnifies the potential for gain or loss and increases the risk of investing in us.</w:t>
      </w:r>
    </w:p>
    <w:p>
      <w:pPr>
        <w:spacing w:after="0" w:line="121" w:lineRule="exact"/>
        <w:rPr>
          <w:sz w:val="20"/>
          <w:szCs w:val="20"/>
          <w:color w:val="auto"/>
        </w:rPr>
      </w:pPr>
    </w:p>
    <w:p>
      <w:pPr>
        <w:ind w:right="180" w:firstLine="259"/>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Business and Structure—Even in the event the value of your investment declines, the Management Fee and, in certain circumstances, the Incentive Fee will still be payable to the Adviser</w:t>
      </w:r>
      <w:r>
        <w:rPr>
          <w:rFonts w:ascii="Times New Roman" w:cs="Times New Roman" w:eastAsia="Times New Roman" w:hAnsi="Times New Roman"/>
          <w:sz w:val="18"/>
          <w:szCs w:val="18"/>
          <w:color w:val="auto"/>
        </w:rPr>
        <w:t>.” The amount of leverage that we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0" w:name="page31"/>
    <w:bookmarkEnd w:id="30"/>
    <w:p>
      <w:pPr>
        <w:ind w:right="240"/>
        <w:spacing w:after="0" w:line="282" w:lineRule="auto"/>
        <w:rPr>
          <w:sz w:val="20"/>
          <w:szCs w:val="20"/>
          <w:color w:val="auto"/>
        </w:rPr>
      </w:pPr>
      <w:r>
        <w:rPr>
          <w:rFonts w:ascii="Times New Roman" w:cs="Times New Roman" w:eastAsia="Times New Roman" w:hAnsi="Times New Roman"/>
          <w:sz w:val="18"/>
          <w:szCs w:val="18"/>
          <w:color w:val="auto"/>
        </w:rPr>
        <w:t>employ will depend on our Adviser’s and our Board’s assessment of market and other factors at the time of any proposed borrowing. We cannot assure you that we will be able to obtain credit at all or on terms acceptable to us.</w:t>
      </w:r>
    </w:p>
    <w:p>
      <w:pPr>
        <w:spacing w:after="0" w:line="162"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Our credit facilities and indentures governing our indebtedness also impose financial and operating covenants that restrict our business activities, remedies on default and similar matters. As of the date of this Annual Report,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85" w:lineRule="exact"/>
        <w:rPr>
          <w:sz w:val="20"/>
          <w:szCs w:val="20"/>
          <w:color w:val="auto"/>
        </w:rPr>
      </w:pPr>
    </w:p>
    <w:p>
      <w:pPr>
        <w:ind w:right="420" w:firstLine="259"/>
        <w:spacing w:after="0" w:line="266" w:lineRule="auto"/>
        <w:rPr>
          <w:sz w:val="20"/>
          <w:szCs w:val="20"/>
          <w:color w:val="auto"/>
        </w:rPr>
      </w:pPr>
      <w:r>
        <w:rPr>
          <w:rFonts w:ascii="Times New Roman" w:cs="Times New Roman" w:eastAsia="Times New Roman" w:hAnsi="Times New Roman"/>
          <w:sz w:val="18"/>
          <w:szCs w:val="18"/>
          <w:color w:val="auto"/>
        </w:rPr>
        <w:t>Lastly, the SEC has issued a proposed rule, Rule 18f-4, that if adopted would potentially constrain our ability to use leverage if we have substantial exposure to swaps and other derivatives, or have significant outstanding financial commitments to our portfolio companies. See “—</w:t>
      </w:r>
      <w:r>
        <w:rPr>
          <w:rFonts w:ascii="Times New Roman" w:cs="Times New Roman" w:eastAsia="Times New Roman" w:hAnsi="Times New Roman"/>
          <w:sz w:val="18"/>
          <w:szCs w:val="18"/>
          <w:i w:val="1"/>
          <w:iCs w:val="1"/>
          <w:color w:val="auto"/>
        </w:rPr>
        <w:t>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Portfolio Company Investments—We expose ourselves to risks when we engage in hedging transactions.”</w:t>
      </w:r>
    </w:p>
    <w:p>
      <w:pPr>
        <w:spacing w:after="0" w:line="176" w:lineRule="exact"/>
        <w:rPr>
          <w:sz w:val="20"/>
          <w:szCs w:val="20"/>
          <w:color w:val="auto"/>
        </w:rPr>
      </w:pPr>
    </w:p>
    <w:p>
      <w:pPr>
        <w:ind w:right="60" w:firstLine="259"/>
        <w:spacing w:after="0" w:line="258" w:lineRule="auto"/>
        <w:rPr>
          <w:sz w:val="20"/>
          <w:szCs w:val="20"/>
          <w:color w:val="auto"/>
        </w:rPr>
      </w:pPr>
      <w:r>
        <w:rPr>
          <w:rFonts w:ascii="Times New Roman" w:cs="Times New Roman" w:eastAsia="Times New Roman" w:hAnsi="Times New Roman"/>
          <w:sz w:val="18"/>
          <w:szCs w:val="18"/>
          <w:color w:val="auto"/>
        </w:rPr>
        <w:t>As of December 31, 2018, we had $625.0 million of outstanding indebtedness, which had an annualized interest cost of 4.1% under the terms of our debt, excluding fees (such as fees on undrawn amounts and amortization of upfront fees) and giving effect to the swap-adjusted interest rates on our Convertible Notes and 2023 Notes. As of December 31, 2018, the interest rate on the 2019 Convertible Notes, as adjusted to give effect to the interest rate swaps, was three-month London Interbank Offered Rate, or LIBOR, plus 2.86%, the interest rate on the 2022 Convertible Notes was three-month LIBOR plus 2.11% (on a weighted-average basis) and the interest rate on the 2023 Notes was three-month LIBOR plus 1.99%.</w:t>
      </w:r>
    </w:p>
    <w:p>
      <w:pPr>
        <w:spacing w:after="0" w:line="184" w:lineRule="exact"/>
        <w:rPr>
          <w:sz w:val="20"/>
          <w:szCs w:val="20"/>
          <w:color w:val="auto"/>
        </w:rPr>
      </w:pPr>
    </w:p>
    <w:p>
      <w:pPr>
        <w:ind w:right="320" w:firstLine="259"/>
        <w:spacing w:after="0" w:line="266" w:lineRule="auto"/>
        <w:rPr>
          <w:sz w:val="20"/>
          <w:szCs w:val="20"/>
          <w:color w:val="auto"/>
        </w:rPr>
      </w:pPr>
      <w:r>
        <w:rPr>
          <w:rFonts w:ascii="Times New Roman" w:cs="Times New Roman" w:eastAsia="Times New Roman" w:hAnsi="Times New Roman"/>
          <w:sz w:val="18"/>
          <w:szCs w:val="18"/>
          <w:color w:val="auto"/>
        </w:rPr>
        <w:t>For us to cover these annualized interest payments on indebtedness, we must achieve annual returns on our investments of at least 1.5%.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76" w:lineRule="exact"/>
        <w:rPr>
          <w:sz w:val="20"/>
          <w:szCs w:val="20"/>
          <w:color w:val="auto"/>
        </w:rPr>
      </w:pPr>
    </w:p>
    <w:p>
      <w:pPr>
        <w:ind w:right="220" w:firstLine="259"/>
        <w:spacing w:after="0" w:line="261" w:lineRule="auto"/>
        <w:rPr>
          <w:sz w:val="20"/>
          <w:szCs w:val="20"/>
          <w:color w:val="auto"/>
        </w:rPr>
      </w:pPr>
      <w:r>
        <w:rPr>
          <w:rFonts w:ascii="Times New Roman" w:cs="Times New Roman" w:eastAsia="Times New Roman" w:hAnsi="Times New Roman"/>
          <w:sz w:val="18"/>
          <w:szCs w:val="18"/>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Effects of Leverage Based on Actual Amount of Borrowings Incurred by us as of December 31, 2018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gridSpan w:val="6"/>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Assumed Return on Our Portfolio</w:t>
            </w: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4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-10%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-5%</w:t>
            </w:r>
          </w:p>
        </w:tc>
        <w:tc>
          <w:tcPr>
            <w:tcW w:w="320" w:type="dxa"/>
            <w:vAlign w:val="bottom"/>
          </w:tcPr>
          <w:p>
            <w:pPr>
              <w:spacing w:after="0"/>
              <w:rPr>
                <w:sz w:val="12"/>
                <w:szCs w:val="12"/>
                <w:color w:val="auto"/>
              </w:rPr>
            </w:pPr>
          </w:p>
        </w:tc>
        <w:tc>
          <w:tcPr>
            <w:tcW w:w="174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(net of expenses) </w:t>
            </w:r>
            <w:r>
              <w:rPr>
                <w:rFonts w:ascii="Times New Roman" w:cs="Times New Roman" w:eastAsia="Times New Roman" w:hAnsi="Times New Roman"/>
                <w:sz w:val="12"/>
                <w:szCs w:val="12"/>
                <w:b w:val="1"/>
                <w:bCs w:val="1"/>
                <w:color w:val="auto"/>
              </w:rPr>
              <w:t>(1)</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3"/>
                <w:shd w:val="clear" w:color="auto" w:fill="CCEEFF"/>
              </w:rPr>
              <w:t xml:space="preserve">Corresponding return to stockholder </w:t>
            </w:r>
            <w:r>
              <w:rPr>
                <w:rFonts w:ascii="Times New Roman" w:cs="Times New Roman" w:eastAsia="Times New Roman" w:hAnsi="Times New Roman"/>
                <w:sz w:val="15"/>
                <w:szCs w:val="15"/>
                <w:color w:val="auto"/>
                <w:w w:val="93"/>
                <w:shd w:val="clear" w:color="auto" w:fill="CCEEFF"/>
              </w:rPr>
              <w:t>(2)</w:t>
            </w:r>
          </w:p>
        </w:tc>
        <w:tc>
          <w:tcPr>
            <w:tcW w:w="2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-18.7%</w:t>
            </w: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-10.6%</w:t>
            </w: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-2.4%</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5.7%</w:t>
            </w: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13.8%</w:t>
            </w:r>
          </w:p>
        </w:tc>
        <w:tc>
          <w:tcPr>
            <w:tcW w:w="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right="160" w:hanging="512"/>
        <w:spacing w:after="0" w:line="257"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December 31, 2018. As a result, it has not been updated to take into account any changes in assets or leverage since December 31, 2018.</w:t>
      </w:r>
    </w:p>
    <w:p>
      <w:pPr>
        <w:spacing w:after="0" w:line="1" w:lineRule="exact"/>
        <w:rPr>
          <w:rFonts w:ascii="Times New Roman" w:cs="Times New Roman" w:eastAsia="Times New Roman" w:hAnsi="Times New Roman"/>
          <w:sz w:val="18"/>
          <w:szCs w:val="18"/>
          <w:color w:val="auto"/>
        </w:rPr>
      </w:pPr>
    </w:p>
    <w:p>
      <w:pPr>
        <w:ind w:left="520" w:right="60" w:hanging="512"/>
        <w:spacing w:after="0" w:line="253"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compute the “Corresponding return to stockholder,” the “Assumed Return on Our Portfolio” is multiplied by the total value of our assets at December 31, 2018 to obtain an assumed return to us. From this amount, the interest expense (calculated by multiplying the weighted average stated interest rate of 4.1% by the approximately $625.0 million of principal debt outstanding) is subtracted to determine the return available to stockholders. The return available to stockholders is then divided by the total value of our net assets as of December 31, 2018 to determine the “Corresponding return to stockholder.”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business, financial conditions or results of operations.</w:t>
      </w:r>
    </w:p>
    <w:p>
      <w:pPr>
        <w:spacing w:after="0" w:line="121"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1" w:name="page32"/>
    <w:bookmarkEnd w:id="31"/>
    <w:p>
      <w:pPr>
        <w:ind w:right="240"/>
        <w:spacing w:after="0" w:line="282" w:lineRule="auto"/>
        <w:rPr>
          <w:sz w:val="20"/>
          <w:szCs w:val="20"/>
          <w:color w:val="auto"/>
        </w:rPr>
      </w:pPr>
      <w:r>
        <w:rPr>
          <w:rFonts w:ascii="Times New Roman" w:cs="Times New Roman" w:eastAsia="Times New Roman" w:hAnsi="Times New Roman"/>
          <w:sz w:val="18"/>
          <w:szCs w:val="18"/>
          <w:color w:val="auto"/>
        </w:rPr>
        <w:t>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 allows us to incur additional leverage.</w:t>
      </w:r>
    </w:p>
    <w:p>
      <w:pPr>
        <w:spacing w:after="0" w:line="121" w:lineRule="exact"/>
        <w:rPr>
          <w:sz w:val="20"/>
          <w:szCs w:val="20"/>
          <w:color w:val="auto"/>
        </w:rPr>
      </w:pPr>
    </w:p>
    <w:p>
      <w:pPr>
        <w:ind w:right="260" w:firstLine="259"/>
        <w:spacing w:after="0" w:line="261" w:lineRule="auto"/>
        <w:rPr>
          <w:sz w:val="20"/>
          <w:szCs w:val="20"/>
          <w:color w:val="auto"/>
        </w:rPr>
      </w:pPr>
      <w:r>
        <w:rPr>
          <w:rFonts w:ascii="Times New Roman" w:cs="Times New Roman" w:eastAsia="Times New Roman" w:hAnsi="Times New Roman"/>
          <w:sz w:val="18"/>
          <w:szCs w:val="18"/>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80" w:lineRule="exact"/>
        <w:rPr>
          <w:sz w:val="20"/>
          <w:szCs w:val="20"/>
          <w:color w:val="auto"/>
        </w:rPr>
      </w:pPr>
    </w:p>
    <w:p>
      <w:pPr>
        <w:ind w:right="160" w:firstLine="259"/>
        <w:spacing w:after="0" w:line="261" w:lineRule="auto"/>
        <w:rPr>
          <w:sz w:val="20"/>
          <w:szCs w:val="20"/>
          <w:color w:val="auto"/>
        </w:rPr>
      </w:pPr>
      <w:r>
        <w:rPr>
          <w:rFonts w:ascii="Times New Roman" w:cs="Times New Roman" w:eastAsia="Times New Roman" w:hAnsi="Times New Roman"/>
          <w:sz w:val="18"/>
          <w:szCs w:val="18"/>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76" w:lineRule="exact"/>
        <w:rPr>
          <w:sz w:val="20"/>
          <w:szCs w:val="20"/>
          <w:color w:val="auto"/>
        </w:rPr>
      </w:pPr>
    </w:p>
    <w:p>
      <w:pPr>
        <w:ind w:right="120" w:firstLine="259"/>
        <w:spacing w:after="0" w:line="262" w:lineRule="auto"/>
        <w:rPr>
          <w:sz w:val="20"/>
          <w:szCs w:val="20"/>
          <w:color w:val="auto"/>
        </w:rPr>
      </w:pPr>
      <w:r>
        <w:rPr>
          <w:rFonts w:ascii="Times New Roman" w:cs="Times New Roman" w:eastAsia="Times New Roman" w:hAnsi="Times New Roman"/>
          <w:sz w:val="18"/>
          <w:szCs w:val="18"/>
          <w:color w:val="auto"/>
        </w:rPr>
        <w:t>As a result, you may face increased investment risk. We may not be able to implement our strategy to utilize additional leverage successfully.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operate in a highly competitive environment for investment opportunities</w:t>
      </w:r>
      <w:r>
        <w:rPr>
          <w:rFonts w:ascii="Times New Roman" w:cs="Times New Roman" w:eastAsia="Times New Roman" w:hAnsi="Times New Roman"/>
          <w:sz w:val="18"/>
          <w:szCs w:val="18"/>
          <w:color w:val="auto"/>
        </w:rPr>
        <w:t>.” Any impact on returns or equity or our business associated with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leverage may not outweigh the additional risk.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We borrow money, which magnifies the potential for gain or loss and increases the risk of investing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investment opportunities.</w:t>
      </w:r>
    </w:p>
    <w:p>
      <w:pPr>
        <w:spacing w:after="0" w:line="121"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89"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source investments, access financing or manage future growth effectively, we may be unable to achieve our investment objective.</w:t>
      </w:r>
    </w:p>
    <w:p>
      <w:pPr>
        <w:spacing w:after="0" w:line="121"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88"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51"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2" w:name="page33"/>
    <w:bookmarkEnd w:id="32"/>
    <w:p>
      <w:pPr>
        <w:spacing w:after="0" w:line="258" w:lineRule="auto"/>
        <w:rPr>
          <w:sz w:val="20"/>
          <w:szCs w:val="20"/>
          <w:color w:val="auto"/>
        </w:rPr>
      </w:pPr>
      <w:r>
        <w:rPr>
          <w:rFonts w:ascii="Times New Roman" w:cs="Times New Roman" w:eastAsia="Times New Roman" w:hAnsi="Times New Roman"/>
          <w:sz w:val="18"/>
          <w:szCs w:val="18"/>
          <w:color w:val="auto"/>
        </w:rPr>
        <w:t>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Annual Report. Given the subjective nature of the investment decisions that our Adviser will make on our behalf, we may not be able to monitor this potential conflict of interest.</w:t>
      </w:r>
    </w:p>
    <w:p>
      <w:pPr>
        <w:spacing w:after="0" w:line="184" w:lineRule="exact"/>
        <w:rPr>
          <w:sz w:val="20"/>
          <w:szCs w:val="20"/>
          <w:color w:val="auto"/>
        </w:rPr>
      </w:pPr>
    </w:p>
    <w:p>
      <w:pPr>
        <w:ind w:right="160" w:firstLine="259"/>
        <w:spacing w:after="0" w:line="255" w:lineRule="auto"/>
        <w:rPr>
          <w:sz w:val="20"/>
          <w:szCs w:val="20"/>
          <w:color w:val="auto"/>
        </w:rPr>
      </w:pPr>
      <w:r>
        <w:rPr>
          <w:rFonts w:ascii="Times New Roman" w:cs="Times New Roman" w:eastAsia="Times New Roman" w:hAnsi="Times New Roman"/>
          <w:sz w:val="18"/>
          <w:szCs w:val="18"/>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89" w:lineRule="exact"/>
        <w:rPr>
          <w:sz w:val="20"/>
          <w:szCs w:val="20"/>
          <w:color w:val="auto"/>
        </w:rPr>
      </w:pPr>
    </w:p>
    <w:p>
      <w:pPr>
        <w:ind w:right="140" w:firstLine="259"/>
        <w:spacing w:after="0" w:line="261" w:lineRule="auto"/>
        <w:rPr>
          <w:sz w:val="20"/>
          <w:szCs w:val="20"/>
          <w:color w:val="auto"/>
        </w:rPr>
      </w:pPr>
      <w:r>
        <w:rPr>
          <w:rFonts w:ascii="Times New Roman" w:cs="Times New Roman" w:eastAsia="Times New Roman" w:hAnsi="Times New Roman"/>
          <w:sz w:val="18"/>
          <w:szCs w:val="18"/>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80" w:lineRule="exact"/>
        <w:rPr>
          <w:sz w:val="20"/>
          <w:szCs w:val="20"/>
          <w:color w:val="auto"/>
        </w:rPr>
      </w:pPr>
    </w:p>
    <w:p>
      <w:pPr>
        <w:ind w:right="140" w:firstLine="259"/>
        <w:spacing w:after="0" w:line="256" w:lineRule="auto"/>
        <w:rPr>
          <w:sz w:val="20"/>
          <w:szCs w:val="20"/>
          <w:color w:val="auto"/>
        </w:rPr>
      </w:pPr>
      <w:r>
        <w:rPr>
          <w:rFonts w:ascii="Times New Roman" w:cs="Times New Roman" w:eastAsia="Times New Roman" w:hAnsi="Times New Roman"/>
          <w:sz w:val="18"/>
          <w:szCs w:val="18"/>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9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right="140" w:firstLine="259"/>
        <w:spacing w:after="0" w:line="255" w:lineRule="auto"/>
        <w:rPr>
          <w:sz w:val="20"/>
          <w:szCs w:val="20"/>
          <w:color w:val="auto"/>
        </w:rPr>
      </w:pPr>
      <w:r>
        <w:rPr>
          <w:rFonts w:ascii="Times New Roman" w:cs="Times New Roman" w:eastAsia="Times New Roman" w:hAnsi="Times New Roman"/>
          <w:sz w:val="18"/>
          <w:szCs w:val="18"/>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jc w:val="both"/>
        <w:ind w:right="180" w:firstLine="259"/>
        <w:spacing w:after="0" w:line="281" w:lineRule="auto"/>
        <w:rPr>
          <w:sz w:val="20"/>
          <w:szCs w:val="20"/>
          <w:color w:val="auto"/>
        </w:rPr>
      </w:pPr>
      <w:r>
        <w:rPr>
          <w:rFonts w:ascii="Times New Roman" w:cs="Times New Roman" w:eastAsia="Times New Roman" w:hAnsi="Times New Roman"/>
          <w:sz w:val="17"/>
          <w:szCs w:val="17"/>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57" w:lineRule="exact"/>
        <w:rPr>
          <w:sz w:val="20"/>
          <w:szCs w:val="20"/>
          <w:color w:val="auto"/>
        </w:rPr>
      </w:pPr>
    </w:p>
    <w:p>
      <w:pPr>
        <w:ind w:left="520" w:hanging="255"/>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distribute (or be treated as distributing) dividends for tax purposes in each taxable year equal to at least 90% of each of:</w:t>
      </w:r>
    </w:p>
    <w:p>
      <w:pPr>
        <w:spacing w:after="0" w:line="117" w:lineRule="exact"/>
        <w:rPr>
          <w:rFonts w:ascii="Times New Roman" w:cs="Times New Roman" w:eastAsia="Times New Roman" w:hAnsi="Times New Roman"/>
          <w:sz w:val="18"/>
          <w:szCs w:val="18"/>
          <w:color w:val="auto"/>
        </w:rPr>
      </w:pPr>
    </w:p>
    <w:p>
      <w:pPr>
        <w:ind w:left="520" w:right="100" w:hanging="255"/>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tax-exempt income for that taxable year.</w:t>
      </w:r>
    </w:p>
    <w:p>
      <w:pPr>
        <w:spacing w:after="0" w:line="225" w:lineRule="exact"/>
        <w:rPr>
          <w:sz w:val="20"/>
          <w:szCs w:val="20"/>
          <w:color w:val="auto"/>
        </w:rPr>
      </w:pPr>
    </w:p>
    <w:p>
      <w:pPr>
        <w:ind w:right="460" w:firstLine="259"/>
        <w:spacing w:after="0" w:line="261" w:lineRule="auto"/>
        <w:rPr>
          <w:sz w:val="20"/>
          <w:szCs w:val="20"/>
          <w:color w:val="auto"/>
        </w:rPr>
      </w:pPr>
      <w:r>
        <w:rPr>
          <w:rFonts w:ascii="Times New Roman" w:cs="Times New Roman" w:eastAsia="Times New Roman" w:hAnsi="Times New Roman"/>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3" w:name="page34"/>
    <w:bookmarkEnd w:id="33"/>
    <w:p>
      <w:pPr>
        <w:ind w:left="520" w:right="140" w:hanging="255"/>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derive at least 90% of our gross income for each taxable year from dividends, interest, gains from the sale of or other disposition of stock or securities or similar sources.</w:t>
      </w:r>
    </w:p>
    <w:p>
      <w:pPr>
        <w:spacing w:after="0" w:line="53" w:lineRule="exact"/>
        <w:rPr>
          <w:rFonts w:ascii="Times New Roman" w:cs="Times New Roman" w:eastAsia="Times New Roman" w:hAnsi="Times New Roman"/>
          <w:sz w:val="18"/>
          <w:szCs w:val="18"/>
          <w:color w:val="auto"/>
        </w:rPr>
      </w:pPr>
    </w:p>
    <w:p>
      <w:pPr>
        <w:ind w:left="520" w:right="400" w:hanging="255"/>
        <w:spacing w:after="0" w:line="266"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76" w:lineRule="exact"/>
        <w:rPr>
          <w:sz w:val="20"/>
          <w:szCs w:val="20"/>
          <w:color w:val="auto"/>
        </w:rPr>
      </w:pPr>
    </w:p>
    <w:p>
      <w:pPr>
        <w:ind w:right="120" w:firstLine="259"/>
        <w:spacing w:after="0" w:line="282" w:lineRule="auto"/>
        <w:rPr>
          <w:sz w:val="20"/>
          <w:szCs w:val="20"/>
          <w:color w:val="auto"/>
        </w:rPr>
      </w:pPr>
      <w:r>
        <w:rPr>
          <w:rFonts w:ascii="Times New Roman" w:cs="Times New Roman" w:eastAsia="Times New Roman" w:hAnsi="Times New Roman"/>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51" w:lineRule="exact"/>
        <w:rPr>
          <w:sz w:val="20"/>
          <w:szCs w:val="20"/>
          <w:color w:val="auto"/>
        </w:rPr>
      </w:pPr>
    </w:p>
    <w:p>
      <w:pPr>
        <w:ind w:right="80" w:firstLine="259"/>
        <w:spacing w:after="0" w:line="256" w:lineRule="auto"/>
        <w:rPr>
          <w:sz w:val="20"/>
          <w:szCs w:val="20"/>
          <w:color w:val="auto"/>
        </w:rPr>
      </w:pPr>
      <w:r>
        <w:rPr>
          <w:rFonts w:ascii="Times New Roman" w:cs="Times New Roman" w:eastAsia="Times New Roman" w:hAnsi="Times New Roman"/>
          <w:sz w:val="18"/>
          <w:szCs w:val="18"/>
          <w:color w:val="auto"/>
        </w:rPr>
        <w:t>As of December 31, 2018 and 2017, we elected to retain approximately $80 million and $64 million of taxable income and capital gains, respectively, in order to provide us with additional liquidity and we recorded an expense of $3.4 million and $2.8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w:t>
      </w:r>
      <w:r>
        <w:rPr>
          <w:rFonts w:ascii="Times New Roman" w:cs="Times New Roman" w:eastAsia="Times New Roman" w:hAnsi="Times New Roman"/>
          <w:sz w:val="18"/>
          <w:szCs w:val="18"/>
          <w:i w:val="1"/>
          <w:iCs w:val="1"/>
          <w:color w:val="auto"/>
        </w:rPr>
        <w:t>ITEM 1. BUSINESS—Regulation as a Business Development Company—Regulated Investment Company Classification</w:t>
      </w:r>
      <w:r>
        <w:rPr>
          <w:rFonts w:ascii="Times New Roman" w:cs="Times New Roman" w:eastAsia="Times New Roman" w:hAnsi="Times New Roman"/>
          <w:sz w:val="18"/>
          <w:szCs w:val="18"/>
          <w:color w:val="auto"/>
        </w:rPr>
        <w:t>” for more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Adviser and its affiliates, officers and employees may face certain conflicts of interest.</w:t>
      </w:r>
    </w:p>
    <w:p>
      <w:pPr>
        <w:spacing w:after="0" w:line="121" w:lineRule="exact"/>
        <w:rPr>
          <w:sz w:val="20"/>
          <w:szCs w:val="20"/>
          <w:color w:val="auto"/>
        </w:rPr>
      </w:pPr>
    </w:p>
    <w:p>
      <w:pPr>
        <w:ind w:right="80" w:firstLine="259"/>
        <w:spacing w:after="0" w:line="256" w:lineRule="auto"/>
        <w:rPr>
          <w:sz w:val="20"/>
          <w:szCs w:val="20"/>
          <w:color w:val="auto"/>
        </w:rPr>
      </w:pPr>
      <w:r>
        <w:rPr>
          <w:rFonts w:ascii="Times New Roman" w:cs="Times New Roman" w:eastAsia="Times New Roman" w:hAnsi="Times New Roman"/>
          <w:sz w:val="18"/>
          <w:szCs w:val="18"/>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88" w:lineRule="exact"/>
        <w:rPr>
          <w:sz w:val="20"/>
          <w:szCs w:val="20"/>
          <w:color w:val="auto"/>
        </w:rPr>
      </w:pPr>
    </w:p>
    <w:p>
      <w:pPr>
        <w:ind w:right="140" w:firstLine="259"/>
        <w:spacing w:after="0" w:line="255" w:lineRule="auto"/>
        <w:rPr>
          <w:sz w:val="20"/>
          <w:szCs w:val="20"/>
          <w:color w:val="auto"/>
        </w:rPr>
      </w:pPr>
      <w:r>
        <w:rPr>
          <w:rFonts w:ascii="Times New Roman" w:cs="Times New Roman" w:eastAsia="Times New Roman" w:hAnsi="Times New Roman"/>
          <w:sz w:val="18"/>
          <w:szCs w:val="18"/>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has organized a separate investment vehicle, TSL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85"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If the Adviser and TPG were to determine that an investment is appropriate both for us and for one or more other TSSP or TPG vehicles, we would only be able to make the investment in conjunction with another vehicle to the extent the exemptive order granted to us by the SEC permits us to do so or the investment is otherwise permitted under relevant SEC guidance. On December 16, 2014, we were granted an exemptive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and that the terms and conditions of the investment applicable to any affiliates of TSSP and TPG must be the same as those applicable to us. We cannot assure you when or whether we will apply for any other exemptive relief in the future and whether such orders will be obtained.</w:t>
      </w:r>
    </w:p>
    <w:p>
      <w:pPr>
        <w:spacing w:after="0" w:line="28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TSSP. Any new investment advisory agreement would require stockholder approval.</w:t>
      </w:r>
    </w:p>
    <w:p>
      <w:pPr>
        <w:spacing w:after="0" w:line="51"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stockholders and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4" w:name="page35"/>
    <w:bookmarkEnd w:id="34"/>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stock may decline.</w:t>
      </w:r>
    </w:p>
    <w:p>
      <w:pPr>
        <w:spacing w:after="0" w:line="180"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Any new Investment Advisory Agreement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76"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In addition, if the Adviser resigns or is terminated, we would lose the benefits of our relationship with TSSP,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51"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88"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maintain our status as a BDC would reduce our operating flexibility.</w:t>
      </w:r>
    </w:p>
    <w:p>
      <w:pPr>
        <w:spacing w:after="0" w:line="121"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being a publicly traded company.</w:t>
      </w:r>
    </w:p>
    <w:p>
      <w:pPr>
        <w:spacing w:after="0" w:line="121" w:lineRule="exact"/>
        <w:rPr>
          <w:sz w:val="20"/>
          <w:szCs w:val="20"/>
          <w:color w:val="auto"/>
        </w:rPr>
      </w:pPr>
    </w:p>
    <w:p>
      <w:pPr>
        <w:ind w:right="320" w:firstLine="259"/>
        <w:spacing w:after="0" w:line="261" w:lineRule="auto"/>
        <w:rPr>
          <w:sz w:val="20"/>
          <w:szCs w:val="20"/>
          <w:color w:val="auto"/>
        </w:rPr>
      </w:pPr>
      <w:r>
        <w:rPr>
          <w:rFonts w:ascii="Times New Roman" w:cs="Times New Roman" w:eastAsia="Times New Roman" w:hAnsi="Times New Roman"/>
          <w:sz w:val="18"/>
          <w:szCs w:val="18"/>
          <w:color w:val="auto"/>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5" w:name="page36"/>
    <w:bookmarkEnd w:id="35"/>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67"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We are required to comply with the independent auditor attestation requirements of Section 404 of the Sarbanes-Oxley Act. Complying with Section 404 requires a rigorous compliance program as well as adequate time and resources. We may not be able to complete our internal control evaluation, testing and any required remediation in a timely fashion. Matters impacting our internal control may cause us to be unable to report our financial information on a timely basis and thereby subject us to adverse regulatory consequences, including sanctions by the SEC or violations of applicable stock exchange listing rules, and result in a breach of the covenants under the agreements governing any of our financing arrangements. Additionally,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securities.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quarterly results.</w:t>
      </w:r>
    </w:p>
    <w:p>
      <w:pPr>
        <w:spacing w:after="0" w:line="121" w:lineRule="exact"/>
        <w:rPr>
          <w:sz w:val="20"/>
          <w:szCs w:val="20"/>
          <w:color w:val="auto"/>
        </w:rPr>
      </w:pPr>
    </w:p>
    <w:p>
      <w:pPr>
        <w:ind w:right="300" w:firstLine="259"/>
        <w:spacing w:after="0" w:line="261" w:lineRule="auto"/>
        <w:rPr>
          <w:sz w:val="20"/>
          <w:szCs w:val="20"/>
          <w:color w:val="auto"/>
        </w:rPr>
      </w:pPr>
      <w:r>
        <w:rPr>
          <w:rFonts w:ascii="Times New Roman" w:cs="Times New Roman" w:eastAsia="Times New Roman" w:hAnsi="Times New Roman"/>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51" w:lineRule="exact"/>
        <w:rPr>
          <w:sz w:val="20"/>
          <w:szCs w:val="20"/>
          <w:color w:val="auto"/>
        </w:rPr>
      </w:pPr>
    </w:p>
    <w:p>
      <w:pPr>
        <w:ind w:right="40" w:firstLine="259"/>
        <w:spacing w:after="0" w:line="252" w:lineRule="auto"/>
        <w:rPr>
          <w:sz w:val="20"/>
          <w:szCs w:val="20"/>
          <w:color w:val="auto"/>
        </w:rPr>
      </w:pPr>
      <w:r>
        <w:rPr>
          <w:rFonts w:ascii="Times New Roman" w:cs="Times New Roman" w:eastAsia="Times New Roman" w:hAnsi="Times New Roman"/>
          <w:sz w:val="18"/>
          <w:szCs w:val="18"/>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investors are limited in their ability to make significant investments in us.</w:t>
      </w:r>
    </w:p>
    <w:p>
      <w:pPr>
        <w:spacing w:after="0" w:line="121" w:lineRule="exact"/>
        <w:rPr>
          <w:sz w:val="20"/>
          <w:szCs w:val="20"/>
          <w:color w:val="auto"/>
        </w:rPr>
      </w:pPr>
    </w:p>
    <w:p>
      <w:pPr>
        <w:ind w:right="80" w:firstLine="259"/>
        <w:spacing w:after="0" w:line="258" w:lineRule="auto"/>
        <w:rPr>
          <w:sz w:val="20"/>
          <w:szCs w:val="20"/>
          <w:color w:val="auto"/>
        </w:rPr>
      </w:pPr>
      <w:r>
        <w:rPr>
          <w:rFonts w:ascii="Times New Roman" w:cs="Times New Roman" w:eastAsia="Times New Roman" w:hAnsi="Times New Roman"/>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51" w:lineRule="exact"/>
        <w:rPr>
          <w:sz w:val="20"/>
          <w:szCs w:val="20"/>
          <w:color w:val="auto"/>
        </w:rPr>
      </w:pPr>
    </w:p>
    <w:p>
      <w:pPr>
        <w:ind w:right="100" w:firstLine="259"/>
        <w:spacing w:after="0" w:line="266" w:lineRule="auto"/>
        <w:rPr>
          <w:sz w:val="20"/>
          <w:szCs w:val="20"/>
          <w:color w:val="auto"/>
        </w:rPr>
      </w:pPr>
      <w:r>
        <w:rPr>
          <w:rFonts w:ascii="Times New Roman" w:cs="Times New Roman" w:eastAsia="Times New Roman" w:hAnsi="Times New Roman"/>
          <w:sz w:val="18"/>
          <w:szCs w:val="18"/>
          <w:color w:val="auto"/>
        </w:rPr>
        <w:t>Our business is highly dependent on the communications and information systems of the Adviser, its affiliates and third parties. Further, in the ordinary course of our business we or the Adviser may engage certain third party service providers to provide us with services necessary for our business. Any failure or interruption of those systems or services, including as a result of the termination or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6" w:name="page37"/>
    <w:bookmarkEnd w:id="36"/>
    <w:p>
      <w:pPr>
        <w:ind w:right="320"/>
        <w:spacing w:after="0" w:line="266" w:lineRule="auto"/>
        <w:rPr>
          <w:sz w:val="20"/>
          <w:szCs w:val="20"/>
          <w:color w:val="auto"/>
        </w:rPr>
      </w:pPr>
      <w:r>
        <w:rPr>
          <w:rFonts w:ascii="Times New Roman" w:cs="Times New Roman" w:eastAsia="Times New Roman" w:hAnsi="Times New Roman"/>
          <w:sz w:val="18"/>
          <w:szCs w:val="18"/>
          <w:color w:val="auto"/>
        </w:rPr>
        <w:t>suspension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68" w:lineRule="exact"/>
        <w:rPr>
          <w:sz w:val="20"/>
          <w:szCs w:val="20"/>
          <w:color w:val="auto"/>
        </w:rPr>
      </w:pPr>
    </w:p>
    <w:p>
      <w:pPr>
        <w:ind w:left="520" w:hanging="255"/>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electrical or telecommunications outages;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tornadoes and hurricanes;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pandemics;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arising from local or larger scale political or social matters, including terrorist acts;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225"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6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w:t>
      </w:r>
    </w:p>
    <w:p>
      <w:pPr>
        <w:ind w:right="60"/>
        <w:spacing w:after="0" w:line="251" w:lineRule="auto"/>
        <w:rPr>
          <w:sz w:val="20"/>
          <w:szCs w:val="20"/>
          <w:color w:val="auto"/>
        </w:rPr>
      </w:pPr>
      <w:r>
        <w:rPr>
          <w:rFonts w:ascii="Times New Roman" w:cs="Times New Roman" w:eastAsia="Times New Roman" w:hAnsi="Times New Roman"/>
          <w:sz w:val="18"/>
          <w:szCs w:val="18"/>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use, alteration or destruction of our information systems for purposes of misappropriating assets, obtaining ransom payments, stealing confidential information, corrupting data or causing operational disruption, or may involve phishing.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The costs related to cybersecurity incidents may not be fully insured or indemnified. As our and our portfolio companies’ reliance on technology has increased, so have the risks posed to our information systems, both internal and those provided by our Adviser and third-party service providers, and the information systems of our portfolio companies.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93"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Third parties with which we do business (including, but not limited to, service providers, such as accountants, custodians, transfer agents and administrators, and the issuers of securities in which we invest)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we cannot control the cybersecurity plans and systems put in place by these third parties and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may change our investment objective, operating policies and strategies without prior notice or stockholder approval.</w:t>
      </w:r>
    </w:p>
    <w:p>
      <w:pPr>
        <w:spacing w:after="0" w:line="121"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pay dividends.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operations may adversely affect our business.</w:t>
      </w:r>
    </w:p>
    <w:p>
      <w:pPr>
        <w:spacing w:after="0" w:line="135" w:lineRule="exact"/>
        <w:rPr>
          <w:sz w:val="20"/>
          <w:szCs w:val="20"/>
          <w:color w:val="auto"/>
        </w:rPr>
      </w:pPr>
    </w:p>
    <w:p>
      <w:pPr>
        <w:jc w:val="both"/>
        <w:ind w:right="100" w:firstLine="259"/>
        <w:spacing w:after="0" w:line="266" w:lineRule="auto"/>
        <w:rPr>
          <w:sz w:val="20"/>
          <w:szCs w:val="20"/>
          <w:color w:val="auto"/>
        </w:rPr>
      </w:pPr>
      <w:r>
        <w:rPr>
          <w:rFonts w:ascii="Times New Roman" w:cs="Times New Roman" w:eastAsia="Times New Roman" w:hAnsi="Times New Roman"/>
          <w:sz w:val="18"/>
          <w:szCs w:val="18"/>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7" w:name="page38"/>
    <w:bookmarkEnd w:id="37"/>
    <w:p>
      <w:pPr>
        <w:ind w:right="100"/>
        <w:spacing w:after="0" w:line="255" w:lineRule="auto"/>
        <w:rPr>
          <w:sz w:val="20"/>
          <w:szCs w:val="20"/>
          <w:color w:val="auto"/>
        </w:rPr>
      </w:pPr>
      <w:r>
        <w:rPr>
          <w:rFonts w:ascii="Times New Roman" w:cs="Times New Roman" w:eastAsia="Times New Roman" w:hAnsi="Times New Roman"/>
          <w:sz w:val="18"/>
          <w:szCs w:val="18"/>
          <w:color w:val="auto"/>
        </w:rPr>
        <w:t>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Times New Roman" w:cs="Times New Roman" w:eastAsia="Times New Roman" w:hAnsi="Times New Roman"/>
          <w:sz w:val="18"/>
          <w:szCs w:val="18"/>
          <w:i w:val="1"/>
          <w:iCs w:val="1"/>
          <w:color w:val="auto"/>
        </w:rPr>
        <w:t>Risks Related to our Portfolio Company Investments.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On July 21, 2010, the Wall Street Reform and Consumer Protection Act, or the Dodd-Frank Act, was signed into law. Some of the provisions of the Dodd-Frank Act have been implemented, while others have extended implementation periods and delayed effective dates and will require extensive rulemaking by regulatory authorities, and uncertainty remains about the details of implementation. While the full impact of the Dodd-Frank Act on us and our portfolio companies may not be known for an extended period of time, the Dodd-Frank Act, including current rules and regulations and proposed rules implementing its provisions and the interpretation of those rules, along with other legislative and regulatory proposals directed at the financial services industry that are proposed or pending in the U.S. Congress, as well as the uncertainty surrounding such rules and proposals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85" w:lineRule="exact"/>
        <w:rPr>
          <w:sz w:val="20"/>
          <w:szCs w:val="20"/>
          <w:color w:val="auto"/>
        </w:rPr>
      </w:pPr>
    </w:p>
    <w:p>
      <w:pPr>
        <w:ind w:right="100" w:firstLine="259"/>
        <w:spacing w:after="0" w:line="252" w:lineRule="auto"/>
        <w:rPr>
          <w:sz w:val="20"/>
          <w:szCs w:val="20"/>
          <w:color w:val="auto"/>
        </w:rPr>
      </w:pPr>
      <w:r>
        <w:rPr>
          <w:rFonts w:ascii="Times New Roman" w:cs="Times New Roman" w:eastAsia="Times New Roman" w:hAnsi="Times New Roman"/>
          <w:sz w:val="18"/>
          <w:szCs w:val="18"/>
          <w:color w:val="auto"/>
        </w:rPr>
        <w:t>On May 24, 2018, the Economic Growth, Regulatory Relief, and Consumer Protection Act (the “2018 Regulatory Relief Act”) was signed into law. The 2018 Regulatory Relief Act leaves the architecture and core features of the Dodd-Frank Act intact but significantly recalibrates applicability thresholds, revises various post-crisis regulatory requirements, and provides targeted regulatory relief to certain financial institutions. Among the most significant of its amendments to the Dodd-Frank Act are a substantial increase in the $50 billion asset threshold for automatic regulation of bank holding companies as “systemically important financial institutions” (“SIFIs”) an exemption from the Volcker Rule for insured depository institutions with less than $10 billion in consolidated assets and lower levels of trading assets and liabilities, as well as amendments to the liquidity leverage ratio and supplementary leverage ratio requirements. On June 8, 2017, the U.S. House of Representatives passed the Financial Choice Act, which includes legislation intended to repeal or replace substantial portions of the Dodd-Frank Act. Among other things, the proposed law would repeal the Volcker Rule limiting certain proprietary investment and trading activities by banks, eliminate the authority of regulators to designate asset managers and other large non-bank institutions as SIFIs, and repeal the Department of Labor (“DOL”) “fiduciary rule” governing standards for dealing with retirement plans until the SEC issues standards for similar dealings by broker dealers and limiting the substance of any subsequent DOL rule to the SEC standards. The Senate did not act on the bill before the conclusion of the 115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Congress on January 3, 2019, and it is very unlikely that similar legislation will pass in the House during the 116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Congress, given the House’s current Democratic control. At this time, it is unclear what impact the Congressional division, with the House controlled by the Democratic Party and the Senate controlled by the Republican Party, will have on regulations that affect our, our competitors’ and our portfolio companies’ businesses.</w:t>
      </w:r>
    </w:p>
    <w:p>
      <w:pPr>
        <w:spacing w:after="0" w:line="239"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31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interest rates of our debt investments to our portfolio companies and our indebtedness that extend beyond 2021 might be subject to change based on recent regulatory changes.</w:t>
      </w:r>
    </w:p>
    <w:p>
      <w:pPr>
        <w:spacing w:after="0" w:line="51"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LIBOR, the London Interbank Offered Rate, is the basic rate of interest used in lending transactions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portfolio company is calculated using LIBOR. The terms of our debt investments generally include minimum interest rate floors which are calculated based on LIBOR. Amounts drawn under the Revolving Credit Facility also currently bear interest at LIBOR plus a margin.</w:t>
      </w:r>
    </w:p>
    <w:p>
      <w:pPr>
        <w:spacing w:after="0" w:line="184"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On July 27, 2017, the United Kingdom's Financial Conduct Authority, which regulates LIBOR, announced that it intends to phase out LIBOR by the end of 2021. It is unclear if at that time LIBOR will cease to exist or if new methods of calculating LIBOR will be established such that it continues to exist after 2021. The future of LIBOR at this time is uncertain: it is not possible to predict the effect of any such changes, any establishment of alternative reference rates or any other reforms to LIBOR that may be enacted in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ind w:right="380"/>
        <w:spacing w:after="0" w:line="266" w:lineRule="auto"/>
        <w:rPr>
          <w:sz w:val="20"/>
          <w:szCs w:val="20"/>
          <w:color w:val="auto"/>
        </w:rPr>
      </w:pPr>
      <w:r>
        <w:rPr>
          <w:rFonts w:ascii="Times New Roman" w:cs="Times New Roman" w:eastAsia="Times New Roman" w:hAnsi="Times New Roman"/>
          <w:sz w:val="18"/>
          <w:szCs w:val="18"/>
          <w:color w:val="auto"/>
        </w:rPr>
        <w:t>United Kingdom or elsewhere. If LIBOR ceases to exist, we may need to renegotiate the credit agreements extending beyond 2021 with our portfolio companies that utilize LIBOR as a factor in determining the interest rate, in order to replace LIBOR with the new standard that is established, which may have an adverse effect on our ability to receive attractive returns.</w:t>
      </w:r>
    </w:p>
    <w:p>
      <w:pPr>
        <w:spacing w:after="0" w:line="176"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In addition, if LIBOR ceases to exist, we may need to renegotiate certain terms of our Revolving Credit Facility. If we are unable to do so, amounts drawn under the Revolving Credit Facility may bear interest at a higher rate, which would increase the cost of our borrowings and, in turn, affect our return on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recently enacted Tax Cuts and Jobs Act may adversely affect our business.</w:t>
      </w:r>
    </w:p>
    <w:p>
      <w:pPr>
        <w:spacing w:after="0" w:line="121"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The recently enacted Tax Cuts and Jobs Act (“Tax Reform”) has made significant changes to the U.S. federal income tax system. Among other things, Tax Reform may limit the ability of borrowers to fully deduct interest expense. This could potentially affect the loan market, for example by impacting the demand for loans available from us or the terms of such loans. The changes to interest deductibility, utility of net operating losses and other provisions of Tax Reform could also in certain circumstances increase the U.S. tax burden on our portfolio assets which, in turn, could negatively impact their ability to service their interest expense obligations to us. Prospective investors are urged to consult with their own advisors about the potential effects of Tax Reform on the loan market and about its tax consequences of an investment in 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current state of the economy and financial markets increases the likelihood of adverse effects on our financial position and results of operations.</w:t>
      </w:r>
    </w:p>
    <w:p>
      <w:pPr>
        <w:spacing w:after="0" w:line="121"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The U.S. and global capital markets experienced extreme volatility and disruption in recent years, leading to recessionary conditions and depressed levels of consumer and commercial spending. For instance, uncertainty related to the partial U.S. government shutdown in December 2018 and January 2019, U.S. trade policies and the referendum by British voters to exit the European Union (“Brexit”) in June 2016 and the United Kingdom’s subsequent invocation of Article 50 of the Treaty on the European Union in March 2017 have led to disruption and instability in the global markets. Disruptions in the capital markets increased the spread between the yields realized on risk-free and higher risk securities, resulting in illiquidity in parts of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230" w:lineRule="exact"/>
        <w:rPr>
          <w:sz w:val="20"/>
          <w:szCs w:val="20"/>
          <w:color w:val="auto"/>
        </w:rPr>
      </w:pPr>
    </w:p>
    <w:p>
      <w:pPr>
        <w:ind w:right="260" w:firstLine="259"/>
        <w:spacing w:after="0" w:line="258" w:lineRule="auto"/>
        <w:rPr>
          <w:sz w:val="20"/>
          <w:szCs w:val="20"/>
          <w:color w:val="auto"/>
        </w:rPr>
      </w:pPr>
      <w:r>
        <w:rPr>
          <w:rFonts w:ascii="Times New Roman" w:cs="Times New Roman" w:eastAsia="Times New Roman" w:hAnsi="Times New Roman"/>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76" w:lineRule="exact"/>
        <w:rPr>
          <w:sz w:val="20"/>
          <w:szCs w:val="20"/>
          <w:color w:val="auto"/>
        </w:rPr>
      </w:pPr>
    </w:p>
    <w:p>
      <w:pPr>
        <w:ind w:left="520" w:hanging="255"/>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 reduced level of interest income from our portfolio companies;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value of collateral securing some of our loans and the value of our equity investments;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losses or charge-offs related to our investments.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about financial stability could have a significant adverse effect on our business, results of operations and financial condition.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Due to federal budget deficit concerns, S&amp;P downgraded the federal government’s credit rating from AAA to AA+ for the first time in history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5, 2011. Further, Moody’s and Fitch warned that they may downgrade the federal government’s credit rating. Further downgrades or warnings by S&amp;P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rating agencies, and the government’s credit and deficit concerns in general, could cause interest rates and borrowing costs to rise, which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negatively impact both the perception of credit risk associated with our debt portfolio and our ability to access the debt markets on favorable terms.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a decreased credit rating could create broader financial turmoil and uncertainty, which may weigh heavily on our financial performance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our common stock. Also, to the extent uncertainty regarding any economic recovery in Europe and Brexit continue to negatively impact consumer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confidence and consumer credit factors, our business and results of operations could be significantly and adversely affected.</w:t>
      </w:r>
    </w:p>
    <w:p>
      <w:pPr>
        <w:spacing w:after="0" w:line="207" w:lineRule="exact"/>
        <w:rPr>
          <w:sz w:val="20"/>
          <w:szCs w:val="20"/>
          <w:color w:val="auto"/>
        </w:rPr>
      </w:pPr>
    </w:p>
    <w:p>
      <w:pPr>
        <w:jc w:val="both"/>
        <w:ind w:right="40" w:firstLine="259"/>
        <w:spacing w:after="0" w:line="266" w:lineRule="auto"/>
        <w:rPr>
          <w:sz w:val="20"/>
          <w:szCs w:val="20"/>
          <w:color w:val="auto"/>
        </w:rPr>
      </w:pPr>
      <w:r>
        <w:rPr>
          <w:rFonts w:ascii="Times New Roman" w:cs="Times New Roman" w:eastAsia="Times New Roman" w:hAnsi="Times New Roman"/>
          <w:sz w:val="18"/>
          <w:szCs w:val="18"/>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9" w:name="page40"/>
    <w:bookmarkEnd w:id="39"/>
    <w:p>
      <w:pPr>
        <w:ind w:right="160"/>
        <w:spacing w:after="0" w:line="256" w:lineRule="auto"/>
        <w:rPr>
          <w:sz w:val="20"/>
          <w:szCs w:val="20"/>
          <w:color w:val="auto"/>
        </w:rPr>
      </w:pPr>
      <w:r>
        <w:rPr>
          <w:rFonts w:ascii="Times New Roman" w:cs="Times New Roman" w:eastAsia="Times New Roman" w:hAnsi="Times New Roman"/>
          <w:sz w:val="18"/>
          <w:szCs w:val="18"/>
          <w:color w:val="auto"/>
        </w:rPr>
        <w:t>effect, if any, the conclusion of the Federal Reserve’s bond-buying program will have on the value of our investments. However, it is possible that, without quantitative easing by the Federal Reserve, these developments, along with the United States government’s credit and deficit concerns and the European sovereign debt crisis, could cause interest rates and borrowing costs to rise, which may negatively impact our ability to access the debt markets on favorable terms. Additionally, in 2017 and 2018, the Federal Reserve has raised the target range for the federal funds rate. If key economic indicators, such as the unemployment rate or inflation, continue to show signs of improvement, the target range for the federal funds rate may further increase and cause interest rates and borrowing costs to rise, which may negatively impact our ability to access the debt markets on favorable terms.</w:t>
      </w:r>
    </w:p>
    <w:p>
      <w:pPr>
        <w:spacing w:after="0" w:line="188" w:lineRule="exact"/>
        <w:rPr>
          <w:sz w:val="20"/>
          <w:szCs w:val="20"/>
          <w:color w:val="auto"/>
        </w:rPr>
      </w:pPr>
    </w:p>
    <w:p>
      <w:pPr>
        <w:ind w:right="40" w:firstLine="259"/>
        <w:spacing w:after="0" w:line="255" w:lineRule="auto"/>
        <w:rPr>
          <w:sz w:val="20"/>
          <w:szCs w:val="20"/>
          <w:color w:val="auto"/>
        </w:rPr>
      </w:pPr>
      <w:r>
        <w:rPr>
          <w:rFonts w:ascii="Times New Roman" w:cs="Times New Roman" w:eastAsia="Times New Roman" w:hAnsi="Times New Roman"/>
          <w:sz w:val="18"/>
          <w:szCs w:val="18"/>
          <w:color w:val="auto"/>
        </w:rPr>
        <w:t>As a result of the 2018 U.S. election, the Republican Party currently controls the executive branch of government and the Senate, while the Democratic Party controls the House. This political division between the Senate and House makes it unclear what legislation may be adopted that could significantly affect the regulation of U.S. financial markets. Areas subject to potential change, amendment or repeal include the Dodd-Frank Act and the authority of the Federal Reserve and the Financial Stability Oversight Council. These or other regulatory changes could result in greater competition from banks and other lenders with which we compete for lending and other investment opportunities. The United States may also potentially withdraw from or renegotiate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recessions or downturns could impair our portfolio companies and harm our operating results.</w:t>
      </w:r>
    </w:p>
    <w:p>
      <w:pPr>
        <w:spacing w:after="0" w:line="121"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89" w:lineRule="exact"/>
        <w:rPr>
          <w:sz w:val="20"/>
          <w:szCs w:val="20"/>
          <w:color w:val="auto"/>
        </w:rPr>
      </w:pPr>
    </w:p>
    <w:p>
      <w:pPr>
        <w:ind w:right="80" w:firstLine="259"/>
        <w:spacing w:after="0" w:line="256"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Portfolio Company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very risky and highly speculative.</w:t>
      </w:r>
    </w:p>
    <w:p>
      <w:pPr>
        <w:spacing w:after="0" w:line="121" w:lineRule="exact"/>
        <w:rPr>
          <w:sz w:val="20"/>
          <w:szCs w:val="20"/>
          <w:color w:val="auto"/>
        </w:rPr>
      </w:pPr>
    </w:p>
    <w:p>
      <w:pPr>
        <w:ind w:right="60" w:firstLine="259"/>
        <w:spacing w:after="0" w:line="258" w:lineRule="auto"/>
        <w:rPr>
          <w:sz w:val="20"/>
          <w:szCs w:val="20"/>
          <w:color w:val="auto"/>
        </w:rPr>
      </w:pPr>
      <w:r>
        <w:rPr>
          <w:rFonts w:ascii="Times New Roman" w:cs="Times New Roman" w:eastAsia="Times New Roman" w:hAnsi="Times New Roman"/>
          <w:sz w:val="18"/>
          <w:szCs w:val="18"/>
          <w:color w:val="auto"/>
        </w:rPr>
        <w:t>We primarily invest in first-lien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2"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i w:val="1"/>
          <w:iCs w:val="1"/>
          <w:color w:val="auto"/>
        </w:rPr>
        <w:t>First-Lien Debt</w:t>
      </w:r>
      <w:r>
        <w:rPr>
          <w:rFonts w:ascii="Times New Roman" w:cs="Times New Roman" w:eastAsia="Times New Roman" w:hAnsi="Times New Roman"/>
          <w:sz w:val="18"/>
          <w:szCs w:val="18"/>
          <w:color w:val="auto"/>
        </w:rPr>
        <w:t>. When we make a first-lien loan, we generally take a security interest in the available assets of the portfolio company, including the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0" w:name="page41"/>
    <w:bookmarkEnd w:id="40"/>
    <w:p>
      <w:pPr>
        <w:ind w:right="140" w:firstLine="259"/>
        <w:spacing w:after="0" w:line="267" w:lineRule="auto"/>
        <w:rPr>
          <w:sz w:val="20"/>
          <w:szCs w:val="20"/>
          <w:color w:val="auto"/>
        </w:rPr>
      </w:pPr>
      <w:r>
        <w:rPr>
          <w:rFonts w:ascii="Times New Roman" w:cs="Times New Roman" w:eastAsia="Times New Roman" w:hAnsi="Times New Roman"/>
          <w:sz w:val="18"/>
          <w:szCs w:val="18"/>
          <w:i w:val="1"/>
          <w:iCs w:val="1"/>
          <w:color w:val="auto"/>
        </w:rPr>
        <w:t>Second-Lien and Mezzanine Debt</w:t>
      </w:r>
      <w:r>
        <w:rPr>
          <w:rFonts w:ascii="Times New Roman" w:cs="Times New Roman" w:eastAsia="Times New Roman" w:hAnsi="Times New Roman"/>
          <w:sz w:val="18"/>
          <w:szCs w:val="18"/>
          <w:color w:val="auto"/>
        </w:rPr>
        <w:t>. Our investments in second-lien and mezzanine debt generally are subordinated to senior loans and will either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junior security interests or be unsecured. As such, other creditors may rank senior to us in the event of insolvency. This may result in greater risk and loss of principal.</w:t>
      </w:r>
    </w:p>
    <w:p>
      <w:pPr>
        <w:spacing w:after="0" w:line="174" w:lineRule="exact"/>
        <w:rPr>
          <w:sz w:val="20"/>
          <w:szCs w:val="20"/>
          <w:color w:val="auto"/>
        </w:rPr>
      </w:pPr>
    </w:p>
    <w:p>
      <w:pPr>
        <w:ind w:right="100" w:firstLine="25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Equity and Other Investments. </w:t>
      </w:r>
      <w:r>
        <w:rPr>
          <w:rFonts w:ascii="Times New Roman" w:cs="Times New Roman" w:eastAsia="Times New Roman" w:hAnsi="Times New Roman"/>
          <w:sz w:val="18"/>
          <w:szCs w:val="18"/>
          <w:color w:val="auto"/>
        </w:rPr>
        <w:t>When we invest in first-lien debt, second-lien debt or mezzanine debt, we may acquire equity securities, such as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Preferred Stock. </w:t>
      </w:r>
      <w:r>
        <w:rPr>
          <w:rFonts w:ascii="Times New Roman" w:cs="Times New Roman" w:eastAsia="Times New Roman" w:hAnsi="Times New Roman"/>
          <w:sz w:val="18"/>
          <w:szCs w:val="18"/>
          <w:color w:val="auto"/>
        </w:rPr>
        <w:t>To the extent we invest in preferred securities, we may incur particular risks, including:</w:t>
      </w:r>
    </w:p>
    <w:p>
      <w:pPr>
        <w:spacing w:after="0" w:line="119" w:lineRule="exact"/>
        <w:rPr>
          <w:sz w:val="20"/>
          <w:szCs w:val="20"/>
          <w:color w:val="auto"/>
        </w:rPr>
      </w:pPr>
    </w:p>
    <w:p>
      <w:pPr>
        <w:ind w:left="520" w:right="440" w:hanging="255"/>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68" w:lineRule="exact"/>
        <w:rPr>
          <w:rFonts w:ascii="Times New Roman" w:cs="Times New Roman" w:eastAsia="Times New Roman" w:hAnsi="Times New Roman"/>
          <w:sz w:val="18"/>
          <w:szCs w:val="18"/>
          <w:color w:val="auto"/>
        </w:rPr>
      </w:pPr>
    </w:p>
    <w:p>
      <w:pPr>
        <w:ind w:left="520" w:right="80" w:hanging="255"/>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53" w:lineRule="exact"/>
        <w:rPr>
          <w:rFonts w:ascii="Times New Roman" w:cs="Times New Roman" w:eastAsia="Times New Roman" w:hAnsi="Times New Roman"/>
          <w:sz w:val="18"/>
          <w:szCs w:val="18"/>
          <w:color w:val="auto"/>
        </w:rPr>
      </w:pPr>
    </w:p>
    <w:p>
      <w:pPr>
        <w:ind w:left="520" w:right="120" w:hanging="255"/>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addition, our investments generally involve a number of significant risks, including:</w:t>
      </w:r>
    </w:p>
    <w:p>
      <w:pPr>
        <w:spacing w:after="0" w:line="117" w:lineRule="exact"/>
        <w:rPr>
          <w:sz w:val="20"/>
          <w:szCs w:val="20"/>
          <w:color w:val="auto"/>
        </w:rPr>
      </w:pPr>
    </w:p>
    <w:p>
      <w:pPr>
        <w:ind w:left="520" w:right="60" w:hanging="255"/>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68" w:lineRule="exact"/>
        <w:rPr>
          <w:rFonts w:ascii="Times New Roman" w:cs="Times New Roman" w:eastAsia="Times New Roman" w:hAnsi="Times New Roman"/>
          <w:sz w:val="18"/>
          <w:szCs w:val="18"/>
          <w:color w:val="auto"/>
        </w:rPr>
      </w:pPr>
    </w:p>
    <w:p>
      <w:pPr>
        <w:ind w:left="520" w:right="140" w:hanging="255"/>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53" w:lineRule="exact"/>
        <w:rPr>
          <w:rFonts w:ascii="Times New Roman" w:cs="Times New Roman" w:eastAsia="Times New Roman" w:hAnsi="Times New Roman"/>
          <w:sz w:val="18"/>
          <w:szCs w:val="18"/>
          <w:color w:val="auto"/>
        </w:rPr>
      </w:pPr>
    </w:p>
    <w:p>
      <w:pPr>
        <w:jc w:val="both"/>
        <w:ind w:left="520" w:right="180" w:hanging="255"/>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68" w:lineRule="exact"/>
        <w:rPr>
          <w:rFonts w:ascii="Times New Roman" w:cs="Times New Roman" w:eastAsia="Times New Roman" w:hAnsi="Times New Roman"/>
          <w:sz w:val="18"/>
          <w:szCs w:val="18"/>
          <w:color w:val="auto"/>
        </w:rPr>
      </w:pPr>
    </w:p>
    <w:p>
      <w:pPr>
        <w:ind w:left="520" w:right="160" w:hanging="255"/>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68" w:lineRule="exact"/>
        <w:rPr>
          <w:rFonts w:ascii="Times New Roman" w:cs="Times New Roman" w:eastAsia="Times New Roman" w:hAnsi="Times New Roman"/>
          <w:sz w:val="18"/>
          <w:szCs w:val="18"/>
          <w:color w:val="auto"/>
        </w:rPr>
      </w:pPr>
    </w:p>
    <w:p>
      <w:pPr>
        <w:ind w:left="520" w:right="280" w:hanging="255"/>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53" w:lineRule="exact"/>
        <w:rPr>
          <w:rFonts w:ascii="Times New Roman" w:cs="Times New Roman" w:eastAsia="Times New Roman" w:hAnsi="Times New Roman"/>
          <w:sz w:val="18"/>
          <w:szCs w:val="18"/>
          <w:color w:val="auto"/>
        </w:rPr>
      </w:pPr>
    </w:p>
    <w:p>
      <w:pPr>
        <w:ind w:left="520" w:hanging="255"/>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Adviser may, in the ordinary course of business, be named as defendants in litigation arising from our investments in the portfolio companies;</w:t>
      </w:r>
    </w:p>
    <w:p>
      <w:pPr>
        <w:spacing w:after="0" w:line="53" w:lineRule="exact"/>
        <w:rPr>
          <w:rFonts w:ascii="Times New Roman" w:cs="Times New Roman" w:eastAsia="Times New Roman" w:hAnsi="Times New Roman"/>
          <w:sz w:val="18"/>
          <w:szCs w:val="18"/>
          <w:color w:val="auto"/>
        </w:rPr>
      </w:pPr>
    </w:p>
    <w:p>
      <w:pPr>
        <w:ind w:left="520" w:right="120" w:hanging="255"/>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53" w:lineRule="exact"/>
        <w:rPr>
          <w:rFonts w:ascii="Times New Roman" w:cs="Times New Roman" w:eastAsia="Times New Roman" w:hAnsi="Times New Roman"/>
          <w:sz w:val="18"/>
          <w:szCs w:val="18"/>
          <w:color w:val="auto"/>
        </w:rPr>
      </w:pPr>
    </w:p>
    <w:p>
      <w:pPr>
        <w:ind w:left="520" w:right="60" w:hanging="255"/>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6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7"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1" w:right="279" w:bottom="1440" w:gutter="0" w:footer="0" w:header="0"/>
        </w:sectPr>
      </w:pPr>
    </w:p>
    <w:bookmarkStart w:id="41" w:name="page42"/>
    <w:bookmarkEnd w:id="41"/>
    <w:p>
      <w:pPr>
        <w:ind w:right="160"/>
        <w:spacing w:after="0" w:line="261" w:lineRule="auto"/>
        <w:rPr>
          <w:sz w:val="20"/>
          <w:szCs w:val="20"/>
          <w:color w:val="auto"/>
        </w:rPr>
      </w:pPr>
      <w:r>
        <w:rPr>
          <w:rFonts w:ascii="Times New Roman" w:cs="Times New Roman" w:eastAsia="Times New Roman" w:hAnsi="Times New Roman"/>
          <w:sz w:val="18"/>
          <w:szCs w:val="18"/>
          <w:color w:val="auto"/>
        </w:rPr>
        <w:t>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80" w:lineRule="exact"/>
        <w:rPr>
          <w:sz w:val="20"/>
          <w:szCs w:val="20"/>
          <w:color w:val="auto"/>
        </w:rPr>
      </w:pPr>
    </w:p>
    <w:p>
      <w:pPr>
        <w:ind w:right="180" w:firstLine="259"/>
        <w:spacing w:after="0" w:line="255" w:lineRule="auto"/>
        <w:rPr>
          <w:sz w:val="20"/>
          <w:szCs w:val="20"/>
          <w:color w:val="auto"/>
        </w:rPr>
      </w:pPr>
      <w:r>
        <w:rPr>
          <w:rFonts w:ascii="Times New Roman" w:cs="Times New Roman" w:eastAsia="Times New Roman" w:hAnsi="Times New Roman"/>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85"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Decreases in the market values or fair values of our investments are recorded as unrealized losses. The effect of all of these factors on our portfolio can reduce our net asset value by increasing net unrealized losses in our portfolio. Depending on market conditions, we could incur substantial realized losses and may suffer unrealized losses, which could have a material adverse impact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our investments may adversely affect our business.</w:t>
      </w:r>
    </w:p>
    <w:p>
      <w:pPr>
        <w:spacing w:after="0" w:line="121" w:lineRule="exact"/>
        <w:rPr>
          <w:sz w:val="20"/>
          <w:szCs w:val="20"/>
          <w:color w:val="auto"/>
        </w:rPr>
      </w:pPr>
    </w:p>
    <w:p>
      <w:pPr>
        <w:jc w:val="both"/>
        <w:ind w:right="200" w:firstLine="259"/>
        <w:spacing w:after="0" w:line="258" w:lineRule="auto"/>
        <w:rPr>
          <w:sz w:val="20"/>
          <w:szCs w:val="20"/>
          <w:color w:val="auto"/>
        </w:rPr>
      </w:pPr>
      <w:r>
        <w:rPr>
          <w:rFonts w:ascii="Times New Roman" w:cs="Times New Roman" w:eastAsia="Times New Roman" w:hAnsi="Times New Roman"/>
          <w:sz w:val="18"/>
          <w:szCs w:val="18"/>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51"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securitize certain of our investments, which may subject us to certain structured financing risks.</w:t>
      </w:r>
    </w:p>
    <w:p>
      <w:pPr>
        <w:spacing w:after="0" w:line="121"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76" w:lineRule="exact"/>
        <w:rPr>
          <w:sz w:val="20"/>
          <w:szCs w:val="20"/>
          <w:color w:val="auto"/>
        </w:rPr>
      </w:pPr>
    </w:p>
    <w:p>
      <w:pPr>
        <w:ind w:right="100" w:firstLine="259"/>
        <w:spacing w:after="0" w:line="254" w:lineRule="auto"/>
        <w:rPr>
          <w:sz w:val="20"/>
          <w:szCs w:val="20"/>
          <w:color w:val="auto"/>
        </w:rPr>
      </w:pPr>
      <w:r>
        <w:rPr>
          <w:rFonts w:ascii="Times New Roman" w:cs="Times New Roman" w:eastAsia="Times New Roman" w:hAnsi="Times New Roman"/>
          <w:sz w:val="18"/>
          <w:szCs w:val="18"/>
          <w:color w:val="auto"/>
        </w:rPr>
        <w:t>If we were to create a CLO or other securitization vehicle, we would depend on distributions from the vehicle to pay dividends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2" w:name="page43"/>
    <w:bookmarkEnd w:id="42"/>
    <w:p>
      <w:pPr>
        <w:ind w:firstLine="259"/>
        <w:spacing w:after="0" w:line="258" w:lineRule="auto"/>
        <w:rPr>
          <w:sz w:val="20"/>
          <w:szCs w:val="20"/>
          <w:color w:val="auto"/>
        </w:rPr>
      </w:pPr>
      <w:r>
        <w:rPr>
          <w:rFonts w:ascii="Times New Roman" w:cs="Times New Roman" w:eastAsia="Times New Roman" w:hAnsi="Times New Roman"/>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84" w:lineRule="exact"/>
        <w:rPr>
          <w:sz w:val="20"/>
          <w:szCs w:val="20"/>
          <w:color w:val="auto"/>
        </w:rPr>
      </w:pPr>
    </w:p>
    <w:p>
      <w:pPr>
        <w:ind w:right="80" w:firstLine="259"/>
        <w:spacing w:after="0" w:line="282" w:lineRule="auto"/>
        <w:rPr>
          <w:sz w:val="20"/>
          <w:szCs w:val="20"/>
          <w:color w:val="auto"/>
        </w:rPr>
      </w:pPr>
      <w:r>
        <w:rPr>
          <w:rFonts w:ascii="Times New Roman" w:cs="Times New Roman" w:eastAsia="Times New Roman" w:hAnsi="Times New Roman"/>
          <w:sz w:val="18"/>
          <w:szCs w:val="18"/>
          <w:color w:val="auto"/>
        </w:rPr>
        <w:t>A CLO or other securitization vehicle, if created, also would likely be consolidated in our financial statements and consequently affect our asset coverage ratio, which may limit our ability to incur additional leverage. See “</w:t>
      </w:r>
      <w:r>
        <w:rPr>
          <w:rFonts w:ascii="Times New Roman" w:cs="Times New Roman" w:eastAsia="Times New Roman" w:hAnsi="Times New Roman"/>
          <w:sz w:val="18"/>
          <w:szCs w:val="18"/>
          <w:i w:val="1"/>
          <w:iCs w:val="1"/>
          <w:color w:val="auto"/>
        </w:rPr>
        <w:t>ITEM 1. BUSINESS – Regulation as a Business Development Company.”</w:t>
      </w:r>
    </w:p>
    <w:p>
      <w:pPr>
        <w:spacing w:after="0" w:line="26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51"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 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changes in interest rates.</w:t>
      </w:r>
    </w:p>
    <w:p>
      <w:pPr>
        <w:spacing w:after="0" w:line="121"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84"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w:t>
      </w:r>
      <w:r>
        <w:rPr>
          <w:rFonts w:ascii="Times New Roman" w:cs="Times New Roman" w:eastAsia="Times New Roman" w:hAnsi="Times New Roman"/>
          <w:sz w:val="18"/>
          <w:szCs w:val="18"/>
          <w:i w:val="1"/>
          <w:iCs w:val="1"/>
          <w:color w:val="auto"/>
        </w:rPr>
        <w:t>—Risks Related to Economic 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Uncertainty about financial stability could have a significant adverse effect on our business, results of operations and financial condition.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40" w:firstLine="259"/>
        <w:spacing w:after="0" w:line="282" w:lineRule="auto"/>
        <w:rPr>
          <w:sz w:val="20"/>
          <w:szCs w:val="20"/>
          <w:color w:val="auto"/>
        </w:rPr>
      </w:pPr>
      <w:r>
        <w:rPr>
          <w:rFonts w:ascii="Times New Roman" w:cs="Times New Roman" w:eastAsia="Times New Roman" w:hAnsi="Times New Roman"/>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62" w:lineRule="exact"/>
        <w:rPr>
          <w:sz w:val="20"/>
          <w:szCs w:val="20"/>
          <w:color w:val="auto"/>
        </w:rPr>
      </w:pPr>
    </w:p>
    <w:p>
      <w:pPr>
        <w:jc w:val="both"/>
        <w:ind w:right="80" w:firstLine="259"/>
        <w:spacing w:after="0" w:line="266" w:lineRule="auto"/>
        <w:rPr>
          <w:sz w:val="20"/>
          <w:szCs w:val="20"/>
          <w:color w:val="auto"/>
        </w:rPr>
      </w:pPr>
      <w:r>
        <w:rPr>
          <w:rFonts w:ascii="Times New Roman" w:cs="Times New Roman" w:eastAsia="Times New Roman" w:hAnsi="Times New Roman"/>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t>
      </w:r>
      <w:r>
        <w:rPr>
          <w:rFonts w:ascii="Times New Roman" w:cs="Times New Roman" w:eastAsia="Times New Roman" w:hAnsi="Times New Roman"/>
          <w:sz w:val="18"/>
          <w:szCs w:val="18"/>
          <w:i w:val="1"/>
          <w:iCs w:val="1"/>
          <w:color w:val="auto"/>
        </w:rPr>
        <w:t>—Risks Related to Our Portfolio Company Investments—We expose ourselves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when we engage in hedging transactions.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expected returns on our invested capital.</w:t>
      </w:r>
    </w:p>
    <w:p>
      <w:pPr>
        <w:spacing w:after="0" w:line="121"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0" w:lineRule="exact"/>
        <w:rPr>
          <w:sz w:val="20"/>
          <w:szCs w:val="20"/>
          <w:color w:val="auto"/>
        </w:rPr>
      </w:pPr>
    </w:p>
    <w:p>
      <w:pPr>
        <w:ind w:right="240" w:firstLine="259"/>
        <w:spacing w:after="0" w:line="282" w:lineRule="auto"/>
        <w:rPr>
          <w:sz w:val="20"/>
          <w:szCs w:val="20"/>
          <w:color w:val="auto"/>
        </w:rPr>
      </w:pPr>
      <w:r>
        <w:rPr>
          <w:rFonts w:ascii="Times New Roman" w:cs="Times New Roman" w:eastAsia="Times New Roman" w:hAnsi="Times New Roman"/>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3" w:name="page44"/>
    <w:bookmarkEnd w:id="43"/>
    <w:p>
      <w:pPr>
        <w:ind w:right="440"/>
        <w:spacing w:after="0" w:line="282" w:lineRule="auto"/>
        <w:rPr>
          <w:sz w:val="20"/>
          <w:szCs w:val="20"/>
          <w:color w:val="auto"/>
        </w:rPr>
      </w:pPr>
      <w:r>
        <w:rPr>
          <w:rFonts w:ascii="Times New Roman" w:cs="Times New Roman" w:eastAsia="Times New Roman" w:hAnsi="Times New Roman"/>
          <w:sz w:val="18"/>
          <w:szCs w:val="18"/>
          <w:color w:val="auto"/>
        </w:rPr>
        <w:t>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originating loans to companies that are experiencing significant financial or business difficulties, we may be exposed to distressed lending risks.</w:t>
      </w:r>
    </w:p>
    <w:p>
      <w:pPr>
        <w:spacing w:after="0" w:line="121"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companies in some cases may incur debt or issue equity securities that rank equally with, or senior to, our investments in those companies.</w:t>
      </w:r>
    </w:p>
    <w:p>
      <w:pPr>
        <w:spacing w:after="0" w:line="121"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9"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special risks associated with bankruptcy cases.</w:t>
      </w:r>
    </w:p>
    <w:p>
      <w:pPr>
        <w:spacing w:after="0" w:line="121"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88"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4"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make follow-on investments in our portfolio companies could impair the value of our investments.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Following an initial investment in a portfolio company, we may make additional investments in that portfolio company as “follow-on” investments to:</w:t>
      </w:r>
    </w:p>
    <w:p>
      <w:pPr>
        <w:spacing w:after="0" w:line="117" w:lineRule="exact"/>
        <w:rPr>
          <w:sz w:val="20"/>
          <w:szCs w:val="20"/>
          <w:color w:val="auto"/>
        </w:rPr>
      </w:pPr>
    </w:p>
    <w:p>
      <w:pPr>
        <w:ind w:left="520" w:hanging="255"/>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maintain in whole or in part our equity ownership percentage;</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warrants, options or convertible securities that were acquired in the original or subsequent financing; or</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preserve or enhance the value of our investment.</w:t>
      </w:r>
    </w:p>
    <w:p>
      <w:pPr>
        <w:spacing w:after="0" w:line="225" w:lineRule="exact"/>
        <w:rPr>
          <w:sz w:val="20"/>
          <w:szCs w:val="20"/>
          <w:color w:val="auto"/>
        </w:rPr>
      </w:pPr>
    </w:p>
    <w:p>
      <w:pPr>
        <w:jc w:val="both"/>
        <w:ind w:right="100" w:firstLine="259"/>
        <w:spacing w:after="0" w:line="266" w:lineRule="auto"/>
        <w:rPr>
          <w:sz w:val="20"/>
          <w:szCs w:val="20"/>
          <w:color w:val="auto"/>
        </w:rPr>
      </w:pPr>
      <w:r>
        <w:rPr>
          <w:rFonts w:ascii="Times New Roman" w:cs="Times New Roman" w:eastAsia="Times New Roman" w:hAnsi="Times New Roman"/>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76" w:lineRule="exact"/>
        <w:rPr>
          <w:sz w:val="20"/>
          <w:szCs w:val="20"/>
          <w:color w:val="auto"/>
        </w:rPr>
      </w:pPr>
    </w:p>
    <w:p>
      <w:pPr>
        <w:ind w:right="160" w:firstLine="259"/>
        <w:spacing w:after="0" w:line="261" w:lineRule="auto"/>
        <w:rPr>
          <w:sz w:val="20"/>
          <w:szCs w:val="20"/>
          <w:color w:val="auto"/>
        </w:rPr>
      </w:pPr>
      <w:r>
        <w:rPr>
          <w:rFonts w:ascii="Times New Roman" w:cs="Times New Roman" w:eastAsia="Times New Roman" w:hAnsi="Times New Roman"/>
          <w:sz w:val="18"/>
          <w:szCs w:val="18"/>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with our affiliates is restricted.</w:t>
      </w:r>
    </w:p>
    <w:p>
      <w:pPr>
        <w:spacing w:after="0" w:line="121"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85"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The decision by TSSP, TPG or our Adviser to allocate an opportunity to another entity could cause us to forgo an investment opportunity that we otherwise would have made. We also generally will be unable to invest in any issuer in which TSSP, TPG and its other affiliates or a fund managed by TSSP,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80" w:lineRule="exact"/>
        <w:rPr>
          <w:sz w:val="20"/>
          <w:szCs w:val="20"/>
          <w:color w:val="auto"/>
        </w:rPr>
      </w:pPr>
    </w:p>
    <w:p>
      <w:pPr>
        <w:ind w:right="60" w:firstLine="259"/>
        <w:spacing w:after="0" w:line="258"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with affiliates of TSSP and TPG in middle-market loan origination activities for companies domiciled in the United States and certain “follow-on” investments in companies in which we have already co-invested pursuant to the order and remain invested. We and our affiliates, including investment funds managed by our affiliates, are only permitted to co-invest in accordance with the terms of the exemptive order or in the limited circumstances otherwise currently permitted by regulatory guidance.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acquisitions or strategic investments that we pursue are subject to risks and uncertainties.</w:t>
      </w:r>
    </w:p>
    <w:p>
      <w:pPr>
        <w:spacing w:after="0" w:line="121" w:lineRule="exact"/>
        <w:rPr>
          <w:sz w:val="20"/>
          <w:szCs w:val="20"/>
          <w:color w:val="auto"/>
        </w:rPr>
      </w:pPr>
    </w:p>
    <w:p>
      <w:pPr>
        <w:ind w:right="60" w:firstLine="259"/>
        <w:spacing w:after="0" w:line="258" w:lineRule="auto"/>
        <w:rPr>
          <w:sz w:val="20"/>
          <w:szCs w:val="20"/>
          <w:color w:val="auto"/>
        </w:rPr>
      </w:pPr>
      <w:r>
        <w:rPr>
          <w:rFonts w:ascii="Times New Roman" w:cs="Times New Roman" w:eastAsia="Times New Roman" w:hAnsi="Times New Roman"/>
          <w:sz w:val="18"/>
          <w:szCs w:val="18"/>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4" w:lineRule="exact"/>
        <w:rPr>
          <w:sz w:val="20"/>
          <w:szCs w:val="20"/>
          <w:color w:val="auto"/>
        </w:rPr>
      </w:pPr>
    </w:p>
    <w:p>
      <w:pPr>
        <w:ind w:right="100" w:firstLine="259"/>
        <w:spacing w:after="0" w:line="274" w:lineRule="auto"/>
        <w:rPr>
          <w:sz w:val="20"/>
          <w:szCs w:val="20"/>
          <w:color w:val="auto"/>
        </w:rPr>
      </w:pPr>
      <w:r>
        <w:rPr>
          <w:rFonts w:ascii="Times New Roman" w:cs="Times New Roman" w:eastAsia="Times New Roman" w:hAnsi="Times New Roman"/>
          <w:sz w:val="17"/>
          <w:szCs w:val="17"/>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45" w:name="page46"/>
    <w:bookmarkEnd w:id="45"/>
    <w:p>
      <w:pPr>
        <w:jc w:val="both"/>
        <w:ind w:right="160" w:firstLine="259"/>
        <w:spacing w:after="0" w:line="266" w:lineRule="auto"/>
        <w:rPr>
          <w:sz w:val="20"/>
          <w:szCs w:val="20"/>
          <w:color w:val="auto"/>
        </w:rPr>
      </w:pPr>
      <w:r>
        <w:rPr>
          <w:rFonts w:ascii="Times New Roman" w:cs="Times New Roman" w:eastAsia="Times New Roman" w:hAnsi="Times New Roman"/>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80"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51" w:lineRule="exact"/>
        <w:rPr>
          <w:sz w:val="20"/>
          <w:szCs w:val="20"/>
          <w:color w:val="auto"/>
        </w:rPr>
      </w:pPr>
    </w:p>
    <w:p>
      <w:pPr>
        <w:ind w:right="120" w:firstLine="259"/>
        <w:spacing w:after="0" w:line="256" w:lineRule="auto"/>
        <w:rPr>
          <w:sz w:val="20"/>
          <w:szCs w:val="20"/>
          <w:color w:val="auto"/>
        </w:rPr>
      </w:pPr>
      <w:r>
        <w:rPr>
          <w:rFonts w:ascii="Times New Roman" w:cs="Times New Roman" w:eastAsia="Times New Roman" w:hAnsi="Times New Roman"/>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foreign companies may involve significant risks in addition to the risks inherent in U.S. investments.</w:t>
      </w:r>
    </w:p>
    <w:p>
      <w:pPr>
        <w:spacing w:after="0" w:line="121" w:lineRule="exact"/>
        <w:rPr>
          <w:sz w:val="20"/>
          <w:szCs w:val="20"/>
          <w:color w:val="auto"/>
        </w:rPr>
      </w:pPr>
    </w:p>
    <w:p>
      <w:pPr>
        <w:ind w:right="120" w:firstLine="259"/>
        <w:spacing w:after="0" w:line="255" w:lineRule="auto"/>
        <w:rPr>
          <w:sz w:val="20"/>
          <w:szCs w:val="20"/>
          <w:color w:val="auto"/>
        </w:rPr>
      </w:pPr>
      <w:r>
        <w:rPr>
          <w:rFonts w:ascii="Times New Roman" w:cs="Times New Roman" w:eastAsia="Times New Roman" w:hAnsi="Times New Roman"/>
          <w:sz w:val="18"/>
          <w:szCs w:val="18"/>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Brexit could also have negative impacts on both the U.K. economy and the economies of other countries in Europe. In addition, interest income derived from loans to foreign companies is not eligible to be distributed to our non-U.S. stockholders free from withholding taxes.</w:t>
      </w:r>
    </w:p>
    <w:p>
      <w:pPr>
        <w:spacing w:after="0" w:line="189" w:lineRule="exact"/>
        <w:rPr>
          <w:sz w:val="20"/>
          <w:szCs w:val="20"/>
          <w:color w:val="auto"/>
        </w:rPr>
      </w:pPr>
    </w:p>
    <w:p>
      <w:pPr>
        <w:ind w:right="140" w:firstLine="259"/>
        <w:spacing w:after="0" w:line="258" w:lineRule="auto"/>
        <w:rPr>
          <w:sz w:val="20"/>
          <w:szCs w:val="20"/>
          <w:color w:val="auto"/>
        </w:rPr>
      </w:pPr>
      <w:r>
        <w:rPr>
          <w:rFonts w:ascii="Times New Roman" w:cs="Times New Roman" w:eastAsia="Times New Roman" w:hAnsi="Times New Roman"/>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gains and political developments. We may employ hedging techniques to minimize these risks, but we cannot assure you that such strategies will be effective or without risk to us.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expose ourselves to risks when we engage in hedging transactions.</w:t>
      </w:r>
    </w:p>
    <w:p>
      <w:pPr>
        <w:spacing w:after="0" w:line="121" w:lineRule="exact"/>
        <w:rPr>
          <w:sz w:val="20"/>
          <w:szCs w:val="20"/>
          <w:color w:val="auto"/>
        </w:rPr>
      </w:pPr>
    </w:p>
    <w:p>
      <w:pPr>
        <w:ind w:right="160" w:firstLine="259"/>
        <w:spacing w:after="0" w:line="258" w:lineRule="auto"/>
        <w:rPr>
          <w:sz w:val="20"/>
          <w:szCs w:val="20"/>
          <w:color w:val="auto"/>
        </w:rPr>
      </w:pPr>
      <w:r>
        <w:rPr>
          <w:rFonts w:ascii="Times New Roman" w:cs="Times New Roman" w:eastAsia="Times New Roman" w:hAnsi="Times New Roman"/>
          <w:sz w:val="18"/>
          <w:szCs w:val="18"/>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84"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We also have the ability to borrow in certain foreign currencies under the second amended and restated senior secured revolving credit agreement, as amended, with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88"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84"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our Convertible Notes and 2023 Notes, which bear interest at fixed rates, we entered into fixed-to-floating interest rate swaps to continue to align the interest rates of our liabilities with our investment portfolio, which consists of predominately floating rate loans. However, unanticipated changes in currency exchange rates or other exposures that we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6" w:name="page47"/>
    <w:bookmarkEnd w:id="46"/>
    <w:p>
      <w:pPr>
        <w:ind w:right="80"/>
        <w:spacing w:after="0" w:line="266" w:lineRule="auto"/>
        <w:rPr>
          <w:sz w:val="20"/>
          <w:szCs w:val="20"/>
          <w:color w:val="auto"/>
        </w:rPr>
      </w:pPr>
      <w:r>
        <w:rPr>
          <w:rFonts w:ascii="Times New Roman" w:cs="Times New Roman" w:eastAsia="Times New Roman" w:hAnsi="Times New Roman"/>
          <w:sz w:val="18"/>
          <w:szCs w:val="18"/>
          <w:color w:val="auto"/>
        </w:rPr>
        <w:t>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76"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Changes to the regulations applicable to the financial instruments we use to accomplish our hedging strategy could affect the effectiveness of that strategy. For additional information on these regulatory changes, see “</w:t>
      </w:r>
      <w:r>
        <w:rPr>
          <w:rFonts w:ascii="Times New Roman" w:cs="Times New Roman" w:eastAsia="Times New Roman" w:hAnsi="Times New Roman"/>
          <w:sz w:val="18"/>
          <w:szCs w:val="18"/>
          <w:i w:val="1"/>
          <w:iCs w:val="1"/>
          <w:color w:val="auto"/>
        </w:rPr>
        <w:t>—Risks Related to Our Portfolio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Investments—The new market structure applicable to derivatives imposed by the Dodd-Frank Act may affect our ability to use over-the-counter (“OTC”) derivatives</w:t>
      </w:r>
      <w:r>
        <w:rPr>
          <w:rFonts w:ascii="Times New Roman" w:cs="Times New Roman" w:eastAsia="Times New Roman" w:hAnsi="Times New Roman"/>
          <w:sz w:val="18"/>
          <w:szCs w:val="18"/>
          <w:color w:val="auto"/>
        </w:rPr>
        <w:t>.” See also “</w:t>
      </w:r>
      <w:r>
        <w:rPr>
          <w:rFonts w:ascii="Times New Roman" w:cs="Times New Roman" w:eastAsia="Times New Roman" w:hAnsi="Times New Roman"/>
          <w:sz w:val="18"/>
          <w:szCs w:val="18"/>
          <w:i w:val="1"/>
          <w:iCs w:val="1"/>
          <w:color w:val="auto"/>
        </w:rPr>
        <w:t>—Risks Related to Our Portfolio Company Investments—We are exposed to risks associated with changes in interest rates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ITEM 7. MANAGEMENT’S DISCUSSION AND ANALYSIS OF FINANCIAL CONDITION AND RESULTS OF OPERATIONS—Results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100" w:firstLine="259"/>
        <w:spacing w:after="0" w:line="255" w:lineRule="auto"/>
        <w:rPr>
          <w:sz w:val="20"/>
          <w:szCs w:val="20"/>
          <w:color w:val="auto"/>
        </w:rPr>
      </w:pPr>
      <w:r>
        <w:rPr>
          <w:rFonts w:ascii="Times New Roman" w:cs="Times New Roman" w:eastAsia="Times New Roman" w:hAnsi="Times New Roman"/>
          <w:sz w:val="18"/>
          <w:szCs w:val="18"/>
          <w:color w:val="auto"/>
        </w:rPr>
        <w:t>Finally, the SEC has issued a proposed rule, Rule 18f-4, that if adopted would potentially constrain our ability to use swaps and other derivatives. Among other requirements, the proposed rule could potentially force us to reduce our use of leverage if our aggregate exposure to swap or derivative positions, together with outstanding leverage and any financial commitments to our portfolio companies, exceeds 150 percent of our net asset value, absent an assessment that our use of derivatives reduces our actual portfolio risk. In addition, we may be required under the proposed rule to carry sufficient cash and cash equivalents to meet our actual, and in some cases, expected future, obligations under any swaps or derivatives we currently have in place, which could cause the returns on our overall portfolio to be lower as a result. We cannot assure you when or if the proposed rule will be adopted by the SEC, and if adopted, whether the final rule will similarly constrain our ability to utilize swaps and derivatives in the future.</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new market structure applicable to derivatives imposed by the Dodd-Frank Act may affect our ability to use over-the-counter (“OTC”) derivatives for hedging purposes.</w:t>
      </w:r>
    </w:p>
    <w:p>
      <w:pPr>
        <w:spacing w:after="0" w:line="51"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The Dodd-Frank Act enacted, and the CFTC and SEC have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217"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Recent and anticipated regulatory changes require that certain types of OTC derivatives, including those that we may use for hedging activities, including interest rate and credit default swaps, be cleared and traded on regulated platforms, and these regulatory changes are expected to apply to foreign exchange transactions in the future. U.S. regulators have also adopted rules requiring us to post collateral with respect to cleared OTC derivatives (such as the interest rate swaps we entered into in connection with certain investments in portfolio companies and our Convertible Notes and 2023 Notes) and rules imposing margin requirements for OTC derivatives executed with registered swap dealers that are not cleared. The margin requirements for cleared and uncleared OTC derivatives may require that our Adviser, in order to maintain its exemption from commodity pool operator (“CPO”) registration under the CFTC No-Action Letter 12-40, limit our ability to enter into hedging transactions or to obtain synthetic investment exposures, in either case adversely affecting our ability to mitigate risk. Furthermore, any failure by us to fulfill any collateral requirement (e.g., a so-called “margin call”) may result in a default and could have a material adverse impact on its business, financial condition and results of operations.</w:t>
      </w:r>
    </w:p>
    <w:p>
      <w:pPr>
        <w:spacing w:after="0" w:line="189" w:lineRule="exact"/>
        <w:rPr>
          <w:sz w:val="20"/>
          <w:szCs w:val="20"/>
          <w:color w:val="auto"/>
        </w:rPr>
      </w:pPr>
    </w:p>
    <w:p>
      <w:pPr>
        <w:ind w:right="300" w:firstLine="259"/>
        <w:spacing w:after="0" w:line="256" w:lineRule="auto"/>
        <w:rPr>
          <w:sz w:val="20"/>
          <w:szCs w:val="20"/>
          <w:color w:val="auto"/>
        </w:rPr>
      </w:pPr>
      <w:r>
        <w:rPr>
          <w:rFonts w:ascii="Times New Roman" w:cs="Times New Roman" w:eastAsia="Times New Roman" w:hAnsi="Times New Roman"/>
          <w:sz w:val="18"/>
          <w:szCs w:val="18"/>
          <w:color w:val="auto"/>
        </w:rPr>
        <w:t>The Dodd-Frank Act also imposed requirements relating to real-time public and regulatory reporting of OTC derivative transactions, enhanced documentation requirements, position limits on an expanded array of derivatives, and recordkeeping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5638165</wp:posOffset>
            </wp:positionH>
            <wp:positionV relativeFrom="paragraph">
              <wp:posOffset>-760095</wp:posOffset>
            </wp:positionV>
            <wp:extent cx="285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If we cease to be eligible for an exemption from regulation as a commodity pool operator, our compliance expenses could increase substantially.</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Our Adviser has been granted relief under a no-action letter, known as Letter 12-40, issued by the staff of the Commodity Futures Trading Commission, 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CFTC. Letter 12-40 relieves our Adviser from registering with the CFTC as the commodity pool operator of us, so long as we:</w:t>
      </w:r>
    </w:p>
    <w:p>
      <w:pPr>
        <w:spacing w:after="0" w:line="99" w:lineRule="exact"/>
        <w:rPr>
          <w:sz w:val="20"/>
          <w:szCs w:val="20"/>
          <w:color w:val="auto"/>
        </w:rPr>
      </w:pPr>
    </w:p>
    <w:p>
      <w:pPr>
        <w:ind w:left="520" w:hanging="255"/>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regulated by the SEC as a BDC;</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 our trading in CFTC-regulated derivatives within specified thresholds;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right="220" w:firstLine="259"/>
        <w:spacing w:after="0" w:line="261" w:lineRule="auto"/>
        <w:rPr>
          <w:sz w:val="20"/>
          <w:szCs w:val="20"/>
          <w:color w:val="auto"/>
        </w:rPr>
      </w:pPr>
      <w:r>
        <w:rPr>
          <w:rFonts w:ascii="Times New Roman" w:cs="Times New Roman" w:eastAsia="Times New Roman" w:hAnsi="Times New Roman"/>
          <w:sz w:val="18"/>
          <w:szCs w:val="18"/>
          <w:color w:val="auto"/>
        </w:rPr>
        <w:t>If we were unable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(the “NFA”), and be subject to the NFA’s rules and bylaws. Compliance with these additional registration and regulatory requirements could increase our expenses and impact performance.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investments may present special tax issues.</w:t>
      </w:r>
    </w:p>
    <w:p>
      <w:pPr>
        <w:spacing w:after="0" w:line="121" w:lineRule="exact"/>
        <w:rPr>
          <w:sz w:val="20"/>
          <w:szCs w:val="20"/>
          <w:color w:val="auto"/>
        </w:rPr>
      </w:pPr>
    </w:p>
    <w:p>
      <w:pPr>
        <w:ind w:right="80" w:firstLine="259"/>
        <w:spacing w:after="0" w:line="254" w:lineRule="auto"/>
        <w:rPr>
          <w:sz w:val="20"/>
          <w:szCs w:val="20"/>
          <w:color w:val="auto"/>
        </w:rPr>
      </w:pPr>
      <w:r>
        <w:rPr>
          <w:rFonts w:ascii="Times New Roman" w:cs="Times New Roman" w:eastAsia="Times New Roman" w:hAnsi="Times New Roman"/>
          <w:sz w:val="18"/>
          <w:szCs w:val="18"/>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w:t>
      </w:r>
      <w:r>
        <w:rPr>
          <w:rFonts w:ascii="Times New Roman" w:cs="Times New Roman" w:eastAsia="Times New Roman" w:hAnsi="Times New Roman"/>
          <w:sz w:val="18"/>
          <w:szCs w:val="18"/>
          <w:i w:val="1"/>
          <w:iCs w:val="1"/>
          <w:color w:val="auto"/>
        </w:rPr>
        <w:t>ITEM 1. BUSINESS—Regulation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Development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Regulated Investment Company Classification</w:t>
      </w:r>
      <w:r>
        <w:rPr>
          <w:rFonts w:ascii="Times New Roman" w:cs="Times New Roman" w:eastAsia="Times New Roman" w:hAnsi="Times New Roman"/>
          <w:sz w:val="18"/>
          <w:szCs w:val="18"/>
          <w:color w:val="auto"/>
        </w:rPr>
        <w:t>” for more information.</w:t>
      </w:r>
    </w:p>
    <w:p>
      <w:pPr>
        <w:spacing w:after="0" w:line="290"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67" w:lineRule="exact"/>
        <w:rPr>
          <w:sz w:val="20"/>
          <w:szCs w:val="20"/>
          <w:color w:val="auto"/>
        </w:rPr>
      </w:pPr>
    </w:p>
    <w:p>
      <w:pPr>
        <w:ind w:right="40" w:firstLine="259"/>
        <w:spacing w:after="0" w:line="255"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Fees and Incentive Fees paid to our Adviser and certain of our other expenses for the calendar year, and these fees and expenses will be treated as miscellaneous itemized deductions of such U.S. stockholder. Miscellaneous itemized deductions generally are not deductible by individuals, trusts or estates for taxable years beginning after December 31, 2017 and before January 1, 2026.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certain risks associated with holding debt obligations that have original issue discount or payment-in-kind interest.</w:t>
      </w:r>
    </w:p>
    <w:p>
      <w:pPr>
        <w:spacing w:after="0" w:line="121" w:lineRule="exact"/>
        <w:rPr>
          <w:sz w:val="20"/>
          <w:szCs w:val="20"/>
          <w:color w:val="auto"/>
        </w:rPr>
      </w:pPr>
    </w:p>
    <w:p>
      <w:pPr>
        <w:jc w:val="both"/>
        <w:ind w:right="20" w:firstLine="259"/>
        <w:spacing w:after="0" w:line="266" w:lineRule="auto"/>
        <w:rPr>
          <w:sz w:val="20"/>
          <w:szCs w:val="20"/>
          <w:color w:val="auto"/>
        </w:rPr>
      </w:pPr>
      <w:r>
        <w:rPr>
          <w:rFonts w:ascii="Times New Roman" w:cs="Times New Roman" w:eastAsia="Times New Roman" w:hAnsi="Times New Roman"/>
          <w:sz w:val="18"/>
          <w:szCs w:val="18"/>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76" w:lineRule="exact"/>
        <w:rPr>
          <w:sz w:val="20"/>
          <w:szCs w:val="20"/>
          <w:color w:val="auto"/>
        </w:rPr>
      </w:pPr>
    </w:p>
    <w:p>
      <w:pPr>
        <w:jc w:val="both"/>
        <w:ind w:right="80" w:firstLine="259"/>
        <w:spacing w:after="0" w:line="266" w:lineRule="auto"/>
        <w:rPr>
          <w:sz w:val="20"/>
          <w:szCs w:val="20"/>
          <w:color w:val="auto"/>
        </w:rPr>
      </w:pPr>
      <w:r>
        <w:rPr>
          <w:rFonts w:ascii="Times New Roman" w:cs="Times New Roman" w:eastAsia="Times New Roman" w:hAnsi="Times New Roman"/>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8" w:name="page49"/>
    <w:bookmarkEnd w:id="48"/>
    <w:p>
      <w:pPr>
        <w:ind w:right="260" w:firstLine="259"/>
        <w:spacing w:after="0" w:line="282" w:lineRule="auto"/>
        <w:rPr>
          <w:sz w:val="20"/>
          <w:szCs w:val="20"/>
          <w:color w:val="auto"/>
        </w:rPr>
      </w:pPr>
      <w:r>
        <w:rPr>
          <w:rFonts w:ascii="Times New Roman" w:cs="Times New Roman" w:eastAsia="Times New Roman" w:hAnsi="Times New Roman"/>
          <w:sz w:val="18"/>
          <w:szCs w:val="18"/>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62"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For accounting purposes, any cash dividends to stockholders representing OID income are not treated as coming from paid-in capital, even if the cash to pay them comes from the proceeds of issuances of our common stock. As a result, despite the fact that a dividend representing OID income could be paid out of amounts invested by our stockholders, the 1940 Act does not require that stockholders be given notice of this fact by reporting it as a return of capital.</w:t>
      </w:r>
    </w:p>
    <w:p>
      <w:pPr>
        <w:spacing w:after="0" w:line="176" w:lineRule="exact"/>
        <w:rPr>
          <w:sz w:val="20"/>
          <w:szCs w:val="20"/>
          <w:color w:val="auto"/>
        </w:rPr>
      </w:pPr>
    </w:p>
    <w:p>
      <w:pPr>
        <w:ind w:right="60" w:firstLine="259"/>
        <w:spacing w:after="0" w:line="313" w:lineRule="auto"/>
        <w:rPr>
          <w:sz w:val="20"/>
          <w:szCs w:val="20"/>
          <w:color w:val="auto"/>
        </w:rPr>
      </w:pPr>
      <w:r>
        <w:rPr>
          <w:rFonts w:ascii="Times New Roman" w:cs="Times New Roman" w:eastAsia="Times New Roman" w:hAnsi="Times New Roman"/>
          <w:sz w:val="17"/>
          <w:szCs w:val="17"/>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investors in our common stock may not receive dividends or that our dividends may not grow over time.</w:t>
      </w:r>
    </w:p>
    <w:p>
      <w:pPr>
        <w:spacing w:after="0" w:line="121" w:lineRule="exact"/>
        <w:rPr>
          <w:sz w:val="20"/>
          <w:szCs w:val="20"/>
          <w:color w:val="auto"/>
        </w:rPr>
      </w:pPr>
    </w:p>
    <w:p>
      <w:pPr>
        <w:ind w:right="140" w:firstLine="259"/>
        <w:spacing w:after="0" w:line="255" w:lineRule="auto"/>
        <w:rPr>
          <w:sz w:val="20"/>
          <w:szCs w:val="20"/>
          <w:color w:val="auto"/>
        </w:rPr>
      </w:pPr>
      <w:r>
        <w:rPr>
          <w:rFonts w:ascii="Times New Roman" w:cs="Times New Roman" w:eastAsia="Times New Roman" w:hAnsi="Times New Roman"/>
          <w:sz w:val="18"/>
          <w:szCs w:val="18"/>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Annual Report.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Portfolio Company Investments—There are certain risks associated with holding debt obligations that have original issue discount or payment-in-kind interest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80" w:firstLine="259"/>
        <w:spacing w:after="0" w:line="258" w:lineRule="auto"/>
        <w:rPr>
          <w:sz w:val="20"/>
          <w:szCs w:val="20"/>
          <w:color w:val="auto"/>
        </w:rPr>
      </w:pPr>
      <w:r>
        <w:rPr>
          <w:rFonts w:ascii="Times New Roman" w:cs="Times New Roman" w:eastAsia="Times New Roman" w:hAnsi="Times New Roman"/>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4" w:lineRule="exact"/>
        <w:rPr>
          <w:sz w:val="20"/>
          <w:szCs w:val="20"/>
          <w:color w:val="auto"/>
        </w:rPr>
      </w:pPr>
    </w:p>
    <w:p>
      <w:pPr>
        <w:jc w:val="both"/>
        <w:ind w:right="60" w:firstLine="259"/>
        <w:spacing w:after="0" w:line="266" w:lineRule="auto"/>
        <w:rPr>
          <w:sz w:val="20"/>
          <w:szCs w:val="20"/>
          <w:color w:val="auto"/>
        </w:rPr>
      </w:pPr>
      <w:r>
        <w:rPr>
          <w:rFonts w:ascii="Times New Roman" w:cs="Times New Roman" w:eastAsia="Times New Roman" w:hAnsi="Times New Roman"/>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76"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84" w:lineRule="exact"/>
        <w:rPr>
          <w:sz w:val="20"/>
          <w:szCs w:val="20"/>
          <w:color w:val="auto"/>
        </w:rPr>
      </w:pPr>
    </w:p>
    <w:p>
      <w:pPr>
        <w:jc w:val="both"/>
        <w:ind w:right="100" w:firstLine="259"/>
        <w:spacing w:after="0" w:line="266" w:lineRule="auto"/>
        <w:rPr>
          <w:sz w:val="20"/>
          <w:szCs w:val="20"/>
          <w:color w:val="auto"/>
        </w:rPr>
      </w:pPr>
      <w:r>
        <w:rPr>
          <w:rFonts w:ascii="Times New Roman" w:cs="Times New Roman" w:eastAsia="Times New Roman" w:hAnsi="Times New Roman"/>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securities may involve a high degree of risk.</w:t>
      </w:r>
    </w:p>
    <w:p>
      <w:pPr>
        <w:spacing w:after="0" w:line="121"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fluctuate significantly.</w:t>
      </w:r>
    </w:p>
    <w:p>
      <w:pPr>
        <w:spacing w:after="0" w:line="121" w:lineRule="exact"/>
        <w:rPr>
          <w:sz w:val="20"/>
          <w:szCs w:val="20"/>
          <w:color w:val="auto"/>
        </w:rPr>
      </w:pPr>
    </w:p>
    <w:p>
      <w:pPr>
        <w:ind w:right="560" w:firstLine="259"/>
        <w:spacing w:after="0" w:line="282" w:lineRule="auto"/>
        <w:rPr>
          <w:sz w:val="20"/>
          <w:szCs w:val="20"/>
          <w:color w:val="auto"/>
        </w:rPr>
      </w:pPr>
      <w:r>
        <w:rPr>
          <w:rFonts w:ascii="Times New Roman" w:cs="Times New Roman" w:eastAsia="Times New Roman" w:hAnsi="Times New Roman"/>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4" w:lineRule="exact"/>
        <w:rPr>
          <w:sz w:val="20"/>
          <w:szCs w:val="20"/>
          <w:color w:val="auto"/>
        </w:rPr>
      </w:pPr>
    </w:p>
    <w:p>
      <w:pPr>
        <w:ind w:left="520" w:right="100" w:hanging="255"/>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tax guidelines, particularly with respect to RICs or BDCs;</w:t>
      </w:r>
    </w:p>
    <w:p>
      <w:pPr>
        <w:spacing w:after="0" w:line="117" w:lineRule="exact"/>
        <w:rPr>
          <w:rFonts w:ascii="Times New Roman" w:cs="Times New Roman" w:eastAsia="Times New Roman" w:hAnsi="Times New Roman"/>
          <w:sz w:val="18"/>
          <w:szCs w:val="18"/>
          <w:color w:val="auto"/>
        </w:rPr>
      </w:pPr>
    </w:p>
    <w:p>
      <w:pPr>
        <w:ind w:left="520" w:hanging="255"/>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RIC or BDC status;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earnings or variations in operating results;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portfolio of investments;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the value of our portfolio of investments;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guidelines governing valuation of our investments;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net income or any increase in losses from levels expected by investors or securities analysts;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downgrades to our credit rating or placement on a negative watch status by a credit rating agency;</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the Adviser’s or any of its affiliates’ key personnel;</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pressure with respect to shares of our common stock or BDCs generally;</w:t>
      </w:r>
    </w:p>
    <w:p>
      <w:pPr>
        <w:spacing w:after="0" w:line="117" w:lineRule="exact"/>
        <w:rPr>
          <w:rFonts w:ascii="Times New Roman" w:cs="Times New Roman" w:eastAsia="Times New Roman" w:hAnsi="Times New Roman"/>
          <w:sz w:val="18"/>
          <w:szCs w:val="18"/>
          <w:color w:val="auto"/>
        </w:rPr>
      </w:pPr>
    </w:p>
    <w:p>
      <w:pPr>
        <w:ind w:left="520" w:right="140" w:hanging="255"/>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securities convertible into or exchangeable or exercisable for our common stock or the conversion of such securities, including our Convertible Notes;</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surrounding the strength of the U.S. economic recovery;</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European sovereign debt and Brexit;</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volatility in the Chinese stock market and Chinese currency;</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base interest rates, such as LIBOR, EURIBOR, the Federal Funds Rate or the Prime Rate;</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other external factors;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funding source.</w:t>
      </w:r>
    </w:p>
    <w:p>
      <w:pPr>
        <w:spacing w:after="0" w:line="225" w:lineRule="exact"/>
        <w:rPr>
          <w:sz w:val="20"/>
          <w:szCs w:val="20"/>
          <w:color w:val="auto"/>
        </w:rPr>
      </w:pPr>
    </w:p>
    <w:p>
      <w:pPr>
        <w:ind w:right="300" w:firstLine="259"/>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the market price of shares of our common stock will not decline.</w:t>
      </w:r>
    </w:p>
    <w:p>
      <w:pPr>
        <w:spacing w:after="0" w:line="121"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may have an adverse effect on the market price of our common stock.</w:t>
      </w:r>
    </w:p>
    <w:p>
      <w:pPr>
        <w:spacing w:after="0" w:line="121"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common stock, the availability of such common stock for sale (including as a result of the conversion of our 2019 Convertible Notes and our 2022 Convertible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experience dilution upon the conversion of the 2019 Convertible Notes and the 2022 Convertible Notes.</w:t>
      </w:r>
    </w:p>
    <w:p>
      <w:pPr>
        <w:spacing w:after="0" w:line="121"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Our 2019 Convertible Notes and our 2022 Convertible Notes are convertible into shares of our common stock beginning on June 15, 2019 and February 1, 2022, respectively, or earlier, under certain circumstances. Upon conversion of our 2019 Convertible Notes and 2022 Convertible Notes, we have the choice to pay or deliver, as the case may be, at our election, cash, shares of our common stock or a combination of cash and shares of our common stock. The estimated adjusted conversion price of the 2019 Convertible Notes is $25.07 per share and the estimated adjusted conversion price of the 2022 Convertible Notes is $20.91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2019 Convertible Notes and the 2022 Convertible Notes and any dividends paid on our common stock will also be paid on shares issued in connection with such conversion after such issuance.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will experience dilution in their ownership percentage if they opt out of our dividend reinvestment plan.</w:t>
      </w:r>
    </w:p>
    <w:p>
      <w:pPr>
        <w:spacing w:after="0" w:line="121" w:lineRule="exact"/>
        <w:rPr>
          <w:sz w:val="20"/>
          <w:szCs w:val="20"/>
          <w:color w:val="auto"/>
        </w:rPr>
      </w:pPr>
    </w:p>
    <w:p>
      <w:pPr>
        <w:ind w:right="80" w:firstLine="259"/>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Times New Roman" w:cs="Times New Roman" w:eastAsia="Times New Roman" w:hAnsi="Times New Roman"/>
          <w:sz w:val="18"/>
          <w:szCs w:val="18"/>
          <w:i w:val="1"/>
          <w:iCs w:val="1"/>
          <w:color w:val="auto"/>
        </w:rPr>
        <w:t>“ITEM 1. BUSINESS—Dividend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1. BUSINESS—Dividend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Reinvestment Plan</w:t>
      </w:r>
      <w:r>
        <w:rPr>
          <w:rFonts w:ascii="Times New Roman" w:cs="Times New Roman" w:eastAsia="Times New Roman" w:hAnsi="Times New Roman"/>
          <w:sz w:val="18"/>
          <w:szCs w:val="18"/>
          <w:color w:val="auto"/>
        </w:rPr>
        <w:t>” for a description of our dividend policy and obligations.</w:t>
      </w:r>
    </w:p>
    <w:p>
      <w:pPr>
        <w:spacing w:after="0" w:line="184"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9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51" w:lineRule="exact"/>
        <w:rPr>
          <w:sz w:val="20"/>
          <w:szCs w:val="20"/>
          <w:color w:val="auto"/>
        </w:rPr>
      </w:pPr>
    </w:p>
    <w:p>
      <w:pPr>
        <w:ind w:right="280" w:firstLine="259"/>
        <w:spacing w:after="0" w:line="261" w:lineRule="auto"/>
        <w:rPr>
          <w:sz w:val="20"/>
          <w:szCs w:val="20"/>
          <w:color w:val="auto"/>
        </w:rPr>
      </w:pPr>
      <w:r>
        <w:rPr>
          <w:rFonts w:ascii="Times New Roman" w:cs="Times New Roman" w:eastAsia="Times New Roman" w:hAnsi="Times New Roman"/>
          <w:sz w:val="18"/>
          <w:szCs w:val="18"/>
          <w:color w:val="auto"/>
        </w:rPr>
        <w:t>We have entered into an agreement with Goldman Sachs &amp; Co. LLC, which we refer to as the Company 10b5-1 Plan, in accordance with Rules 10b5-1 and 10b-18 under the Exchange Act, under which Goldman Sachs &amp; Co. LLC, as agent for us, will buy up to $50 million of our common stock in the aggregate during the period ending on the earlier of the date on which all the capital committed to the plan has been exhausted or February 28, 2019. On February 20, 2019, our Board of Directors authorized the extension of the termination date of the Company 10b5-1 Plan to August 31, 2019.</w:t>
      </w:r>
    </w:p>
    <w:p>
      <w:pPr>
        <w:spacing w:after="0" w:line="180"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our common stock by us under the Company 10b5-1 Plan may result in dilution to our net asset value per share.</w:t>
      </w:r>
    </w:p>
    <w:p>
      <w:pPr>
        <w:spacing w:after="0" w:line="121"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w:t>
      </w:r>
    </w:p>
    <w:p>
      <w:pPr>
        <w:spacing w:after="0" w:line="180"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Because purchases under the Company 10b5-1 Plan are made beginning at any price below our most recently reported net asset value per share, if our net asset value per share as of the end of a quarter is lower than the net asset per share as of the end of the prior quarter, purchases under the Company 10b5-1 Plan during the period from the end of a quarter to the time of our earnings release announcing the new net asset value per share for that quarter may result in dilution to our net asset value per share. This dilution would occur because we would repurchase shares under the Company 10b5-1 Plan at a price above the net asset value per share as of the end of the most recent quarter end, which would cause a proportionately smaller increase in our stockholders’ interest in our earnings and assets and their voting interest in us than the decrease in our assets resulting from such repurchase. 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maintain our principal executive office at 301 Commerce Street, Suite 3300, Fort Worth, Texas 76102. We do not own any real estate.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87" w:right="31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 Range of Common Stock</w:t>
      </w:r>
    </w:p>
    <w:p>
      <w:pPr>
        <w:spacing w:after="0" w:line="119" w:lineRule="exact"/>
        <w:rPr>
          <w:sz w:val="20"/>
          <w:szCs w:val="20"/>
          <w:color w:val="auto"/>
        </w:rPr>
      </w:pPr>
    </w:p>
    <w:p>
      <w:pPr>
        <w:jc w:val="both"/>
        <w:ind w:right="220" w:firstLine="259"/>
        <w:spacing w:after="0" w:line="289" w:lineRule="auto"/>
        <w:rPr>
          <w:sz w:val="20"/>
          <w:szCs w:val="20"/>
          <w:color w:val="auto"/>
        </w:rPr>
      </w:pPr>
      <w:r>
        <w:rPr>
          <w:rFonts w:ascii="Times New Roman" w:cs="Times New Roman" w:eastAsia="Times New Roman" w:hAnsi="Times New Roman"/>
          <w:sz w:val="17"/>
          <w:szCs w:val="17"/>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w:t>
      </w:r>
      <w:r>
        <w:rPr>
          <w:rFonts w:ascii="Times New Roman" w:cs="Times New Roman" w:eastAsia="Times New Roman" w:hAnsi="Times New Roman"/>
          <w:sz w:val="17"/>
          <w:szCs w:val="17"/>
          <w:i w:val="1"/>
          <w:iCs w:val="1"/>
          <w:color w:val="auto"/>
        </w:rPr>
        <w:t>ITEM 1A. RISK FACTORS—Risks Related to our Securities—We cannot assure you that the market price of shares of our common stock will not decline</w:t>
      </w:r>
      <w:r>
        <w:rPr>
          <w:rFonts w:ascii="Times New Roman" w:cs="Times New Roman" w:eastAsia="Times New Roman" w:hAnsi="Times New Roman"/>
          <w:sz w:val="17"/>
          <w:szCs w:val="17"/>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February 19, 2019, there were approximately 5 holders of record of our common stock (including Cede &amp; Co.).</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Performance Graph</w:t>
      </w:r>
    </w:p>
    <w:p>
      <w:pPr>
        <w:spacing w:after="0" w:line="119"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The following graph compares the total return on our common stock from March 21, 2014 (the date of our IPO) to December 31, 2018 with that of the Standard &amp; Poor’s BDC Index, the Standard &amp; Poor’s 500 Stock Index, the S&amp;P LSTA Leveraged Loan Index (“Leverage Loan Index”), and the Bloomberg Barclays US Corporate High Yield Total Return Index (“High Yield Bond Index”). This graph assumes that on March 21, 2014, $100 was invested in our common stock, the Standard &amp; Poor’s BDC Index, the Standard &amp; Poor’s 500 Stock Index, the Leverage Loan Index and the High Yield Bond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performance included in the below graph is not necessarily indicative of future performance.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363220</wp:posOffset>
            </wp:positionV>
            <wp:extent cx="6165850" cy="39020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90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ind w:right="420" w:firstLine="259"/>
        <w:spacing w:after="0" w:line="266" w:lineRule="auto"/>
        <w:rPr>
          <w:sz w:val="20"/>
          <w:szCs w:val="20"/>
          <w:color w:val="auto"/>
        </w:rPr>
      </w:pPr>
      <w:r>
        <w:rPr>
          <w:rFonts w:ascii="Times New Roman" w:cs="Times New Roman" w:eastAsia="Times New Roman" w:hAnsi="Times New Roman"/>
          <w:sz w:val="18"/>
          <w:szCs w:val="18"/>
          <w:color w:val="auto"/>
        </w:rPr>
        <w:t>The table below sets forth our selected consolidated historical financial data for the periods indicated. The selected consolidated financial data for the years ended December 31, 2018, 2017, 2016, 2015 and 2014 have been derived from our audited consolidated financial statements, which are included elsewhere in this Form 10-K and our SEC filings.</w:t>
      </w:r>
    </w:p>
    <w:p>
      <w:pPr>
        <w:spacing w:after="0" w:line="174" w:lineRule="exact"/>
        <w:rPr>
          <w:sz w:val="20"/>
          <w:szCs w:val="20"/>
          <w:color w:val="auto"/>
        </w:rPr>
      </w:pPr>
    </w:p>
    <w:p>
      <w:pPr>
        <w:ind w:right="100" w:firstLine="259"/>
        <w:spacing w:after="0" w:line="267" w:lineRule="auto"/>
        <w:rPr>
          <w:sz w:val="20"/>
          <w:szCs w:val="20"/>
          <w:color w:val="auto"/>
        </w:rPr>
      </w:pPr>
      <w:r>
        <w:rPr>
          <w:rFonts w:ascii="Times New Roman" w:cs="Times New Roman" w:eastAsia="Times New Roman" w:hAnsi="Times New Roman"/>
          <w:sz w:val="18"/>
          <w:szCs w:val="18"/>
          <w:color w:val="auto"/>
        </w:rPr>
        <w:t>The selected consolidated financial information and other data presented below should be read in conjunction with the information contained in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the audited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and the notes thereto included elsewhere in this annual report on Form 10-K.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4"/>
                <w:szCs w:val="14"/>
                <w:color w:val="auto"/>
              </w:rPr>
            </w:pPr>
          </w:p>
        </w:tc>
      </w:tr>
      <w:tr>
        <w:trPr>
          <w:trHeight w:val="173"/>
        </w:trPr>
        <w:tc>
          <w:tcPr>
            <w:tcW w:w="46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in millions, except per share amounts)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23"/>
        </w:trPr>
        <w:tc>
          <w:tcPr>
            <w:tcW w:w="58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5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Investment Income</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Expenses</w:t>
            </w: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11"/>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Before Income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Change in Net Unrealized Gain (Loss)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Realized Loss</w:t>
            </w: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1"/>
        </w:trPr>
        <w:tc>
          <w:tcPr>
            <w:tcW w:w="58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common share—basic and</w:t>
            </w: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15"/>
                <w:szCs w:val="15"/>
                <w:color w:val="auto"/>
              </w:rPr>
              <w:t>(1)</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55" w:name="page56"/>
    <w:bookmarkEnd w:id="55"/>
    <w:tbl>
      <w:tblPr>
        <w:tblLayout w:type="fixed"/>
        <w:tblInd w:w="580" w:type="dxa"/>
        <w:tblCellMar>
          <w:top w:w="0" w:type="dxa"/>
          <w:left w:w="0" w:type="dxa"/>
          <w:bottom w:w="0" w:type="dxa"/>
          <w:right w:w="0" w:type="dxa"/>
        </w:tblCellMar>
      </w:tblPr>
      <w:tr>
        <w:trPr>
          <w:trHeight w:val="173"/>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 except per share amounts)</w:t>
            </w:r>
          </w:p>
        </w:tc>
        <w:tc>
          <w:tcPr>
            <w:tcW w:w="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80" w:type="dxa"/>
            <w:vAlign w:val="bottom"/>
            <w:tcBorders>
              <w:bottom w:val="single" w:sz="8" w:color="CFF0FC"/>
            </w:tcBorders>
            <w:vMerge w:val="continue"/>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2015</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9"/>
                <w:szCs w:val="19"/>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1,693.7</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1,485.7</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2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20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1,675.5</w:t>
            </w:r>
          </w:p>
        </w:tc>
        <w:tc>
          <w:tcPr>
            <w:tcW w:w="220" w:type="dxa"/>
            <w:vAlign w:val="bottom"/>
          </w:tcPr>
          <w:p>
            <w:pPr>
              <w:spacing w:after="0"/>
              <w:rPr>
                <w:sz w:val="19"/>
                <w:szCs w:val="19"/>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1,506.5</w:t>
            </w:r>
          </w:p>
        </w:tc>
        <w:tc>
          <w:tcPr>
            <w:tcW w:w="2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2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20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220" w:type="dxa"/>
            <w:vAlign w:val="bottom"/>
          </w:tcPr>
          <w:p>
            <w:pPr>
              <w:spacing w:after="0"/>
              <w:rPr>
                <w:sz w:val="19"/>
                <w:szCs w:val="19"/>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2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0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20" w:type="dxa"/>
            <w:vAlign w:val="bottom"/>
          </w:tcPr>
          <w:p>
            <w:pPr>
              <w:spacing w:after="0"/>
              <w:rPr>
                <w:sz w:val="19"/>
                <w:szCs w:val="19"/>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Number of portfolio companies at year end</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Total return based on net asset value </w:t>
            </w:r>
            <w:r>
              <w:rPr>
                <w:rFonts w:ascii="Times New Roman" w:cs="Times New Roman" w:eastAsia="Times New Roman" w:hAnsi="Times New Roman"/>
                <w:sz w:val="15"/>
                <w:szCs w:val="15"/>
                <w:color w:val="auto"/>
              </w:rPr>
              <w:t>(2)</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1"/>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yield of debt and income</w:t>
            </w: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producing securities at fair value </w:t>
            </w:r>
            <w:r>
              <w:rPr>
                <w:rFonts w:ascii="Times New Roman" w:cs="Times New Roman" w:eastAsia="Times New Roman" w:hAnsi="Times New Roman"/>
                <w:sz w:val="15"/>
                <w:szCs w:val="15"/>
                <w:color w:val="auto"/>
              </w:rPr>
              <w:t>(3)</w:t>
            </w: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1"/>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yield of debt and income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producing securities at amortized cost </w:t>
            </w:r>
            <w:r>
              <w:rPr>
                <w:rFonts w:ascii="Times New Roman" w:cs="Times New Roman" w:eastAsia="Times New Roman" w:hAnsi="Times New Roman"/>
                <w:sz w:val="15"/>
                <w:szCs w:val="15"/>
                <w:color w:val="auto"/>
              </w:rPr>
              <w:t>(3)</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1"/>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debt investments as a percentage of</w:t>
            </w: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99.4%</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98.5%</w:t>
            </w: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96.7%</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11"/>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fair value of debt investments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a percentage of call price</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common share is based on weighted average shares of common stock outstanding during the period.</w:t>
      </w:r>
    </w:p>
    <w:p>
      <w:pPr>
        <w:spacing w:after="0" w:line="27"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Generally Accepted Accounting Principles (“U.S. GAAP”) requires that total return be calculated as the change in net asset value per share during the period plus declared dividends per share, divided by the beginning net asset value per share. Our total return set forth in the table above for the years ended December 31, 2018, 2017, 2016, 2015, and 2014 reflects the Adviser’s waivers of its right to receive a portion of the Management Fee and Incentive Fees prior to our IPO and separately with respect to our ownership of shares of common stock of Triangle Capital Corp. and Oxford Square Capital Corp. The Management Fee, excluding the effects of the waivers, would have been $28.6 million, $24.3 million, $24.3 million, $21.3 million, and $18.3 million for the years ended December 31, 2018, 2017, 2016, 2015, and 2014, respectively. The Incentive Fee excluding the effects of the waiver would have been $30.5 million, $25.5 million, $22.7 million and $20.2 million for the years ended December 31, 2018, 2017, 2016, and 2015, respectively. The corresponding impact on the total return calculation is not material.</w:t>
      </w:r>
    </w:p>
    <w:p>
      <w:pPr>
        <w:spacing w:after="0" w:line="3" w:lineRule="exact"/>
        <w:rPr>
          <w:rFonts w:ascii="Times New Roman" w:cs="Times New Roman" w:eastAsia="Times New Roman" w:hAnsi="Times New Roman"/>
          <w:sz w:val="18"/>
          <w:szCs w:val="18"/>
          <w:color w:val="auto"/>
        </w:rPr>
      </w:pPr>
    </w:p>
    <w:p>
      <w:pPr>
        <w:ind w:left="520" w:hanging="512"/>
        <w:spacing w:after="0" w:line="25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yield on debt and income 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fair value. Weighted average yield on debt and income 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374" w:lineRule="exact"/>
        <w:rPr>
          <w:sz w:val="20"/>
          <w:szCs w:val="20"/>
          <w:color w:val="auto"/>
        </w:rPr>
      </w:pPr>
    </w:p>
    <w:p>
      <w:pPr>
        <w:ind w:right="1360"/>
        <w:spacing w:after="0" w:line="37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Introduction</w:t>
      </w:r>
    </w:p>
    <w:p>
      <w:pPr>
        <w:spacing w:after="0" w:line="2" w:lineRule="exact"/>
        <w:rPr>
          <w:sz w:val="20"/>
          <w:szCs w:val="20"/>
          <w:color w:val="auto"/>
        </w:rPr>
      </w:pPr>
    </w:p>
    <w:p>
      <w:pPr>
        <w:ind w:right="60" w:firstLine="259"/>
        <w:spacing w:after="0" w:line="267" w:lineRule="auto"/>
        <w:rPr>
          <w:sz w:val="20"/>
          <w:szCs w:val="20"/>
          <w:color w:val="auto"/>
        </w:rPr>
      </w:pPr>
      <w:r>
        <w:rPr>
          <w:rFonts w:ascii="Times New Roman" w:cs="Times New Roman" w:eastAsia="Times New Roman" w:hAnsi="Times New Roman"/>
          <w:sz w:val="18"/>
          <w:szCs w:val="18"/>
          <w:i w:val="1"/>
          <w:iCs w:val="1"/>
          <w:color w:val="auto"/>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440" w:firstLine="259"/>
        <w:spacing w:after="0" w:line="266" w:lineRule="auto"/>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previously used to</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28" w:right="2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support our asset-backed credit facility, and TSL MR, LLC, a Delaware limited liability company, in which we hold certain investments.</w:t>
      </w:r>
    </w:p>
    <w:p>
      <w:pPr>
        <w:spacing w:after="0" w:line="225" w:lineRule="exact"/>
        <w:rPr>
          <w:sz w:val="20"/>
          <w:szCs w:val="20"/>
          <w:color w:val="auto"/>
        </w:rPr>
      </w:pPr>
    </w:p>
    <w:p>
      <w:pPr>
        <w:ind w:right="20" w:firstLine="259"/>
        <w:spacing w:after="0" w:line="282" w:lineRule="auto"/>
        <w:rPr>
          <w:sz w:val="20"/>
          <w:szCs w:val="20"/>
          <w:color w:val="auto"/>
        </w:rPr>
      </w:pPr>
      <w:r>
        <w:rPr>
          <w:rFonts w:ascii="Times New Roman" w:cs="Times New Roman" w:eastAsia="Times New Roman" w:hAnsi="Times New Roman"/>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4" w:lineRule="exact"/>
        <w:rPr>
          <w:sz w:val="20"/>
          <w:szCs w:val="20"/>
          <w:color w:val="auto"/>
        </w:rPr>
      </w:pPr>
    </w:p>
    <w:p>
      <w:pPr>
        <w:ind w:left="520" w:hanging="255"/>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invest at least 70% of our assets in “qualifying assets”;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income limitations;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diversification requirements; and</w:t>
      </w:r>
    </w:p>
    <w:p>
      <w:pPr>
        <w:spacing w:after="0" w:line="117" w:lineRule="exact"/>
        <w:rPr>
          <w:rFonts w:ascii="Times New Roman" w:cs="Times New Roman" w:eastAsia="Times New Roman" w:hAnsi="Times New Roman"/>
          <w:sz w:val="18"/>
          <w:szCs w:val="18"/>
          <w:color w:val="auto"/>
        </w:rPr>
      </w:pPr>
    </w:p>
    <w:p>
      <w:pPr>
        <w:ind w:left="520" w:right="500" w:hanging="255"/>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distribute (or be treated as distributing) in each taxable year at least 90% of our investment company taxable income and tax-exempt interest for that taxable year.</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shares are currently listed on the NYSE under the symbol “TSLX.”</w:t>
      </w:r>
    </w:p>
    <w:p>
      <w:pPr>
        <w:spacing w:after="0" w:line="225"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 10b-18 and Rule 10b5-1 of the Exchange Act, and has continued to authorize extensions of the plan termination date prior to its expiration since that time. We put the Company 10b5-1 Plan in place because we believe that, in current market conditions, if our common stock is trading below our then-current net asset value per share, it is in the best interest of our stockholders for us to reinvest in our portfolio and increase our leverage ratio through share repurchases.</w:t>
      </w:r>
    </w:p>
    <w:p>
      <w:pPr>
        <w:spacing w:after="0" w:line="184"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jc w:val="both"/>
        <w:ind w:right="200" w:firstLine="259"/>
        <w:spacing w:after="0" w:line="266" w:lineRule="auto"/>
        <w:rPr>
          <w:sz w:val="20"/>
          <w:szCs w:val="20"/>
          <w:color w:val="auto"/>
        </w:rPr>
      </w:pPr>
      <w:r>
        <w:rPr>
          <w:rFonts w:ascii="Times New Roman" w:cs="Times New Roman" w:eastAsia="Times New Roman" w:hAnsi="Times New Roman"/>
          <w:sz w:val="18"/>
          <w:szCs w:val="18"/>
          <w:color w:val="auto"/>
        </w:rPr>
        <w:t>On February 20, 2019, the Board authorized the extension of the termination date of the Company 10b5-1 Plan to August 31, 2019. Unless extended or terminated by the Board, the Company 10b5-1 Plan will be in effect through the earlier of August 31, 2019 or such time as the current approved repurchase amount of up to $50 million has been fully utilized, subject to certain conditions.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Framework</w:t>
      </w:r>
    </w:p>
    <w:p>
      <w:pPr>
        <w:spacing w:after="0" w:line="121" w:lineRule="exact"/>
        <w:rPr>
          <w:sz w:val="20"/>
          <w:szCs w:val="20"/>
          <w:color w:val="auto"/>
        </w:rPr>
      </w:pPr>
    </w:p>
    <w:p>
      <w:pPr>
        <w:ind w:right="80" w:firstLine="259"/>
        <w:spacing w:after="0" w:line="258"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December 31, 2018, we have originated more than $9.5 billion aggregate principal amount of investments and retained approximately $5.2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84"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By “middle-market companies,” we mean companies that have annual EBITDA, which we believe is a useful proxy for cash flow, of $10 million to $250 million, although we may invest in larger or smaller companies on occasion. As of December 31, 2018, our core portfolio companies, which excludes certain investments that fall outside of our typical borrower profile and represent 83.7% of our total investments based on fair value, had weighted average annual revenue of $101.7 million and weighted average annual EBITDA of $27.9 million.</w:t>
      </w:r>
    </w:p>
    <w:p>
      <w:pPr>
        <w:spacing w:after="0" w:line="180"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4" w:lineRule="exact"/>
        <w:rPr>
          <w:sz w:val="20"/>
          <w:szCs w:val="20"/>
          <w:color w:val="auto"/>
        </w:rPr>
      </w:pPr>
    </w:p>
    <w:p>
      <w:pPr>
        <w:ind w:right="160" w:firstLine="259"/>
        <w:spacing w:after="0" w:line="266" w:lineRule="auto"/>
        <w:rPr>
          <w:sz w:val="20"/>
          <w:szCs w:val="20"/>
          <w:color w:val="auto"/>
        </w:rPr>
      </w:pPr>
      <w:r>
        <w:rPr>
          <w:rFonts w:ascii="Times New Roman" w:cs="Times New Roman" w:eastAsia="Times New Roman" w:hAnsi="Times New Roman"/>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7" w:name="page58"/>
    <w:bookmarkEnd w:id="57"/>
    <w:p>
      <w:pPr>
        <w:ind w:right="220" w:firstLine="259"/>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As of December 31, 2018, the largest single investment based on fair value represented 4.9% of our total investment portfolio.</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2018, the average investment size in each of our portfolio companies was approximately $37.1 million based on fair value.</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Through our Adviser, we consider potential investments utilizing a four-tiered investment framework and against our existing portfolio as a whole:</w:t>
      </w:r>
    </w:p>
    <w:p>
      <w:pPr>
        <w:spacing w:after="0" w:line="223"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and sector selection. </w:t>
      </w:r>
      <w:r>
        <w:rPr>
          <w:rFonts w:ascii="Times New Roman" w:cs="Times New Roman" w:eastAsia="Times New Roman" w:hAnsi="Times New Roman"/>
          <w:sz w:val="18"/>
          <w:szCs w:val="18"/>
          <w:color w:val="auto"/>
        </w:rPr>
        <w:t>We focus on companies with enterprise value between $50 million and $1 billion. When reviewing potential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2" w:lineRule="exact"/>
        <w:rPr>
          <w:sz w:val="20"/>
          <w:szCs w:val="20"/>
          <w:color w:val="auto"/>
        </w:rPr>
      </w:pPr>
    </w:p>
    <w:p>
      <w:pPr>
        <w:ind w:right="220" w:firstLine="259"/>
        <w:spacing w:after="0" w:line="266" w:lineRule="auto"/>
        <w:rPr>
          <w:sz w:val="20"/>
          <w:szCs w:val="20"/>
          <w:color w:val="auto"/>
        </w:rPr>
      </w:pPr>
      <w:r>
        <w:rPr>
          <w:rFonts w:ascii="Times New Roman" w:cs="Times New Roman" w:eastAsia="Times New Roman" w:hAnsi="Times New Roman"/>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2018, the largest industry represented 19.3% of our total investment portfolio based on fair value.</w:t>
      </w:r>
    </w:p>
    <w:p>
      <w:pPr>
        <w:spacing w:after="0" w:line="223"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 Structuring. </w:t>
      </w:r>
      <w:r>
        <w:rPr>
          <w:rFonts w:ascii="Times New Roman" w:cs="Times New Roman" w:eastAsia="Times New Roman" w:hAnsi="Times New Roman"/>
          <w:sz w:val="18"/>
          <w:szCs w:val="18"/>
          <w:color w:val="auto"/>
        </w:rPr>
        <w:t>We focus on investing at the top of the capital structure and protecting that position. As of December 31, 2018,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97.2% of our portfolio was invested in secured debt, including 96.9%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year ended December 31, 2018, the weighted average term on new investment commitments in new portfolio companies was 5.2 years.</w:t>
      </w:r>
    </w:p>
    <w:p>
      <w:pPr>
        <w:spacing w:after="0" w:line="183" w:lineRule="exact"/>
        <w:rPr>
          <w:sz w:val="20"/>
          <w:szCs w:val="20"/>
          <w:color w:val="auto"/>
        </w:rPr>
      </w:pPr>
    </w:p>
    <w:p>
      <w:pPr>
        <w:ind w:right="340" w:firstLine="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Deal Dynamics. </w:t>
      </w:r>
      <w:r>
        <w:rPr>
          <w:rFonts w:ascii="Times New Roman" w:cs="Times New Roman" w:eastAsia="Times New Roman" w:hAnsi="Times New Roman"/>
          <w:sz w:val="18"/>
          <w:szCs w:val="18"/>
          <w:color w:val="auto"/>
        </w:rPr>
        <w:t>We focus on, among other deal dynamics, direct origination of investments, where we identify and lead the investment transaction.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majority of our portfolio investments are sourced through our direct or proprietary relationships.</w:t>
      </w:r>
    </w:p>
    <w:p>
      <w:pPr>
        <w:spacing w:after="0" w:line="158" w:lineRule="exact"/>
        <w:rPr>
          <w:sz w:val="20"/>
          <w:szCs w:val="20"/>
          <w:color w:val="auto"/>
        </w:rPr>
      </w:pPr>
    </w:p>
    <w:p>
      <w:pPr>
        <w:ind w:right="60" w:firstLine="2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Risk Mitigation. </w:t>
      </w:r>
      <w:r>
        <w:rPr>
          <w:rFonts w:ascii="Times New Roman" w:cs="Times New Roman" w:eastAsia="Times New Roman" w:hAnsi="Times New Roman"/>
          <w:sz w:val="18"/>
          <w:szCs w:val="18"/>
          <w:color w:val="auto"/>
        </w:rPr>
        <w:t>We seek to mitigate non-credit-related risk on our returns in several ways, including call protection provisions to protect future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As of December 31, 2018, we had call protection on 84.1% of our debt investments based on fair value, with weighted average call prices of 105.7% for the first year, 103.0% for the second year and 101.4% for the third year, in each case from the date of the initial investment. As of December 31, 2018,</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99.7% of our debt investments based on fair value bore interest at floating rates (when including investment specific hedges), with 93.4% of these subject to interest rate floors, which we believe helps act as a portfolio-wide hedge against inflation.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our Adviser and TSSP</w:t>
      </w:r>
    </w:p>
    <w:p>
      <w:pPr>
        <w:spacing w:after="0" w:line="121"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TPG Sixth Street Partners, LLC, or TSSP.</w:t>
      </w:r>
    </w:p>
    <w:p>
      <w:pPr>
        <w:spacing w:after="0" w:line="215"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TSSP, with approximately $28 billion of assets under management as of September 30, 2018, is the global credit and credit-related investment firm partnered with TPG. TSSP’s core platforms include TPG Specialty Lending, TSL Europe (TSLE), which is aimed at European middle-market loan originations, TSSP Adjacent Opportunities (TAO), which has the flexibility to invest across all of TSSP’s private credit market investments, TSSP Opportunities Partners (TOP), which focuses on actively managed opportunistic investments across the credit cycle, TPG Institutional Credit Partners (TICP), which is the firm’s “public-side” credit investment platform focused on investment opportunities in broadly syndicated leveraged loan markets, and TSSP Capital Solutions (TCS),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8" w:name="page59"/>
    <w:bookmarkEnd w:id="58"/>
    <w:p>
      <w:pPr>
        <w:ind w:right="320"/>
        <w:spacing w:after="0" w:line="282" w:lineRule="auto"/>
        <w:rPr>
          <w:sz w:val="20"/>
          <w:szCs w:val="20"/>
          <w:color w:val="auto"/>
        </w:rPr>
      </w:pPr>
      <w:r>
        <w:rPr>
          <w:rFonts w:ascii="Times New Roman" w:cs="Times New Roman" w:eastAsia="Times New Roman" w:hAnsi="Times New Roman"/>
          <w:sz w:val="18"/>
          <w:szCs w:val="18"/>
          <w:color w:val="auto"/>
        </w:rPr>
        <w:t>200 investment and operating professionals. As of December 31, 2018, thirty three (33) of these personnel are dedicated to our business, including twenty five (25) investment professionals.</w:t>
      </w:r>
    </w:p>
    <w:p>
      <w:pPr>
        <w:spacing w:after="0" w:line="162"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Our Adviser consults with TSSP in connection with a substantial number of our investments. The TSSP platform provides us with a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88" w:lineRule="exact"/>
        <w:rPr>
          <w:sz w:val="20"/>
          <w:szCs w:val="20"/>
          <w:color w:val="auto"/>
        </w:rPr>
      </w:pPr>
    </w:p>
    <w:p>
      <w:pPr>
        <w:jc w:val="both"/>
        <w:ind w:right="140" w:firstLine="259"/>
        <w:spacing w:after="0" w:line="261"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0"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jc w:val="both"/>
        <w:ind w:right="180" w:firstLine="259"/>
        <w:spacing w:after="0" w:line="266" w:lineRule="auto"/>
        <w:rPr>
          <w:sz w:val="20"/>
          <w:szCs w:val="20"/>
          <w:color w:val="auto"/>
        </w:rPr>
      </w:pPr>
      <w:r>
        <w:rPr>
          <w:rFonts w:ascii="Times New Roman" w:cs="Times New Roman" w:eastAsia="Times New Roman" w:hAnsi="Times New Roman"/>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76"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40" w:firstLine="259"/>
        <w:spacing w:after="0" w:line="266" w:lineRule="auto"/>
        <w:rPr>
          <w:sz w:val="20"/>
          <w:szCs w:val="20"/>
          <w:color w:val="auto"/>
        </w:rPr>
      </w:pPr>
      <w:r>
        <w:rPr>
          <w:rFonts w:ascii="Times New Roman" w:cs="Times New Roman" w:eastAsia="Times New Roman" w:hAnsi="Times New Roman"/>
          <w:sz w:val="18"/>
          <w:szCs w:val="18"/>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76" w:lineRule="exact"/>
        <w:rPr>
          <w:sz w:val="20"/>
          <w:szCs w:val="20"/>
          <w:color w:val="auto"/>
        </w:rPr>
      </w:pPr>
    </w:p>
    <w:p>
      <w:pPr>
        <w:ind w:right="460" w:firstLine="259"/>
        <w:spacing w:after="0" w:line="282" w:lineRule="auto"/>
        <w:rPr>
          <w:sz w:val="20"/>
          <w:szCs w:val="20"/>
          <w:color w:val="auto"/>
        </w:rPr>
      </w:pPr>
      <w:r>
        <w:rPr>
          <w:rFonts w:ascii="Times New Roman" w:cs="Times New Roman" w:eastAsia="Times New Roman" w:hAnsi="Times New Roman"/>
          <w:sz w:val="18"/>
          <w:szCs w:val="18"/>
          <w:color w:val="auto"/>
        </w:rPr>
        <w:t>In addition, as part of our risk strategy on investments, we may reduce certain levels of investments through partial sales or syndication to additional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160" w:firstLine="259"/>
        <w:spacing w:after="0" w:line="256"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December 31, 2018, 99.7% of these investments based on fair value bore interest at a floating rate (when including investment specific hedges), with 93.4% of these subject to interest rate floors. Interest on debt investments is generally payable quarterly or semiannually. Some of our investments provide for deferred interest payments or PIK interest. For the year ended December 31, 2018, 2.5% of our total investment income was comprised of PIK interest.</w:t>
      </w:r>
    </w:p>
    <w:p>
      <w:pPr>
        <w:spacing w:after="0" w:line="188" w:lineRule="exact"/>
        <w:rPr>
          <w:sz w:val="20"/>
          <w:szCs w:val="20"/>
          <w:color w:val="auto"/>
        </w:rPr>
      </w:pPr>
    </w:p>
    <w:p>
      <w:pPr>
        <w:ind w:right="180" w:firstLine="259"/>
        <w:spacing w:after="0" w:line="261" w:lineRule="auto"/>
        <w:rPr>
          <w:sz w:val="20"/>
          <w:szCs w:val="20"/>
          <w:color w:val="auto"/>
        </w:rPr>
      </w:pPr>
      <w:r>
        <w:rPr>
          <w:rFonts w:ascii="Times New Roman" w:cs="Times New Roman" w:eastAsia="Times New Roman" w:hAnsi="Times New Roman"/>
          <w:sz w:val="18"/>
          <w:szCs w:val="18"/>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Convertible Notes and 2023 Notes, after taking into account the effect of the interest rate swaps we have entered into in connection with the Convertible Notes and 2023 Notes, all bear interest at floating rates.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9" w:name="page60"/>
    <w:bookmarkEnd w:id="59"/>
    <w:p>
      <w:pPr>
        <w:ind w:right="20"/>
        <w:spacing w:after="0" w:line="261" w:lineRule="auto"/>
        <w:rPr>
          <w:sz w:val="20"/>
          <w:szCs w:val="20"/>
          <w:color w:val="auto"/>
        </w:rPr>
      </w:pPr>
      <w:r>
        <w:rPr>
          <w:rFonts w:ascii="Times New Roman" w:cs="Times New Roman" w:eastAsia="Times New Roman" w:hAnsi="Times New Roman"/>
          <w:sz w:val="18"/>
          <w:szCs w:val="18"/>
          <w:color w:val="auto"/>
        </w:rPr>
        <w:t>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80" w:lineRule="exact"/>
        <w:rPr>
          <w:sz w:val="20"/>
          <w:szCs w:val="20"/>
          <w:color w:val="auto"/>
        </w:rPr>
      </w:pPr>
    </w:p>
    <w:p>
      <w:pPr>
        <w:ind w:right="200" w:firstLine="259"/>
        <w:spacing w:after="0" w:line="258" w:lineRule="auto"/>
        <w:rPr>
          <w:sz w:val="20"/>
          <w:szCs w:val="20"/>
          <w:color w:val="auto"/>
        </w:rPr>
      </w:pPr>
      <w:r>
        <w:rPr>
          <w:rFonts w:ascii="Times New Roman" w:cs="Times New Roman" w:eastAsia="Times New Roman" w:hAnsi="Times New Roman"/>
          <w:sz w:val="18"/>
          <w:szCs w:val="18"/>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84"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4" w:lineRule="exact"/>
        <w:rPr>
          <w:sz w:val="20"/>
          <w:szCs w:val="20"/>
          <w:color w:val="auto"/>
        </w:rPr>
      </w:pPr>
    </w:p>
    <w:p>
      <w:pPr>
        <w:ind w:right="300" w:firstLine="259"/>
        <w:spacing w:after="0" w:line="282" w:lineRule="auto"/>
        <w:rPr>
          <w:sz w:val="20"/>
          <w:szCs w:val="20"/>
          <w:color w:val="auto"/>
        </w:rPr>
      </w:pPr>
      <w:r>
        <w:rPr>
          <w:rFonts w:ascii="Times New Roman" w:cs="Times New Roman" w:eastAsia="Times New Roman" w:hAnsi="Times New Roman"/>
          <w:sz w:val="18"/>
          <w:szCs w:val="18"/>
          <w:color w:val="auto"/>
        </w:rPr>
        <w:t>Dividend income on common equity investments is recorded on the record date for private portfolio companies or on the ex-dividend date for publicly traded portfolio companies.</w:t>
      </w:r>
    </w:p>
    <w:p>
      <w:pPr>
        <w:spacing w:after="0" w:line="162"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jc w:val="both"/>
        <w:ind w:right="140" w:firstLine="259"/>
        <w:spacing w:after="0" w:line="266"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ind w:left="520" w:hanging="255"/>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17" w:lineRule="exact"/>
        <w:rPr>
          <w:rFonts w:ascii="Times New Roman" w:cs="Times New Roman" w:eastAsia="Times New Roman" w:hAnsi="Times New Roman"/>
          <w:sz w:val="18"/>
          <w:szCs w:val="18"/>
          <w:color w:val="auto"/>
        </w:rPr>
      </w:pPr>
    </w:p>
    <w:p>
      <w:pPr>
        <w:ind w:left="520" w:right="460" w:hanging="255"/>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68"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17" w:lineRule="exact"/>
        <w:rPr>
          <w:rFonts w:ascii="Times New Roman" w:cs="Times New Roman" w:eastAsia="Times New Roman" w:hAnsi="Times New Roman"/>
          <w:sz w:val="18"/>
          <w:szCs w:val="18"/>
          <w:color w:val="auto"/>
        </w:rPr>
      </w:pPr>
    </w:p>
    <w:p>
      <w:pPr>
        <w:ind w:left="520" w:hanging="255"/>
        <w:spacing w:after="0" w:line="261"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71"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0" w:name="page61"/>
    <w:bookmarkEnd w:id="60"/>
    <w:p>
      <w:pPr>
        <w:ind w:left="520" w:hanging="255"/>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17" w:lineRule="exact"/>
        <w:rPr>
          <w:rFonts w:ascii="Times New Roman" w:cs="Times New Roman" w:eastAsia="Times New Roman" w:hAnsi="Times New Roman"/>
          <w:sz w:val="18"/>
          <w:szCs w:val="18"/>
          <w:color w:val="auto"/>
        </w:rPr>
      </w:pPr>
    </w:p>
    <w:p>
      <w:pPr>
        <w:ind w:left="520" w:right="340" w:hanging="255"/>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360" w:firstLine="259"/>
        <w:spacing w:after="0" w:line="282" w:lineRule="auto"/>
        <w:rPr>
          <w:sz w:val="20"/>
          <w:szCs w:val="20"/>
          <w:color w:val="auto"/>
        </w:rPr>
      </w:pPr>
      <w:r>
        <w:rPr>
          <w:rFonts w:ascii="Times New Roman" w:cs="Times New Roman" w:eastAsia="Times New Roman" w:hAnsi="Times New Roman"/>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21"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88" w:lineRule="exact"/>
        <w:rPr>
          <w:sz w:val="20"/>
          <w:szCs w:val="20"/>
          <w:color w:val="auto"/>
        </w:rPr>
      </w:pPr>
    </w:p>
    <w:p>
      <w:pPr>
        <w:ind w:right="160" w:firstLine="259"/>
        <w:spacing w:after="0" w:line="261" w:lineRule="auto"/>
        <w:rPr>
          <w:sz w:val="20"/>
          <w:szCs w:val="20"/>
          <w:color w:val="auto"/>
        </w:rPr>
      </w:pPr>
      <w:r>
        <w:rPr>
          <w:rFonts w:ascii="Times New Roman" w:cs="Times New Roman" w:eastAsia="Times New Roman" w:hAnsi="Times New Roman"/>
          <w:sz w:val="18"/>
          <w:szCs w:val="18"/>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80"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62"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0" w:lineRule="exact"/>
        <w:rPr>
          <w:sz w:val="20"/>
          <w:szCs w:val="20"/>
          <w:color w:val="auto"/>
        </w:rPr>
      </w:pPr>
    </w:p>
    <w:p>
      <w:pPr>
        <w:ind w:right="100" w:firstLine="259"/>
        <w:spacing w:after="0" w:line="266" w:lineRule="auto"/>
        <w:rPr>
          <w:sz w:val="20"/>
          <w:szCs w:val="20"/>
          <w:color w:val="auto"/>
        </w:rPr>
      </w:pPr>
      <w:r>
        <w:rPr>
          <w:rFonts w:ascii="Times New Roman" w:cs="Times New Roman" w:eastAsia="Times New Roman" w:hAnsi="Times New Roman"/>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1" w:name="page62"/>
    <w:bookmarkEnd w:id="61"/>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21"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As of December 31, 2018, our portfolio based on fair value consisted of 96.9% first-lien debt investments, 0.2% second-lien debt investments, 0.2% mezzanine investments, and 2.7% equity and other investments. As of December 31, 2017, our portfolio based on fair value consisted of 93.4% first-lien debt investments, 3.6% second-lien debt investments, and 3.0% equity and other investments.</w:t>
      </w:r>
    </w:p>
    <w:p>
      <w:pPr>
        <w:spacing w:after="0" w:line="176"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As of December 31, 2018 and December 31, 2017, our weighted average total yield of debt and income producing securities at fair value (which includes interest income and amortization of fees and discounts) was 11.6% and 10.7%, respectively, and our weighted average total yield of debt and income-producing securities at amortized cost (which includes interest income and amortization of fees and discounts) was 11.7% and 10.8%, respectively.</w:t>
      </w:r>
    </w:p>
    <w:p>
      <w:pPr>
        <w:spacing w:after="0" w:line="176" w:lineRule="exact"/>
        <w:rPr>
          <w:sz w:val="20"/>
          <w:szCs w:val="20"/>
          <w:color w:val="auto"/>
        </w:rPr>
      </w:pPr>
    </w:p>
    <w:p>
      <w:pPr>
        <w:ind w:right="340" w:firstLine="259"/>
        <w:spacing w:after="0" w:line="282" w:lineRule="auto"/>
        <w:rPr>
          <w:sz w:val="20"/>
          <w:szCs w:val="20"/>
          <w:color w:val="auto"/>
        </w:rPr>
      </w:pPr>
      <w:r>
        <w:rPr>
          <w:rFonts w:ascii="Times New Roman" w:cs="Times New Roman" w:eastAsia="Times New Roman" w:hAnsi="Times New Roman"/>
          <w:sz w:val="18"/>
          <w:szCs w:val="18"/>
          <w:color w:val="auto"/>
        </w:rPr>
        <w:t>As of December 31, 2018 and December 31, 2017, we had investments in 46 and 45 portfolio companies, respectively, with an aggregate fair value of $1,706.0 million and $1,693.7 million, respectively.</w:t>
      </w:r>
    </w:p>
    <w:p>
      <w:pPr>
        <w:spacing w:after="0" w:line="162" w:lineRule="exact"/>
        <w:rPr>
          <w:sz w:val="20"/>
          <w:szCs w:val="20"/>
          <w:color w:val="auto"/>
        </w:rPr>
      </w:pPr>
    </w:p>
    <w:p>
      <w:pPr>
        <w:ind w:right="560" w:firstLine="25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2018, the principal amount of new investments funded was $816.9 million in 19 new portfolio companies and 14 existing portfolio companies. For this period, we had $790.3 million aggregate principal amount in exits and repayments.</w:t>
      </w:r>
    </w:p>
    <w:p>
      <w:pPr>
        <w:spacing w:after="0" w:line="162" w:lineRule="exact"/>
        <w:rPr>
          <w:sz w:val="20"/>
          <w:szCs w:val="20"/>
          <w:color w:val="auto"/>
        </w:rPr>
      </w:pPr>
    </w:p>
    <w:p>
      <w:pPr>
        <w:ind w:right="560" w:firstLine="25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2017, the principal amount of new investments funded was $989.3 million in 22 new portfolio companies and 12 existing portfolio companies. For this period, we had $951.5 million aggregate principal amount in exits and repayments.</w:t>
      </w:r>
    </w:p>
    <w:p>
      <w:pPr>
        <w:spacing w:after="0" w:line="162" w:lineRule="exact"/>
        <w:rPr>
          <w:sz w:val="20"/>
          <w:szCs w:val="20"/>
          <w:color w:val="auto"/>
        </w:rPr>
      </w:pPr>
    </w:p>
    <w:p>
      <w:pPr>
        <w:ind w:right="40" w:firstLine="25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2016, the principal amount of new investments funded was $520.1 million in 14 new portfolio companies and 9 existing portfolio companies. For this period, we had $416.5 million aggregate principal amount in exits and repayments.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2" w:name="page63"/>
    <w:bookmarkEnd w:id="62"/>
    <w:p>
      <w:pPr>
        <w:ind w:right="320" w:firstLine="259"/>
        <w:spacing w:after="0" w:line="282" w:lineRule="auto"/>
        <w:rPr>
          <w:sz w:val="20"/>
          <w:szCs w:val="20"/>
          <w:color w:val="auto"/>
        </w:rPr>
      </w:pPr>
      <w:r>
        <w:rPr>
          <w:rFonts w:ascii="Times New Roman" w:cs="Times New Roman" w:eastAsia="Times New Roman" w:hAnsi="Times New Roman"/>
          <w:sz w:val="18"/>
          <w:szCs w:val="18"/>
          <w:color w:val="auto"/>
        </w:rPr>
        <w:t>Our investment activity for the years ended December 31, 2018, 2017 and 2016 is presented below (information presented herein is at par value unless otherwise indicated).</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8"/>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20" w:type="dxa"/>
            <w:vAlign w:val="bottom"/>
            <w:tcBorders>
              <w:bottom w:val="single" w:sz="8" w:color="CFF0FC"/>
            </w:tcBorders>
            <w:vMerge w:val="continue"/>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originations</w:t>
            </w:r>
          </w:p>
        </w:tc>
        <w:tc>
          <w:tcPr>
            <w:tcW w:w="1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2,199.4</w:t>
            </w:r>
          </w:p>
        </w:tc>
        <w:tc>
          <w:tcPr>
            <w:tcW w:w="200" w:type="dxa"/>
            <w:vAlign w:val="bottom"/>
          </w:tcPr>
          <w:p>
            <w:pPr>
              <w:spacing w:after="0"/>
              <w:rPr>
                <w:sz w:val="19"/>
                <w:szCs w:val="19"/>
                <w:color w:val="auto"/>
              </w:rPr>
            </w:pP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2,251.5</w:t>
            </w:r>
          </w:p>
        </w:tc>
        <w:tc>
          <w:tcPr>
            <w:tcW w:w="200" w:type="dxa"/>
            <w:vAlign w:val="bottom"/>
          </w:tcPr>
          <w:p>
            <w:pPr>
              <w:spacing w:after="0"/>
              <w:rPr>
                <w:sz w:val="19"/>
                <w:szCs w:val="19"/>
                <w:color w:val="auto"/>
              </w:rPr>
            </w:pPr>
          </w:p>
        </w:tc>
        <w:tc>
          <w:tcPr>
            <w:tcW w:w="3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Syndications/sell downs</w:t>
            </w:r>
          </w:p>
        </w:tc>
        <w:tc>
          <w:tcPr>
            <w:tcW w:w="1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1100" w:type="dxa"/>
            <w:vAlign w:val="bottom"/>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First-lien</w:t>
            </w:r>
          </w:p>
        </w:tc>
        <w:tc>
          <w:tcPr>
            <w:tcW w:w="1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200" w:type="dxa"/>
            <w:vAlign w:val="bottom"/>
          </w:tcPr>
          <w:p>
            <w:pPr>
              <w:spacing w:after="0"/>
              <w:rPr>
                <w:sz w:val="19"/>
                <w:szCs w:val="19"/>
                <w:color w:val="auto"/>
              </w:rPr>
            </w:pP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200" w:type="dxa"/>
            <w:vAlign w:val="bottom"/>
          </w:tcPr>
          <w:p>
            <w:pPr>
              <w:spacing w:after="0"/>
              <w:rPr>
                <w:sz w:val="19"/>
                <w:szCs w:val="19"/>
                <w:color w:val="auto"/>
              </w:rPr>
            </w:pPr>
          </w:p>
        </w:tc>
        <w:tc>
          <w:tcPr>
            <w:tcW w:w="3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Second-lien</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Mezzanine</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Equity and other</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19"/>
                <w:szCs w:val="19"/>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First-lien</w:t>
            </w:r>
          </w:p>
        </w:tc>
        <w:tc>
          <w:tcPr>
            <w:tcW w:w="1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200" w:type="dxa"/>
            <w:vAlign w:val="bottom"/>
          </w:tcPr>
          <w:p>
            <w:pPr>
              <w:spacing w:after="0"/>
              <w:rPr>
                <w:sz w:val="19"/>
                <w:szCs w:val="19"/>
                <w:color w:val="auto"/>
              </w:rPr>
            </w:pP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200" w:type="dxa"/>
            <w:vAlign w:val="bottom"/>
          </w:tcPr>
          <w:p>
            <w:pPr>
              <w:spacing w:after="0"/>
              <w:rPr>
                <w:sz w:val="19"/>
                <w:szCs w:val="19"/>
                <w:color w:val="auto"/>
              </w:rPr>
            </w:pPr>
          </w:p>
        </w:tc>
        <w:tc>
          <w:tcPr>
            <w:tcW w:w="3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Second-lien</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Mezzanine</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Equity and other</w:t>
            </w:r>
          </w:p>
        </w:tc>
        <w:tc>
          <w:tcPr>
            <w:tcW w:w="1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82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1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1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tcPr>
          <w:p>
            <w:pPr>
              <w:spacing w:after="0"/>
              <w:rPr>
                <w:sz w:val="20"/>
                <w:szCs w:val="20"/>
                <w:color w:val="auto"/>
              </w:rPr>
            </w:pP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tcPr>
          <w:p>
            <w:pPr>
              <w:spacing w:after="0"/>
              <w:rPr>
                <w:sz w:val="20"/>
                <w:szCs w:val="20"/>
                <w:color w:val="auto"/>
              </w:rPr>
            </w:pPr>
          </w:p>
        </w:tc>
        <w:tc>
          <w:tcPr>
            <w:tcW w:w="3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at floating rates </w:t>
            </w:r>
            <w:r>
              <w:rPr>
                <w:rFonts w:ascii="Times New Roman" w:cs="Times New Roman" w:eastAsia="Times New Roman" w:hAnsi="Times New Roman"/>
                <w:sz w:val="15"/>
                <w:szCs w:val="15"/>
                <w:b w:val="1"/>
                <w:bCs w:val="1"/>
                <w:color w:val="auto"/>
              </w:rPr>
              <w:t>(1)</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0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at fixed rates</w:t>
            </w:r>
          </w:p>
        </w:tc>
        <w:tc>
          <w:tcPr>
            <w:tcW w:w="1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7"/>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spread over LIBOR of new</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floating rate investment commitments</w:t>
            </w:r>
          </w:p>
        </w:tc>
        <w:tc>
          <w:tcPr>
            <w:tcW w:w="1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7"/>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sold or paid down</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right="20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two fixed rate investments for the years ended December 31, 2018 and December 31, 2017 and one fixed rate investment for the year ended December 31, 2016 for which we entered into interest rate swap agreements to swap to floating rates.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2018 and 2017, our investments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40" w:type="dxa"/>
            <w:vAlign w:val="bottom"/>
          </w:tcPr>
          <w:p>
            <w:pPr>
              <w:spacing w:after="0"/>
              <w:rPr>
                <w:sz w:val="15"/>
                <w:szCs w:val="15"/>
                <w:color w:val="auto"/>
              </w:rPr>
            </w:pPr>
          </w:p>
        </w:tc>
        <w:tc>
          <w:tcPr>
            <w:tcW w:w="278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1,653.9</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1,642.0</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1,693.7</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63" w:name="page64"/>
    <w:bookmarkEnd w:id="63"/>
    <w:p>
      <w:pPr>
        <w:ind w:left="260"/>
        <w:spacing w:after="0"/>
        <w:rPr>
          <w:sz w:val="20"/>
          <w:szCs w:val="20"/>
          <w:color w:val="auto"/>
        </w:rPr>
      </w:pPr>
      <w:r>
        <w:rPr>
          <w:rFonts w:ascii="Times New Roman" w:cs="Times New Roman" w:eastAsia="Times New Roman" w:hAnsi="Times New Roman"/>
          <w:sz w:val="18"/>
          <w:szCs w:val="18"/>
          <w:color w:val="auto"/>
        </w:rPr>
        <w:t>The following tables show the fair value and amortized cost of our performing and non-accrual investments as of December 31, 2018 and 2017:</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gridSpan w:val="5"/>
          </w:tcPr>
          <w:p>
            <w:pPr>
              <w:jc w:val="right"/>
              <w:ind w:right="109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6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0" w:type="dxa"/>
            <w:vAlign w:val="bottom"/>
          </w:tcPr>
          <w:p>
            <w:pPr>
              <w:spacing w:after="0"/>
              <w:rPr>
                <w:sz w:val="1"/>
                <w:szCs w:val="1"/>
                <w:color w:val="auto"/>
              </w:rPr>
            </w:pPr>
          </w:p>
        </w:tc>
      </w:tr>
      <w:tr>
        <w:trPr>
          <w:trHeight w:val="156"/>
        </w:trPr>
        <w:tc>
          <w:tcPr>
            <w:tcW w:w="484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Borders>
              <w:top w:val="single" w:sz="8" w:color="auto"/>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gridSpan w:val="2"/>
          </w:tcPr>
          <w:p>
            <w:pPr>
              <w:ind w:left="340"/>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Borders>
              <w:top w:val="single" w:sz="8" w:color="auto"/>
              <w:bottom w:val="single" w:sz="8" w:color="CFF0FC"/>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Performing</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1,693.7</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Non-accrual </w:t>
            </w:r>
            <w:r>
              <w:rPr>
                <w:rFonts w:ascii="Times New Roman" w:cs="Times New Roman" w:eastAsia="Times New Roman" w:hAnsi="Times New Roman"/>
                <w:sz w:val="15"/>
                <w:szCs w:val="15"/>
                <w:color w:val="auto"/>
              </w:rPr>
              <w:t>(1)</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1,693.7</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5"/>
          </w:tcPr>
          <w:p>
            <w:pPr>
              <w:jc w:val="right"/>
              <w:ind w:right="111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4"/>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0" w:type="dxa"/>
            <w:vAlign w:val="bottom"/>
          </w:tcPr>
          <w:p>
            <w:pPr>
              <w:spacing w:after="0"/>
              <w:rPr>
                <w:sz w:val="1"/>
                <w:szCs w:val="1"/>
                <w:color w:val="auto"/>
              </w:rPr>
            </w:pPr>
          </w:p>
        </w:tc>
      </w:tr>
      <w:tr>
        <w:trPr>
          <w:trHeight w:val="156"/>
        </w:trPr>
        <w:tc>
          <w:tcPr>
            <w:tcW w:w="4840" w:type="dxa"/>
            <w:vAlign w:val="bottom"/>
            <w:tcBorders>
              <w:bottom w:val="single" w:sz="8" w:color="CFF0FC"/>
            </w:tcBorders>
            <w:vMerge w:val="continue"/>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Borders>
              <w:top w:val="single" w:sz="8" w:color="auto"/>
              <w:bottom w:val="single" w:sz="8" w:color="CFF0FC"/>
            </w:tcBorders>
          </w:tcPr>
          <w:p>
            <w:pPr>
              <w:spacing w:after="0"/>
              <w:rPr>
                <w:sz w:val="13"/>
                <w:szCs w:val="13"/>
                <w:color w:val="auto"/>
              </w:rPr>
            </w:pPr>
          </w:p>
        </w:tc>
        <w:tc>
          <w:tcPr>
            <w:tcW w:w="1360" w:type="dxa"/>
            <w:vAlign w:val="bottom"/>
            <w:tcBorders>
              <w:top w:val="single" w:sz="8" w:color="auto"/>
              <w:bottom w:val="single" w:sz="8" w:color="auto"/>
            </w:tcBorders>
          </w:tcPr>
          <w:p>
            <w:pPr>
              <w:ind w:left="340"/>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60" w:type="dxa"/>
            <w:vAlign w:val="bottom"/>
            <w:tcBorders>
              <w:bottom w:val="single" w:sz="8" w:color="CFF0FC"/>
            </w:tcBorders>
            <w:gridSpan w:val="2"/>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Borders>
              <w:top w:val="single" w:sz="8" w:color="auto"/>
              <w:bottom w:val="single" w:sz="8" w:color="CFF0FC"/>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Performing</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Non-accrual </w:t>
            </w:r>
            <w:r>
              <w:rPr>
                <w:rFonts w:ascii="Times New Roman" w:cs="Times New Roman" w:eastAsia="Times New Roman" w:hAnsi="Times New Roman"/>
                <w:sz w:val="15"/>
                <w:szCs w:val="15"/>
                <w:color w:val="auto"/>
              </w:rPr>
              <w:t>(1)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40" w:hanging="512"/>
        <w:spacing w:after="0" w:line="25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rFonts w:ascii="Times New Roman" w:cs="Times New Roman" w:eastAsia="Times New Roman" w:hAnsi="Times New Roman"/>
          <w:sz w:val="18"/>
          <w:szCs w:val="18"/>
          <w:i w:val="1"/>
          <w:iCs w:val="1"/>
          <w:color w:val="auto"/>
        </w:rPr>
        <w:t>“–Critical Accounting Policies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and Dividend Income Recognition.”</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weighted average yields and interest rates of our performing debt investments at fair value as of December 31, 2018 and 2017 were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9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7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05"/>
        </w:trPr>
        <w:tc>
          <w:tcPr>
            <w:tcW w:w="20" w:type="dxa"/>
            <w:vAlign w:val="bottom"/>
          </w:tcPr>
          <w:p>
            <w:pPr>
              <w:spacing w:after="0"/>
              <w:rPr>
                <w:sz w:val="17"/>
                <w:szCs w:val="17"/>
                <w:color w:val="auto"/>
              </w:rPr>
            </w:pPr>
          </w:p>
        </w:tc>
        <w:tc>
          <w:tcPr>
            <w:tcW w:w="54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Weighted average total yield of debt and income</w:t>
            </w:r>
          </w:p>
        </w:tc>
        <w:tc>
          <w:tcPr>
            <w:tcW w:w="15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producing securities </w:t>
            </w:r>
            <w:r>
              <w:rPr>
                <w:rFonts w:ascii="Times New Roman" w:cs="Times New Roman" w:eastAsia="Times New Roman" w:hAnsi="Times New Roman"/>
                <w:sz w:val="15"/>
                <w:szCs w:val="15"/>
                <w:color w:val="auto"/>
              </w:rPr>
              <w:t>(1)</w:t>
            </w: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r>
        <w:trPr>
          <w:trHeight w:val="211"/>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 of debt and income</w:t>
            </w: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producing securities</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211"/>
        </w:trPr>
        <w:tc>
          <w:tcPr>
            <w:tcW w:w="2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spread over LIBOR of all floating</w:t>
            </w:r>
          </w:p>
        </w:tc>
        <w:tc>
          <w:tcPr>
            <w:tcW w:w="1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rate investments </w:t>
            </w:r>
            <w:r>
              <w:rPr>
                <w:rFonts w:ascii="Times New Roman" w:cs="Times New Roman" w:eastAsia="Times New Roman" w:hAnsi="Times New Roman"/>
                <w:sz w:val="15"/>
                <w:szCs w:val="15"/>
                <w:color w:val="auto"/>
              </w:rPr>
              <w:t>(2)</w:t>
            </w: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bl>
    <w:p>
      <w:pPr>
        <w:spacing w:after="0" w:line="198"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total portfolio yield at fair value was 11.3% at December 31, 2018 and 10.5% at December 31, 2017.</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fixed rate investments for which we entered into interest rate swap agreements to swap to floating rates.</w:t>
      </w:r>
    </w:p>
    <w:p>
      <w:pPr>
        <w:spacing w:after="0" w:line="247" w:lineRule="exact"/>
        <w:rPr>
          <w:sz w:val="20"/>
          <w:szCs w:val="20"/>
          <w:color w:val="auto"/>
        </w:rPr>
      </w:pPr>
    </w:p>
    <w:p>
      <w:pPr>
        <w:jc w:val="both"/>
        <w:ind w:right="140" w:firstLine="259"/>
        <w:spacing w:after="0" w:line="266"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w:t>
      </w:r>
    </w:p>
    <w:p>
      <w:pPr>
        <w:spacing w:after="0" w:line="68" w:lineRule="exact"/>
        <w:rPr>
          <w:sz w:val="20"/>
          <w:szCs w:val="20"/>
          <w:color w:val="auto"/>
        </w:rPr>
      </w:pPr>
    </w:p>
    <w:p>
      <w:pPr>
        <w:ind w:left="520" w:hanging="255"/>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17" w:lineRule="exact"/>
        <w:rPr>
          <w:rFonts w:ascii="Times New Roman" w:cs="Times New Roman" w:eastAsia="Times New Roman" w:hAnsi="Times New Roman"/>
          <w:sz w:val="18"/>
          <w:szCs w:val="18"/>
          <w:color w:val="auto"/>
        </w:rPr>
      </w:pPr>
    </w:p>
    <w:p>
      <w:pPr>
        <w:ind w:left="520" w:right="240" w:hanging="255"/>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20" w:firstLine="259"/>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jc w:val="both"/>
        <w:ind w:left="520" w:right="800" w:hanging="255"/>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ind w:left="520" w:right="300" w:hanging="255"/>
        <w:spacing w:after="0" w:line="266"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8" w:lineRule="exact"/>
        <w:rPr>
          <w:rFonts w:ascii="Times New Roman" w:cs="Times New Roman" w:eastAsia="Times New Roman" w:hAnsi="Times New Roman"/>
          <w:sz w:val="18"/>
          <w:szCs w:val="18"/>
          <w:color w:val="auto"/>
        </w:rPr>
      </w:pPr>
    </w:p>
    <w:p>
      <w:pPr>
        <w:ind w:left="520" w:right="380" w:hanging="255"/>
        <w:spacing w:after="0" w:line="266"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8" w:lineRule="exact"/>
        <w:rPr>
          <w:rFonts w:ascii="Times New Roman" w:cs="Times New Roman" w:eastAsia="Times New Roman" w:hAnsi="Times New Roman"/>
          <w:sz w:val="18"/>
          <w:szCs w:val="18"/>
          <w:color w:val="auto"/>
        </w:rPr>
      </w:pPr>
    </w:p>
    <w:p>
      <w:pPr>
        <w:ind w:left="520" w:right="160" w:hanging="255"/>
        <w:spacing w:after="0" w:line="256"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79" w:lineRule="exact"/>
        <w:rPr>
          <w:rFonts w:ascii="Times New Roman" w:cs="Times New Roman" w:eastAsia="Times New Roman" w:hAnsi="Times New Roman"/>
          <w:sz w:val="18"/>
          <w:szCs w:val="18"/>
          <w:color w:val="auto"/>
        </w:rPr>
      </w:pPr>
    </w:p>
    <w:p>
      <w:pPr>
        <w:ind w:left="520" w:right="40" w:hanging="255"/>
        <w:spacing w:after="0" w:line="261"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0"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December 31, 2018 and 2017. Investment performance ratings are accurate only as of those dates and may change due to subsequent developments relating to a portfolio company’s business or financial condition, market conditions or developments, and other factors.</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4"/>
          </w:tcPr>
          <w:p>
            <w:pPr>
              <w:jc w:val="center"/>
              <w:ind w:right="740"/>
              <w:spacing w:after="0" w:line="145"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4"/>
          </w:tcPr>
          <w:p>
            <w:pPr>
              <w:jc w:val="center"/>
              <w:ind w:right="720"/>
              <w:spacing w:after="0" w:line="145"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80" w:type="dxa"/>
            <w:vAlign w:val="bottom"/>
          </w:tcPr>
          <w:p>
            <w:pPr>
              <w:spacing w:after="0"/>
              <w:rPr>
                <w:sz w:val="14"/>
                <w:szCs w:val="14"/>
                <w:color w:val="auto"/>
              </w:rPr>
            </w:pPr>
          </w:p>
        </w:tc>
        <w:tc>
          <w:tcPr>
            <w:tcW w:w="12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4"/>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280" w:type="dxa"/>
            <w:vAlign w:val="bottom"/>
            <w:tcBorders>
              <w:bottom w:val="single" w:sz="8" w:color="CFF0FC"/>
            </w:tcBorders>
          </w:tcPr>
          <w:p>
            <w:pPr>
              <w:spacing w:after="0"/>
              <w:rPr>
                <w:sz w:val="15"/>
                <w:szCs w:val="15"/>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0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Portfolio</w:t>
            </w: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w w:val="99"/>
              </w:rPr>
              <w:t>Total Portfolio</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1,531.4</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2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30"/>
        </w:trPr>
        <w:tc>
          <w:tcPr>
            <w:tcW w:w="176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280" w:type="dxa"/>
            <w:vAlign w:val="bottom"/>
          </w:tcPr>
          <w:p>
            <w:pPr>
              <w:spacing w:after="0"/>
              <w:rPr>
                <w:sz w:val="19"/>
                <w:szCs w:val="19"/>
                <w:color w:val="auto"/>
              </w:rPr>
            </w:pPr>
          </w:p>
        </w:tc>
        <w:tc>
          <w:tcPr>
            <w:tcW w:w="1200" w:type="dxa"/>
            <w:vAlign w:val="bottom"/>
          </w:tcPr>
          <w:p>
            <w:pPr>
              <w:jc w:val="right"/>
              <w:ind w:right="10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1,706.0</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600" w:type="dxa"/>
            <w:vAlign w:val="bottom"/>
          </w:tcPr>
          <w:p>
            <w:pPr>
              <w:jc w:val="right"/>
              <w:ind w:right="42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1,693.7</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results for the years ended December 31, 2018, 2017 and 2016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48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 in millions)</w:t>
            </w:r>
          </w:p>
        </w:tc>
        <w:tc>
          <w:tcPr>
            <w:tcW w:w="1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82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4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Net expenses</w:t>
            </w:r>
          </w:p>
        </w:tc>
        <w:tc>
          <w:tcPr>
            <w:tcW w:w="14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Less: Income taxes, including excise taxes</w:t>
            </w:r>
          </w:p>
        </w:tc>
        <w:tc>
          <w:tcPr>
            <w:tcW w:w="14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investment income</w:t>
            </w: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realized losses </w:t>
            </w:r>
            <w:r>
              <w:rPr>
                <w:rFonts w:ascii="Times New Roman" w:cs="Times New Roman" w:eastAsia="Times New Roman" w:hAnsi="Times New Roman"/>
                <w:sz w:val="15"/>
                <w:szCs w:val="15"/>
                <w:color w:val="auto"/>
              </w:rPr>
              <w:t>(1)</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change in unrealized gains (losses) </w:t>
            </w:r>
            <w:r>
              <w:rPr>
                <w:rFonts w:ascii="Times New Roman" w:cs="Times New Roman" w:eastAsia="Times New Roman" w:hAnsi="Times New Roman"/>
                <w:sz w:val="15"/>
                <w:szCs w:val="15"/>
                <w:color w:val="auto"/>
              </w:rPr>
              <w:t>(1)</w:t>
            </w: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operations</w:t>
            </w:r>
          </w:p>
        </w:tc>
        <w:tc>
          <w:tcPr>
            <w:tcW w:w="14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5"/>
              </w:rPr>
              <w:t>(1)</w:t>
            </w:r>
          </w:p>
        </w:tc>
        <w:tc>
          <w:tcPr>
            <w:tcW w:w="4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Includes foreign exchange hedging activity.</w:t>
            </w: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48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20" w:type="dxa"/>
            <w:vAlign w:val="bottom"/>
            <w:gridSpan w:val="7"/>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940" w:type="dxa"/>
            <w:vAlign w:val="bottom"/>
            <w:tcBorders>
              <w:bottom w:val="single" w:sz="8" w:color="CFF0FC"/>
            </w:tcBorders>
            <w:vMerge w:val="continue"/>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18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82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4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259"/>
        <w:spacing w:after="0" w:line="253"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$200.7 million for the year ended December 31, 2017 to $249.9 million for the year ended December 31, 2018, primarily due to an increase in the average size of our investment portfolio which increased from $1.6 billion for the year ended December 31, 2017 to $1.9 billion for the year ended December 31, 2018. Accelerated amortization of upfront fees, primarily from unscheduled paydowns, decreased from $21.1 million for the year ended December 31, 2017 to $13.4 million for the year ended December 31, 2018, and prepayment fees increased from $12.8 million for the year ended December 31, 2017 to $25.6 million for the year ended December 31, 2018. The accelerated amortization and prepayment fees primarily resulted from full paydowns on 22 portfolio investments, partial paydowns on seven portfolio investments and prepayment fees on 12 portfolio investments during the year ended December 31, 2017, and full paydowns on 16 portfolio investments, partial paydowns on three portfolio investments, partial realizations on two portfolio investments and prepayment fees on 15 portfolio investments during the year ended December 31, 2018. Dividend income decreased from $0.4 million for the year ended December 31, 2017 to $0.2 million for the year ended December 31, 2018 due to a partial realization of dividend yielding investments in 2018. Other income increased from $9.8 million for the year ended December 31, 2017 to $11.8 million for the year ended December 31, 2018, primarily due to higher commitment and other fees earned during 2018.</w:t>
      </w:r>
    </w:p>
    <w:p>
      <w:pPr>
        <w:spacing w:after="0" w:line="191" w:lineRule="exact"/>
        <w:rPr>
          <w:sz w:val="20"/>
          <w:szCs w:val="20"/>
          <w:color w:val="auto"/>
        </w:rPr>
      </w:pPr>
    </w:p>
    <w:p>
      <w:pPr>
        <w:ind w:right="60" w:firstLine="259"/>
        <w:spacing w:after="0" w:line="253"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$177.8 million for the year ended December 31, 2016 to $200.7 million for the year ended December 31, 2017, primarily due to an increase in accelerated amortization of upfront fees and prepayment fees. Accelerated amortization of upfront fees, primarily from unscheduled paydowns, increased from $5.4 million for the year ended December 31, 2016 to $21.1 million for the year ended December 31, 2017, and prepayment fees increased from $2.6 million for the year ended December 31, 2016 to $12.8 million for the year ended December 31, 2017. The accelerated amortization and prepayment fees primarily resulted from full paydowns on seven portfolio investments, a partial paydown on one portfolio investment and prepayment fees on four portfolio investments during the year ended December 31, 2016, and full paydowns on 22 portfolio investments, partial paydowns on seven portfolio investments and prepayment fees on 12 portfolio investments during the year ended December 31, 2017. Dividend income decreased from $1.7 million for the year ended December 31, 2016 to $0.4 million for the year ended December 31, 2017 due to a partial realization of dividend yielding investments in 2017. Other income decreased from $12.9 million for the year ended December 31, 2016 to $9.8 million for the year ended December 31, 2017, primarily due to lower syndication, amendment and agency fees earned during 2017.</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expenses for the years ended December 31, 2018, 2017 and 2016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60" w:type="dxa"/>
            <w:vAlign w:val="bottom"/>
            <w:gridSpan w:val="6"/>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 in millions)</w:t>
            </w:r>
          </w:p>
        </w:tc>
        <w:tc>
          <w:tcPr>
            <w:tcW w:w="1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140" w:type="dxa"/>
            <w:vAlign w:val="bottom"/>
            <w:gridSpan w:val="2"/>
            <w:vMerge w:val="continue"/>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1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4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(net of waivers)</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 related to pre-incentive fee net investment</w:t>
            </w: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(net of waivers)</w:t>
            </w: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4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related to realized/unrealized capital gains</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128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40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40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66" w:name="page67"/>
    <w:bookmarkEnd w:id="66"/>
    <w:p>
      <w:pPr>
        <w:ind w:left="260"/>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expense, including other debt financing expenses, increased from $27.4 million for the year ended December 31, 2017 to $42.8 million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2018. This increase was primarily due to an increase in the average debt outstanding for the year ended December 31, 2017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$645.1 million to $874.3 million for the year ended December 31, 2018 and an increase in our average interest rate on debt outstanding due to a change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mix of our debt financing sources. The average interest rate on our debt outstanding increased from 3.3% for the year ended December 31, 2017 to 4.1%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ended December 31, 2018 due to the increase in LIBOR and a change in the mix of our debt financing sources.</w:t>
      </w:r>
    </w:p>
    <w:p>
      <w:pPr>
        <w:spacing w:after="0" w:line="207" w:lineRule="exact"/>
        <w:rPr>
          <w:sz w:val="20"/>
          <w:szCs w:val="20"/>
          <w:color w:val="auto"/>
        </w:rPr>
      </w:pPr>
    </w:p>
    <w:p>
      <w:pPr>
        <w:ind w:right="200" w:firstLine="259"/>
        <w:spacing w:after="0" w:line="258" w:lineRule="auto"/>
        <w:rPr>
          <w:sz w:val="20"/>
          <w:szCs w:val="20"/>
          <w:color w:val="auto"/>
        </w:rPr>
      </w:pPr>
      <w:r>
        <w:rPr>
          <w:rFonts w:ascii="Times New Roman" w:cs="Times New Roman" w:eastAsia="Times New Roman" w:hAnsi="Times New Roman"/>
          <w:sz w:val="18"/>
          <w:szCs w:val="18"/>
          <w:color w:val="auto"/>
        </w:rPr>
        <w:t>Interest expense, including other debt financing expenses, increased from $23.1 million for the year ended December 31, 2016 to $27.4 million for the year ended December 31, 2017. This increase was primarily due to an increase in the average 1-month LIBOR rate for the year ended December 31, 2016 from 0.5% to 1.1% for the year ended December 31, 2017 and an increase in our average interest rate on debt outstanding due to a change in the mix of our debt financing sources. The average interest rate on our debt outstanding increased from 2.7% for the year ended December 31, 2016 to 3.3% for the year ended December 31, 2017 due to the increase in LIBOR and a change in the mix of our debt financing sources.</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119" w:lineRule="exact"/>
        <w:rPr>
          <w:sz w:val="20"/>
          <w:szCs w:val="20"/>
          <w:color w:val="auto"/>
        </w:rPr>
      </w:pPr>
    </w:p>
    <w:p>
      <w:pPr>
        <w:ind w:right="80" w:firstLine="259"/>
        <w:spacing w:after="0" w:line="258" w:lineRule="auto"/>
        <w:rPr>
          <w:sz w:val="20"/>
          <w:szCs w:val="20"/>
          <w:color w:val="auto"/>
        </w:rPr>
      </w:pPr>
      <w:r>
        <w:rPr>
          <w:rFonts w:ascii="Times New Roman" w:cs="Times New Roman" w:eastAsia="Times New Roman" w:hAnsi="Times New Roman"/>
          <w:sz w:val="18"/>
          <w:szCs w:val="18"/>
          <w:color w:val="auto"/>
        </w:rPr>
        <w:t>Management Fees (net of waivers) increased from $24.3 million for the year ended December 31, 2017 to $28.5 million for the year ended December 31, 2018. Management Fees (gross of waivers) increased from $24.3 million for the year ended December 31, 2017 to $28.5 million for the year ended December 31, 2018 due to average total assets increasing from $1.6 billion for the year ended December 31, 2017 to $1.9 billion for the year ended December 31, 2018. Management Fees waived remained flat at less than $0.1 million for the years ended December 31, 2017 and December 31, 2018. Management Fees waived during the years ended December 31, 2017 and December 31, 2018 were solely attributable to our ownership of TCAP Shares.</w:t>
      </w:r>
    </w:p>
    <w:p>
      <w:pPr>
        <w:spacing w:after="0" w:line="184"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Management Fees (net of waivers) increased from $24.1 million for the year ended December 31, 2016 to $24.3 million for the year ended December 31, 2017. Management Fees (gross of waivers) remained flat at $24.3 million for the years ended December 31, 2016 and December 31, 2017 due to average total assets remaining $1.6 billion for the years ended December 31, 2016 and December 31, 2017. Management Fees waived decreased from $0.1 million for the year ended December 31, 2016 to less than $0.1 million for the year ended December 31, 2017 due to owning investments subject to fee waivers for a shorter period in 2017 than 2016. Management Fees waived during the year ended December 31, 2016 were solely attributable to our ownership of OXSQ Shares. Management Fees waived during the year ended December 31, 2017 were solely attributable to our ownership of TCAP Shares.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Any waived Management Fees are not subject to recoupment by the Adviser.</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119" w:lineRule="exact"/>
        <w:rPr>
          <w:sz w:val="20"/>
          <w:szCs w:val="20"/>
          <w:color w:val="auto"/>
        </w:rPr>
      </w:pPr>
    </w:p>
    <w:p>
      <w:pPr>
        <w:ind w:right="80" w:firstLine="259"/>
        <w:spacing w:after="0" w:line="256" w:lineRule="auto"/>
        <w:rPr>
          <w:sz w:val="20"/>
          <w:szCs w:val="20"/>
          <w:color w:val="auto"/>
        </w:rPr>
      </w:pPr>
      <w:r>
        <w:rPr>
          <w:rFonts w:ascii="Times New Roman" w:cs="Times New Roman" w:eastAsia="Times New Roman" w:hAnsi="Times New Roman"/>
          <w:sz w:val="18"/>
          <w:szCs w:val="18"/>
          <w:color w:val="auto"/>
        </w:rPr>
        <w:t>Incentive Fees (net of waivers) related to pre-Incentive Fee net investment income increased from $25.5 million for the year ended December 31, 2017 to $30.5 million for the year ended December 31, 2018. This increase resulted primarily from an increase in interest from investments received during the year ended December 31, 2018 and the related increase in net investment income. Incentive Fees waived related to pre-Incentive Fee net investment income remained less than $0.1 million for the years ended December 31, 2017 and 2018, consisting solely of Incentive Fees attributable to our ownership of the TCAP Shares. There were no Incentive Fees related to capital gains and losses for the year ended December 31, 2017 and the year ended December 31, 2018 due to cumulative realized and unrealized losses on our investments.</w:t>
      </w:r>
    </w:p>
    <w:p>
      <w:pPr>
        <w:spacing w:after="0" w:line="188" w:lineRule="exact"/>
        <w:rPr>
          <w:sz w:val="20"/>
          <w:szCs w:val="20"/>
          <w:color w:val="auto"/>
        </w:rPr>
      </w:pPr>
    </w:p>
    <w:p>
      <w:pPr>
        <w:ind w:right="40" w:firstLine="259"/>
        <w:spacing w:after="0" w:line="255" w:lineRule="auto"/>
        <w:rPr>
          <w:sz w:val="20"/>
          <w:szCs w:val="20"/>
          <w:color w:val="auto"/>
        </w:rPr>
      </w:pPr>
      <w:r>
        <w:rPr>
          <w:rFonts w:ascii="Times New Roman" w:cs="Times New Roman" w:eastAsia="Times New Roman" w:hAnsi="Times New Roman"/>
          <w:sz w:val="18"/>
          <w:szCs w:val="18"/>
          <w:color w:val="auto"/>
        </w:rPr>
        <w:t>Incentive Fees (net of waivers) related to pre-Incentive Fee net investment income increased from $22.4 million for the year ended December 31, 2016 to $25.5 million for the year ended December 31, 2017. This increase resulted from an increase in interest from investments received during the year ended December 31, 2017 and the related increase in net investment income. Incentive Fees waived related to pre-Incentive Fee net investment income decreased from $0.3 million for the year ended December 31, 2016 to less than $0.1 million for the year ended December 31, 2017, consisting solely of Incentive Fees attributable to our ownership of the OXSQ Shares for the year ended December 31, 2016 and to our ownership of the TCAP Shares for the year ended December 31, 2017. There were no Incentive Fees related to capital gains and losses for the year ended December 31, 2016 and the year ended December 31, 2017 due to cumulative realized and unrealized losses on our investments.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Any waived Incentive Fees are not subject to recoupment by the Adviser.</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Professional Fees and Other General and Administrative Expenses</w:t>
      </w:r>
    </w:p>
    <w:p>
      <w:pPr>
        <w:spacing w:after="0" w:line="119" w:lineRule="exact"/>
        <w:rPr>
          <w:sz w:val="20"/>
          <w:szCs w:val="20"/>
          <w:color w:val="auto"/>
        </w:rPr>
      </w:pPr>
    </w:p>
    <w:p>
      <w:pPr>
        <w:ind w:right="640" w:firstLine="259"/>
        <w:spacing w:after="0" w:line="282" w:lineRule="auto"/>
        <w:rPr>
          <w:sz w:val="20"/>
          <w:szCs w:val="20"/>
          <w:color w:val="auto"/>
        </w:rPr>
      </w:pPr>
      <w:r>
        <w:rPr>
          <w:rFonts w:ascii="Times New Roman" w:cs="Times New Roman" w:eastAsia="Times New Roman" w:hAnsi="Times New Roman"/>
          <w:sz w:val="18"/>
          <w:szCs w:val="18"/>
          <w:color w:val="auto"/>
        </w:rPr>
        <w:t>Professional fees increased from $5.4 million for the year ended December 31, 2017 to $7.2 million for the year ended December 31, 2018 due to recognition of remaining non-recurring expenses associated with the initial shelf registration statement that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4" w:right="259" w:bottom="1440" w:gutter="0" w:footer="0" w:header="0"/>
        </w:sectPr>
      </w:pPr>
    </w:p>
    <w:bookmarkStart w:id="67" w:name="page68"/>
    <w:bookmarkEnd w:id="67"/>
    <w:p>
      <w:pPr>
        <w:ind w:right="200"/>
        <w:spacing w:after="0" w:line="282" w:lineRule="auto"/>
        <w:rPr>
          <w:sz w:val="20"/>
          <w:szCs w:val="20"/>
          <w:color w:val="auto"/>
        </w:rPr>
      </w:pPr>
      <w:r>
        <w:rPr>
          <w:rFonts w:ascii="Times New Roman" w:cs="Times New Roman" w:eastAsia="Times New Roman" w:hAnsi="Times New Roman"/>
          <w:sz w:val="18"/>
          <w:szCs w:val="18"/>
          <w:color w:val="auto"/>
        </w:rPr>
        <w:t>were previously recorded as deferred financing costs and costs associated with shareholder meetings. Other general and administrative fees increased from $4.8 million for the year ended December 31, 2017 to $5.2 million for the year ended December 31, 2018.</w:t>
      </w:r>
    </w:p>
    <w:p>
      <w:pPr>
        <w:spacing w:after="0" w:line="162"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Professional fees decreased from $8.5 million for the year ended December 31, 2016 to $5.4 million for the year ended December 31, 2017 due to additional professional fees incurred relating to our investment in the OXSQ Shares and related activity for the year ended December 31, 2016. Other general and administrative fees increased from $4.4 million for the year ended December 31, 2016 to $4.8 million for the year ended December 31, 2017.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Including Excise Taxes</w:t>
      </w:r>
    </w:p>
    <w:p>
      <w:pPr>
        <w:spacing w:after="0" w:line="121" w:lineRule="exact"/>
        <w:rPr>
          <w:sz w:val="20"/>
          <w:szCs w:val="20"/>
          <w:color w:val="auto"/>
        </w:rPr>
      </w:pPr>
    </w:p>
    <w:p>
      <w:pPr>
        <w:ind w:right="140" w:firstLine="259"/>
        <w:spacing w:after="0" w:line="258"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4"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0"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For the calendar years ended December 31, 2018, 2017 and 2016 we recorded a net expense of $3.4 million, $2.8 million and $2.2 million, respectively, for U.S. federal excise tax.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net realized and unrealized gains (losses) for the years ended December 31, 2018, 2017 and 2016:</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8"/>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losses on investments</w:t>
            </w:r>
          </w:p>
        </w:tc>
        <w:tc>
          <w:tcPr>
            <w:tcW w:w="86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vMerge w:val="continue"/>
            <w:shd w:val="clear" w:color="auto" w:fill="CFF0FC"/>
          </w:tcPr>
          <w:p>
            <w:pPr>
              <w:spacing w:after="0"/>
              <w:rPr>
                <w:sz w:val="19"/>
                <w:szCs w:val="19"/>
                <w:color w:val="auto"/>
              </w:rPr>
            </w:pPr>
          </w:p>
        </w:tc>
        <w:tc>
          <w:tcPr>
            <w:tcW w:w="86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 on foreign currency transactions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losses on foreign currency investments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realized gains on foreign currency borrowings</w:t>
            </w:r>
          </w:p>
        </w:tc>
        <w:tc>
          <w:tcPr>
            <w:tcW w:w="8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Realized Gains (Losses)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unrealized gains on investments</w:t>
            </w:r>
          </w:p>
        </w:tc>
        <w:tc>
          <w:tcPr>
            <w:tcW w:w="11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losses on investments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 on Investments</w:t>
            </w:r>
          </w:p>
        </w:tc>
        <w:tc>
          <w:tcPr>
            <w:tcW w:w="86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vMerge w:val="continue"/>
            <w:shd w:val="clear" w:color="auto" w:fill="CFF0FC"/>
          </w:tcPr>
          <w:p>
            <w:pPr>
              <w:spacing w:after="0"/>
              <w:rPr>
                <w:sz w:val="19"/>
                <w:szCs w:val="19"/>
                <w:color w:val="auto"/>
              </w:rPr>
            </w:pPr>
          </w:p>
        </w:tc>
        <w:tc>
          <w:tcPr>
            <w:tcW w:w="86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foreign currency</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borrowings</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gains (losses) on foreign</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currency cash and forward contracts</w:t>
            </w: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on interest rate swaps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00" w:type="dxa"/>
            <w:vAlign w:val="bottom"/>
            <w:tcBorders>
              <w:top w:val="single" w:sz="8" w:color="CFF0FC"/>
            </w:tcBorders>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 Foreign</w:t>
            </w:r>
          </w:p>
        </w:tc>
        <w:tc>
          <w:tcPr>
            <w:tcW w:w="8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Currency Transactions and Interest Rate Swaps</w:t>
            </w:r>
          </w:p>
        </w:tc>
        <w:tc>
          <w:tcPr>
            <w:tcW w:w="11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4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259"/>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2018, 2017 and 2016, we had net realized losses on investments of $11.4 million, $14.3 million and $0.8 million, respectively. For the years ended December 31, 2018, and 2017, we had net realized gains on foreign currency transactions of $0.2 million and less than $0.1 million, respectively, and net realized losses on foreign currency transactions of $0.2 million for the year ended December 31, 2016, primarily as a result of translating foreign currency related to our non-USD denominated investments. For the years ended December 31, 2018, 2017 and 2016, we had net realized losses on foreign currency investments of $2.2 million, $1.4 million, $10.9 million, respectively. For the years ended December 31, 2018, 2017, and 2016 we had net realized gains on foreign currency borrowings of $2.7 million, $1.7 million and $11.8 million, respectively.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8" w:name="page69"/>
    <w:bookmarkEnd w:id="68"/>
    <w:p>
      <w:pPr>
        <w:ind w:right="80" w:firstLine="25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2018 we had $44.9 million in unrealized gains on 17 portfolio company investments, which was offset by $62.8 million in unrealized losses on 50 portfolio company investments. Unrealized gains for the year ended December 31, 2018 resulted from an increase in fair value, primarily due to reversal of prior period unrealized losses and positive valuation adjustments. Unrealized losses for the year ended December 31, 2018 resulted from the reversal of prior period unrealized gains on realized investments, widening credit spreads, and in some instances negative credit-related adjustments.</w:t>
      </w:r>
    </w:p>
    <w:p>
      <w:pPr>
        <w:spacing w:after="0" w:line="184" w:lineRule="exact"/>
        <w:rPr>
          <w:sz w:val="20"/>
          <w:szCs w:val="20"/>
          <w:color w:val="auto"/>
        </w:rPr>
      </w:pPr>
    </w:p>
    <w:p>
      <w:pPr>
        <w:ind w:right="80" w:firstLine="25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2017 we had $66.7 million in unrealized gains on 43 portfolio company investments, which was offset by $48.9 million in unrealized losses on 32 portfolio company investments. Unrealized gains for the year ended December 31, 2017 resulted from an increase in fair value, primarily due to reversal of prior period unrealized losses, positive valuation adjustments and tightening credit spreads. Unrealized losses for the year ended December 31, 2017 resulted from the reversal of prior period unrealized gains on realized investments and in some instances negative credit-related adjustments.</w:t>
      </w:r>
    </w:p>
    <w:p>
      <w:pPr>
        <w:spacing w:after="0" w:line="184"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2016 we had $56.7 million in unrealized gains on 48 portfolio company investments, which was offset by $23.0 million in unrealized losses on 10 portfolio company investments. Unrealized gains for the year ended December 31, 2016 resulted from an increase in fair value, primarily due to positive valuation adjustments and tightening credit spreads. Unrealized losses for the year ended December 31, 2016 resulted from the reversal of prior period unrealized gains on realized investments and in some instances negative credit-related adjustments.</w:t>
      </w:r>
    </w:p>
    <w:p>
      <w:pPr>
        <w:spacing w:after="0" w:line="180"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2018, we had unrealized gains on foreign currency borrowings of $5.4 million, primarily as a result of fluctuations in the AUD, CAD and EUR exchange rates. For the years ended December 31, 2017 and December 31, 2016, we had unrealized losses on foreign currency borrowings of $11.5 million and $3.6 million, respectively, primarily as a result of fluctuations in the GBP and EUR exchange rates for the year ended December 31, 2017 and GBP, SEK and EUR exchange rates for the year ended December 31, 2016. For the year ended December 31, 2018, we had unrealized losses on foreign currency cash and forward contracts of less than $0.1 million, primarily as a result of settling our foreign currency forward contracts. For both the years ended December 31, 2017 and December 31, 2016, we had unrealized gains on foreign currency cash and forward contracts of less than $0.1 million, primarily as a result of settling our foreign currency forward contracts. For the years ended December 31, 2018, 2017 and 2016, we had unrealized losses on interest rate swaps of $1.7 million, $1.0 million, and $0.3 million, respectively, due to fluctuations in interest rates.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Gross Internal Rate of Return</w:t>
      </w:r>
    </w:p>
    <w:p>
      <w:pPr>
        <w:spacing w:after="0" w:line="121" w:lineRule="exact"/>
        <w:rPr>
          <w:sz w:val="20"/>
          <w:szCs w:val="20"/>
          <w:color w:val="auto"/>
        </w:rPr>
      </w:pPr>
    </w:p>
    <w:p>
      <w:pPr>
        <w:jc w:val="both"/>
        <w:ind w:right="240" w:firstLine="259"/>
        <w:spacing w:after="0" w:line="266" w:lineRule="auto"/>
        <w:rPr>
          <w:sz w:val="20"/>
          <w:szCs w:val="20"/>
          <w:color w:val="auto"/>
        </w:rPr>
      </w:pPr>
      <w:r>
        <w:rPr>
          <w:rFonts w:ascii="Times New Roman" w:cs="Times New Roman" w:eastAsia="Times New Roman" w:hAnsi="Times New Roman"/>
          <w:sz w:val="18"/>
          <w:szCs w:val="18"/>
          <w:color w:val="auto"/>
        </w:rPr>
        <w:t>Since we began investing in 2011 through December 31, 2018, weighted by capital invested, our exited investments have generated an average realized gross internal rate of return to us of 18.8% (based on total capital invested of $3.4 billion and total proceeds from these exited investments of $4.3 billion). Ninety percent of these exited investments resulted in a realized gross internal rate of return to us of 10% or greater.</w:t>
      </w:r>
    </w:p>
    <w:p>
      <w:pPr>
        <w:spacing w:after="0" w:line="176"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76" w:lineRule="exact"/>
        <w:rPr>
          <w:sz w:val="20"/>
          <w:szCs w:val="20"/>
          <w:color w:val="auto"/>
        </w:rPr>
      </w:pPr>
    </w:p>
    <w:p>
      <w:pPr>
        <w:ind w:right="80" w:firstLine="259"/>
        <w:spacing w:after="0" w:line="282" w:lineRule="auto"/>
        <w:rPr>
          <w:sz w:val="20"/>
          <w:szCs w:val="20"/>
          <w:color w:val="auto"/>
        </w:rPr>
      </w:pPr>
      <w:r>
        <w:rPr>
          <w:rFonts w:ascii="Times New Roman" w:cs="Times New Roman" w:eastAsia="Times New Roman" w:hAnsi="Times New Roman"/>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62" w:lineRule="exact"/>
        <w:rPr>
          <w:sz w:val="20"/>
          <w:szCs w:val="20"/>
          <w:color w:val="auto"/>
        </w:rPr>
      </w:pPr>
    </w:p>
    <w:p>
      <w:pPr>
        <w:ind w:right="220" w:firstLine="259"/>
        <w:spacing w:after="0" w:line="282" w:lineRule="auto"/>
        <w:rPr>
          <w:sz w:val="20"/>
          <w:szCs w:val="20"/>
          <w:color w:val="auto"/>
        </w:rPr>
      </w:pPr>
      <w:r>
        <w:rPr>
          <w:rFonts w:ascii="Times New Roman" w:cs="Times New Roman" w:eastAsia="Times New Roman" w:hAnsi="Times New Roman"/>
          <w:sz w:val="18"/>
          <w:szCs w:val="18"/>
          <w:color w:val="auto"/>
        </w:rPr>
        <w:t>Average gross IRR is the average of the gross IRR for each of our exited investments (each calculated as described above), weighted by the total capital invested for each of those investments.</w:t>
      </w:r>
    </w:p>
    <w:p>
      <w:pPr>
        <w:spacing w:after="0" w:line="162" w:lineRule="exact"/>
        <w:rPr>
          <w:sz w:val="20"/>
          <w:szCs w:val="20"/>
          <w:color w:val="auto"/>
        </w:rPr>
      </w:pPr>
    </w:p>
    <w:p>
      <w:pPr>
        <w:ind w:right="360" w:firstLine="259"/>
        <w:spacing w:after="0" w:line="282" w:lineRule="auto"/>
        <w:rPr>
          <w:sz w:val="20"/>
          <w:szCs w:val="20"/>
          <w:color w:val="auto"/>
        </w:rPr>
      </w:pPr>
      <w:r>
        <w:rPr>
          <w:rFonts w:ascii="Times New Roman" w:cs="Times New Roman" w:eastAsia="Times New Roman" w:hAnsi="Times New Roman"/>
          <w:sz w:val="18"/>
          <w:szCs w:val="18"/>
          <w:color w:val="auto"/>
        </w:rPr>
        <w:t>Average gross IRR on our exited investments reflects only invested and realized cash amounts as described above, and does not reflect any unrealized gains or losses in our portfolio.</w:t>
      </w:r>
    </w:p>
    <w:p>
      <w:pPr>
        <w:spacing w:after="0" w:line="162" w:lineRule="exact"/>
        <w:rPr>
          <w:sz w:val="20"/>
          <w:szCs w:val="20"/>
          <w:color w:val="auto"/>
        </w:rPr>
      </w:pPr>
    </w:p>
    <w:p>
      <w:pPr>
        <w:ind w:right="120" w:firstLine="259"/>
        <w:spacing w:after="0" w:line="266" w:lineRule="auto"/>
        <w:rPr>
          <w:sz w:val="20"/>
          <w:szCs w:val="20"/>
          <w:color w:val="auto"/>
        </w:rPr>
      </w:pPr>
      <w:r>
        <w:rPr>
          <w:rFonts w:ascii="Times New Roman" w:cs="Times New Roman" w:eastAsia="Times New Roman" w:hAnsi="Times New Roman"/>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76" w:lineRule="exact"/>
        <w:rPr>
          <w:sz w:val="20"/>
          <w:szCs w:val="20"/>
          <w:color w:val="auto"/>
        </w:rPr>
      </w:pPr>
    </w:p>
    <w:p>
      <w:pPr>
        <w:jc w:val="both"/>
        <w:ind w:right="100" w:firstLine="259"/>
        <w:spacing w:after="0" w:line="266" w:lineRule="auto"/>
        <w:rPr>
          <w:sz w:val="20"/>
          <w:szCs w:val="20"/>
          <w:color w:val="auto"/>
        </w:rPr>
      </w:pPr>
      <w:r>
        <w:rPr>
          <w:rFonts w:ascii="Times New Roman" w:cs="Times New Roman" w:eastAsia="Times New Roman" w:hAnsi="Times New Roman"/>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9" w:name="page70"/>
    <w:bookmarkEnd w:id="69"/>
    <w:p>
      <w:pPr>
        <w:ind w:right="220" w:firstLine="259"/>
        <w:spacing w:after="0" w:line="261" w:lineRule="auto"/>
        <w:rPr>
          <w:sz w:val="20"/>
          <w:szCs w:val="20"/>
          <w:color w:val="auto"/>
        </w:rPr>
      </w:pPr>
      <w:r>
        <w:rPr>
          <w:rFonts w:ascii="Times New Roman" w:cs="Times New Roman" w:eastAsia="Times New Roman" w:hAnsi="Times New Roman"/>
          <w:sz w:val="18"/>
          <w:szCs w:val="18"/>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w:t>
      </w:r>
    </w:p>
    <w:p>
      <w:pPr>
        <w:spacing w:after="0" w:line="121"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Our current approach to hedging the foreign currency exposure in our non-U.S. dollar denominated investments is primarily to borrow the par amount in local currency under our Revolving Credit Facility to fund these investments. For the year ended December 31, 2018, we had $5.4 million of unrealized gains, and for the years ended December 31, 2017 and 2016, we had $11.5 million and $3.6 million of unrealized losses, respectively, on the translation of our non-U.S. dollar denominated debt into U.S. dollars; such amounts approximate the corresponding unrealized gains and losses on the translation of our non-U.S. dollar denominated investments into U.S. dollars for the years ended December 31, 2018, 2017 and 2016. See Note 2 for additional disclosure regarding our accounting for foreign currency. See Note 7 for additional disclosure regarding the amounts of outstanding debt denominated in each foreign currency at December 31, 2018. See our consolidated schedule of investments for additional disclosure regarding the foreign currency amounts (in both par and fair value) of our non-U.S. dollar denominated investments.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4" w:lineRule="exact"/>
        <w:rPr>
          <w:sz w:val="20"/>
          <w:szCs w:val="20"/>
          <w:color w:val="auto"/>
        </w:rPr>
      </w:pPr>
    </w:p>
    <w:p>
      <w:pPr>
        <w:ind w:left="520" w:hanging="255"/>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portfolio companies and other investments and to comply with certain portfolio diversification requirements;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operations (including paying our Adviser);</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repayment, and other financing costs;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to the holders of our shares.</w:t>
      </w:r>
    </w:p>
    <w:p>
      <w:pPr>
        <w:spacing w:after="0" w:line="225"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our ratio of total assets (less total liabilities other than indebtedness) to total indebtedness plus preferred stock, is at least 150% (prior to October 9, 2018, our minimum asset coverage requirement was 200%). For more information, see “</w:t>
      </w:r>
      <w:r>
        <w:rPr>
          <w:rFonts w:ascii="Times New Roman" w:cs="Times New Roman" w:eastAsia="Times New Roman" w:hAnsi="Times New Roman"/>
          <w:sz w:val="18"/>
          <w:szCs w:val="18"/>
          <w:i w:val="1"/>
          <w:iCs w:val="1"/>
          <w:color w:val="auto"/>
        </w:rPr>
        <w:t>Key Components of Our Results of Operations —Leverage</w:t>
      </w:r>
      <w:r>
        <w:rPr>
          <w:rFonts w:ascii="Times New Roman" w:cs="Times New Roman" w:eastAsia="Times New Roman" w:hAnsi="Times New Roman"/>
          <w:sz w:val="18"/>
          <w:szCs w:val="18"/>
          <w:color w:val="auto"/>
        </w:rPr>
        <w:t>” above. As of December 31, 2018, 2017 and 2016, our asset coverage ratio was 270.5%, 235.5%, and 237.7%,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86" w:lineRule="exact"/>
        <w:rPr>
          <w:sz w:val="20"/>
          <w:szCs w:val="20"/>
          <w:color w:val="auto"/>
        </w:rPr>
      </w:pPr>
    </w:p>
    <w:p>
      <w:pPr>
        <w:jc w:val="both"/>
        <w:ind w:right="380" w:firstLine="259"/>
        <w:spacing w:after="0" w:line="266" w:lineRule="auto"/>
        <w:rPr>
          <w:sz w:val="20"/>
          <w:szCs w:val="20"/>
          <w:color w:val="auto"/>
        </w:rPr>
      </w:pPr>
      <w:r>
        <w:rPr>
          <w:rFonts w:ascii="Times New Roman" w:cs="Times New Roman" w:eastAsia="Times New Roman" w:hAnsi="Times New Roman"/>
          <w:sz w:val="18"/>
          <w:szCs w:val="18"/>
          <w:color w:val="auto"/>
        </w:rPr>
        <w:t>Cash and cash equivalents as of December 31, 2018, taken together with cash available under our credit facilities, is expected to be sufficient for our investing activities and to conduct our operations in the near term. As of December 31, 2018, we had approximately $752.5 million of availability on our Revolving Credit Facility, subject to asset coverage limitations.</w:t>
      </w:r>
    </w:p>
    <w:p>
      <w:pPr>
        <w:spacing w:after="0" w:line="176"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As of December 31, 2018, we had $10.6 million in cash and cash equivalents. During the year ended December 31, 2018, we provided $119.2 million in cash for operating activities, primarily as a result of proceeds from investments of $34.6 million, repayments on investments of $789.4 million, other operating activity of $14.4 million and an increase in net assets resulting from operations of $119.0 million, which was partially offset by funding portfolio investments of $838.2 million. Lastly, cash used in financing activities was $115.3 million during the period, primarily due to paydowns on our Revolving Credit Facility of $1,179.0 million, dividends paid of $95.9 million, and deferred financing costs of $7.8 million, which were partially offset by borrowings of $1,095.6 million (including the issuance of $150.0 million principal amount of our 2023 Notes and $57.5 million principal amount of our 2022 Convertible Notes in a reopening), and proceeds from issuance of common stock, net of offering and underwriting costs, of $71.8 million.</w:t>
      </w:r>
    </w:p>
    <w:p>
      <w:pPr>
        <w:spacing w:after="0" w:line="189"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As of December 31, 2017, we had $6.7 million in cash and cash equivalents. During the year ended December 31, 2017, we provided $82.4 million in cash for operating activities, primarily as a result of proceeds from investments of $103.6 million, repayments on investments of $922.5 million, and an increase in net assets resulting from operations of $111.6 million, which was partially offset by funding portfolio investments of $1,028.0 million and other operating activity of $27.3 million. Lastly, cash used in financing activities was $81.7 million during the period, primarily due to paydowns on our Revolving Credit Facility of</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70" w:name="page71"/>
    <w:bookmarkEnd w:id="70"/>
    <w:p>
      <w:pPr>
        <w:ind w:right="60"/>
        <w:spacing w:after="0" w:line="282" w:lineRule="auto"/>
        <w:rPr>
          <w:sz w:val="20"/>
          <w:szCs w:val="20"/>
          <w:color w:val="auto"/>
        </w:rPr>
      </w:pPr>
      <w:r>
        <w:rPr>
          <w:rFonts w:ascii="Times New Roman" w:cs="Times New Roman" w:eastAsia="Times New Roman" w:hAnsi="Times New Roman"/>
          <w:sz w:val="18"/>
          <w:szCs w:val="18"/>
          <w:color w:val="auto"/>
        </w:rPr>
        <w:t>$1,171.6 million, dividends paid of $94.7 million, and deferred financing costs of $3.9 million, which were partially offset by borrowings of $1,188.5 million (including the issuance of $115.0 million principal amount of our 2022 Convertible Notes).</w:t>
      </w:r>
    </w:p>
    <w:p>
      <w:pPr>
        <w:spacing w:after="0" w:line="162" w:lineRule="exact"/>
        <w:rPr>
          <w:sz w:val="20"/>
          <w:szCs w:val="20"/>
          <w:color w:val="auto"/>
        </w:rPr>
      </w:pPr>
    </w:p>
    <w:p>
      <w:pPr>
        <w:ind w:right="140" w:firstLine="259"/>
        <w:spacing w:after="0" w:line="282" w:lineRule="auto"/>
        <w:rPr>
          <w:sz w:val="20"/>
          <w:szCs w:val="20"/>
          <w:color w:val="auto"/>
        </w:rPr>
      </w:pPr>
      <w:r>
        <w:rPr>
          <w:rFonts w:ascii="Times New Roman" w:cs="Times New Roman" w:eastAsia="Times New Roman" w:hAnsi="Times New Roman"/>
          <w:sz w:val="18"/>
          <w:szCs w:val="18"/>
          <w:color w:val="auto"/>
        </w:rPr>
        <w:t>As of December 31, 2018, we had $7.3 million of restricted cash pledged as collateral under our interest rate swap agreements, compared to $3.2 million as of December 31,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121"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On March 21, 2018, we issued 3,750,000 shares of common stock at $17.45 per share. Net of underwriting fees and offering costs, we received total cash proceeds of $63.0 million. Subsequent to the offering we issued an additional 522,224 shares in April 2018 pursuant to the overallotment option granted to underwriters and received, net of underwriting fees, total cash proceeds of $8.8 million.</w:t>
      </w:r>
    </w:p>
    <w:p>
      <w:pPr>
        <w:spacing w:after="0" w:line="176"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On March 3, 2016, we issued 5,000,000 shares of common stock at $16.42 per share. Net of underwriting fees and offering costs, we received total cash proceeds of $78.3 million.</w:t>
      </w:r>
    </w:p>
    <w:p>
      <w:pPr>
        <w:spacing w:after="0" w:line="162"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2018 and 2017, we also issued 893,392 and 530,996 shares of our common stock, respectively, to investors who have not opted out of our dividend reinvestment plan for proceeds of $16.0 million and $10.2 million, respectively. On January 15, 2019, we issued 212,818 shares of our common stock through our dividend reinvestment plan for proceeds of $3.9 million, which is not reflected in the number of shares issued for the year ended December 31, 2018 in this section or the consolidated financial statements for the year ended December 31, 2018.</w:t>
      </w:r>
    </w:p>
    <w:p>
      <w:pPr>
        <w:spacing w:after="0" w:line="180"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 10b-18 and Rule 10b5-1 of the Exchange Act, and has continued to authorize extensions of the plan termination date prior to its expiration since that time. We put the Company 10b5-1 Plan in place because we believe that, in current market conditions, if our common stock is trading below our then-current net asset value per share, it is in the best interest of our stockholders for us to reinvest in our portfolio and increase our leverage ratio through share repurchases.</w:t>
      </w:r>
    </w:p>
    <w:p>
      <w:pPr>
        <w:spacing w:after="0" w:line="184"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60" w:firstLine="259"/>
        <w:spacing w:after="0" w:line="282" w:lineRule="auto"/>
        <w:rPr>
          <w:sz w:val="20"/>
          <w:szCs w:val="20"/>
          <w:color w:val="auto"/>
        </w:rPr>
      </w:pPr>
      <w:r>
        <w:rPr>
          <w:rFonts w:ascii="Times New Roman" w:cs="Times New Roman" w:eastAsia="Times New Roman" w:hAnsi="Times New Roman"/>
          <w:sz w:val="18"/>
          <w:szCs w:val="18"/>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62" w:lineRule="exact"/>
        <w:rPr>
          <w:sz w:val="20"/>
          <w:szCs w:val="20"/>
          <w:color w:val="auto"/>
        </w:rPr>
      </w:pPr>
    </w:p>
    <w:p>
      <w:pPr>
        <w:jc w:val="both"/>
        <w:ind w:right="200" w:firstLine="259"/>
        <w:spacing w:after="0" w:line="266" w:lineRule="auto"/>
        <w:rPr>
          <w:sz w:val="20"/>
          <w:szCs w:val="20"/>
          <w:color w:val="auto"/>
        </w:rPr>
      </w:pPr>
      <w:r>
        <w:rPr>
          <w:rFonts w:ascii="Times New Roman" w:cs="Times New Roman" w:eastAsia="Times New Roman" w:hAnsi="Times New Roman"/>
          <w:sz w:val="18"/>
          <w:szCs w:val="18"/>
          <w:color w:val="auto"/>
        </w:rPr>
        <w:t>On February 20, 2019, the Board authorized the extension of the termination date of the Company 10b5-1 Plan to August 31, 2019. Unless extended or terminated by the Board, the Company 10b5-1 Plan will be in effect through the earlier of August 31, 2019 or such time as the current approved repurchase amount of up to $50 million has been fully utilized, subject to certain conditions.</w:t>
      </w:r>
    </w:p>
    <w:p>
      <w:pPr>
        <w:spacing w:after="0" w:line="176" w:lineRule="exact"/>
        <w:rPr>
          <w:sz w:val="20"/>
          <w:szCs w:val="20"/>
          <w:color w:val="auto"/>
        </w:rPr>
      </w:pPr>
    </w:p>
    <w:p>
      <w:pPr>
        <w:ind w:right="420" w:firstLine="25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and December 31, 2017 no shares were repurchased under the Company 10b5-1 Plan. During the year ended December 31, 2016, 86,081 shares were repurchased under the Company 10b5-1 Plan at a weighted average price per share of $15.44, inclusive of commissions, for a total cost of $1.3 million.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December 31, 2018 and 2017:</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3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3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97"/>
              <w:spacing w:after="0" w:line="14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ind w:right="355"/>
              <w:spacing w:after="0" w:line="14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r>
      <w:tr>
        <w:trPr>
          <w:trHeight w:val="17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2"/>
                <w:szCs w:val="12"/>
                <w:b w:val="1"/>
                <w:bCs w:val="1"/>
                <w:color w:val="auto"/>
              </w:rPr>
              <w:t>(2)</w:t>
            </w:r>
          </w:p>
        </w:tc>
      </w:tr>
      <w:tr>
        <w:trPr>
          <w:trHeight w:val="223"/>
        </w:trPr>
        <w:tc>
          <w:tcPr>
            <w:tcW w:w="42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20" w:type="dxa"/>
            <w:vAlign w:val="bottom"/>
            <w:tcBorders>
              <w:top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2019</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2022</w:t>
            </w: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shd w:val="clear" w:color="auto" w:fill="CFF0FC"/>
          </w:tcPr>
          <w:p>
            <w:pPr>
              <w:spacing w:after="0"/>
              <w:rPr>
                <w:sz w:val="19"/>
                <w:szCs w:val="19"/>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w w:val="99"/>
              </w:rPr>
              <w:t>2023</w:t>
            </w:r>
          </w:p>
        </w:tc>
        <w:tc>
          <w:tcPr>
            <w:tcW w:w="39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Borders>
              <w:bottom w:val="single" w:sz="8" w:color="CFF0FC"/>
            </w:tcBorders>
          </w:tcPr>
          <w:p>
            <w:pPr>
              <w:spacing w:after="0"/>
              <w:rPr>
                <w:sz w:val="19"/>
                <w:szCs w:val="19"/>
                <w:color w:val="auto"/>
              </w:rPr>
            </w:pPr>
          </w:p>
        </w:tc>
      </w:tr>
      <w:tr>
        <w:trPr>
          <w:trHeight w:val="223"/>
        </w:trPr>
        <w:tc>
          <w:tcPr>
            <w:tcW w:w="428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1,377.5</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520" w:right="340" w:hanging="512"/>
        <w:spacing w:after="0" w:line="261"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Convertible Notes, and 2023 Notes are presented net of deferred financing costs and original issue discounts of $8.7 million, $5.6 million and $2.7 million, respectively.</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4280" w:type="dxa"/>
            <w:vAlign w:val="bottom"/>
          </w:tcPr>
          <w:p>
            <w:pPr>
              <w:spacing w:after="0"/>
              <w:rPr>
                <w:sz w:val="12"/>
                <w:szCs w:val="12"/>
                <w:color w:val="auto"/>
              </w:rPr>
            </w:pPr>
          </w:p>
        </w:tc>
        <w:tc>
          <w:tcPr>
            <w:tcW w:w="13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98"/>
              <w:spacing w:after="0" w:line="14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r>
      <w:tr>
        <w:trPr>
          <w:trHeight w:val="173"/>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2"/>
                <w:szCs w:val="12"/>
                <w:b w:val="1"/>
                <w:bCs w:val="1"/>
                <w:color w:val="auto"/>
              </w:rPr>
              <w:t>(1)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2"/>
                <w:szCs w:val="12"/>
                <w:b w:val="1"/>
                <w:bCs w:val="1"/>
                <w:color w:val="auto"/>
              </w:rPr>
              <w:t>(2)</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20" w:type="dxa"/>
            <w:vAlign w:val="bottom"/>
            <w:tcBorders>
              <w:top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2019 Convertible Notes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Convertible Notes</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FF0FC"/>
          </w:tcPr>
          <w:p>
            <w:pPr>
              <w:spacing w:after="0"/>
              <w:rPr>
                <w:sz w:val="19"/>
                <w:szCs w:val="19"/>
                <w:color w:val="auto"/>
              </w:rPr>
            </w:pPr>
          </w:p>
        </w:tc>
      </w:tr>
      <w:tr>
        <w:trPr>
          <w:trHeight w:val="223"/>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520" w:right="160" w:hanging="512"/>
        <w:spacing w:after="0" w:line="261"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and Convertible Notes are presented net of deferred financing costs and original issue discounts of $7.1 million, $6.3 million, respectively.</w:t>
      </w:r>
    </w:p>
    <w:p>
      <w:pPr>
        <w:spacing w:after="0" w:line="180"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As of December 31, 2018 and December 31, 2017, we were in compliance with the terms of our debt arrangements. We intend to continue to utilize our credit facilities to fund investments and for other general corporate purposes.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320" w:firstLine="259"/>
        <w:spacing w:after="0" w:line="282" w:lineRule="auto"/>
        <w:rPr>
          <w:sz w:val="20"/>
          <w:szCs w:val="20"/>
          <w:color w:val="auto"/>
        </w:rPr>
      </w:pPr>
      <w:r>
        <w:rPr>
          <w:rFonts w:ascii="Times New Roman" w:cs="Times New Roman" w:eastAsia="Times New Roman" w:hAnsi="Times New Roman"/>
          <w:sz w:val="18"/>
          <w:szCs w:val="18"/>
          <w:color w:val="auto"/>
        </w:rPr>
        <w:t>On August 23, 2012, we entered into a senior secured revolving credit agreement with SunTrust Bank, as administrative agent, and J.P. Morgan Chase Bank, N.A., as syndication agent, and certain other lenders (as amended and restated, the “Revolving Credit Facility”).</w:t>
      </w:r>
    </w:p>
    <w:p>
      <w:pPr>
        <w:spacing w:after="0" w:line="162"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As of December 31, 2018, aggregate commitments under the facility were $940 million. Pursuant to an amendment to the Revolving Credit Facility dated as of February 14, 2019 (the “Eighth Amendment”), the aggregate commitments under the facility were increased to $1.17 billion. The facility includes an uncommitted accordion feature that allows us, under certain circumstances, to increase the size of the facility to up to $1.5 billion.</w:t>
      </w:r>
    </w:p>
    <w:p>
      <w:pPr>
        <w:spacing w:after="0" w:line="176" w:lineRule="exact"/>
        <w:rPr>
          <w:sz w:val="20"/>
          <w:szCs w:val="20"/>
          <w:color w:val="auto"/>
        </w:rPr>
      </w:pPr>
    </w:p>
    <w:p>
      <w:pPr>
        <w:ind w:right="120" w:firstLine="259"/>
        <w:spacing w:after="0" w:line="313" w:lineRule="auto"/>
        <w:rPr>
          <w:sz w:val="20"/>
          <w:szCs w:val="20"/>
          <w:color w:val="auto"/>
        </w:rPr>
      </w:pPr>
      <w:r>
        <w:rPr>
          <w:rFonts w:ascii="Times New Roman" w:cs="Times New Roman" w:eastAsia="Times New Roman" w:hAnsi="Times New Roman"/>
          <w:sz w:val="17"/>
          <w:szCs w:val="17"/>
          <w:color w:val="auto"/>
        </w:rPr>
        <w:t>Pursuant to the Eighth Amendment, the revolving period, during which period we, subject to certain conditions, may make borrowings under the facility, was extended from February 18, 2022 to February 14, 2023 and the stated maturity date was extended from February 17, 2023 to February 14, 2024.</w:t>
      </w:r>
    </w:p>
    <w:p>
      <w:pPr>
        <w:spacing w:after="0" w:line="138"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December 31, 2018, we had outstanding debt denominated in Australian dollars (AUD) of 48.8 million and Canadian dollars (CAD) of 64.7 million on our Revolving Credit Facility, included in the Outstanding Principal amount in the table above.</w:t>
      </w:r>
    </w:p>
    <w:p>
      <w:pPr>
        <w:spacing w:after="0" w:line="176" w:lineRule="exact"/>
        <w:rPr>
          <w:sz w:val="20"/>
          <w:szCs w:val="20"/>
          <w:color w:val="auto"/>
        </w:rPr>
      </w:pPr>
    </w:p>
    <w:p>
      <w:pPr>
        <w:ind w:right="180" w:firstLine="259"/>
        <w:spacing w:after="0" w:line="266"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$75 million. As of December 31, 2018 and December 31, 2017, we had no outstanding letters of credit issued through the Revolving Credit Facility. The amount available for borrowing under the Revolving Credit Facility is reduced by any letters of credit issued through the Revolving Credit Facility.</w:t>
      </w:r>
    </w:p>
    <w:p>
      <w:pPr>
        <w:spacing w:after="0" w:line="176"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LIBOR or base rate at the time of drawdown,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72" w:name="page73"/>
    <w:bookmarkEnd w:id="72"/>
    <w:p>
      <w:pPr>
        <w:ind w:right="160"/>
        <w:spacing w:after="0" w:line="282" w:lineRule="auto"/>
        <w:rPr>
          <w:sz w:val="20"/>
          <w:szCs w:val="20"/>
          <w:color w:val="auto"/>
        </w:rPr>
      </w:pPr>
      <w:r>
        <w:rPr>
          <w:rFonts w:ascii="Times New Roman" w:cs="Times New Roman" w:eastAsia="Times New Roman" w:hAnsi="Times New Roman"/>
          <w:sz w:val="18"/>
          <w:szCs w:val="18"/>
          <w:color w:val="auto"/>
        </w:rPr>
        <w:t>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62" w:lineRule="exact"/>
        <w:rPr>
          <w:sz w:val="20"/>
          <w:szCs w:val="20"/>
          <w:color w:val="auto"/>
        </w:rPr>
      </w:pPr>
    </w:p>
    <w:p>
      <w:pPr>
        <w:ind w:right="220" w:firstLine="259"/>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76" w:lineRule="exact"/>
        <w:rPr>
          <w:sz w:val="20"/>
          <w:szCs w:val="20"/>
          <w:color w:val="auto"/>
        </w:rPr>
      </w:pPr>
    </w:p>
    <w:p>
      <w:pPr>
        <w:ind w:right="340" w:firstLine="259"/>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The financial covenants, as amended on November 5, 2018, require:</w:t>
      </w:r>
    </w:p>
    <w:p>
      <w:pPr>
        <w:spacing w:after="0" w:line="54" w:lineRule="exact"/>
        <w:rPr>
          <w:sz w:val="20"/>
          <w:szCs w:val="20"/>
          <w:color w:val="auto"/>
        </w:rPr>
      </w:pPr>
    </w:p>
    <w:p>
      <w:pPr>
        <w:ind w:left="520" w:hanging="255"/>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1.5 to 1 on the last day of any fiscal quarter;</w:t>
      </w:r>
    </w:p>
    <w:p>
      <w:pPr>
        <w:spacing w:after="0" w:line="117" w:lineRule="exact"/>
        <w:rPr>
          <w:rFonts w:ascii="Times New Roman" w:cs="Times New Roman" w:eastAsia="Times New Roman" w:hAnsi="Times New Roman"/>
          <w:sz w:val="18"/>
          <w:szCs w:val="18"/>
          <w:color w:val="auto"/>
        </w:rPr>
      </w:pPr>
    </w:p>
    <w:p>
      <w:pPr>
        <w:ind w:left="520" w:right="80" w:hanging="255"/>
        <w:spacing w:after="0" w:line="266"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w:t>
      </w:r>
    </w:p>
    <w:p>
      <w:pPr>
        <w:spacing w:after="0" w:line="68"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$500 million plus 25% of the net proceeds of the sale of equity interests after November 5, 2018;</w:t>
      </w:r>
    </w:p>
    <w:p>
      <w:pPr>
        <w:spacing w:after="0" w:line="117" w:lineRule="exact"/>
        <w:rPr>
          <w:rFonts w:ascii="Times New Roman" w:cs="Times New Roman" w:eastAsia="Times New Roman" w:hAnsi="Times New Roman"/>
          <w:sz w:val="18"/>
          <w:szCs w:val="18"/>
          <w:color w:val="auto"/>
        </w:rPr>
      </w:pPr>
    </w:p>
    <w:p>
      <w:pPr>
        <w:ind w:left="520" w:right="160" w:hanging="255"/>
        <w:spacing w:after="0" w:line="261"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1" w:lineRule="exact"/>
        <w:rPr>
          <w:rFonts w:ascii="Times New Roman" w:cs="Times New Roman" w:eastAsia="Times New Roman" w:hAnsi="Times New Roman"/>
          <w:sz w:val="18"/>
          <w:szCs w:val="18"/>
          <w:color w:val="auto"/>
        </w:rPr>
      </w:pPr>
    </w:p>
    <w:p>
      <w:pPr>
        <w:ind w:left="520" w:right="260" w:hanging="255"/>
        <w:spacing w:after="0" w:line="282"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62" w:lineRule="exact"/>
        <w:rPr>
          <w:sz w:val="20"/>
          <w:szCs w:val="20"/>
          <w:color w:val="auto"/>
        </w:rPr>
      </w:pPr>
    </w:p>
    <w:p>
      <w:pPr>
        <w:ind w:right="40" w:firstLine="259"/>
        <w:spacing w:after="0" w:line="282" w:lineRule="auto"/>
        <w:rPr>
          <w:sz w:val="20"/>
          <w:szCs w:val="20"/>
          <w:color w:val="auto"/>
        </w:rPr>
      </w:pPr>
      <w:r>
        <w:rPr>
          <w:rFonts w:ascii="Times New Roman" w:cs="Times New Roman" w:eastAsia="Times New Roman" w:hAnsi="Times New Roman"/>
          <w:sz w:val="18"/>
          <w:szCs w:val="18"/>
          <w:color w:val="auto"/>
        </w:rPr>
        <w:t>The November 5, 2018 amendment also established certain additional concentration limits in connection with the calculation of the borrowing base, based on the Obligor Asset Coverage Ratio. Size, pricing and other significant terms in the Revolving Credit Facility remained unchanged.</w:t>
      </w:r>
    </w:p>
    <w:p>
      <w:pPr>
        <w:spacing w:after="0" w:line="162" w:lineRule="exact"/>
        <w:rPr>
          <w:sz w:val="20"/>
          <w:szCs w:val="20"/>
          <w:color w:val="auto"/>
        </w:rPr>
      </w:pPr>
    </w:p>
    <w:p>
      <w:pPr>
        <w:ind w:right="260" w:firstLine="259"/>
        <w:spacing w:after="0" w:line="282" w:lineRule="auto"/>
        <w:rPr>
          <w:sz w:val="20"/>
          <w:szCs w:val="20"/>
          <w:color w:val="auto"/>
        </w:rPr>
      </w:pPr>
      <w:r>
        <w:rPr>
          <w:rFonts w:ascii="Times New Roman" w:cs="Times New Roman" w:eastAsia="Times New Roman" w:hAnsi="Times New Roman"/>
          <w:sz w:val="18"/>
          <w:szCs w:val="18"/>
          <w:color w:val="auto"/>
        </w:rPr>
        <w:t>Net proceeds received from our common stock issuance in March 2018 and net proceeds received from the issuance of the 2022 Convertible Notes and 2023 Notes were used to pay down borrowings on the Revolving Credit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Convertible Notes</w:t>
      </w:r>
    </w:p>
    <w:p>
      <w:pPr>
        <w:spacing w:after="0" w:line="119" w:lineRule="exact"/>
        <w:rPr>
          <w:sz w:val="20"/>
          <w:szCs w:val="20"/>
          <w:color w:val="auto"/>
        </w:rPr>
      </w:pPr>
    </w:p>
    <w:p>
      <w:pPr>
        <w:ind w:right="60" w:firstLine="259"/>
        <w:spacing w:after="0" w:line="253" w:lineRule="auto"/>
        <w:rPr>
          <w:sz w:val="20"/>
          <w:szCs w:val="20"/>
          <w:color w:val="auto"/>
        </w:rPr>
      </w:pPr>
      <w:r>
        <w:rPr>
          <w:rFonts w:ascii="Times New Roman" w:cs="Times New Roman" w:eastAsia="Times New Roman" w:hAnsi="Times New Roman"/>
          <w:sz w:val="18"/>
          <w:szCs w:val="18"/>
          <w:color w:val="auto"/>
        </w:rPr>
        <w:t>In June 2014, we issued in a private offering $115 million aggregate principal amount convertible notes due December 2019. The 2019 Convertible Notes were issued in a private placement only to qualified institutional buyers pursuant to Rule 144A under the Securities Act. The 2019 Convertible Notes are unsecured and bear interest at a rate of 4.50% per year, payable semiannually. The 2019 Convertible Notes will mature on December 15, 2019. In certain circumstances, the 2019 Convertible Notes will be convertible into cash, shares of our common stock or a combination of cash and shares of our common stock, at our election, at an initial conversion rate of 38.7162 shares of common stock per $1,000 principal amount of 2019 Convertible Notes, which is equivalent to an initial conversion price of approximately $25.83 per share of our common stock, subject to customary anti-dilution adjustments. As of December 31, 2018, the estimated adjusted conversion price was approximately $25.07 per share of common stock. The sale of the 2019 Convertible Notes generated net proceeds of approximately $110.8 million. We used the net proceeds of the offering to pay down debt under the Revolving Credit Facility. In connection with the offering of 2019 Convertible Notes, we have entered into interest rate swaps to continue to align the interest rates of our liabilities with our investment portfolio, which consists of predominately floating rate loans. As a result of the swaps, our effective interest rate on the 2019 Convertible Notes is three-month LIBOR plus 2.86%.</w:t>
      </w:r>
    </w:p>
    <w:p>
      <w:pPr>
        <w:spacing w:after="0" w:line="193"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Holders may convert their 2019 Convertible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2019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3" w:name="page74"/>
    <w:bookmarkEnd w:id="73"/>
    <w:p>
      <w:pPr>
        <w:ind w:right="180"/>
        <w:spacing w:after="0" w:line="282" w:lineRule="auto"/>
        <w:rPr>
          <w:sz w:val="20"/>
          <w:szCs w:val="20"/>
          <w:color w:val="auto"/>
        </w:rPr>
      </w:pPr>
      <w:r>
        <w:rPr>
          <w:rFonts w:ascii="Times New Roman" w:cs="Times New Roman" w:eastAsia="Times New Roman" w:hAnsi="Times New Roman"/>
          <w:sz w:val="18"/>
          <w:szCs w:val="18"/>
          <w:color w:val="auto"/>
        </w:rPr>
        <w:t>immediately preceding the maturity date, holders may convert their notes at any time, regardless of the occurrence or nonoccurrence of any of the foregoing circumstances.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Convertible Notes</w:t>
      </w:r>
    </w:p>
    <w:p>
      <w:pPr>
        <w:spacing w:after="0" w:line="119" w:lineRule="exact"/>
        <w:rPr>
          <w:sz w:val="20"/>
          <w:szCs w:val="20"/>
          <w:color w:val="auto"/>
        </w:rPr>
      </w:pPr>
    </w:p>
    <w:p>
      <w:pPr>
        <w:ind w:right="80" w:firstLine="259"/>
        <w:spacing w:after="0" w:line="253" w:lineRule="auto"/>
        <w:rPr>
          <w:sz w:val="20"/>
          <w:szCs w:val="20"/>
          <w:color w:val="auto"/>
        </w:rPr>
      </w:pPr>
      <w:r>
        <w:rPr>
          <w:rFonts w:ascii="Times New Roman" w:cs="Times New Roman" w:eastAsia="Times New Roman" w:hAnsi="Times New Roman"/>
          <w:sz w:val="18"/>
          <w:szCs w:val="18"/>
          <w:color w:val="auto"/>
        </w:rPr>
        <w:t>In February 2017, we issued in a private offering $115 million aggregate principal amount convertible notes due August 2022.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our common stock or a combination of cash and shares of our common stock, at our election, at an initial conversion rate of 46.8516 shares of common stock per $1,000 principal amount of 2022 Convertible Notes, which is equivalent to an initial conversion price of approximately $21.34 per share of our common stock, subject to customary anti-dilution adjustments. As of December 31, 2018, the estimated adjusted conversion price was approximately $20.91 per share of common stock. The sale of the 2022 Convertible Notes generated net proceeds of approximately $111.2 million. We used the net proceeds of the offering to pay down debt under the Revolving Credit Facility. In connection with the offering of 2022 Convertible Notes, we have entered into an interest rate swap to continue to align the interest rates of our liabilities with our investment portfolio, which consists of predominately floating rate loans. As a result of the swaps, our effective interest rate on the original issuance of 2022 Convertible Notes is three-month LIBOR plus 2.37%.</w:t>
      </w:r>
    </w:p>
    <w:p>
      <w:pPr>
        <w:spacing w:after="0" w:line="193"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In June 2018, we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our 2022 Convertible Notes issued in February 2017. In connection with the reopening of the 2022 Convertible Notes, we entered into interest rate swaps to continue to align the interest rates of its liabilities with its investment portfolio, which consists of predominantly floating rate loans. As a result of the additional swaps, our effective interest rate on the additional 2022 Convertible Notes is approximately three-month LIBOR plus 1.60%. See Note 5 for further information related to our interest rate swaps.</w:t>
      </w:r>
    </w:p>
    <w:p>
      <w:pPr>
        <w:spacing w:after="0" w:line="188"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Holders may convert their 2022 Convertible Notes at their option at any time prior to February 1, 2022 only under the following circumstances: (1) 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89"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The Convertible Notes are our unsecured obligations and rank senior in right of payment to our future indebtedness that is expressly subordinated in right of payment to the Convertible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4" w:lineRule="exact"/>
        <w:rPr>
          <w:sz w:val="20"/>
          <w:szCs w:val="20"/>
          <w:color w:val="auto"/>
        </w:rPr>
      </w:pPr>
    </w:p>
    <w:p>
      <w:pPr>
        <w:ind w:right="20" w:firstLine="259"/>
        <w:spacing w:after="0" w:line="282" w:lineRule="auto"/>
        <w:rPr>
          <w:sz w:val="20"/>
          <w:szCs w:val="20"/>
          <w:color w:val="auto"/>
        </w:rPr>
      </w:pPr>
      <w:r>
        <w:rPr>
          <w:rFonts w:ascii="Times New Roman" w:cs="Times New Roman" w:eastAsia="Times New Roman" w:hAnsi="Times New Roman"/>
          <w:sz w:val="18"/>
          <w:szCs w:val="18"/>
          <w:color w:val="auto"/>
        </w:rPr>
        <w:t>As of December 31, 2018 and 2017, the principal amount of the Convertible Notes exceeded the value of the underlying shares multiplied by the per share closing price of our common stock.</w:t>
      </w:r>
    </w:p>
    <w:p>
      <w:pPr>
        <w:spacing w:after="0" w:line="162"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The indentures governing the Convertible Notes contain certain covenants, including covenants requiring us to comply with the applicable asset coverage ratio requirement under the 1940 Act and to provide financial information to the holders of the Convertible Notes under certain circumstances. These covenants are subject to important limitations and exceptions that are described in the indentures governing the Convertible Notes. As of December 31, 2018 and 2017, we were in compliance with the terms of the indentures governing the Convertible Notes.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4" w:name="page75"/>
    <w:bookmarkEnd w:id="74"/>
    <w:p>
      <w:pPr>
        <w:ind w:firstLine="259"/>
        <w:spacing w:after="0" w:line="254" w:lineRule="auto"/>
        <w:rPr>
          <w:sz w:val="20"/>
          <w:szCs w:val="20"/>
          <w:color w:val="auto"/>
        </w:rPr>
      </w:pPr>
      <w:r>
        <w:rPr>
          <w:rFonts w:ascii="Times New Roman" w:cs="Times New Roman" w:eastAsia="Times New Roman" w:hAnsi="Times New Roman"/>
          <w:sz w:val="18"/>
          <w:szCs w:val="18"/>
          <w:color w:val="auto"/>
        </w:rPr>
        <w:t>The Convertible Notes are accounted for in accordance with Accounting Standards Codification (“ASC”) 470-20. Upon conversion of any of the Convertible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indentures governing the Convertible Notes. We have determined that the embedded conversion options in each series of Convertible Notes are not required to be separately accounted for as a derivative under U.S. GAAP. In accounting for the Convertible Notes, we estimated at the time of issuance separate debt and equity components of each series of Convertible Notes. An original issue discount equal to the equity components of each series of Convertible Notes was recorded in “additional paid-in capital” in the accompanying consolidated balance sheet. Additionally, the issuance costs associated with the Convertible Notes were allocated to the debt and equity components in proportion to the allocation of the proceeds and accounted for as deferred financing costs and equity issuance costs, respectively.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Notes</w:t>
      </w:r>
    </w:p>
    <w:p>
      <w:pPr>
        <w:spacing w:after="0" w:line="119" w:lineRule="exact"/>
        <w:rPr>
          <w:sz w:val="20"/>
          <w:szCs w:val="20"/>
          <w:color w:val="auto"/>
        </w:rPr>
      </w:pPr>
    </w:p>
    <w:p>
      <w:pPr>
        <w:ind w:right="200" w:firstLine="259"/>
        <w:spacing w:after="0" w:line="258" w:lineRule="auto"/>
        <w:rPr>
          <w:sz w:val="20"/>
          <w:szCs w:val="20"/>
          <w:color w:val="auto"/>
        </w:rPr>
      </w:pPr>
      <w:r>
        <w:rPr>
          <w:rFonts w:ascii="Times New Roman" w:cs="Times New Roman" w:eastAsia="Times New Roman" w:hAnsi="Times New Roman"/>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84"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In connection with the 2023 Notes offering, we entered into an interest rate swap to continue to align the interest rates of our liabilities with our investment portfolio, which consists of predominately floating rate loans. As a result of the swap, our effective interest rate on the 2023 Notes is three-month LIBOR plus 1.99%.</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Commitments</w:t>
      </w:r>
    </w:p>
    <w:p>
      <w:pPr>
        <w:spacing w:after="0" w:line="121"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December 31, 2018 and 2017, we had the following commitments to fund investments in current portfolio companies: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704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Pr>
          <w:p>
            <w:pPr>
              <w:spacing w:after="0"/>
              <w:rPr>
                <w:sz w:val="15"/>
                <w:szCs w:val="15"/>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23"/>
        </w:trPr>
        <w:tc>
          <w:tcPr>
            <w:tcW w:w="7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AppStar Financial, LLC - Revolver</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Caris Life Sciences, Ltd. - Delayed Draw</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ClearCompany, LLC - Delayed Draw</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Ferrellgas, L.P.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Frontline Technologies Group, LLC - Delayed Draw</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 Treasury SS, LLC - Delayed Draw</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 Treasury SS, LLC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Government Brands, LLC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Helix Health, Ltd.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Illuminate Education, Inc.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Industrial Physics, LLC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Integration Appliance, Inc.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IRGSE Holding Corp.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Leaf US Holdings, Inc.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Lithium Technologies, LLC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MD America Energy, LLC - Delayed Draw</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Marketo, Inc.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Motus, LLC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Northern Oil and Gas, Inc. - Delayed Draw</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PageUp People Limited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PayLease, LLC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PaySimple, Inc.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PrimeRevenue, Inc.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Rex Energy Corporation - Delayed Draw</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Riskonnect, Inc.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ScentAir Technologies, Inc.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Sovos Compliance, LLC - Delayed Draw</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Sovos Compliance, LLC - Revolver</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right="500" w:firstLine="259"/>
        <w:spacing w:after="0" w:line="282" w:lineRule="auto"/>
        <w:rPr>
          <w:sz w:val="20"/>
          <w:szCs w:val="20"/>
          <w:color w:val="auto"/>
        </w:rPr>
      </w:pPr>
      <w:r>
        <w:rPr>
          <w:rFonts w:ascii="Times New Roman" w:cs="Times New Roman" w:eastAsia="Times New Roman" w:hAnsi="Times New Roman"/>
          <w:sz w:val="18"/>
          <w:szCs w:val="18"/>
          <w:color w:val="auto"/>
        </w:rPr>
        <w:t>As of December 31, 2018 and December 31, 2017, we did not have any unfunded commitments to fund investments to new borrowers that were not current portfolio companies as of such date.</w:t>
      </w:r>
    </w:p>
    <w:p>
      <w:pPr>
        <w:spacing w:after="0" w:line="162" w:lineRule="exact"/>
        <w:rPr>
          <w:sz w:val="20"/>
          <w:szCs w:val="20"/>
          <w:color w:val="auto"/>
        </w:rPr>
      </w:pPr>
    </w:p>
    <w:p>
      <w:pPr>
        <w:ind w:right="620"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may become a party to certain legal proceedings incidental to the normal course of our business. As of December 31, 2018, management is not aware of any pending or threatened litigation.</w:t>
      </w:r>
    </w:p>
    <w:p>
      <w:pPr>
        <w:spacing w:after="0" w:line="162"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62"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6" w:name="page77"/>
    <w:bookmarkEnd w:id="76"/>
    <w:p>
      <w:pPr>
        <w:ind w:right="220"/>
        <w:spacing w:after="0" w:line="266" w:lineRule="auto"/>
        <w:rPr>
          <w:sz w:val="20"/>
          <w:szCs w:val="20"/>
          <w:color w:val="auto"/>
        </w:rPr>
      </w:pPr>
      <w:r>
        <w:rPr>
          <w:rFonts w:ascii="Times New Roman" w:cs="Times New Roman" w:eastAsia="Times New Roman" w:hAnsi="Times New Roman"/>
          <w:sz w:val="18"/>
          <w:szCs w:val="18"/>
          <w:color w:val="auto"/>
        </w:rPr>
        <w:t>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our contractual payment obligations as of December 31, 2018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135"/>
              <w:spacing w:after="0" w:line="14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20" w:type="dxa"/>
            <w:vAlign w:val="bottom"/>
          </w:tcPr>
          <w:p>
            <w:pPr>
              <w:spacing w:after="0"/>
              <w:rPr>
                <w:sz w:val="15"/>
                <w:szCs w:val="15"/>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6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After 5 years</w:t>
            </w: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2019 Convertible Notes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Convertible Notes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 Notes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8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19" w:lineRule="exact"/>
        <w:rPr>
          <w:sz w:val="20"/>
          <w:szCs w:val="20"/>
          <w:color w:val="auto"/>
        </w:rPr>
      </w:pPr>
    </w:p>
    <w:p>
      <w:pPr>
        <w:ind w:right="240" w:firstLine="259"/>
        <w:spacing w:after="0" w:line="282" w:lineRule="auto"/>
        <w:rPr>
          <w:sz w:val="20"/>
          <w:szCs w:val="20"/>
          <w:color w:val="auto"/>
        </w:rPr>
      </w:pPr>
      <w:r>
        <w:rPr>
          <w:rFonts w:ascii="Times New Roman" w:cs="Times New Roman" w:eastAsia="Times New Roman" w:hAnsi="Times New Roman"/>
          <w:sz w:val="18"/>
          <w:szCs w:val="18"/>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4" w:lineRule="exact"/>
        <w:rPr>
          <w:sz w:val="20"/>
          <w:szCs w:val="20"/>
          <w:color w:val="auto"/>
        </w:rPr>
      </w:pPr>
    </w:p>
    <w:p>
      <w:pPr>
        <w:ind w:left="520" w:right="140" w:hanging="255"/>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tax-exempt interest income (which is the excess of our gross tax exempt interest income over certain disallowed deductions) for such taxable year.</w:t>
      </w:r>
    </w:p>
    <w:p>
      <w:pPr>
        <w:spacing w:after="0" w:line="225" w:lineRule="exact"/>
        <w:rPr>
          <w:sz w:val="20"/>
          <w:szCs w:val="20"/>
          <w:color w:val="auto"/>
        </w:rPr>
      </w:pPr>
    </w:p>
    <w:p>
      <w:pPr>
        <w:ind w:right="260" w:firstLine="259"/>
        <w:spacing w:after="0" w:line="282" w:lineRule="auto"/>
        <w:rPr>
          <w:sz w:val="20"/>
          <w:szCs w:val="20"/>
          <w:color w:val="auto"/>
        </w:rPr>
      </w:pPr>
      <w:r>
        <w:rPr>
          <w:rFonts w:ascii="Times New Roman" w:cs="Times New Roman" w:eastAsia="Times New Roman" w:hAnsi="Times New Roman"/>
          <w:sz w:val="18"/>
          <w:szCs w:val="18"/>
          <w:color w:val="auto"/>
        </w:rPr>
        <w:t>As a RIC, we (but not our stockholders) generally will not be subject to U.S. federal income tax on investment company taxable income and net capital gains that we distribute to our stockholders.</w:t>
      </w:r>
    </w:p>
    <w:p>
      <w:pPr>
        <w:spacing w:after="0" w:line="162" w:lineRule="exact"/>
        <w:rPr>
          <w:sz w:val="20"/>
          <w:szCs w:val="20"/>
          <w:color w:val="auto"/>
        </w:rPr>
      </w:pPr>
    </w:p>
    <w:p>
      <w:pPr>
        <w:jc w:val="both"/>
        <w:ind w:right="440" w:firstLine="259"/>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76" w:lineRule="exact"/>
        <w:rPr>
          <w:sz w:val="20"/>
          <w:szCs w:val="20"/>
          <w:color w:val="auto"/>
        </w:rPr>
      </w:pPr>
    </w:p>
    <w:p>
      <w:pPr>
        <w:ind w:right="100" w:firstLine="259"/>
        <w:spacing w:after="0" w:line="313" w:lineRule="auto"/>
        <w:rPr>
          <w:sz w:val="20"/>
          <w:szCs w:val="20"/>
          <w:color w:val="auto"/>
        </w:rPr>
      </w:pPr>
      <w:r>
        <w:rPr>
          <w:rFonts w:ascii="Times New Roman" w:cs="Times New Roman" w:eastAsia="Times New Roman" w:hAnsi="Times New Roman"/>
          <w:sz w:val="17"/>
          <w:szCs w:val="17"/>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30" w:lineRule="exact"/>
        <w:rPr>
          <w:sz w:val="20"/>
          <w:szCs w:val="20"/>
          <w:color w:val="auto"/>
        </w:rPr>
      </w:pPr>
    </w:p>
    <w:p>
      <w:pPr>
        <w:ind w:left="520" w:hanging="255"/>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or losses for that calendar year;</w:t>
      </w:r>
    </w:p>
    <w:p>
      <w:pPr>
        <w:spacing w:after="0" w:line="117" w:lineRule="exact"/>
        <w:rPr>
          <w:rFonts w:ascii="Times New Roman" w:cs="Times New Roman" w:eastAsia="Times New Roman" w:hAnsi="Times New Roman"/>
          <w:sz w:val="18"/>
          <w:szCs w:val="18"/>
          <w:color w:val="auto"/>
        </w:rPr>
      </w:pPr>
    </w:p>
    <w:p>
      <w:pPr>
        <w:ind w:left="520" w:right="140" w:hanging="255"/>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that calendar year; and</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100" w:firstLine="259"/>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76" w:lineRule="exact"/>
        <w:rPr>
          <w:sz w:val="20"/>
          <w:szCs w:val="20"/>
          <w:color w:val="auto"/>
        </w:rPr>
      </w:pPr>
    </w:p>
    <w:p>
      <w:pPr>
        <w:ind w:right="140" w:firstLine="259"/>
        <w:spacing w:after="0" w:line="266" w:lineRule="auto"/>
        <w:rPr>
          <w:sz w:val="20"/>
          <w:szCs w:val="20"/>
          <w:color w:val="auto"/>
        </w:rPr>
      </w:pPr>
      <w:r>
        <w:rPr>
          <w:rFonts w:ascii="Times New Roman" w:cs="Times New Roman" w:eastAsia="Times New Roman" w:hAnsi="Times New Roman"/>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76" w:lineRule="exact"/>
        <w:rPr>
          <w:sz w:val="20"/>
          <w:szCs w:val="20"/>
          <w:color w:val="auto"/>
        </w:rPr>
      </w:pPr>
    </w:p>
    <w:p>
      <w:pPr>
        <w:ind w:right="220" w:firstLine="259"/>
        <w:spacing w:after="0" w:line="282"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7" w:name="page78"/>
    <w:bookmarkEnd w:id="77"/>
    <w:p>
      <w:pPr>
        <w:ind w:right="60"/>
        <w:spacing w:after="0" w:line="282" w:lineRule="auto"/>
        <w:rPr>
          <w:sz w:val="20"/>
          <w:szCs w:val="20"/>
          <w:color w:val="auto"/>
        </w:rPr>
      </w:pPr>
      <w:r>
        <w:rPr>
          <w:rFonts w:ascii="Times New Roman" w:cs="Times New Roman" w:eastAsia="Times New Roman" w:hAnsi="Times New Roman"/>
          <w:sz w:val="18"/>
          <w:szCs w:val="18"/>
          <w:color w:val="auto"/>
        </w:rPr>
        <w:t>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62" w:lineRule="exact"/>
        <w:rPr>
          <w:sz w:val="20"/>
          <w:szCs w:val="20"/>
          <w:color w:val="auto"/>
        </w:rPr>
      </w:pPr>
    </w:p>
    <w:p>
      <w:pPr>
        <w:ind w:right="180" w:firstLine="259"/>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5"/>
        <w:spacing w:after="0"/>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Agreement; and</w:t>
      </w:r>
    </w:p>
    <w:p>
      <w:pPr>
        <w:spacing w:after="0" w:line="117" w:lineRule="exact"/>
        <w:rPr>
          <w:rFonts w:ascii="Times New Roman" w:cs="Times New Roman" w:eastAsia="Times New Roman" w:hAnsi="Times New Roman"/>
          <w:sz w:val="18"/>
          <w:szCs w:val="18"/>
          <w:color w:val="auto"/>
        </w:rPr>
      </w:pPr>
    </w:p>
    <w:p>
      <w:pPr>
        <w:ind w:left="520" w:right="80" w:hanging="255"/>
        <w:spacing w:after="0" w:line="266"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 xml:space="preserve">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Times New Roman" w:cs="Times New Roman" w:eastAsia="Times New Roman" w:hAnsi="Times New Roman"/>
          <w:sz w:val="18"/>
          <w:szCs w:val="18"/>
          <w:i w:val="1"/>
          <w:iCs w:val="1"/>
          <w:color w:val="auto"/>
        </w:rPr>
        <w:t>“ITEM 1A. RISK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at Fair Value</w:t>
      </w:r>
    </w:p>
    <w:p>
      <w:pPr>
        <w:spacing w:after="0" w:line="121"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4"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4" w:lineRule="exact"/>
        <w:rPr>
          <w:sz w:val="20"/>
          <w:szCs w:val="20"/>
          <w:color w:val="auto"/>
        </w:rPr>
      </w:pPr>
    </w:p>
    <w:p>
      <w:pPr>
        <w:ind w:right="800" w:firstLine="259"/>
        <w:spacing w:after="0" w:line="282"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our investments, including and in combination of:</w:t>
      </w:r>
    </w:p>
    <w:p>
      <w:pPr>
        <w:spacing w:after="0" w:line="54" w:lineRule="exact"/>
        <w:rPr>
          <w:sz w:val="20"/>
          <w:szCs w:val="20"/>
          <w:color w:val="auto"/>
        </w:rPr>
      </w:pPr>
    </w:p>
    <w:p>
      <w:pPr>
        <w:ind w:left="520" w:hanging="255"/>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enterprise value of a portfolio company (that is, the total value of the portfolio company’s net debt and equity);</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realizable value of any collateral;</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company’s ability to make payments based on its earnings and cash flow;</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the portfolio company does business;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of the portfolio company’s securities to any similar publicly traded securities; and</w:t>
      </w:r>
    </w:p>
    <w:p>
      <w:pPr>
        <w:spacing w:after="0" w:line="117" w:lineRule="exact"/>
        <w:rPr>
          <w:rFonts w:ascii="Times New Roman" w:cs="Times New Roman" w:eastAsia="Times New Roman" w:hAnsi="Times New Roman"/>
          <w:sz w:val="18"/>
          <w:szCs w:val="18"/>
          <w:color w:val="auto"/>
        </w:rPr>
      </w:pPr>
    </w:p>
    <w:p>
      <w:pPr>
        <w:ind w:left="520" w:right="440" w:hanging="255"/>
        <w:spacing w:after="0" w:line="282"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changes in the interest rate environment and the credit markets that may affect the price at which similar investments may be made in the future.</w:t>
      </w:r>
    </w:p>
    <w:p>
      <w:pPr>
        <w:spacing w:after="0" w:line="162" w:lineRule="exact"/>
        <w:rPr>
          <w:sz w:val="20"/>
          <w:szCs w:val="20"/>
          <w:color w:val="auto"/>
        </w:rPr>
      </w:pPr>
    </w:p>
    <w:p>
      <w:pPr>
        <w:ind w:right="640" w:firstLine="259"/>
        <w:spacing w:after="0" w:line="282" w:lineRule="auto"/>
        <w:rPr>
          <w:sz w:val="20"/>
          <w:szCs w:val="20"/>
          <w:color w:val="auto"/>
        </w:rPr>
      </w:pPr>
      <w:r>
        <w:rPr>
          <w:rFonts w:ascii="Times New Roman" w:cs="Times New Roman" w:eastAsia="Times New Roman" w:hAnsi="Times New Roman"/>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78" w:name="page79"/>
    <w:bookmarkEnd w:id="78"/>
    <w:p>
      <w:pPr>
        <w:ind w:left="2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40" w:hanging="255"/>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3" w:lineRule="exact"/>
        <w:rPr>
          <w:rFonts w:ascii="Times New Roman" w:cs="Times New Roman" w:eastAsia="Times New Roman" w:hAnsi="Times New Roman"/>
          <w:sz w:val="18"/>
          <w:szCs w:val="18"/>
          <w:color w:val="auto"/>
        </w:rPr>
      </w:pPr>
    </w:p>
    <w:p>
      <w:pPr>
        <w:ind w:left="520" w:right="540" w:hanging="255"/>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Agreed-upon valuation recommendations are presented to the Audit Committee.</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17" w:lineRule="exact"/>
        <w:rPr>
          <w:rFonts w:ascii="Times New Roman" w:cs="Times New Roman" w:eastAsia="Times New Roman" w:hAnsi="Times New Roman"/>
          <w:sz w:val="18"/>
          <w:szCs w:val="18"/>
          <w:color w:val="auto"/>
        </w:rPr>
      </w:pPr>
    </w:p>
    <w:p>
      <w:pPr>
        <w:ind w:left="520" w:right="60" w:hanging="255"/>
        <w:spacing w:after="0" w:line="266"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 party valuation firms engaged at the direction of the Board.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conduct this valuation process on a quarterly basis.</w:t>
      </w:r>
    </w:p>
    <w:p>
      <w:pPr>
        <w:spacing w:after="0" w:line="225" w:lineRule="exact"/>
        <w:rPr>
          <w:sz w:val="20"/>
          <w:szCs w:val="20"/>
          <w:color w:val="auto"/>
        </w:rPr>
      </w:pPr>
    </w:p>
    <w:p>
      <w:pPr>
        <w:ind w:right="100" w:firstLine="259"/>
        <w:spacing w:after="0" w:line="261" w:lineRule="auto"/>
        <w:rPr>
          <w:sz w:val="20"/>
          <w:szCs w:val="20"/>
          <w:color w:val="auto"/>
        </w:rPr>
      </w:pPr>
      <w:r>
        <w:rPr>
          <w:rFonts w:ascii="Times New Roman" w:cs="Times New Roman" w:eastAsia="Times New Roman" w:hAnsi="Times New Roman"/>
          <w:sz w:val="18"/>
          <w:szCs w:val="18"/>
          <w:color w:val="auto"/>
        </w:rPr>
        <w:t>The Board has engaged independent third-party valuation firms to perform certain limited procedures that the Board has identified and requested them to perform in connection with the valuation process. At December 31, 2018, the independent third-party valuation firms performed their procedures over substantially all of our investments. Upon completion of such limited procedures, the third-party valuation firms determined that the fair value, as determined by the Board, of those investments subjected to their limited procedures, appeared reasonable.</w:t>
      </w:r>
    </w:p>
    <w:p>
      <w:pPr>
        <w:spacing w:after="0" w:line="178" w:lineRule="exact"/>
        <w:rPr>
          <w:sz w:val="20"/>
          <w:szCs w:val="20"/>
          <w:color w:val="auto"/>
        </w:rPr>
      </w:pPr>
    </w:p>
    <w:p>
      <w:pPr>
        <w:ind w:right="120" w:firstLine="259"/>
        <w:spacing w:after="0" w:line="256" w:lineRule="auto"/>
        <w:rPr>
          <w:sz w:val="20"/>
          <w:szCs w:val="20"/>
          <w:color w:val="auto"/>
        </w:rPr>
      </w:pPr>
      <w:r>
        <w:rPr>
          <w:rFonts w:ascii="Times New Roman" w:cs="Times New Roman" w:eastAsia="Times New Roman" w:hAnsi="Times New Roman"/>
          <w:sz w:val="18"/>
          <w:szCs w:val="18"/>
          <w:color w:val="auto"/>
        </w:rPr>
        <w:t xml:space="preserve">We apply Financial Accounting Standards Board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7" w:lineRule="exact"/>
        <w:rPr>
          <w:sz w:val="20"/>
          <w:szCs w:val="20"/>
          <w:color w:val="auto"/>
        </w:rPr>
      </w:pPr>
    </w:p>
    <w:p>
      <w:pPr>
        <w:ind w:left="520" w:hanging="255"/>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we have the ability to access.</w:t>
      </w:r>
    </w:p>
    <w:p>
      <w:pPr>
        <w:spacing w:after="0" w:line="117" w:lineRule="exact"/>
        <w:rPr>
          <w:rFonts w:ascii="Times New Roman" w:cs="Times New Roman" w:eastAsia="Times New Roman" w:hAnsi="Times New Roman"/>
          <w:sz w:val="18"/>
          <w:szCs w:val="18"/>
          <w:color w:val="auto"/>
        </w:rPr>
      </w:pPr>
    </w:p>
    <w:p>
      <w:pPr>
        <w:ind w:left="520" w:right="740" w:hanging="255"/>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85" w:lineRule="exact"/>
        <w:rPr>
          <w:sz w:val="20"/>
          <w:szCs w:val="20"/>
          <w:color w:val="auto"/>
        </w:rPr>
      </w:pPr>
    </w:p>
    <w:p>
      <w:pPr>
        <w:jc w:val="both"/>
        <w:ind w:right="80" w:firstLine="259"/>
        <w:spacing w:after="0" w:line="266" w:lineRule="auto"/>
        <w:rPr>
          <w:sz w:val="20"/>
          <w:szCs w:val="20"/>
          <w:color w:val="auto"/>
        </w:rPr>
      </w:pPr>
      <w:r>
        <w:rPr>
          <w:rFonts w:ascii="Times New Roman" w:cs="Times New Roman" w:eastAsia="Times New Roman" w:hAnsi="Times New Roman"/>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6 to our consolidated financial statements included in this Form 10-K for more information on the fair value of our investments.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 Income Recognition</w:t>
      </w:r>
    </w:p>
    <w:p>
      <w:pPr>
        <w:spacing w:after="0" w:line="121" w:lineRule="exact"/>
        <w:rPr>
          <w:sz w:val="20"/>
          <w:szCs w:val="20"/>
          <w:color w:val="auto"/>
        </w:rPr>
      </w:pPr>
    </w:p>
    <w:p>
      <w:pPr>
        <w:ind w:right="280" w:firstLine="259"/>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6" w:lineRule="exact"/>
        <w:rPr>
          <w:sz w:val="20"/>
          <w:szCs w:val="20"/>
          <w:color w:val="auto"/>
        </w:rPr>
      </w:pPr>
    </w:p>
    <w:p>
      <w:pPr>
        <w:ind w:right="160" w:firstLine="259"/>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79" w:name="page80"/>
    <w:bookmarkEnd w:id="79"/>
    <w:p>
      <w:pPr>
        <w:ind w:right="200" w:firstLine="259"/>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8" w:lineRule="exact"/>
        <w:rPr>
          <w:sz w:val="20"/>
          <w:szCs w:val="20"/>
          <w:color w:val="auto"/>
        </w:rPr>
      </w:pPr>
    </w:p>
    <w:p>
      <w:pPr>
        <w:ind w:right="160" w:firstLine="259"/>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76" w:lineRule="exact"/>
        <w:rPr>
          <w:sz w:val="20"/>
          <w:szCs w:val="20"/>
          <w:color w:val="auto"/>
        </w:rPr>
      </w:pPr>
    </w:p>
    <w:p>
      <w:pPr>
        <w:ind w:right="320" w:firstLine="259"/>
        <w:spacing w:after="0" w:line="282" w:lineRule="auto"/>
        <w:rPr>
          <w:sz w:val="20"/>
          <w:szCs w:val="20"/>
          <w:color w:val="auto"/>
        </w:rPr>
      </w:pPr>
      <w:r>
        <w:rPr>
          <w:rFonts w:ascii="Times New Roman" w:cs="Times New Roman" w:eastAsia="Times New Roman" w:hAnsi="Times New Roman"/>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Taxes</w:t>
      </w:r>
    </w:p>
    <w:p>
      <w:pPr>
        <w:spacing w:after="0" w:line="121"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80"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2018, the Company did not have any uncertain tax positions that met the recognition or measurement criteria, nor did the Company have any unrecognized tax benefits. Conclusions regarding tax positions are subject to review and may be adjusted at a later date based on factors including on-going analyses of tax laws, regulations and interpretations thereof. The Company’s 2017, 2016 and 2015 tax year returns remain subject to examination by the relevant federal, state, and local tax authorities.</w:t>
      </w:r>
    </w:p>
    <w:p>
      <w:pPr>
        <w:spacing w:after="0" w:line="185" w:lineRule="exact"/>
        <w:rPr>
          <w:sz w:val="20"/>
          <w:szCs w:val="20"/>
          <w:color w:val="auto"/>
        </w:rPr>
      </w:pPr>
    </w:p>
    <w:p>
      <w:pPr>
        <w:ind w:right="80" w:firstLine="259"/>
        <w:spacing w:after="0" w:line="282" w:lineRule="auto"/>
        <w:rPr>
          <w:sz w:val="20"/>
          <w:szCs w:val="20"/>
          <w:color w:val="auto"/>
        </w:rPr>
      </w:pPr>
      <w:r>
        <w:rPr>
          <w:rFonts w:ascii="Times New Roman" w:cs="Times New Roman" w:eastAsia="Times New Roman" w:hAnsi="Times New Roman"/>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21"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76" w:lineRule="exact"/>
        <w:rPr>
          <w:sz w:val="20"/>
          <w:szCs w:val="20"/>
          <w:color w:val="auto"/>
        </w:rPr>
      </w:pPr>
    </w:p>
    <w:p>
      <w:pPr>
        <w:ind w:right="700" w:firstLine="259"/>
        <w:spacing w:after="0" w:line="266" w:lineRule="auto"/>
        <w:rPr>
          <w:sz w:val="20"/>
          <w:szCs w:val="20"/>
          <w:color w:val="auto"/>
        </w:rPr>
      </w:pPr>
      <w:r>
        <w:rPr>
          <w:rFonts w:ascii="Times New Roman" w:cs="Times New Roman" w:eastAsia="Times New Roman" w:hAnsi="Times New Roman"/>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80" w:name="page81"/>
    <w:bookmarkEnd w:id="80"/>
    <w:p>
      <w:pPr>
        <w:ind w:right="300" w:firstLine="259"/>
        <w:spacing w:after="0" w:line="261" w:lineRule="auto"/>
        <w:rPr>
          <w:sz w:val="20"/>
          <w:szCs w:val="20"/>
          <w:color w:val="auto"/>
        </w:rPr>
      </w:pPr>
      <w:r>
        <w:rPr>
          <w:rFonts w:ascii="Times New Roman" w:cs="Times New Roman" w:eastAsia="Times New Roman" w:hAnsi="Times New Roman"/>
          <w:sz w:val="18"/>
          <w:szCs w:val="18"/>
          <w:color w:val="auto"/>
        </w:rPr>
        <w:t>As of December 31, 2018, all of our debt investments based on fair value in our portfolio bore interest at floating rates (when including investment specific hedges), with 93.4% of these subject to interest rate floors. Our credit facilities also bear interest at floating rates, and in connection with our Convertible Notes and 2023 Notes, which bear interest at fixed rates, we entered into fixed-to-floating interest rate swaps in order to continue to align the interest rates of our liabilities with our investment portfolio.</w:t>
      </w:r>
    </w:p>
    <w:p>
      <w:pPr>
        <w:spacing w:after="0" w:line="180"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Assuming that our consolidated balance sheet as of December 31, 2018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Net Income</w:t>
            </w:r>
          </w:p>
        </w:tc>
      </w:tr>
      <w:tr>
        <w:trPr>
          <w:trHeight w:val="223"/>
        </w:trPr>
        <w:tc>
          <w:tcPr>
            <w:tcW w:w="59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Up 300 basis points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19"/>
                <w:szCs w:val="19"/>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Down 25 basis points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bl>
    <w:p>
      <w:pPr>
        <w:spacing w:after="0" w:line="193" w:lineRule="exact"/>
        <w:rPr>
          <w:sz w:val="20"/>
          <w:szCs w:val="20"/>
          <w:color w:val="auto"/>
        </w:rPr>
      </w:pPr>
    </w:p>
    <w:p>
      <w:pPr>
        <w:ind w:right="160" w:firstLine="259"/>
        <w:spacing w:after="0" w:line="266" w:lineRule="auto"/>
        <w:rPr>
          <w:sz w:val="20"/>
          <w:szCs w:val="20"/>
          <w:color w:val="auto"/>
        </w:rPr>
      </w:pPr>
      <w:r>
        <w:rPr>
          <w:rFonts w:ascii="Times New Roman" w:cs="Times New Roman" w:eastAsia="Times New Roman" w:hAnsi="Times New Roman"/>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76"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21"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102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60" w:type="dxa"/>
            <w:vAlign w:val="bottom"/>
            <w:gridSpan w:val="6"/>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TPG SPECIALTY LENDING, INC.</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7120" w:type="dxa"/>
            <w:vAlign w:val="bottom"/>
            <w:gridSpan w:val="7"/>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280" w:type="dxa"/>
            <w:vAlign w:val="bottom"/>
            <w:gridSpan w:val="8"/>
            <w:vMerge w:val="restart"/>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Report of Independent Registered Public Accounting Firm</w:t>
              </w:r>
            </w:hyperlink>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280" w:type="dxa"/>
            <w:vAlign w:val="bottom"/>
            <w:gridSpan w:val="8"/>
            <w:vMerge w:val="continue"/>
          </w:tcPr>
          <w:p>
            <w:pPr>
              <w:spacing w:after="0"/>
              <w:rPr>
                <w:sz w:val="13"/>
                <w:szCs w:val="13"/>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Consolidated Balance Sheets as of December 31, 2018 and 2017</w:t>
              </w:r>
            </w:hyperlink>
          </w:p>
        </w:tc>
        <w:tc>
          <w:tcPr>
            <w:tcW w:w="5620" w:type="dxa"/>
            <w:vAlign w:val="bottom"/>
            <w:gridSpan w:val="5"/>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318"/>
        </w:trPr>
        <w:tc>
          <w:tcPr>
            <w:tcW w:w="69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Consolidated Statements of Operations for the Years Ended December 31, 2018, 2017 and 2016</w:t>
              </w:r>
            </w:hyperlink>
          </w:p>
        </w:tc>
        <w:tc>
          <w:tcPr>
            <w:tcW w:w="3360" w:type="dxa"/>
            <w:vAlign w:val="bottom"/>
            <w:gridSpan w:val="3"/>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318"/>
        </w:trPr>
        <w:tc>
          <w:tcPr>
            <w:tcW w:w="10280" w:type="dxa"/>
            <w:vAlign w:val="bottom"/>
            <w:gridSpan w:val="8"/>
          </w:tcPr>
          <w:p>
            <w:pPr>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Consolidated Schedules of Investments as of December 31, 2018 and 2017</w:t>
              </w:r>
            </w:hyperlink>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80" w:type="dxa"/>
            <w:vAlign w:val="bottom"/>
            <w:gridSpan w:val="8"/>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Consolidated Statements of Changes in Net Assets for the Years Ended December 31, 2018, 2017 and 2016</w:t>
              </w:r>
            </w:hyperlink>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F-15</w:t>
            </w:r>
          </w:p>
        </w:tc>
        <w:tc>
          <w:tcPr>
            <w:tcW w:w="0" w:type="dxa"/>
            <w:vAlign w:val="bottom"/>
          </w:tcPr>
          <w:p>
            <w:pPr>
              <w:spacing w:after="0"/>
              <w:rPr>
                <w:sz w:val="1"/>
                <w:szCs w:val="1"/>
                <w:color w:val="auto"/>
              </w:rPr>
            </w:pPr>
          </w:p>
        </w:tc>
      </w:tr>
      <w:tr>
        <w:trPr>
          <w:trHeight w:val="318"/>
        </w:trPr>
        <w:tc>
          <w:tcPr>
            <w:tcW w:w="77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Consolidated Statements of Cash Flows for the Years Ended December 31, 2018, 2017 and 2016</w:t>
              </w:r>
            </w:hyperlink>
          </w:p>
        </w:tc>
        <w:tc>
          <w:tcPr>
            <w:tcW w:w="254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F-16</w:t>
            </w: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9"/>
              </w:rPr>
            </w:pPr>
            <w:hyperlink w:anchor="page98">
              <w:r>
                <w:rPr>
                  <w:rFonts w:ascii="Times New Roman" w:cs="Times New Roman" w:eastAsia="Times New Roman" w:hAnsi="Times New Roman"/>
                  <w:sz w:val="18"/>
                  <w:szCs w:val="18"/>
                  <w:color w:val="0000EE"/>
                  <w:w w:val="99"/>
                </w:rPr>
                <w:t>Notes to Consolidated Financial Statements</w:t>
              </w:r>
            </w:hyperlink>
          </w:p>
        </w:tc>
        <w:tc>
          <w:tcPr>
            <w:tcW w:w="3800" w:type="dxa"/>
            <w:vAlign w:val="bottom"/>
            <w:tcBorders>
              <w:top w:val="single" w:sz="8" w:color="0000EE"/>
            </w:tcBorders>
            <w:gridSpan w:val="5"/>
          </w:tcPr>
          <w:p>
            <w:pPr>
              <w:spacing w:after="0"/>
              <w:rPr>
                <w:sz w:val="24"/>
                <w:szCs w:val="24"/>
                <w:color w:val="auto"/>
              </w:rPr>
            </w:pPr>
          </w:p>
        </w:tc>
        <w:tc>
          <w:tcPr>
            <w:tcW w:w="3320" w:type="dxa"/>
            <w:vAlign w:val="bottom"/>
            <w:gridSpan w:val="2"/>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2" w:name="page83"/>
    <w:bookmarkEnd w:id="82"/>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TPG Specialty Lending, Inc.: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Opinions on the Consolidated Financial Statements and Internal Control Over Financial Reporting</w:t>
      </w:r>
    </w:p>
    <w:p>
      <w:pPr>
        <w:spacing w:after="0" w:line="119"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TPG Specialty Lending, Inc. and subsidiaries (the Company), including the consolidated schedules of investments, as of December 31, 2018 and 2017, the related consolidated statements of operations, changes in net assets, and cash flows for each of the years in the three-year period ended December 31, 2018, and the related notes (collectively, the consolidated financial statements). We also have audited the Company’s internal control over financial reporting as of December 31, 2018,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78"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7"/>
          <w:szCs w:val="17"/>
          <w:color w:val="auto"/>
        </w:rPr>
        <w:t xml:space="preserve">In our opinion, the consolidated financial statements referred to above present fairly, in all material respects, the financial position of the Company as of December 31, 2018 and 2017, and the results of its operations, changes in net assets, and cash flows for each of the years in the three-year period ended December 31, 2018, in conformity with U.S. generally accepted accounting principles. Also in our opinion, the Company maintained, in all material respects, effective internal control over financial reporting as of December 31, 2018,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Opinions</w:t>
      </w:r>
    </w:p>
    <w:p>
      <w:pPr>
        <w:spacing w:after="0" w:line="119"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ind w:right="80" w:firstLine="259"/>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ind w:firstLine="259"/>
        <w:spacing w:after="0" w:line="253"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Such procedures also included confirmation of securities owned as of December 31, 2018 and 2017, by correspondence with custodians, or by other appropriate auditing procedures.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Definition and Limitations of Internal Control Over Financial Reporting</w:t>
      </w:r>
    </w:p>
    <w:p>
      <w:pPr>
        <w:spacing w:after="0" w:line="119"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8" w:lineRule="exact"/>
        <w:rPr>
          <w:sz w:val="20"/>
          <w:szCs w:val="20"/>
          <w:color w:val="auto"/>
        </w:rPr>
      </w:pPr>
    </w:p>
    <w:p>
      <w:pPr>
        <w:ind w:firstLine="259"/>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 KPMG LLP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2019</w:t>
      </w:r>
    </w:p>
    <w:p>
      <w:pPr>
        <w:spacing w:after="0" w:line="3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0"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44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$1,546,780 and $1,523,844,</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respectively)</w:t>
            </w:r>
          </w:p>
        </w:tc>
        <w:tc>
          <w:tcPr>
            <w:tcW w:w="9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1,565,532</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1,557,803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Non-controlled, affiliated investments (amortized cost of $84,602 and $0, respectively)</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83,932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Controlled, affiliated investments (amortized cost of $85,018 and $162,406, respectively)</w:t>
            </w:r>
          </w:p>
        </w:tc>
        <w:tc>
          <w:tcPr>
            <w:tcW w:w="7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56,505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 (amortized cost of $1,716,400 and $1,686,250, respectively)</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1,705,969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(restricted cash of $7,303 and $3,150, respectively)</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7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4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1,730,324</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1,720,238</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Debt (net of deferred financing costs of $15,508 and $11,770, respectively)</w:t>
            </w:r>
          </w:p>
        </w:tc>
        <w:tc>
          <w:tcPr>
            <w:tcW w:w="9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608,007</w:t>
            </w:r>
          </w:p>
        </w:tc>
        <w:tc>
          <w:tcPr>
            <w:tcW w:w="22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to affiliate</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667,122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750,954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outstanding</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 400,000,000 shares authorized, 65,501,897 and</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60,336,281 shares issued, respectively; and 65,412,817 and 60,247,201 shares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respectively</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991,919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906,521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89,080 and 89,080 shares held, respectively</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(1,359)</w:t>
            </w:r>
          </w:p>
        </w:tc>
        <w:tc>
          <w:tcPr>
            <w:tcW w:w="2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Distributable earnings</w:t>
            </w:r>
          </w:p>
        </w:tc>
        <w:tc>
          <w:tcPr>
            <w:tcW w:w="7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71,987</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1,063,202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969,284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7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1,730,324</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1,720,238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4"/>
                <w:szCs w:val="14"/>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40" w:type="dxa"/>
            <w:vAlign w:val="bottom"/>
          </w:tcPr>
          <w:p>
            <w:pPr>
              <w:spacing w:after="0"/>
              <w:rPr>
                <w:sz w:val="15"/>
                <w:szCs w:val="15"/>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69"/>
        </w:trPr>
        <w:tc>
          <w:tcPr>
            <w:tcW w:w="5980" w:type="dxa"/>
            <w:vAlign w:val="bottom"/>
            <w:tcBorders>
              <w:top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Income</w:t>
            </w:r>
          </w:p>
        </w:tc>
        <w:tc>
          <w:tcPr>
            <w:tcW w:w="14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Investment income from non-controlled, non-affiliated investments:</w:t>
            </w: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Interest from investments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232,517</w:t>
            </w:r>
          </w:p>
        </w:tc>
        <w:tc>
          <w:tcPr>
            <w:tcW w:w="16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191,288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167,819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Dividend income</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income</w:t>
            </w: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11,298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9,617</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12,685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980" w:type="dxa"/>
            <w:vAlign w:val="bottom"/>
          </w:tcPr>
          <w:p>
            <w:pPr>
              <w:ind w:left="500"/>
              <w:spacing w:after="0" w:line="152" w:lineRule="exact"/>
              <w:rPr>
                <w:sz w:val="20"/>
                <w:szCs w:val="20"/>
                <w:color w:val="auto"/>
              </w:rPr>
            </w:pPr>
            <w:r>
              <w:rPr>
                <w:rFonts w:ascii="Times New Roman" w:cs="Times New Roman" w:eastAsia="Times New Roman" w:hAnsi="Times New Roman"/>
                <w:sz w:val="15"/>
                <w:szCs w:val="15"/>
                <w:color w:val="auto"/>
              </w:rPr>
              <w:t>Total investment income from non-controlled, non-affiliated</w:t>
            </w: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9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investments</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244,011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201,250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182,231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Investment income from non-controlled, affiliated investments:</w:t>
            </w: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Interest from investments</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income</w:t>
            </w: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9"/>
        </w:trPr>
        <w:tc>
          <w:tcPr>
            <w:tcW w:w="5980" w:type="dxa"/>
            <w:vAlign w:val="bottom"/>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investment income from non-controlled, affiliated investments</w:t>
            </w: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4,050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Investment income from controlled, affiliated investments:</w:t>
            </w: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Interest from investments</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13,763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9,443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9,975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income</w:t>
            </w: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80" w:type="dxa"/>
            <w:vAlign w:val="bottom"/>
            <w:tcBorders>
              <w:bottom w:val="single" w:sz="8" w:color="CFF0FC"/>
            </w:tcBorders>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investment income from controlled, affiliated investments</w:t>
            </w: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13,853</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9,647</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10,179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shd w:val="clear" w:color="auto" w:fill="CFF0FC"/>
          </w:tcPr>
          <w:p>
            <w:pPr>
              <w:ind w:left="740"/>
              <w:spacing w:after="0" w:line="169" w:lineRule="exact"/>
              <w:rPr>
                <w:sz w:val="20"/>
                <w:szCs w:val="20"/>
                <w:color w:val="auto"/>
              </w:rPr>
            </w:pPr>
            <w:r>
              <w:rPr>
                <w:rFonts w:ascii="Times New Roman" w:cs="Times New Roman" w:eastAsia="Times New Roman" w:hAnsi="Times New Roman"/>
                <w:sz w:val="15"/>
                <w:szCs w:val="15"/>
                <w:b w:val="1"/>
                <w:bCs w:val="1"/>
                <w:color w:val="auto"/>
              </w:rPr>
              <w:t>Total Investment Income</w:t>
            </w: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261,914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210,897</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192,410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Expenses</w:t>
            </w: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w:t>
            </w: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42,761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27,441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23,108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Management fees</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28,589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24,287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24,253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Incentive fees</w:t>
            </w: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30,515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25,497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22,703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8,446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Directors’ fees</w:t>
            </w: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Other general and administrative</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5,226</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4,827</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4,382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80" w:type="dxa"/>
            <w:vAlign w:val="bottom"/>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expenses</w:t>
            </w: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114,713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87,888</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83,282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tcBorders>
              <w:bottom w:val="single" w:sz="8" w:color="CFF0FC"/>
            </w:tcBorders>
          </w:tcPr>
          <w:p>
            <w:pPr>
              <w:spacing w:after="0" w:line="169" w:lineRule="exact"/>
              <w:rPr>
                <w:sz w:val="20"/>
                <w:szCs w:val="20"/>
                <w:color w:val="auto"/>
              </w:rPr>
            </w:pPr>
            <w:r>
              <w:rPr>
                <w:rFonts w:ascii="Times New Roman" w:cs="Times New Roman" w:eastAsia="Times New Roman" w:hAnsi="Times New Roman"/>
                <w:sz w:val="15"/>
                <w:szCs w:val="15"/>
                <w:color w:val="auto"/>
              </w:rPr>
              <w:t>Management and incentive fees waived (Note 3)</w:t>
            </w: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(63)</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(85)</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(430)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shd w:val="clear" w:color="auto" w:fill="CFF0FC"/>
          </w:tcPr>
          <w:p>
            <w:pPr>
              <w:ind w:left="740"/>
              <w:spacing w:after="0" w:line="169" w:lineRule="exact"/>
              <w:rPr>
                <w:sz w:val="20"/>
                <w:szCs w:val="20"/>
                <w:color w:val="auto"/>
              </w:rPr>
            </w:pPr>
            <w:r>
              <w:rPr>
                <w:rFonts w:ascii="Times New Roman" w:cs="Times New Roman" w:eastAsia="Times New Roman" w:hAnsi="Times New Roman"/>
                <w:sz w:val="15"/>
                <w:szCs w:val="15"/>
                <w:b w:val="1"/>
                <w:bCs w:val="1"/>
                <w:color w:val="auto"/>
              </w:rPr>
              <w:t>Net Expenses</w:t>
            </w: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114,650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87,803</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82,852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Net Investment Income Before Income Taxes</w:t>
            </w: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147,264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123,094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109,558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Income taxes, including excise taxes</w:t>
            </w: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3,375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2,835</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2,225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Net Investment Income</w:t>
            </w: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143,889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120,259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107,333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Unrealized and Realized Gains (Losses)</w:t>
            </w: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Net change in unrealized gains (losses):</w:t>
            </w: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Non-controlled, non-affiliated investments</w:t>
            </w:r>
          </w:p>
        </w:tc>
        <w:tc>
          <w:tcPr>
            <w:tcW w:w="1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(15,207)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10,090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44,676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Non-controlled, affiliated investments</w:t>
            </w:r>
          </w:p>
        </w:tc>
        <w:tc>
          <w:tcPr>
            <w:tcW w:w="140" w:type="dxa"/>
            <w:vAlign w:val="bottom"/>
          </w:tcPr>
          <w:p>
            <w:pPr>
              <w:spacing w:after="0"/>
              <w:rPr>
                <w:sz w:val="15"/>
                <w:szCs w:val="15"/>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(670)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Controlled, affiliated investments</w:t>
            </w:r>
          </w:p>
        </w:tc>
        <w:tc>
          <w:tcPr>
            <w:tcW w:w="1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(2,028)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7,668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(10,994)</w:t>
            </w:r>
          </w:p>
        </w:tc>
        <w:tc>
          <w:tcPr>
            <w:tcW w:w="0" w:type="dxa"/>
            <w:vAlign w:val="bottom"/>
          </w:tcPr>
          <w:p>
            <w:pPr>
              <w:spacing w:after="0"/>
              <w:rPr>
                <w:sz w:val="1"/>
                <w:szCs w:val="1"/>
                <w:color w:val="auto"/>
              </w:rPr>
            </w:pPr>
          </w:p>
        </w:tc>
      </w:tr>
      <w:tr>
        <w:trPr>
          <w:trHeight w:val="176"/>
        </w:trPr>
        <w:tc>
          <w:tcPr>
            <w:tcW w:w="59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Translation of other assets and liabilities in foreign currencies</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5,455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(11,432)</w:t>
            </w:r>
          </w:p>
        </w:tc>
        <w:tc>
          <w:tcPr>
            <w:tcW w:w="140" w:type="dxa"/>
            <w:vAlign w:val="bottom"/>
          </w:tcPr>
          <w:p>
            <w:pPr>
              <w:spacing w:after="0"/>
              <w:rPr>
                <w:sz w:val="15"/>
                <w:szCs w:val="15"/>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(3,547)</w:t>
            </w:r>
          </w:p>
        </w:tc>
        <w:tc>
          <w:tcPr>
            <w:tcW w:w="0" w:type="dxa"/>
            <w:vAlign w:val="bottom"/>
          </w:tcPr>
          <w:p>
            <w:pPr>
              <w:spacing w:after="0"/>
              <w:rPr>
                <w:sz w:val="1"/>
                <w:szCs w:val="1"/>
                <w:color w:val="auto"/>
              </w:rPr>
            </w:pPr>
          </w:p>
        </w:tc>
      </w:tr>
      <w:tr>
        <w:trPr>
          <w:trHeight w:val="176"/>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Interest rate swaps</w:t>
            </w:r>
          </w:p>
        </w:tc>
        <w:tc>
          <w:tcPr>
            <w:tcW w:w="1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(1,701)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(1,031)</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(333)</w:t>
            </w:r>
          </w:p>
        </w:tc>
        <w:tc>
          <w:tcPr>
            <w:tcW w:w="0" w:type="dxa"/>
            <w:vAlign w:val="bottom"/>
          </w:tcPr>
          <w:p>
            <w:pPr>
              <w:spacing w:after="0"/>
              <w:rPr>
                <w:sz w:val="1"/>
                <w:szCs w:val="1"/>
                <w:color w:val="auto"/>
              </w:rPr>
            </w:pPr>
          </w:p>
        </w:tc>
      </w:tr>
      <w:tr>
        <w:trPr>
          <w:trHeight w:val="169"/>
        </w:trPr>
        <w:tc>
          <w:tcPr>
            <w:tcW w:w="5980" w:type="dxa"/>
            <w:vAlign w:val="bottom"/>
            <w:tcBorders>
              <w:bottom w:val="single" w:sz="8" w:color="CFF0FC"/>
            </w:tcBorders>
          </w:tcPr>
          <w:p>
            <w:pPr>
              <w:ind w:left="740"/>
              <w:spacing w:after="0" w:line="169" w:lineRule="exact"/>
              <w:rPr>
                <w:sz w:val="20"/>
                <w:szCs w:val="20"/>
                <w:color w:val="auto"/>
              </w:rPr>
            </w:pPr>
            <w:r>
              <w:rPr>
                <w:rFonts w:ascii="Times New Roman" w:cs="Times New Roman" w:eastAsia="Times New Roman" w:hAnsi="Times New Roman"/>
                <w:sz w:val="15"/>
                <w:szCs w:val="15"/>
                <w:color w:val="auto"/>
              </w:rPr>
              <w:t>Total net change in unrealized gains (losses)</w:t>
            </w:r>
          </w:p>
        </w:tc>
        <w:tc>
          <w:tcPr>
            <w:tcW w:w="1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(14,151)</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5,295</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29,802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Realized gains (losses):</w:t>
            </w: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Non-controlled, non-affiliated investments</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7,481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(772)</w:t>
            </w:r>
          </w:p>
        </w:tc>
        <w:tc>
          <w:tcPr>
            <w:tcW w:w="0" w:type="dxa"/>
            <w:vAlign w:val="bottom"/>
          </w:tcPr>
          <w:p>
            <w:pPr>
              <w:spacing w:after="0"/>
              <w:rPr>
                <w:sz w:val="1"/>
                <w:szCs w:val="1"/>
                <w:color w:val="auto"/>
              </w:rPr>
            </w:pPr>
          </w:p>
        </w:tc>
      </w:tr>
      <w:tr>
        <w:trPr>
          <w:trHeight w:val="176"/>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Controlled, affiliated investments</w:t>
            </w:r>
          </w:p>
        </w:tc>
        <w:tc>
          <w:tcPr>
            <w:tcW w:w="1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(14,890)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(21,776)</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5"/>
                <w:szCs w:val="15"/>
                <w:color w:val="auto"/>
              </w:rPr>
              <w:t>Foreign currency transactions</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712</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80" w:type="dxa"/>
            <w:vAlign w:val="bottom"/>
            <w:shd w:val="clear" w:color="auto" w:fill="CFF0FC"/>
          </w:tcPr>
          <w:p>
            <w:pPr>
              <w:ind w:left="740"/>
              <w:spacing w:after="0" w:line="169" w:lineRule="exact"/>
              <w:rPr>
                <w:sz w:val="20"/>
                <w:szCs w:val="20"/>
                <w:color w:val="auto"/>
              </w:rPr>
            </w:pPr>
            <w:r>
              <w:rPr>
                <w:rFonts w:ascii="Times New Roman" w:cs="Times New Roman" w:eastAsia="Times New Roman" w:hAnsi="Times New Roman"/>
                <w:sz w:val="15"/>
                <w:szCs w:val="15"/>
                <w:color w:val="auto"/>
              </w:rPr>
              <w:t>Total net realized gains (losses)</w:t>
            </w: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(10,721)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(13,945)</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tcBorders>
              <w:bottom w:val="single" w:sz="8" w:color="CFF0FC"/>
            </w:tcBorders>
          </w:tcPr>
          <w:p>
            <w:pPr>
              <w:ind w:left="1000"/>
              <w:spacing w:after="0" w:line="169" w:lineRule="exact"/>
              <w:rPr>
                <w:sz w:val="20"/>
                <w:szCs w:val="20"/>
                <w:color w:val="auto"/>
              </w:rPr>
            </w:pPr>
            <w:r>
              <w:rPr>
                <w:rFonts w:ascii="Times New Roman" w:cs="Times New Roman" w:eastAsia="Times New Roman" w:hAnsi="Times New Roman"/>
                <w:sz w:val="15"/>
                <w:szCs w:val="15"/>
                <w:b w:val="1"/>
                <w:bCs w:val="1"/>
                <w:color w:val="auto"/>
              </w:rPr>
              <w:t>Total Unrealized and Realized Gains (Losses)</w:t>
            </w: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(24,872)</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(8,650)</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29,674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tcBorders>
              <w:bottom w:val="single" w:sz="8" w:color="CFF0FC"/>
            </w:tcBorders>
            <w:shd w:val="clear" w:color="auto" w:fill="CFF0FC"/>
          </w:tcPr>
          <w:p>
            <w:pPr>
              <w:ind w:left="1000"/>
              <w:spacing w:after="0" w:line="169" w:lineRule="exact"/>
              <w:rPr>
                <w:sz w:val="20"/>
                <w:szCs w:val="20"/>
                <w:color w:val="auto"/>
              </w:rPr>
            </w:pPr>
            <w:r>
              <w:rPr>
                <w:rFonts w:ascii="Times New Roman" w:cs="Times New Roman" w:eastAsia="Times New Roman" w:hAnsi="Times New Roman"/>
                <w:sz w:val="15"/>
                <w:szCs w:val="15"/>
                <w:b w:val="1"/>
                <w:bCs w:val="1"/>
                <w:color w:val="auto"/>
              </w:rPr>
              <w:t>Increase in Net Assets Resulting from Operations</w:t>
            </w: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119,017</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111,609</w:t>
            </w:r>
          </w:p>
        </w:tc>
        <w:tc>
          <w:tcPr>
            <w:tcW w:w="2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137,007</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Earnings per common share—basic and diluted</w:t>
            </w: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80" w:type="dxa"/>
            <w:vAlign w:val="bottom"/>
            <w:tcBorders>
              <w:bottom w:val="single" w:sz="8" w:color="CFF0FC"/>
            </w:tcBorders>
            <w:vMerge w:val="continue"/>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1.86</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1.86</w:t>
            </w:r>
          </w:p>
        </w:tc>
        <w:tc>
          <w:tcPr>
            <w:tcW w:w="2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2.34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9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Weighted average shares of common stock outstanding—basic and diluted</w:t>
            </w: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64,028,137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59,995,387</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58,591,380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r>
      <w:tr>
        <w:trPr>
          <w:trHeight w:val="155"/>
        </w:trPr>
        <w:tc>
          <w:tcPr>
            <w:tcW w:w="2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13"/>
                <w:szCs w:val="13"/>
                <w:color w:val="auto"/>
              </w:rPr>
            </w:pPr>
          </w:p>
        </w:tc>
        <w:tc>
          <w:tcPr>
            <w:tcW w:w="2360" w:type="dxa"/>
            <w:vAlign w:val="bottom"/>
            <w:gridSpan w:val="2"/>
          </w:tcPr>
          <w:p>
            <w:pPr>
              <w:ind w:left="8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 xml:space="preserve">Cost </w:t>
            </w:r>
            <w:r>
              <w:rPr>
                <w:rFonts w:ascii="Times New Roman" w:cs="Times New Roman" w:eastAsia="Times New Roman" w:hAnsi="Times New Roman"/>
                <w:sz w:val="10"/>
                <w:szCs w:val="10"/>
                <w:b w:val="1"/>
                <w:bCs w:val="1"/>
                <w:color w:val="auto"/>
              </w:rPr>
              <w:t>(2)(8)</w:t>
            </w:r>
          </w:p>
        </w:tc>
        <w:tc>
          <w:tcPr>
            <w:tcW w:w="200" w:type="dxa"/>
            <w:vAlign w:val="bottom"/>
          </w:tcPr>
          <w:p>
            <w:pPr>
              <w:spacing w:after="0"/>
              <w:rPr>
                <w:sz w:val="13"/>
                <w:szCs w:val="13"/>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0"/>
                <w:szCs w:val="10"/>
                <w:b w:val="1"/>
                <w:bCs w:val="1"/>
                <w:color w:val="auto"/>
              </w:rPr>
              <w:t>(10)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5"/>
              </w:rPr>
              <w:t>of Net Assets</w:t>
            </w:r>
          </w:p>
        </w:tc>
      </w:tr>
      <w:tr>
        <w:trPr>
          <w:trHeight w:val="210"/>
        </w:trPr>
        <w:tc>
          <w:tcPr>
            <w:tcW w:w="2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20" w:type="dxa"/>
            <w:vAlign w:val="bottom"/>
            <w:tcBorders>
              <w:top w:val="single" w:sz="8" w:color="CFF0FC"/>
            </w:tcBorders>
            <w:shd w:val="clear" w:color="auto" w:fill="CFF0FC"/>
          </w:tcPr>
          <w:p>
            <w:pPr>
              <w:spacing w:after="0"/>
              <w:rPr>
                <w:sz w:val="18"/>
                <w:szCs w:val="18"/>
                <w:color w:val="auto"/>
              </w:rPr>
            </w:pPr>
          </w:p>
        </w:tc>
        <w:tc>
          <w:tcPr>
            <w:tcW w:w="2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2"/>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Beverage, food and tobacco</w:t>
            </w: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5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AFS Technologies, Inc. </w:t>
            </w:r>
            <w:r>
              <w:rPr>
                <w:rFonts w:ascii="Times New Roman" w:cs="Times New Roman" w:eastAsia="Times New Roman" w:hAnsi="Times New Roman"/>
                <w:sz w:val="23"/>
                <w:szCs w:val="23"/>
                <w:color w:val="auto"/>
                <w:vertAlign w:val="superscript"/>
              </w:rPr>
              <w:t>(3)(5)(6)</w:t>
            </w:r>
          </w:p>
        </w:tc>
        <w:tc>
          <w:tcPr>
            <w:tcW w:w="2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($42,234 par, due</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6"/>
        </w:trPr>
        <w:tc>
          <w:tcPr>
            <w:tcW w:w="254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10/2023)</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10/16/2018</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+ 6.25%</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8.77%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41,611</w:t>
            </w:r>
          </w:p>
        </w:tc>
        <w:tc>
          <w:tcPr>
            <w:tcW w:w="4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41,179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r>
      <w:tr>
        <w:trPr>
          <w:trHeight w:val="212"/>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Business services</w:t>
            </w: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5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Acceo Solutions, Inc. </w:t>
            </w:r>
            <w:r>
              <w:rPr>
                <w:rFonts w:ascii="Times New Roman" w:cs="Times New Roman" w:eastAsia="Times New Roman" w:hAnsi="Times New Roman"/>
                <w:sz w:val="23"/>
                <w:szCs w:val="23"/>
                <w:color w:val="auto"/>
                <w:vertAlign w:val="superscript"/>
              </w:rPr>
              <w:t>(3)(4)(5)</w:t>
            </w:r>
          </w:p>
        </w:tc>
        <w:tc>
          <w:tcPr>
            <w:tcW w:w="2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(CAD 64,675 par,</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46,051</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6"/>
        </w:trPr>
        <w:tc>
          <w:tcPr>
            <w:tcW w:w="2540" w:type="dxa"/>
            <w:vAlign w:val="bottom"/>
            <w:shd w:val="clear" w:color="auto" w:fill="CFF0FC"/>
          </w:tcPr>
          <w:p>
            <w:pPr>
              <w:spacing w:after="0"/>
              <w:rPr>
                <w:sz w:val="18"/>
                <w:szCs w:val="18"/>
                <w:color w:val="auto"/>
              </w:rPr>
            </w:pPr>
          </w:p>
        </w:tc>
        <w:tc>
          <w:tcPr>
            <w:tcW w:w="2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due 7/2023)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7/6/2018</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C + 5.25%</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7.41%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48,275</w:t>
            </w:r>
          </w:p>
        </w:tc>
        <w:tc>
          <w:tcPr>
            <w:tcW w:w="1360" w:type="dxa"/>
            <w:vAlign w:val="bottom"/>
            <w:gridSpan w:val="4"/>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(CAD 62,896)</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Integration Appliance, Inc. </w:t>
            </w:r>
            <w:r>
              <w:rPr>
                <w:rFonts w:ascii="Times New Roman" w:cs="Times New Roman" w:eastAsia="Times New Roman" w:hAnsi="Times New Roman"/>
                <w:sz w:val="23"/>
                <w:szCs w:val="23"/>
                <w:color w:val="auto"/>
                <w:vertAlign w:val="superscript"/>
              </w:rPr>
              <w:t>(3)</w:t>
            </w: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First-lien loan ($52,381 par, due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51,281</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540" w:type="dxa"/>
            <w:vAlign w:val="bottom"/>
          </w:tcPr>
          <w:p>
            <w:pPr>
              <w:spacing w:after="0"/>
              <w:rPr>
                <w:sz w:val="18"/>
                <w:szCs w:val="18"/>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8/2023)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8/13/2018</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 + 7.25%</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9.60%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Jive Software, Inc. </w:t>
            </w:r>
            <w:r>
              <w:rPr>
                <w:rFonts w:ascii="Times New Roman" w:cs="Times New Roman" w:eastAsia="Times New Roman" w:hAnsi="Times New Roman"/>
                <w:sz w:val="24"/>
                <w:szCs w:val="24"/>
                <w:color w:val="auto"/>
                <w:vertAlign w:val="superscript"/>
              </w:rPr>
              <w:t>(3)(5)</w:t>
            </w:r>
          </w:p>
        </w:tc>
        <w:tc>
          <w:tcPr>
            <w:tcW w:w="2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($52,110 par, due</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54,194</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54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6/2022)</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6/12/2017</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+ 9.25%</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11.77%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50,656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Motus, LLC </w:t>
            </w:r>
            <w:r>
              <w:rPr>
                <w:rFonts w:ascii="Times New Roman" w:cs="Times New Roman" w:eastAsia="Times New Roman" w:hAnsi="Times New Roman"/>
                <w:sz w:val="23"/>
                <w:szCs w:val="23"/>
                <w:color w:val="auto"/>
                <w:vertAlign w:val="superscript"/>
              </w:rPr>
              <w:t>(3)</w:t>
            </w: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First-lien loan ($68,880 par, due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69,624</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540" w:type="dxa"/>
            <w:vAlign w:val="bottom"/>
          </w:tcPr>
          <w:p>
            <w:pPr>
              <w:spacing w:after="0"/>
              <w:rPr>
                <w:sz w:val="18"/>
                <w:szCs w:val="18"/>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1/2024)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1/17/2018</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 + 6.75%</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9.22%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67,262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Nintex Global Limited </w:t>
            </w:r>
            <w:r>
              <w:rPr>
                <w:rFonts w:ascii="Times New Roman" w:cs="Times New Roman" w:eastAsia="Times New Roman" w:hAnsi="Times New Roman"/>
                <w:sz w:val="24"/>
                <w:szCs w:val="24"/>
                <w:color w:val="auto"/>
                <w:vertAlign w:val="superscript"/>
              </w:rPr>
              <w:t>(3)(5)</w:t>
            </w:r>
          </w:p>
        </w:tc>
        <w:tc>
          <w:tcPr>
            <w:tcW w:w="2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($71,975 par, due</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70,176</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54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4/2024)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3/30/2018</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+ 6.75%</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9.28%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70,382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Sovos Compliance, LLC </w:t>
            </w:r>
            <w:r>
              <w:rPr>
                <w:rFonts w:ascii="Times New Roman" w:cs="Times New Roman" w:eastAsia="Times New Roman" w:hAnsi="Times New Roman"/>
                <w:sz w:val="23"/>
                <w:szCs w:val="23"/>
                <w:color w:val="auto"/>
                <w:vertAlign w:val="superscript"/>
              </w:rPr>
              <w:t>(3)</w:t>
            </w: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First-lien loan ($36,453 par, due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36,453</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2540" w:type="dxa"/>
            <w:vAlign w:val="bottom"/>
          </w:tcPr>
          <w:p>
            <w:pPr>
              <w:spacing w:after="0"/>
              <w:rPr>
                <w:sz w:val="18"/>
                <w:szCs w:val="18"/>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3/2022)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7/1/2016</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 + 6.00%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r>
      <w:tr>
        <w:trPr>
          <w:trHeight w:val="20"/>
        </w:trPr>
        <w:tc>
          <w:tcPr>
            <w:tcW w:w="25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324,215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327,779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30.7%</w:t>
            </w:r>
          </w:p>
        </w:tc>
      </w:tr>
      <w:tr>
        <w:trPr>
          <w:trHeight w:val="204"/>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Chemicals</w:t>
            </w: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Vertellus Specialties, Inc. </w:t>
            </w:r>
            <w:r>
              <w:rPr>
                <w:rFonts w:ascii="Times New Roman" w:cs="Times New Roman" w:eastAsia="Times New Roman" w:hAnsi="Times New Roman"/>
                <w:sz w:val="24"/>
                <w:szCs w:val="24"/>
                <w:color w:val="auto"/>
                <w:vertAlign w:val="superscript"/>
              </w:rPr>
              <w:t>(3)</w:t>
            </w:r>
          </w:p>
        </w:tc>
        <w:tc>
          <w:tcPr>
            <w:tcW w:w="2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($4,967 par, due</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54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1/2019)</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10/31/2016</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+ 9.00%</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11.42%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r>
      <w:tr>
        <w:trPr>
          <w:trHeight w:val="202"/>
        </w:trPr>
        <w:tc>
          <w:tcPr>
            <w:tcW w:w="2540" w:type="dxa"/>
            <w:vAlign w:val="bottom"/>
          </w:tcPr>
          <w:p>
            <w:pPr>
              <w:spacing w:after="0"/>
              <w:rPr>
                <w:sz w:val="17"/>
                <w:szCs w:val="17"/>
                <w:color w:val="auto"/>
              </w:rPr>
            </w:pP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Second-lien loan ($3,341 par, due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2540" w:type="dxa"/>
            <w:vAlign w:val="bottom"/>
          </w:tcPr>
          <w:p>
            <w:pPr>
              <w:spacing w:after="0"/>
              <w:rPr>
                <w:sz w:val="18"/>
                <w:szCs w:val="18"/>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10/2021)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10/31/2016</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 + 12.00%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14.42%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0.3%</w:t>
            </w:r>
          </w:p>
        </w:tc>
      </w:tr>
      <w:tr>
        <w:trPr>
          <w:trHeight w:val="20"/>
        </w:trPr>
        <w:tc>
          <w:tcPr>
            <w:tcW w:w="25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8,308</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r>
      <w:tr>
        <w:trPr>
          <w:trHeight w:val="204"/>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Education</w:t>
            </w: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Curriculum Associates, LLC </w:t>
            </w:r>
            <w:r>
              <w:rPr>
                <w:rFonts w:ascii="Times New Roman" w:cs="Times New Roman" w:eastAsia="Times New Roman" w:hAnsi="Times New Roman"/>
                <w:sz w:val="24"/>
                <w:szCs w:val="24"/>
                <w:color w:val="auto"/>
                <w:vertAlign w:val="superscript"/>
              </w:rPr>
              <w:t>(3)(5)</w:t>
            </w:r>
          </w:p>
        </w:tc>
        <w:tc>
          <w:tcPr>
            <w:tcW w:w="2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($49,875 par, due</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50,374</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54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2/2024)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2/28/2018</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+ 6.00%</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8.52%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48,497</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r>
      <w:tr>
        <w:trPr>
          <w:trHeight w:val="201"/>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Frontline Technologies Group, LLC</w:t>
            </w: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First-lien loan ($47,225 par, due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46,801</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9/2023)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9/18/2017</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 + 6.50%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46,713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Illuminate Education, Inc.</w:t>
            </w:r>
            <w:r>
              <w:rPr>
                <w:rFonts w:ascii="Times New Roman" w:cs="Times New Roman" w:eastAsia="Times New Roman" w:hAnsi="Times New Roman"/>
                <w:sz w:val="24"/>
                <w:szCs w:val="24"/>
                <w:color w:val="auto"/>
                <w:vertAlign w:val="superscript"/>
              </w:rPr>
              <w:t>(3)(5)</w:t>
            </w:r>
          </w:p>
        </w:tc>
        <w:tc>
          <w:tcPr>
            <w:tcW w:w="2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($64,675 par, due</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63,544</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54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8/2022)</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8/25/2017</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+ 7.25%</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9.78%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63,611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160,719</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15.1%</w:t>
            </w:r>
          </w:p>
        </w:tc>
      </w:tr>
      <w:tr>
        <w:trPr>
          <w:trHeight w:val="212"/>
        </w:trPr>
        <w:tc>
          <w:tcPr>
            <w:tcW w:w="2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Financial services</w:t>
            </w:r>
          </w:p>
        </w:tc>
        <w:tc>
          <w:tcPr>
            <w:tcW w:w="120" w:type="dxa"/>
            <w:vAlign w:val="bottom"/>
            <w:tcBorders>
              <w:top w:val="single" w:sz="8" w:color="CFF0FC"/>
            </w:tcBorders>
            <w:shd w:val="clear" w:color="auto" w:fill="CFF0FC"/>
          </w:tcPr>
          <w:p>
            <w:pPr>
              <w:spacing w:after="0"/>
              <w:rPr>
                <w:sz w:val="18"/>
                <w:szCs w:val="18"/>
                <w:color w:val="auto"/>
              </w:rPr>
            </w:pPr>
          </w:p>
        </w:tc>
        <w:tc>
          <w:tcPr>
            <w:tcW w:w="2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AppStar Financial, LLC </w:t>
            </w:r>
            <w:r>
              <w:rPr>
                <w:rFonts w:ascii="Times New Roman" w:cs="Times New Roman" w:eastAsia="Times New Roman" w:hAnsi="Times New Roman"/>
                <w:sz w:val="23"/>
                <w:szCs w:val="23"/>
                <w:color w:val="auto"/>
                <w:vertAlign w:val="superscript"/>
              </w:rPr>
              <w:t>(3)</w:t>
            </w: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First-lien loan ($18,506 par, due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18,609</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540" w:type="dxa"/>
            <w:vAlign w:val="bottom"/>
          </w:tcPr>
          <w:p>
            <w:pPr>
              <w:spacing w:after="0"/>
              <w:rPr>
                <w:sz w:val="18"/>
                <w:szCs w:val="18"/>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8/2020)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8/18/2015</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 + 7.50%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AvidXchange, Inc. </w:t>
            </w:r>
            <w:r>
              <w:rPr>
                <w:rFonts w:ascii="Times New Roman" w:cs="Times New Roman" w:eastAsia="Times New Roman" w:hAnsi="Times New Roman"/>
                <w:sz w:val="24"/>
                <w:szCs w:val="24"/>
                <w:color w:val="auto"/>
                <w:vertAlign w:val="superscript"/>
              </w:rPr>
              <w:t>(3)</w:t>
            </w:r>
          </w:p>
        </w:tc>
        <w:tc>
          <w:tcPr>
            <w:tcW w:w="2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($54,449 par, due</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54,994</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54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8/2020)</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8/7/2015</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+ 9.50%</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12.06%</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54,080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G Treasury SS, LLC </w:t>
            </w:r>
            <w:r>
              <w:rPr>
                <w:rFonts w:ascii="Times New Roman" w:cs="Times New Roman" w:eastAsia="Times New Roman" w:hAnsi="Times New Roman"/>
                <w:sz w:val="23"/>
                <w:szCs w:val="23"/>
                <w:color w:val="auto"/>
                <w:vertAlign w:val="superscript"/>
              </w:rPr>
              <w:t>(3)</w:t>
            </w: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First-lien loan ($30,515 par, due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11.78% (incl.</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29,765</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540" w:type="dxa"/>
            <w:vAlign w:val="bottom"/>
          </w:tcPr>
          <w:p>
            <w:pPr>
              <w:spacing w:after="0"/>
              <w:rPr>
                <w:sz w:val="18"/>
                <w:szCs w:val="18"/>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4/2022)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4/9/2018</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 + 9.25%</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3.00% PIK)</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Government Brands, LLC </w:t>
            </w:r>
            <w:r>
              <w:rPr>
                <w:rFonts w:ascii="Times New Roman" w:cs="Times New Roman" w:eastAsia="Times New Roman" w:hAnsi="Times New Roman"/>
                <w:sz w:val="24"/>
                <w:szCs w:val="24"/>
                <w:color w:val="auto"/>
                <w:vertAlign w:val="superscript"/>
              </w:rPr>
              <w:t>(3)</w:t>
            </w:r>
          </w:p>
        </w:tc>
        <w:tc>
          <w:tcPr>
            <w:tcW w:w="2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($45,870 par, due</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11.81% (incl.</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44,853</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54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3/2023)</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3/15/2018</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+ 9.25%</w:t>
            </w: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2.50% PIK)</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45,001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PayLease, LLC </w:t>
            </w:r>
            <w:r>
              <w:rPr>
                <w:rFonts w:ascii="Times New Roman" w:cs="Times New Roman" w:eastAsia="Times New Roman" w:hAnsi="Times New Roman"/>
                <w:sz w:val="23"/>
                <w:szCs w:val="23"/>
                <w:color w:val="auto"/>
                <w:vertAlign w:val="superscript"/>
              </w:rPr>
              <w:t>(3)</w:t>
            </w: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First-lien loan ($55,958 par, due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55,810</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540" w:type="dxa"/>
            <w:vAlign w:val="bottom"/>
          </w:tcPr>
          <w:p>
            <w:pPr>
              <w:spacing w:after="0"/>
              <w:rPr>
                <w:sz w:val="18"/>
                <w:szCs w:val="18"/>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7/2022)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7/28/2017</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 + 7.00%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9.52%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55,065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PaySimple, Inc. </w:t>
            </w:r>
            <w:r>
              <w:rPr>
                <w:rFonts w:ascii="Times New Roman" w:cs="Times New Roman" w:eastAsia="Times New Roman" w:hAnsi="Times New Roman"/>
                <w:sz w:val="24"/>
                <w:szCs w:val="24"/>
                <w:color w:val="auto"/>
                <w:vertAlign w:val="superscript"/>
              </w:rPr>
              <w:t>(3)(5)</w:t>
            </w:r>
          </w:p>
        </w:tc>
        <w:tc>
          <w:tcPr>
            <w:tcW w:w="2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($59,395 par, due</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10.81% (incl.</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58,652</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54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3/2022)</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4/17/2018</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+ 8.25%</w:t>
            </w: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1.75% PIK)</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59,121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PrimeRevenue, Inc. </w:t>
            </w:r>
            <w:r>
              <w:rPr>
                <w:rFonts w:ascii="Times New Roman" w:cs="Times New Roman" w:eastAsia="Times New Roman" w:hAnsi="Times New Roman"/>
                <w:sz w:val="23"/>
                <w:szCs w:val="23"/>
                <w:color w:val="auto"/>
                <w:vertAlign w:val="superscript"/>
              </w:rPr>
              <w:t>(3)</w:t>
            </w: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First-lien loan ($20,000 par, due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11.02% (incl.</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19,672</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540" w:type="dxa"/>
            <w:vAlign w:val="bottom"/>
          </w:tcPr>
          <w:p>
            <w:pPr>
              <w:spacing w:after="0"/>
              <w:rPr>
                <w:sz w:val="18"/>
                <w:szCs w:val="18"/>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12/2023)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12/31/2018</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 + 8.50%</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5.50% PIK)</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Swift Gift Limited </w:t>
            </w:r>
            <w:r>
              <w:rPr>
                <w:rFonts w:ascii="Times New Roman" w:cs="Times New Roman" w:eastAsia="Times New Roman" w:hAnsi="Times New Roman"/>
                <w:sz w:val="24"/>
                <w:szCs w:val="24"/>
                <w:color w:val="auto"/>
                <w:vertAlign w:val="superscript"/>
              </w:rPr>
              <w:t>(3)(5)</w:t>
            </w:r>
          </w:p>
        </w:tc>
        <w:tc>
          <w:tcPr>
            <w:tcW w:w="2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($28,875 par, due</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29,958</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54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1/2022)</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7/31/2017</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+ 6.50%</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9.06%</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28,335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312,313</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29.4%</w:t>
            </w:r>
          </w:p>
        </w:tc>
      </w:tr>
      <w:tr>
        <w:trPr>
          <w:trHeight w:val="212"/>
        </w:trPr>
        <w:tc>
          <w:tcPr>
            <w:tcW w:w="2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20" w:type="dxa"/>
            <w:vAlign w:val="bottom"/>
            <w:tcBorders>
              <w:top w:val="single" w:sz="8" w:color="CFF0FC"/>
            </w:tcBorders>
            <w:shd w:val="clear" w:color="auto" w:fill="CFF0FC"/>
          </w:tcPr>
          <w:p>
            <w:pPr>
              <w:spacing w:after="0"/>
              <w:rPr>
                <w:sz w:val="18"/>
                <w:szCs w:val="18"/>
                <w:color w:val="auto"/>
              </w:rPr>
            </w:pPr>
          </w:p>
        </w:tc>
        <w:tc>
          <w:tcPr>
            <w:tcW w:w="2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2"/>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Caris Life Sciences, Ltd.</w:t>
            </w: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First-lien loan ($2,500 par, due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2540" w:type="dxa"/>
            <w:vAlign w:val="bottom"/>
          </w:tcPr>
          <w:p>
            <w:pPr>
              <w:spacing w:after="0"/>
              <w:rPr>
                <w:sz w:val="18"/>
                <w:szCs w:val="18"/>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9/2023)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9/21/2018</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11.30%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11.30%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r>
      <w:tr>
        <w:trPr>
          <w:trHeight w:val="205"/>
        </w:trPr>
        <w:tc>
          <w:tcPr>
            <w:tcW w:w="2540" w:type="dxa"/>
            <w:vAlign w:val="bottom"/>
            <w:shd w:val="clear" w:color="auto" w:fill="CFF0FC"/>
          </w:tcPr>
          <w:p>
            <w:pPr>
              <w:spacing w:after="0"/>
              <w:rPr>
                <w:sz w:val="17"/>
                <w:szCs w:val="17"/>
                <w:color w:val="auto"/>
              </w:rPr>
            </w:pPr>
          </w:p>
        </w:tc>
        <w:tc>
          <w:tcPr>
            <w:tcW w:w="24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Convertible note ($2,500 par, due</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6"/>
        </w:trPr>
        <w:tc>
          <w:tcPr>
            <w:tcW w:w="254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9/2023)</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9/21/2018</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8.00%</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8.00%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310"/>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Integrated Practice Solutions, Inc. </w:t>
            </w:r>
            <w:r>
              <w:rPr>
                <w:rFonts w:ascii="Times New Roman" w:cs="Times New Roman" w:eastAsia="Times New Roman" w:hAnsi="Times New Roman"/>
                <w:sz w:val="27"/>
                <w:szCs w:val="27"/>
                <w:color w:val="auto"/>
                <w:vertAlign w:val="superscript"/>
              </w:rPr>
              <w:t>(3)</w:t>
            </w: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First-lien loan ($36,501 par, due</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36,136</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6/2022)</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6/30/2017</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+ 8.00%</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35,696</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MedeAnalytics, Inc. </w:t>
            </w:r>
            <w:r>
              <w:rPr>
                <w:rFonts w:ascii="Times New Roman" w:cs="Times New Roman" w:eastAsia="Times New Roman" w:hAnsi="Times New Roman"/>
                <w:sz w:val="24"/>
                <w:szCs w:val="24"/>
                <w:color w:val="auto"/>
                <w:vertAlign w:val="superscript"/>
              </w:rPr>
              <w:t>(3)(5)</w:t>
            </w: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($41,884 par, due</w:t>
            </w: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41,884</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9/2020)</w:t>
            </w: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9/30/2015</w:t>
            </w: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+ 7.50%</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41,384</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InterOperability Bidco, Inc. </w:t>
            </w:r>
            <w:r>
              <w:rPr>
                <w:rFonts w:ascii="Times New Roman" w:cs="Times New Roman" w:eastAsia="Times New Roman" w:hAnsi="Times New Roman"/>
                <w:sz w:val="23"/>
                <w:szCs w:val="23"/>
                <w:color w:val="auto"/>
                <w:vertAlign w:val="superscript"/>
              </w:rPr>
              <w:t>(3)(5)</w:t>
            </w: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First-lien loan ($29,925 par, due</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28,578</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10/2023)</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10/30/2018</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+ 7.00%</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28,729</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Quantros, Inc. </w:t>
            </w:r>
            <w:r>
              <w:rPr>
                <w:rFonts w:ascii="Times New Roman" w:cs="Times New Roman" w:eastAsia="Times New Roman" w:hAnsi="Times New Roman"/>
                <w:sz w:val="24"/>
                <w:szCs w:val="24"/>
                <w:color w:val="auto"/>
                <w:vertAlign w:val="superscript"/>
              </w:rPr>
              <w:t>(3)(5)</w:t>
            </w: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($27,965 par, due</w:t>
            </w: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27,475</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9/2019)</w:t>
            </w: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2/29/2016</w:t>
            </w: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26,650</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137,264</w:t>
            </w:r>
          </w:p>
        </w:tc>
        <w:tc>
          <w:tcPr>
            <w:tcW w:w="200" w:type="dxa"/>
            <w:vAlign w:val="bottom"/>
            <w:vMerge w:val="continue"/>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138,760</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2"/>
        </w:trPr>
        <w:tc>
          <w:tcPr>
            <w:tcW w:w="2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Hotel, gaming, and leisure</w:t>
            </w:r>
          </w:p>
        </w:tc>
        <w:tc>
          <w:tcPr>
            <w:tcW w:w="24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23"/>
                <w:szCs w:val="23"/>
                <w:color w:val="auto"/>
                <w:vertAlign w:val="superscript"/>
              </w:rPr>
              <w:t>(3)(7)</w:t>
            </w: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First-lien loan ($30,042 par, due</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12.30% (incl.</w:t>
            </w:r>
          </w:p>
        </w:tc>
        <w:tc>
          <w:tcPr>
            <w:tcW w:w="7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29,959</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9/2019)</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9/29/2015</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+ 9.50%</w:t>
            </w: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5.00% PIK)</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28,187</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22"/>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Human resource support services</w:t>
            </w:r>
          </w:p>
        </w:tc>
        <w:tc>
          <w:tcPr>
            <w:tcW w:w="2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ClearCompany, LLC </w:t>
            </w:r>
            <w:r>
              <w:rPr>
                <w:rFonts w:ascii="Times New Roman" w:cs="Times New Roman" w:eastAsia="Times New Roman" w:hAnsi="Times New Roman"/>
                <w:sz w:val="23"/>
                <w:szCs w:val="23"/>
                <w:color w:val="auto"/>
                <w:vertAlign w:val="superscript"/>
              </w:rPr>
              <w:t>(3)</w:t>
            </w: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First-lien loan ($17,154 par, due</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11.21% (incl.</w:t>
            </w:r>
          </w:p>
        </w:tc>
        <w:tc>
          <w:tcPr>
            <w:tcW w:w="7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16,751</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7/2023)</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7/23/2018</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+ 8.50%</w:t>
            </w: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2.50% PIK)</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16,885</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PageUp People Limited </w:t>
            </w:r>
            <w:r>
              <w:rPr>
                <w:rFonts w:ascii="Times New Roman" w:cs="Times New Roman" w:eastAsia="Times New Roman" w:hAnsi="Times New Roman"/>
                <w:sz w:val="24"/>
                <w:szCs w:val="24"/>
                <w:color w:val="auto"/>
                <w:vertAlign w:val="superscript"/>
              </w:rPr>
              <w:t>(3)(4)</w:t>
            </w: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(AUD 46,848 par,</w:t>
            </w: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9.17% (incl.</w:t>
            </w:r>
          </w:p>
        </w:tc>
        <w:tc>
          <w:tcPr>
            <w:tcW w:w="7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32,486</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due 12/2022)</w:t>
            </w: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1/11/2018</w:t>
            </w: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B + 7.25%</w:t>
            </w:r>
          </w:p>
        </w:tc>
        <w:tc>
          <w:tcPr>
            <w:tcW w:w="1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2.25% PIK)</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36,234</w:t>
            </w:r>
          </w:p>
        </w:tc>
        <w:tc>
          <w:tcPr>
            <w:tcW w:w="136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(AUD 46,145)</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2"/>
        </w:trPr>
        <w:tc>
          <w:tcPr>
            <w:tcW w:w="2540" w:type="dxa"/>
            <w:vAlign w:val="bottom"/>
          </w:tcPr>
          <w:p>
            <w:pPr>
              <w:spacing w:after="0"/>
              <w:rPr>
                <w:sz w:val="17"/>
                <w:szCs w:val="17"/>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First-lien revolving loan (AUD</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2,000 par, due 12/2022)</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1/11/2018</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B + 7.25%</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(AUD 1,925)</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54,548</w:t>
            </w:r>
          </w:p>
        </w:tc>
        <w:tc>
          <w:tcPr>
            <w:tcW w:w="200" w:type="dxa"/>
            <w:vAlign w:val="bottom"/>
            <w:vMerge w:val="continue"/>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50,592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4"/>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Insurity, Inc. </w:t>
            </w:r>
            <w:r>
              <w:rPr>
                <w:rFonts w:ascii="Times New Roman" w:cs="Times New Roman" w:eastAsia="Times New Roman" w:hAnsi="Times New Roman"/>
                <w:sz w:val="24"/>
                <w:szCs w:val="24"/>
                <w:color w:val="auto"/>
                <w:vertAlign w:val="superscript"/>
              </w:rPr>
              <w:t>(3)(5)</w:t>
            </w: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($61,665 par, due</w:t>
            </w: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10/2020)</w:t>
            </w: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10/31/2014</w:t>
            </w: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+ 6.75%</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61,384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Riskonnect, Inc. </w:t>
            </w:r>
            <w:r>
              <w:rPr>
                <w:rFonts w:ascii="Times New Roman" w:cs="Times New Roman" w:eastAsia="Times New Roman" w:hAnsi="Times New Roman"/>
                <w:sz w:val="23"/>
                <w:szCs w:val="23"/>
                <w:color w:val="auto"/>
                <w:vertAlign w:val="superscript"/>
              </w:rPr>
              <w:t>(3)(5)</w:t>
            </w: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First-lien loan ($50,000 par, due</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10/2023)</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6/30/2017</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+ 7.75%</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49,000</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110,816</w:t>
            </w:r>
          </w:p>
        </w:tc>
        <w:tc>
          <w:tcPr>
            <w:tcW w:w="200" w:type="dxa"/>
            <w:vAlign w:val="bottom"/>
            <w:vMerge w:val="continue"/>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111,127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4"/>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Internet services</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Higher Logic, LLC </w:t>
            </w:r>
            <w:r>
              <w:rPr>
                <w:rFonts w:ascii="Times New Roman" w:cs="Times New Roman" w:eastAsia="Times New Roman" w:hAnsi="Times New Roman"/>
                <w:sz w:val="24"/>
                <w:szCs w:val="24"/>
                <w:color w:val="auto"/>
                <w:vertAlign w:val="superscript"/>
              </w:rPr>
              <w:t>(3)(5)</w:t>
            </w: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($37,810 par, due</w:t>
            </w: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1/2022)</w:t>
            </w: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6/18/2018</w:t>
            </w: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+ 6.00%</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37,236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36,959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Lithium Technologies, LLC </w:t>
            </w:r>
            <w:r>
              <w:rPr>
                <w:rFonts w:ascii="Times New Roman" w:cs="Times New Roman" w:eastAsia="Times New Roman" w:hAnsi="Times New Roman"/>
                <w:sz w:val="23"/>
                <w:szCs w:val="23"/>
                <w:color w:val="auto"/>
                <w:vertAlign w:val="superscript"/>
              </w:rPr>
              <w:t>(3)</w:t>
            </w: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First-lien loan ($54,700 par, due</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10/2022)</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10/3/2017</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+ 8.00%</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53,639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53,967</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90,875</w:t>
            </w:r>
          </w:p>
        </w:tc>
        <w:tc>
          <w:tcPr>
            <w:tcW w:w="200" w:type="dxa"/>
            <w:vAlign w:val="bottom"/>
            <w:vMerge w:val="continue"/>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90,926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4"/>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Manufacturing</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ScentAir Technologies, Inc. </w:t>
            </w:r>
            <w:r>
              <w:rPr>
                <w:rFonts w:ascii="Times New Roman" w:cs="Times New Roman" w:eastAsia="Times New Roman" w:hAnsi="Times New Roman"/>
                <w:sz w:val="24"/>
                <w:szCs w:val="24"/>
                <w:color w:val="auto"/>
                <w:vertAlign w:val="superscript"/>
              </w:rPr>
              <w:t>(3)</w:t>
            </w: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($19,986 par, due</w:t>
            </w: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12/2019)</w:t>
            </w: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12/30/2014</w:t>
            </w: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+ 7.25%</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9.77%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19,897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19,886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2"/>
        </w:trPr>
        <w:tc>
          <w:tcPr>
            <w:tcW w:w="2540" w:type="dxa"/>
            <w:vAlign w:val="bottom"/>
          </w:tcPr>
          <w:p>
            <w:pPr>
              <w:spacing w:after="0"/>
              <w:rPr>
                <w:sz w:val="17"/>
                <w:szCs w:val="17"/>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First-lien revolving loan ($1,393</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par, due 12/2019)</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12/30/2014</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+ 7.25%</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21,282</w:t>
            </w:r>
          </w:p>
        </w:tc>
        <w:tc>
          <w:tcPr>
            <w:tcW w:w="200" w:type="dxa"/>
            <w:vAlign w:val="bottom"/>
            <w:vMerge w:val="continue"/>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21,268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4"/>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Marketing services</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Validity, Inc. </w:t>
            </w:r>
            <w:r>
              <w:rPr>
                <w:rFonts w:ascii="Times New Roman" w:cs="Times New Roman" w:eastAsia="Times New Roman" w:hAnsi="Times New Roman"/>
                <w:sz w:val="24"/>
                <w:szCs w:val="24"/>
                <w:color w:val="auto"/>
                <w:vertAlign w:val="superscript"/>
              </w:rPr>
              <w:t>(3)(5)(6)</w:t>
            </w: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($35,550 par, due</w:t>
            </w: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5/2023)</w:t>
            </w: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5/31/2018</w:t>
            </w: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+ 6.50%</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34,988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2"/>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Office products</w:t>
            </w:r>
          </w:p>
        </w:tc>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USR Parent Inc. </w:t>
            </w:r>
            <w:r>
              <w:rPr>
                <w:rFonts w:ascii="Times New Roman" w:cs="Times New Roman" w:eastAsia="Times New Roman" w:hAnsi="Times New Roman"/>
                <w:sz w:val="23"/>
                <w:szCs w:val="23"/>
                <w:color w:val="auto"/>
                <w:vertAlign w:val="superscript"/>
              </w:rPr>
              <w:t>(3)(5)</w:t>
            </w: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ABL FILO term loan ($13,500</w:t>
            </w:r>
          </w:p>
        </w:tc>
        <w:tc>
          <w:tcPr>
            <w:tcW w:w="10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par, due 9/2022)</w:t>
            </w: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9/12/2017</w:t>
            </w: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13,251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13,331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0"/>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Oil, gas and consumable</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fuels</w:t>
            </w:r>
          </w:p>
        </w:tc>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MD America Energy, LLC </w:t>
            </w:r>
            <w:r>
              <w:rPr>
                <w:rFonts w:ascii="Times New Roman" w:cs="Times New Roman" w:eastAsia="Times New Roman" w:hAnsi="Times New Roman"/>
                <w:sz w:val="24"/>
                <w:szCs w:val="24"/>
                <w:color w:val="auto"/>
                <w:vertAlign w:val="superscript"/>
              </w:rPr>
              <w:t>(3)</w:t>
            </w: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($15,000 par, due</w:t>
            </w: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11/2023)</w:t>
            </w: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11/14/2018</w:t>
            </w: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14,530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14,325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Mississippi Resources, LLC </w:t>
            </w:r>
            <w:r>
              <w:rPr>
                <w:rFonts w:ascii="Times New Roman" w:cs="Times New Roman" w:eastAsia="Times New Roman" w:hAnsi="Times New Roman"/>
                <w:sz w:val="23"/>
                <w:szCs w:val="23"/>
                <w:color w:val="auto"/>
                <w:vertAlign w:val="superscript"/>
              </w:rPr>
              <w:t>(3)(7)</w:t>
            </w: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First-lien loan ($17,429 par, due</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6/2020)</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6/29/2018</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+ 9.00%</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17,080</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31,959</w:t>
            </w:r>
          </w:p>
        </w:tc>
        <w:tc>
          <w:tcPr>
            <w:tcW w:w="200" w:type="dxa"/>
            <w:vAlign w:val="bottom"/>
            <w:vMerge w:val="continue"/>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31,405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4"/>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Pharmaceuticals</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4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4"/>
                <w:szCs w:val="14"/>
                <w:color w:val="auto"/>
              </w:rPr>
              <w:t xml:space="preserve">Ironwood Pharmaceuticals, Inc. </w:t>
            </w:r>
            <w:r>
              <w:rPr>
                <w:rFonts w:ascii="Times New Roman" w:cs="Times New Roman" w:eastAsia="Times New Roman" w:hAnsi="Times New Roman"/>
                <w:sz w:val="23"/>
                <w:szCs w:val="23"/>
                <w:color w:val="auto"/>
                <w:vertAlign w:val="superscript"/>
              </w:rPr>
              <w:t>(4)(5)</w:t>
            </w: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Secured note ($33,333 par, due</w:t>
            </w:r>
          </w:p>
        </w:tc>
        <w:tc>
          <w:tcPr>
            <w:tcW w:w="10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(9)</w:t>
            </w: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9/2026)</w:t>
            </w: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1/5/2017</w:t>
            </w: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8.38%</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33,202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33,833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Nektar Therapeutics </w:t>
            </w:r>
            <w:r>
              <w:rPr>
                <w:rFonts w:ascii="Times New Roman" w:cs="Times New Roman" w:eastAsia="Times New Roman" w:hAnsi="Times New Roman"/>
                <w:sz w:val="23"/>
                <w:szCs w:val="23"/>
                <w:color w:val="auto"/>
                <w:vertAlign w:val="superscript"/>
              </w:rPr>
              <w:t>(4)(5)(9)</w:t>
            </w: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Secured note ($74,950 par, due</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10/2020)</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10/5/2015</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7.75%</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74,559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76,074</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107,761</w:t>
            </w:r>
          </w:p>
        </w:tc>
        <w:tc>
          <w:tcPr>
            <w:tcW w:w="200" w:type="dxa"/>
            <w:vAlign w:val="bottom"/>
            <w:vMerge w:val="continue"/>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109,907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94"/>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Retail and consumer</w:t>
            </w:r>
          </w:p>
        </w:tc>
        <w:tc>
          <w:tcPr>
            <w:tcW w:w="2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products</w:t>
            </w:r>
          </w:p>
        </w:tc>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99 Cents Only Stores LLC </w:t>
            </w:r>
            <w:r>
              <w:rPr>
                <w:rFonts w:ascii="Times New Roman" w:cs="Times New Roman" w:eastAsia="Times New Roman" w:hAnsi="Times New Roman"/>
                <w:sz w:val="24"/>
                <w:szCs w:val="24"/>
                <w:color w:val="auto"/>
                <w:vertAlign w:val="superscript"/>
              </w:rPr>
              <w:t>(3)</w:t>
            </w: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ABL FILO term loan ($32,500</w:t>
            </w: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par, due 4/2021)</w:t>
            </w: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9/6/2017</w:t>
            </w: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10.49%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32,164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32,338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6"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1"/>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American Achievement Corporation</w:t>
            </w:r>
          </w:p>
        </w:tc>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First-lien loan ($22,403 par, due</w:t>
            </w: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9/2020)</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9/30/2015</w:t>
            </w:r>
          </w:p>
        </w:tc>
        <w:tc>
          <w:tcPr>
            <w:tcW w:w="1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 + 8.25%</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22,179</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5"/>
        </w:trPr>
        <w:tc>
          <w:tcPr>
            <w:tcW w:w="2520" w:type="dxa"/>
            <w:vAlign w:val="bottom"/>
            <w:shd w:val="clear" w:color="auto" w:fill="CFF0FC"/>
          </w:tcPr>
          <w:p>
            <w:pPr>
              <w:spacing w:after="0"/>
              <w:rPr>
                <w:sz w:val="17"/>
                <w:szCs w:val="17"/>
                <w:color w:val="auto"/>
              </w:rPr>
            </w:pPr>
          </w:p>
        </w:tc>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Secured Promissory Note ($795</w:t>
            </w:r>
          </w:p>
        </w:tc>
        <w:tc>
          <w:tcPr>
            <w:tcW w:w="10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par, due 12/2020)</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12/19/2018</w:t>
            </w:r>
          </w:p>
        </w:tc>
        <w:tc>
          <w:tcPr>
            <w:tcW w:w="1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 + 8.25%</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10.64%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2"/>
        </w:trPr>
        <w:tc>
          <w:tcPr>
            <w:tcW w:w="252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PayLess Inc. </w:t>
            </w:r>
            <w:r>
              <w:rPr>
                <w:rFonts w:ascii="Times New Roman" w:cs="Times New Roman" w:eastAsia="Times New Roman" w:hAnsi="Times New Roman"/>
                <w:sz w:val="23"/>
                <w:szCs w:val="23"/>
                <w:color w:val="auto"/>
                <w:vertAlign w:val="superscript"/>
              </w:rPr>
              <w:t>(3)(5)</w:t>
            </w:r>
          </w:p>
        </w:tc>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ABL FILO term loan ($14,063</w:t>
            </w: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par, due 8/2022)</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3/1/2018</w:t>
            </w:r>
          </w:p>
        </w:tc>
        <w:tc>
          <w:tcPr>
            <w:tcW w:w="1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 + 8.00%</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13,957</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xml:space="preserve">Sears </w:t>
            </w:r>
            <w:r>
              <w:rPr>
                <w:rFonts w:ascii="Times New Roman" w:cs="Times New Roman" w:eastAsia="Times New Roman" w:hAnsi="Times New Roman"/>
                <w:sz w:val="13"/>
                <w:szCs w:val="13"/>
                <w:color w:val="auto"/>
              </w:rPr>
              <w:t>(3)(4)(11)</w:t>
            </w:r>
          </w:p>
        </w:tc>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First-lien ABL DIP loan ($25,394</w:t>
            </w:r>
          </w:p>
        </w:tc>
        <w:tc>
          <w:tcPr>
            <w:tcW w:w="10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shd w:val="clear" w:color="auto" w:fill="CFF0FC"/>
          </w:tcPr>
          <w:p>
            <w:pPr>
              <w:spacing w:after="0"/>
              <w:rPr>
                <w:sz w:val="18"/>
                <w:szCs w:val="18"/>
                <w:color w:val="auto"/>
              </w:rPr>
            </w:pPr>
          </w:p>
        </w:tc>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par, due 10/2019)</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3/18/2016</w:t>
            </w:r>
          </w:p>
        </w:tc>
        <w:tc>
          <w:tcPr>
            <w:tcW w:w="1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 + 8.00%</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10.42%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25,176</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25,870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94,210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95,131</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2"/>
        </w:trPr>
        <w:tc>
          <w:tcPr>
            <w:tcW w:w="2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25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Ferrellgas, L.P. </w:t>
            </w:r>
            <w:r>
              <w:rPr>
                <w:rFonts w:ascii="Times New Roman" w:cs="Times New Roman" w:eastAsia="Times New Roman" w:hAnsi="Times New Roman"/>
                <w:sz w:val="23"/>
                <w:szCs w:val="23"/>
                <w:color w:val="auto"/>
                <w:vertAlign w:val="superscript"/>
              </w:rPr>
              <w:t>(3)(4)(5)</w:t>
            </w:r>
          </w:p>
        </w:tc>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First-lien loan ($82,500 par, due</w:t>
            </w: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5/2023)</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5/4/2018</w:t>
            </w:r>
          </w:p>
        </w:tc>
        <w:tc>
          <w:tcPr>
            <w:tcW w:w="1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 + 5.75%</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81,026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83,062</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2520" w:type="dxa"/>
            <w:vAlign w:val="bottom"/>
            <w:tcBorders>
              <w:bottom w:val="single" w:sz="8" w:color="CFF0FC"/>
            </w:tcBorders>
          </w:tcPr>
          <w:p>
            <w:pPr>
              <w:spacing w:after="0"/>
              <w:rPr>
                <w:sz w:val="17"/>
                <w:szCs w:val="17"/>
                <w:color w:val="auto"/>
              </w:rPr>
            </w:pPr>
          </w:p>
        </w:tc>
        <w:tc>
          <w:tcPr>
            <w:tcW w:w="1000" w:type="dxa"/>
            <w:vAlign w:val="bottom"/>
            <w:tcBorders>
              <w:bottom w:val="single" w:sz="8" w:color="CFF0FC"/>
            </w:tcBorders>
          </w:tcPr>
          <w:p>
            <w:pPr>
              <w:spacing w:after="0"/>
              <w:rPr>
                <w:sz w:val="17"/>
                <w:szCs w:val="17"/>
                <w:color w:val="auto"/>
              </w:rPr>
            </w:pPr>
          </w:p>
        </w:tc>
        <w:tc>
          <w:tcPr>
            <w:tcW w:w="1320" w:type="dxa"/>
            <w:vAlign w:val="bottom"/>
            <w:tcBorders>
              <w:bottom w:val="single" w:sz="8" w:color="CFF0FC"/>
            </w:tcBorders>
          </w:tcPr>
          <w:p>
            <w:pPr>
              <w:spacing w:after="0"/>
              <w:rPr>
                <w:sz w:val="17"/>
                <w:szCs w:val="17"/>
                <w:color w:val="auto"/>
              </w:rPr>
            </w:pPr>
          </w:p>
        </w:tc>
        <w:tc>
          <w:tcPr>
            <w:tcW w:w="11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1,648,643</w:t>
            </w:r>
          </w:p>
        </w:tc>
        <w:tc>
          <w:tcPr>
            <w:tcW w:w="22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1,660,525</w:t>
            </w:r>
          </w:p>
        </w:tc>
        <w:tc>
          <w:tcPr>
            <w:tcW w:w="2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Equity and Other Investments</w:t>
            </w:r>
          </w:p>
        </w:tc>
        <w:tc>
          <w:tcPr>
            <w:tcW w:w="2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Beverage, food and tobacco</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15"/>
                <w:szCs w:val="15"/>
                <w:color w:val="auto"/>
              </w:rPr>
              <w:t xml:space="preserve">AFS Technologies, Inc. </w:t>
            </w:r>
            <w:r>
              <w:rPr>
                <w:rFonts w:ascii="Times New Roman" w:cs="Times New Roman" w:eastAsia="Times New Roman" w:hAnsi="Times New Roman"/>
                <w:sz w:val="25"/>
                <w:szCs w:val="25"/>
                <w:color w:val="auto"/>
                <w:vertAlign w:val="superscript"/>
              </w:rPr>
              <w:t>(6)(13)(14)</w:t>
            </w:r>
          </w:p>
        </w:tc>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Preferred Units (4,163,090 Units)</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10/16/2018</w:t>
            </w:r>
          </w:p>
        </w:tc>
        <w:tc>
          <w:tcPr>
            <w:tcW w:w="1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2"/>
        </w:trPr>
        <w:tc>
          <w:tcPr>
            <w:tcW w:w="2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Business Services</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15"/>
                <w:szCs w:val="15"/>
                <w:color w:val="auto"/>
              </w:rPr>
              <w:t xml:space="preserve">Motus, LLC </w:t>
            </w:r>
            <w:r>
              <w:rPr>
                <w:rFonts w:ascii="Times New Roman" w:cs="Times New Roman" w:eastAsia="Times New Roman" w:hAnsi="Times New Roman"/>
                <w:sz w:val="25"/>
                <w:szCs w:val="25"/>
                <w:color w:val="auto"/>
                <w:vertAlign w:val="superscript"/>
              </w:rPr>
              <w:t>(13)(14)</w:t>
            </w:r>
          </w:p>
        </w:tc>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Class A Units (1,262 Units)</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1/17/2018</w:t>
            </w:r>
          </w:p>
        </w:tc>
        <w:tc>
          <w:tcPr>
            <w:tcW w:w="1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Class B Units (517,020 Units)</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1/17/2018</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22"/>
        </w:trPr>
        <w:tc>
          <w:tcPr>
            <w:tcW w:w="2520" w:type="dxa"/>
            <w:vAlign w:val="bottom"/>
            <w:shd w:val="clear" w:color="auto" w:fill="CFF0FC"/>
          </w:tcPr>
          <w:p>
            <w:pPr>
              <w:spacing w:after="0" w:line="222" w:lineRule="exact"/>
              <w:rPr>
                <w:sz w:val="20"/>
                <w:szCs w:val="20"/>
                <w:color w:val="auto"/>
              </w:rPr>
            </w:pPr>
            <w:r>
              <w:rPr>
                <w:rFonts w:ascii="Times New Roman" w:cs="Times New Roman" w:eastAsia="Times New Roman" w:hAnsi="Times New Roman"/>
                <w:sz w:val="15"/>
                <w:szCs w:val="15"/>
                <w:color w:val="auto"/>
              </w:rPr>
              <w:t xml:space="preserve">Nintex Global Limited </w:t>
            </w:r>
            <w:r>
              <w:rPr>
                <w:rFonts w:ascii="Times New Roman" w:cs="Times New Roman" w:eastAsia="Times New Roman" w:hAnsi="Times New Roman"/>
                <w:sz w:val="25"/>
                <w:szCs w:val="25"/>
                <w:color w:val="auto"/>
                <w:vertAlign w:val="superscript"/>
              </w:rPr>
              <w:t>(13)(14)</w:t>
            </w:r>
          </w:p>
        </w:tc>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Class A Shares (1,197 Shares)</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3/30/2018</w:t>
            </w:r>
          </w:p>
        </w:tc>
        <w:tc>
          <w:tcPr>
            <w:tcW w:w="1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Class B Shares (398,557 Shares)</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3/30/2018</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5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4"/>
        </w:trPr>
        <w:tc>
          <w:tcPr>
            <w:tcW w:w="2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Chemicals</w:t>
            </w:r>
          </w:p>
        </w:tc>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20" w:type="dxa"/>
            <w:vAlign w:val="bottom"/>
            <w:shd w:val="clear" w:color="auto" w:fill="CFF0FC"/>
          </w:tcPr>
          <w:p>
            <w:pPr>
              <w:spacing w:after="0" w:line="222" w:lineRule="exact"/>
              <w:rPr>
                <w:sz w:val="20"/>
                <w:szCs w:val="20"/>
                <w:color w:val="auto"/>
              </w:rPr>
            </w:pPr>
            <w:r>
              <w:rPr>
                <w:rFonts w:ascii="Times New Roman" w:cs="Times New Roman" w:eastAsia="Times New Roman" w:hAnsi="Times New Roman"/>
                <w:sz w:val="15"/>
                <w:szCs w:val="15"/>
                <w:color w:val="auto"/>
              </w:rPr>
              <w:t xml:space="preserve">Vertellus Specialties, Inc. </w:t>
            </w:r>
            <w:r>
              <w:rPr>
                <w:rFonts w:ascii="Times New Roman" w:cs="Times New Roman" w:eastAsia="Times New Roman" w:hAnsi="Times New Roman"/>
                <w:sz w:val="25"/>
                <w:szCs w:val="25"/>
                <w:color w:val="auto"/>
                <w:vertAlign w:val="superscript"/>
              </w:rPr>
              <w:t>(13)</w:t>
            </w:r>
          </w:p>
        </w:tc>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Common Units (2,672,990 units)</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10/31/2016</w:t>
            </w:r>
          </w:p>
        </w:tc>
        <w:tc>
          <w:tcPr>
            <w:tcW w:w="1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3,503</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2"/>
        </w:trPr>
        <w:tc>
          <w:tcPr>
            <w:tcW w:w="2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services</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AvidXchange, Inc. </w:t>
            </w:r>
            <w:r>
              <w:rPr>
                <w:rFonts w:ascii="Times New Roman" w:cs="Times New Roman" w:eastAsia="Times New Roman" w:hAnsi="Times New Roman"/>
                <w:sz w:val="23"/>
                <w:szCs w:val="23"/>
                <w:color w:val="auto"/>
                <w:vertAlign w:val="superscript"/>
              </w:rPr>
              <w:t>(13)</w:t>
            </w:r>
          </w:p>
        </w:tc>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Series E Preferred Equity</w:t>
            </w:r>
          </w:p>
        </w:tc>
        <w:tc>
          <w:tcPr>
            <w:tcW w:w="10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(214,132 shares)</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8/7/2015</w:t>
            </w:r>
          </w:p>
        </w:tc>
        <w:tc>
          <w:tcPr>
            <w:tcW w:w="1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3,846</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7,481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Oxford Square Capital Corp. </w:t>
            </w:r>
            <w:r>
              <w:rPr>
                <w:rFonts w:ascii="Times New Roman" w:cs="Times New Roman" w:eastAsia="Times New Roman" w:hAnsi="Times New Roman"/>
                <w:sz w:val="25"/>
                <w:szCs w:val="25"/>
                <w:color w:val="auto"/>
                <w:vertAlign w:val="superscript"/>
              </w:rPr>
              <w:t>(4)(12)</w:t>
            </w:r>
          </w:p>
        </w:tc>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Shares (1,059 shares)</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8/5/2015</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5"/>
                <w:szCs w:val="15"/>
                <w:color w:val="auto"/>
              </w:rPr>
              <w:t xml:space="preserve">Swift Gift Limited </w:t>
            </w:r>
            <w:r>
              <w:rPr>
                <w:rFonts w:ascii="Times New Roman" w:cs="Times New Roman" w:eastAsia="Times New Roman" w:hAnsi="Times New Roman"/>
                <w:sz w:val="25"/>
                <w:szCs w:val="25"/>
                <w:color w:val="auto"/>
                <w:vertAlign w:val="superscript"/>
              </w:rPr>
              <w:t>(13)</w:t>
            </w:r>
          </w:p>
        </w:tc>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Common Shares (35,000 shares)</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7/31/2017</w:t>
            </w:r>
          </w:p>
        </w:tc>
        <w:tc>
          <w:tcPr>
            <w:tcW w:w="1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7,353</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2"/>
        </w:trPr>
        <w:tc>
          <w:tcPr>
            <w:tcW w:w="2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25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Caris Life Sciences, Ltd. </w:t>
            </w:r>
            <w:r>
              <w:rPr>
                <w:rFonts w:ascii="Times New Roman" w:cs="Times New Roman" w:eastAsia="Times New Roman" w:hAnsi="Times New Roman"/>
                <w:sz w:val="25"/>
                <w:szCs w:val="25"/>
                <w:color w:val="auto"/>
                <w:vertAlign w:val="superscript"/>
              </w:rPr>
              <w:t>(13)(14)</w:t>
            </w:r>
          </w:p>
        </w:tc>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Warrants</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9/21/2018</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2"/>
        </w:trPr>
        <w:tc>
          <w:tcPr>
            <w:tcW w:w="252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4"/>
                <w:szCs w:val="14"/>
                <w:color w:val="auto"/>
              </w:rPr>
              <w:t xml:space="preserve">SRS Parent Corp. </w:t>
            </w:r>
            <w:r>
              <w:rPr>
                <w:rFonts w:ascii="Times New Roman" w:cs="Times New Roman" w:eastAsia="Times New Roman" w:hAnsi="Times New Roman"/>
                <w:sz w:val="23"/>
                <w:szCs w:val="23"/>
                <w:color w:val="auto"/>
                <w:vertAlign w:val="superscript"/>
              </w:rPr>
              <w:t>(13)</w:t>
            </w:r>
          </w:p>
        </w:tc>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Common Shares Class A (1,980</w:t>
            </w:r>
          </w:p>
        </w:tc>
        <w:tc>
          <w:tcPr>
            <w:tcW w:w="10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12/28/2012</w:t>
            </w:r>
          </w:p>
        </w:tc>
        <w:tc>
          <w:tcPr>
            <w:tcW w:w="1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2"/>
        </w:trPr>
        <w:tc>
          <w:tcPr>
            <w:tcW w:w="2520" w:type="dxa"/>
            <w:vAlign w:val="bottom"/>
          </w:tcPr>
          <w:p>
            <w:pPr>
              <w:spacing w:after="0"/>
              <w:rPr>
                <w:sz w:val="17"/>
                <w:szCs w:val="17"/>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Shares Class B</w:t>
            </w: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(2,953,020 shares)</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12/28/2012</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5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2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4"/>
        </w:trPr>
        <w:tc>
          <w:tcPr>
            <w:tcW w:w="2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Hotel, gaming, and leisure</w:t>
            </w:r>
          </w:p>
        </w:tc>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2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23"/>
                <w:szCs w:val="23"/>
                <w:color w:val="auto"/>
                <w:vertAlign w:val="superscript"/>
              </w:rPr>
              <w:t>(7)(13)</w:t>
            </w:r>
          </w:p>
        </w:tc>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Class A Units (27,690,171 units)</w:t>
            </w:r>
          </w:p>
        </w:tc>
        <w:tc>
          <w:tcPr>
            <w:tcW w:w="1000" w:type="dxa"/>
            <w:vAlign w:val="bottom"/>
            <w:vMerge w:val="restart"/>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12/21/2018</w:t>
            </w:r>
          </w:p>
        </w:tc>
        <w:tc>
          <w:tcPr>
            <w:tcW w:w="1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20,063</w:t>
            </w:r>
          </w:p>
        </w:tc>
        <w:tc>
          <w:tcPr>
            <w:tcW w:w="22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200" w:type="dxa"/>
            <w:vAlign w:val="bottom"/>
            <w:shd w:val="clear" w:color="auto" w:fill="CFF0FC"/>
          </w:tcPr>
          <w:p>
            <w:pPr>
              <w:spacing w:after="0"/>
              <w:rPr>
                <w:sz w:val="17"/>
                <w:szCs w:val="17"/>
                <w:color w:val="auto"/>
              </w:rPr>
            </w:pP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164"/>
        </w:trPr>
        <w:tc>
          <w:tcPr>
            <w:tcW w:w="2520" w:type="dxa"/>
            <w:vAlign w:val="bottom"/>
            <w:shd w:val="clear" w:color="auto" w:fill="CFF0FC"/>
          </w:tcPr>
          <w:p>
            <w:pPr>
              <w:spacing w:after="0"/>
              <w:rPr>
                <w:sz w:val="14"/>
                <w:szCs w:val="14"/>
                <w:color w:val="auto"/>
              </w:rPr>
            </w:pPr>
          </w:p>
        </w:tc>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(14)</w:t>
            </w:r>
          </w:p>
        </w:tc>
        <w:tc>
          <w:tcPr>
            <w:tcW w:w="1000" w:type="dxa"/>
            <w:vAlign w:val="bottom"/>
            <w:vMerge w:val="continue"/>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520" w:type="dxa"/>
            <w:vAlign w:val="bottom"/>
          </w:tcPr>
          <w:p>
            <w:pPr>
              <w:spacing w:after="0"/>
              <w:rPr>
                <w:sz w:val="17"/>
                <w:szCs w:val="17"/>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Shares (8,800,000</w:t>
            </w: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12/21/2018</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5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2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20,163</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4"/>
        </w:trPr>
        <w:tc>
          <w:tcPr>
            <w:tcW w:w="2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Human resource support services</w:t>
            </w:r>
          </w:p>
        </w:tc>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20" w:type="dxa"/>
            <w:vAlign w:val="bottom"/>
            <w:shd w:val="clear" w:color="auto" w:fill="CFF0FC"/>
          </w:tcPr>
          <w:p>
            <w:pPr>
              <w:spacing w:after="0" w:line="222" w:lineRule="exact"/>
              <w:rPr>
                <w:sz w:val="20"/>
                <w:szCs w:val="20"/>
                <w:color w:val="auto"/>
              </w:rPr>
            </w:pPr>
            <w:r>
              <w:rPr>
                <w:rFonts w:ascii="Times New Roman" w:cs="Times New Roman" w:eastAsia="Times New Roman" w:hAnsi="Times New Roman"/>
                <w:sz w:val="15"/>
                <w:szCs w:val="15"/>
                <w:color w:val="auto"/>
              </w:rPr>
              <w:t xml:space="preserve">ClearCompany, LLC </w:t>
            </w:r>
            <w:r>
              <w:rPr>
                <w:rFonts w:ascii="Times New Roman" w:cs="Times New Roman" w:eastAsia="Times New Roman" w:hAnsi="Times New Roman"/>
                <w:sz w:val="25"/>
                <w:szCs w:val="25"/>
                <w:color w:val="auto"/>
                <w:vertAlign w:val="superscript"/>
              </w:rPr>
              <w:t>(13)(14)(15)</w:t>
            </w:r>
          </w:p>
        </w:tc>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Class A Units (44,944 units)</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8/24/2018</w:t>
            </w:r>
          </w:p>
        </w:tc>
        <w:tc>
          <w:tcPr>
            <w:tcW w:w="1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2"/>
        </w:trPr>
        <w:tc>
          <w:tcPr>
            <w:tcW w:w="2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Riskonnect, Inc. </w:t>
            </w:r>
            <w:r>
              <w:rPr>
                <w:rFonts w:ascii="Times New Roman" w:cs="Times New Roman" w:eastAsia="Times New Roman" w:hAnsi="Times New Roman"/>
                <w:sz w:val="23"/>
                <w:szCs w:val="23"/>
                <w:color w:val="auto"/>
                <w:vertAlign w:val="superscript"/>
              </w:rPr>
              <w:t>(13)(14)</w:t>
            </w:r>
          </w:p>
        </w:tc>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Common Shares Class A (1,020</w:t>
            </w:r>
          </w:p>
        </w:tc>
        <w:tc>
          <w:tcPr>
            <w:tcW w:w="10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units)</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10/1/2018</w:t>
            </w:r>
          </w:p>
        </w:tc>
        <w:tc>
          <w:tcPr>
            <w:tcW w:w="1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2"/>
        </w:trPr>
        <w:tc>
          <w:tcPr>
            <w:tcW w:w="2520" w:type="dxa"/>
            <w:vAlign w:val="bottom"/>
          </w:tcPr>
          <w:p>
            <w:pPr>
              <w:spacing w:after="0"/>
              <w:rPr>
                <w:sz w:val="17"/>
                <w:szCs w:val="17"/>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Shares Class B (987,929</w:t>
            </w: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units)</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10/1/2018</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5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2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4"/>
        </w:trPr>
        <w:tc>
          <w:tcPr>
            <w:tcW w:w="2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Marketing services</w:t>
            </w:r>
          </w:p>
        </w:tc>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310"/>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xml:space="preserve">Validity, Inc. </w:t>
            </w:r>
            <w:r>
              <w:rPr>
                <w:rFonts w:ascii="Times New Roman" w:cs="Times New Roman" w:eastAsia="Times New Roman" w:hAnsi="Times New Roman"/>
                <w:sz w:val="27"/>
                <w:szCs w:val="27"/>
                <w:color w:val="auto"/>
                <w:vertAlign w:val="superscript"/>
              </w:rPr>
              <w:t>(6)(13)(14)</w:t>
            </w:r>
          </w:p>
        </w:tc>
        <w:tc>
          <w:tcPr>
            <w:tcW w:w="2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Series A Preferred Shares</w:t>
            </w:r>
          </w:p>
        </w:tc>
        <w:tc>
          <w:tcPr>
            <w:tcW w:w="2100" w:type="dxa"/>
            <w:vAlign w:val="bottom"/>
            <w:shd w:val="clear" w:color="auto" w:fill="CFF0FC"/>
          </w:tcPr>
          <w:p>
            <w:pPr>
              <w:spacing w:after="0"/>
              <w:rPr>
                <w:sz w:val="24"/>
                <w:szCs w:val="24"/>
                <w:color w:val="auto"/>
              </w:rPr>
            </w:pPr>
          </w:p>
        </w:tc>
        <w:tc>
          <w:tcPr>
            <w:tcW w:w="124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FF0FC"/>
          </w:tcPr>
          <w:p>
            <w:pPr>
              <w:spacing w:after="0"/>
              <w:rPr>
                <w:sz w:val="18"/>
                <w:szCs w:val="18"/>
                <w:color w:val="auto"/>
              </w:rPr>
            </w:pPr>
          </w:p>
        </w:tc>
        <w:tc>
          <w:tcPr>
            <w:tcW w:w="2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(3,840,000 shares)</w:t>
            </w:r>
          </w:p>
        </w:tc>
        <w:tc>
          <w:tcPr>
            <w:tcW w:w="2100" w:type="dxa"/>
            <w:vAlign w:val="bottom"/>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rPr>
              <w:t>5/31/2018</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Oil, gas and consumable</w:t>
            </w:r>
          </w:p>
        </w:tc>
        <w:tc>
          <w:tcPr>
            <w:tcW w:w="24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fuels</w:t>
            </w:r>
          </w:p>
        </w:tc>
        <w:tc>
          <w:tcPr>
            <w:tcW w:w="2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2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Mississippi Resources, LLC </w:t>
            </w:r>
            <w:r>
              <w:rPr>
                <w:rFonts w:ascii="Times New Roman" w:cs="Times New Roman" w:eastAsia="Times New Roman" w:hAnsi="Times New Roman"/>
                <w:sz w:val="24"/>
                <w:szCs w:val="24"/>
                <w:color w:val="auto"/>
                <w:vertAlign w:val="superscript"/>
              </w:rPr>
              <w:t>(7)(13)(14)</w:t>
            </w:r>
          </w:p>
        </w:tc>
        <w:tc>
          <w:tcPr>
            <w:tcW w:w="2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Class A-1 Member Units (1,360</w:t>
            </w:r>
          </w:p>
        </w:tc>
        <w:tc>
          <w:tcPr>
            <w:tcW w:w="2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FF0FC"/>
          </w:tcPr>
          <w:p>
            <w:pPr>
              <w:spacing w:after="0"/>
              <w:rPr>
                <w:sz w:val="18"/>
                <w:szCs w:val="18"/>
                <w:color w:val="auto"/>
              </w:rPr>
            </w:pPr>
          </w:p>
        </w:tc>
        <w:tc>
          <w:tcPr>
            <w:tcW w:w="2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units)</w:t>
            </w:r>
          </w:p>
        </w:tc>
        <w:tc>
          <w:tcPr>
            <w:tcW w:w="2100" w:type="dxa"/>
            <w:vAlign w:val="bottom"/>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rPr>
              <w:t>5/3/2017</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4,898</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2"/>
        </w:trPr>
        <w:tc>
          <w:tcPr>
            <w:tcW w:w="262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A-2 Member Units (933</w:t>
            </w:r>
          </w:p>
        </w:tc>
        <w:tc>
          <w:tcPr>
            <w:tcW w:w="2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units)</w:t>
            </w:r>
          </w:p>
        </w:tc>
        <w:tc>
          <w:tcPr>
            <w:tcW w:w="210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rPr>
              <w:t>6/4/2014</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8,874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22"/>
        </w:trPr>
        <w:tc>
          <w:tcPr>
            <w:tcW w:w="2620" w:type="dxa"/>
            <w:vAlign w:val="bottom"/>
            <w:shd w:val="clear" w:color="auto" w:fill="CFF0FC"/>
          </w:tcPr>
          <w:p>
            <w:pPr>
              <w:spacing w:after="0" w:line="222" w:lineRule="exact"/>
              <w:rPr>
                <w:sz w:val="20"/>
                <w:szCs w:val="20"/>
                <w:color w:val="auto"/>
              </w:rPr>
            </w:pPr>
            <w:r>
              <w:rPr>
                <w:rFonts w:ascii="Times New Roman" w:cs="Times New Roman" w:eastAsia="Times New Roman" w:hAnsi="Times New Roman"/>
                <w:sz w:val="15"/>
                <w:szCs w:val="15"/>
                <w:color w:val="auto"/>
              </w:rPr>
              <w:t xml:space="preserve">Northern Oil and Gas, Inc. </w:t>
            </w:r>
            <w:r>
              <w:rPr>
                <w:rFonts w:ascii="Times New Roman" w:cs="Times New Roman" w:eastAsia="Times New Roman" w:hAnsi="Times New Roman"/>
                <w:sz w:val="25"/>
                <w:szCs w:val="25"/>
                <w:color w:val="auto"/>
                <w:vertAlign w:val="superscript"/>
              </w:rPr>
              <w:t>(12)(13)</w:t>
            </w:r>
          </w:p>
        </w:tc>
        <w:tc>
          <w:tcPr>
            <w:tcW w:w="2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Common Shares (975,000 shares)</w:t>
            </w:r>
          </w:p>
        </w:tc>
        <w:tc>
          <w:tcPr>
            <w:tcW w:w="2100" w:type="dxa"/>
            <w:vAlign w:val="bottom"/>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rPr>
              <w:t>5/15/2018</w:t>
            </w:r>
          </w:p>
        </w:tc>
        <w:tc>
          <w:tcPr>
            <w:tcW w:w="1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2,204</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6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20,703</w:t>
            </w:r>
          </w:p>
        </w:tc>
        <w:tc>
          <w:tcPr>
            <w:tcW w:w="220" w:type="dxa"/>
            <w:vAlign w:val="bottom"/>
            <w:vMerge w:val="continue"/>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7,102</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197"/>
        </w:trPr>
        <w:tc>
          <w:tcPr>
            <w:tcW w:w="2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Equity and Other</w:t>
            </w:r>
          </w:p>
        </w:tc>
        <w:tc>
          <w:tcPr>
            <w:tcW w:w="2480" w:type="dxa"/>
            <w:vAlign w:val="bottom"/>
            <w:tcBorders>
              <w:top w:val="single" w:sz="8" w:color="CFF0FC"/>
            </w:tcBorders>
            <w:shd w:val="clear" w:color="auto" w:fill="CFF0FC"/>
          </w:tcPr>
          <w:p>
            <w:pPr>
              <w:spacing w:after="0"/>
              <w:rPr>
                <w:sz w:val="17"/>
                <w:szCs w:val="17"/>
                <w:color w:val="auto"/>
              </w:rPr>
            </w:pPr>
          </w:p>
        </w:tc>
        <w:tc>
          <w:tcPr>
            <w:tcW w:w="210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48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67,757</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45,444</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8"/>
        </w:trPr>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2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$ 1,716,400</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1,705,969</w:t>
            </w: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20" w:type="dxa"/>
            <w:vAlign w:val="bottom"/>
            <w:gridSpan w:val="9"/>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Interest Rate Swaps as of December 31, 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8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Pr>
          <w:p>
            <w:pPr>
              <w:spacing w:after="0"/>
              <w:rPr>
                <w:sz w:val="11"/>
                <w:szCs w:val="11"/>
                <w:color w:val="auto"/>
              </w:rPr>
            </w:pPr>
          </w:p>
        </w:tc>
        <w:tc>
          <w:tcPr>
            <w:tcW w:w="7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34"/>
              <w:spacing w:after="0" w:line="131" w:lineRule="exact"/>
              <w:rPr>
                <w:sz w:val="20"/>
                <w:szCs w:val="20"/>
                <w:color w:val="auto"/>
              </w:rPr>
            </w:pPr>
            <w:r>
              <w:rPr>
                <w:rFonts w:ascii="Times New Roman" w:cs="Times New Roman" w:eastAsia="Times New Roman" w:hAnsi="Times New Roman"/>
                <w:sz w:val="14"/>
                <w:szCs w:val="14"/>
                <w:b w:val="1"/>
                <w:bCs w:val="1"/>
                <w:color w:val="auto"/>
                <w:w w:val="99"/>
              </w:rPr>
              <w:t>Upfront</w:t>
            </w:r>
          </w:p>
        </w:tc>
        <w:tc>
          <w:tcPr>
            <w:tcW w:w="260" w:type="dxa"/>
            <w:vAlign w:val="bottom"/>
          </w:tcPr>
          <w:p>
            <w:pPr>
              <w:spacing w:after="0"/>
              <w:rPr>
                <w:sz w:val="11"/>
                <w:szCs w:val="11"/>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Unrealized</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Company Receives</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Pays</w:t>
            </w:r>
          </w:p>
        </w:tc>
        <w:tc>
          <w:tcPr>
            <w:tcW w:w="260" w:type="dxa"/>
            <w:vAlign w:val="bottom"/>
          </w:tcPr>
          <w:p>
            <w:pPr>
              <w:spacing w:after="0"/>
              <w:rPr>
                <w:sz w:val="12"/>
                <w:szCs w:val="12"/>
                <w:color w:val="auto"/>
              </w:rPr>
            </w:pPr>
          </w:p>
        </w:tc>
        <w:tc>
          <w:tcPr>
            <w:tcW w:w="1380" w:type="dxa"/>
            <w:vAlign w:val="bottom"/>
            <w:gridSpan w:val="3"/>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26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Receipts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Gains / (Losses)</w:t>
            </w: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(b)</w:t>
            </w:r>
          </w:p>
        </w:tc>
        <w:tc>
          <w:tcPr>
            <w:tcW w:w="14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w:t>
            </w: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2.66%</w:t>
            </w: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6/27/2019</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91,500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(b)</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+ 2.86%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12/15/2019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(a)(b)</w:t>
            </w:r>
          </w:p>
        </w:tc>
        <w:tc>
          <w:tcPr>
            <w:tcW w:w="1700" w:type="dxa"/>
            <w:vAlign w:val="bottom"/>
            <w:gridSpan w:val="2"/>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rPr>
              <w:t>L</w:t>
            </w: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1.72%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1/10/2020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(b)</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+ 2.37%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(b)</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+ 1.59%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(b)</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+ 1.60%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(b)</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+ 1.99%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1/22/2023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Cash collateral</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562,333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40" w:hanging="519"/>
        <w:spacing w:after="0"/>
        <w:tabs>
          <w:tab w:leader="none" w:pos="10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terms are shown net of Company receiving 6.65% and paying 8.38%.</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three-month LIBOR.</w:t>
      </w:r>
    </w:p>
    <w:p>
      <w:pPr>
        <w:spacing w:after="0" w:line="11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27" w:lineRule="exact"/>
        <w:rPr>
          <w:rFonts w:ascii="Times New Roman" w:cs="Times New Roman" w:eastAsia="Times New Roman" w:hAnsi="Times New Roman"/>
          <w:sz w:val="18"/>
          <w:szCs w:val="18"/>
          <w:color w:val="auto"/>
        </w:rPr>
      </w:pPr>
    </w:p>
    <w:p>
      <w:pPr>
        <w:ind w:left="520" w:right="180" w:hanging="512"/>
        <w:spacing w:after="0" w:line="250"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520" w:right="20" w:hanging="512"/>
        <w:spacing w:after="0" w:line="250"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2018.</w:t>
      </w:r>
    </w:p>
    <w:p>
      <w:pPr>
        <w:spacing w:after="0" w:line="2" w:lineRule="exact"/>
        <w:rPr>
          <w:rFonts w:ascii="Times New Roman" w:cs="Times New Roman" w:eastAsia="Times New Roman" w:hAnsi="Times New Roman"/>
          <w:sz w:val="18"/>
          <w:szCs w:val="18"/>
          <w:color w:val="auto"/>
        </w:rPr>
      </w:pPr>
    </w:p>
    <w:p>
      <w:pPr>
        <w:jc w:val="both"/>
        <w:ind w:left="520" w:right="40" w:hanging="512"/>
        <w:spacing w:after="0" w:line="250"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17.3% of total assets as of December 31, 2018.</w:t>
      </w:r>
    </w:p>
    <w:p>
      <w:pPr>
        <w:spacing w:after="0" w:line="1"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1" w:lineRule="exact"/>
        <w:rPr>
          <w:rFonts w:ascii="Times New Roman" w:cs="Times New Roman" w:eastAsia="Times New Roman" w:hAnsi="Times New Roman"/>
          <w:sz w:val="18"/>
          <w:szCs w:val="18"/>
          <w:color w:val="auto"/>
        </w:rPr>
      </w:pPr>
    </w:p>
    <w:p>
      <w:pPr>
        <w:jc w:val="both"/>
        <w:ind w:left="520" w:right="20" w:hanging="512"/>
        <w:spacing w:after="0" w:line="255"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2018 in which the issuer was an Affiliated Person of the portfolio company are as follows: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Non-controlled, Affiliated Investments during the year ended December 31, 2018</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72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Additions (a)</w:t>
            </w:r>
          </w:p>
        </w:tc>
        <w:tc>
          <w:tcPr>
            <w:tcW w:w="26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Gain/(Losses)</w:t>
            </w:r>
          </w:p>
        </w:tc>
        <w:tc>
          <w:tcPr>
            <w:tcW w:w="18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AFS Technologies, Inc.</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87"/>
              </w:rPr>
              <w:t>(266)</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1"/>
              </w:rPr>
              <w:t>(432)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45,342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Validity, Inc.</w:t>
            </w:r>
          </w:p>
        </w:tc>
        <w:tc>
          <w:tcPr>
            <w:tcW w:w="1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(450)</w:t>
            </w:r>
          </w:p>
        </w:tc>
        <w:tc>
          <w:tcPr>
            <w:tcW w:w="300" w:type="dxa"/>
            <w:vAlign w:val="bottom"/>
          </w:tcPr>
          <w:p>
            <w:pPr>
              <w:spacing w:after="0"/>
              <w:rPr>
                <w:sz w:val="19"/>
                <w:szCs w:val="19"/>
                <w:color w:val="auto"/>
              </w:rPr>
            </w:pP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85,318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w w:val="87"/>
              </w:rPr>
              <w:t>(716)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w w:val="81"/>
              </w:rPr>
              <w:t>(670)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83,932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40" w:right="260" w:hanging="519"/>
        <w:spacing w:after="0" w:line="261" w:lineRule="auto"/>
        <w:tabs>
          <w:tab w:leader="none" w:pos="10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40" w:right="160" w:hanging="519"/>
        <w:spacing w:after="0" w:line="255" w:lineRule="auto"/>
        <w:tabs>
          <w:tab w:leader="none" w:pos="10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91" w:lineRule="exact"/>
        <w:rPr>
          <w:rFonts w:ascii="Times New Roman" w:cs="Times New Roman" w:eastAsia="Times New Roman" w:hAnsi="Times New Roman"/>
          <w:sz w:val="18"/>
          <w:szCs w:val="18"/>
          <w:color w:val="auto"/>
        </w:rPr>
      </w:pPr>
    </w:p>
    <w:p>
      <w:pPr>
        <w:ind w:left="520" w:right="60" w:hanging="512"/>
        <w:spacing w:after="0" w:line="261"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2018 in which the issuer was an Affiliated Person of and was deemed to Control a portfolio company are as follows: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Affiliated Investments during the year ended December 31, 2018</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72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Additions (a)</w:t>
            </w:r>
          </w:p>
        </w:tc>
        <w:tc>
          <w:tcPr>
            <w:tcW w:w="26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Gain/(Losses)</w:t>
            </w:r>
          </w:p>
        </w:tc>
        <w:tc>
          <w:tcPr>
            <w:tcW w:w="18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AFS Technologies, Inc.</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75,780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(75,438)</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IRGSE Holding Corp.</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(8,378)</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Mississippi Resources, LLC</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(9,589)</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135,920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13,745</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(75,581</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(2,028</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(15,551</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56,505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40" w:right="260" w:hanging="519"/>
        <w:spacing w:after="0" w:line="261" w:lineRule="auto"/>
        <w:tabs>
          <w:tab w:leader="none" w:pos="10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40" w:right="160" w:hanging="519"/>
        <w:spacing w:after="0" w:line="255" w:lineRule="auto"/>
        <w:tabs>
          <w:tab w:leader="none" w:pos="10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9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2018, the tax cost of the Company’s investments approximates the amortized cost.</w:t>
      </w:r>
    </w:p>
    <w:p>
      <w:pPr>
        <w:spacing w:after="0" w:line="27" w:lineRule="exact"/>
        <w:rPr>
          <w:rFonts w:ascii="Times New Roman" w:cs="Times New Roman" w:eastAsia="Times New Roman" w:hAnsi="Times New Roman"/>
          <w:sz w:val="18"/>
          <w:szCs w:val="18"/>
          <w:color w:val="auto"/>
        </w:rPr>
      </w:pPr>
    </w:p>
    <w:p>
      <w:pPr>
        <w:ind w:left="520" w:right="100" w:hanging="512"/>
        <w:spacing w:after="0" w:line="250"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20" w:right="140" w:hanging="512"/>
        <w:spacing w:after="0" w:line="250"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Financial Accounting Standards Board Accounting Standards Codification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20" w:right="100" w:hanging="512"/>
        <w:spacing w:after="0" w:line="250"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ind w:left="520" w:right="100" w:hanging="512"/>
        <w:spacing w:after="0" w:line="250"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1 investment. See Note 6 for further information related to investments at fair value.</w:t>
      </w:r>
    </w:p>
    <w:p>
      <w:pPr>
        <w:ind w:left="520" w:hanging="512"/>
        <w:spacing w:after="0"/>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equity investment is non-income producing.</w:t>
      </w:r>
    </w:p>
    <w:p>
      <w:pPr>
        <w:spacing w:after="0" w:line="9" w:lineRule="exact"/>
        <w:rPr>
          <w:rFonts w:ascii="Times New Roman" w:cs="Times New Roman" w:eastAsia="Times New Roman" w:hAnsi="Times New Roman"/>
          <w:sz w:val="18"/>
          <w:szCs w:val="18"/>
          <w:color w:val="auto"/>
        </w:rPr>
      </w:pPr>
    </w:p>
    <w:p>
      <w:pPr>
        <w:ind w:left="520" w:right="160" w:hanging="512"/>
        <w:spacing w:after="0" w:line="250"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acquired in transaction exempt from registration under the Securities Act of 1933, and may be deemed to be “restricted securities” under the Securities Act. As of December 31, 2018, the aggregate fair value of these securities is $23,128, or 2.2% of the Company’s net assets.</w:t>
      </w:r>
    </w:p>
    <w:p>
      <w:pPr>
        <w:ind w:left="520" w:hanging="512"/>
        <w:spacing w:after="0"/>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equity investments may occur through a holding company or partnership.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r>
      <w:tr>
        <w:trPr>
          <w:trHeight w:val="155"/>
        </w:trPr>
        <w:tc>
          <w:tcPr>
            <w:tcW w:w="2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13"/>
                <w:szCs w:val="13"/>
                <w:color w:val="auto"/>
              </w:rPr>
            </w:pPr>
          </w:p>
        </w:tc>
        <w:tc>
          <w:tcPr>
            <w:tcW w:w="2340" w:type="dxa"/>
            <w:vAlign w:val="bottom"/>
            <w:gridSpan w:val="2"/>
          </w:tcPr>
          <w:p>
            <w:pPr>
              <w:ind w:left="8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 xml:space="preserve">Cost </w:t>
            </w:r>
            <w:r>
              <w:rPr>
                <w:rFonts w:ascii="Times New Roman" w:cs="Times New Roman" w:eastAsia="Times New Roman" w:hAnsi="Times New Roman"/>
                <w:sz w:val="10"/>
                <w:szCs w:val="10"/>
                <w:b w:val="1"/>
                <w:bCs w:val="1"/>
                <w:color w:val="auto"/>
              </w:rPr>
              <w:t>(2)(7)</w:t>
            </w:r>
          </w:p>
        </w:tc>
        <w:tc>
          <w:tcPr>
            <w:tcW w:w="8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0"/>
                <w:szCs w:val="10"/>
                <w:b w:val="1"/>
                <w:bCs w:val="1"/>
                <w:color w:val="auto"/>
              </w:rPr>
              <w:t>(9)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2"/>
              </w:rPr>
              <w:t>of Net Assets</w:t>
            </w:r>
          </w:p>
        </w:tc>
      </w:tr>
      <w:tr>
        <w:trPr>
          <w:trHeight w:val="210"/>
        </w:trPr>
        <w:tc>
          <w:tcPr>
            <w:tcW w:w="2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20" w:type="dxa"/>
            <w:vAlign w:val="bottom"/>
            <w:tcBorders>
              <w:top w:val="single" w:sz="8" w:color="CFF0FC"/>
            </w:tcBorders>
            <w:shd w:val="clear" w:color="auto" w:fill="CFF0FC"/>
          </w:tcPr>
          <w:p>
            <w:pPr>
              <w:spacing w:after="0"/>
              <w:rPr>
                <w:sz w:val="18"/>
                <w:szCs w:val="18"/>
                <w:color w:val="auto"/>
              </w:rPr>
            </w:pPr>
          </w:p>
        </w:tc>
        <w:tc>
          <w:tcPr>
            <w:tcW w:w="2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2"/>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Heartland Automotive</w:t>
            </w:r>
          </w:p>
        </w:tc>
        <w:tc>
          <w:tcPr>
            <w:tcW w:w="24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($25,725 par, due</w:t>
            </w: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8"/>
        </w:trPr>
        <w:tc>
          <w:tcPr>
            <w:tcW w:w="2540" w:type="dxa"/>
            <w:vAlign w:val="bottom"/>
            <w:shd w:val="clear" w:color="auto" w:fill="CFF0FC"/>
          </w:tcPr>
          <w:p>
            <w:pPr>
              <w:ind w:left="120"/>
              <w:spacing w:after="0" w:line="217" w:lineRule="exact"/>
              <w:rPr>
                <w:sz w:val="20"/>
                <w:szCs w:val="20"/>
                <w:color w:val="auto"/>
              </w:rPr>
            </w:pPr>
            <w:r>
              <w:rPr>
                <w:rFonts w:ascii="Times New Roman" w:cs="Times New Roman" w:eastAsia="Times New Roman" w:hAnsi="Times New Roman"/>
                <w:sz w:val="15"/>
                <w:szCs w:val="15"/>
                <w:color w:val="auto"/>
              </w:rPr>
              <w:t xml:space="preserve">Holdings, LLC </w:t>
            </w:r>
            <w:r>
              <w:rPr>
                <w:rFonts w:ascii="Times New Roman" w:cs="Times New Roman" w:eastAsia="Times New Roman" w:hAnsi="Times New Roman"/>
                <w:sz w:val="25"/>
                <w:szCs w:val="25"/>
                <w:color w:val="auto"/>
                <w:vertAlign w:val="superscript"/>
              </w:rPr>
              <w:t>(3)</w:t>
            </w:r>
          </w:p>
        </w:tc>
        <w:tc>
          <w:tcPr>
            <w:tcW w:w="2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1/2018)</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8/28/2012</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+ 10.25%</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11.75%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25,724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25,789</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r>
      <w:tr>
        <w:trPr>
          <w:trHeight w:val="202"/>
        </w:trPr>
        <w:tc>
          <w:tcPr>
            <w:tcW w:w="2540" w:type="dxa"/>
            <w:vAlign w:val="bottom"/>
          </w:tcPr>
          <w:p>
            <w:pPr>
              <w:spacing w:after="0"/>
              <w:rPr>
                <w:sz w:val="17"/>
                <w:szCs w:val="17"/>
                <w:color w:val="auto"/>
              </w:rPr>
            </w:pP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First-lien revolving loan ($4,056</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2540" w:type="dxa"/>
            <w:vAlign w:val="bottom"/>
          </w:tcPr>
          <w:p>
            <w:pPr>
              <w:spacing w:after="0"/>
              <w:rPr>
                <w:sz w:val="18"/>
                <w:szCs w:val="18"/>
                <w:color w:val="auto"/>
              </w:rPr>
            </w:pP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par, due 1/2018)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8/28/2012</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P + 9.00%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13.50%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r>
      <w:tr>
        <w:trPr>
          <w:trHeight w:val="20"/>
        </w:trPr>
        <w:tc>
          <w:tcPr>
            <w:tcW w:w="25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29,780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29,855</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r>
      <w:tr>
        <w:trPr>
          <w:trHeight w:val="204"/>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Beverage, food and tobacco</w:t>
            </w: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AFS Technologies, Inc. </w:t>
            </w:r>
            <w:r>
              <w:rPr>
                <w:rFonts w:ascii="Times New Roman" w:cs="Times New Roman" w:eastAsia="Times New Roman" w:hAnsi="Times New Roman"/>
                <w:sz w:val="24"/>
                <w:szCs w:val="24"/>
                <w:color w:val="auto"/>
                <w:vertAlign w:val="superscript"/>
              </w:rPr>
              <w:t>(3)(6)</w:t>
            </w:r>
          </w:p>
        </w:tc>
        <w:tc>
          <w:tcPr>
            <w:tcW w:w="24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Second-lien loan ($59,621 par,</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540" w:type="dxa"/>
            <w:vAlign w:val="bottom"/>
            <w:shd w:val="clear" w:color="auto" w:fill="CFF0FC"/>
          </w:tcPr>
          <w:p>
            <w:pPr>
              <w:spacing w:after="0"/>
              <w:rPr>
                <w:sz w:val="18"/>
                <w:szCs w:val="18"/>
                <w:color w:val="auto"/>
              </w:rPr>
            </w:pPr>
          </w:p>
        </w:tc>
        <w:tc>
          <w:tcPr>
            <w:tcW w:w="24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due 9/2021)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6/30/2017</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+ 9.05%</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10.74%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59,621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57,534</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5.9%</w:t>
            </w:r>
          </w:p>
        </w:tc>
      </w:tr>
      <w:tr>
        <w:trPr>
          <w:trHeight w:val="212"/>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Business services</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5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Jive Software, Inc. </w:t>
            </w:r>
            <w:r>
              <w:rPr>
                <w:rFonts w:ascii="Times New Roman" w:cs="Times New Roman" w:eastAsia="Times New Roman" w:hAnsi="Times New Roman"/>
                <w:sz w:val="23"/>
                <w:szCs w:val="23"/>
                <w:color w:val="auto"/>
                <w:vertAlign w:val="superscript"/>
              </w:rPr>
              <w:t>(3)(5)</w:t>
            </w:r>
          </w:p>
        </w:tc>
        <w:tc>
          <w:tcPr>
            <w:tcW w:w="24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($53,730 par, due</w:t>
            </w: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6"/>
        </w:trPr>
        <w:tc>
          <w:tcPr>
            <w:tcW w:w="254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6/2022)</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6/12/2017</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+ 9.25%</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10.69%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51,900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53,730</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Leaf US Holdings, Inc. </w:t>
            </w:r>
            <w:r>
              <w:rPr>
                <w:rFonts w:ascii="Times New Roman" w:cs="Times New Roman" w:eastAsia="Times New Roman" w:hAnsi="Times New Roman"/>
                <w:sz w:val="23"/>
                <w:szCs w:val="23"/>
                <w:color w:val="auto"/>
                <w:vertAlign w:val="superscript"/>
              </w:rPr>
              <w:t>(3)(4)</w:t>
            </w: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First-lien loan ($33,221 par, due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540" w:type="dxa"/>
            <w:vAlign w:val="bottom"/>
          </w:tcPr>
          <w:p>
            <w:pPr>
              <w:spacing w:after="0"/>
              <w:rPr>
                <w:sz w:val="18"/>
                <w:szCs w:val="18"/>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6/2020)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6/30/2014</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 + 8.00%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9.69%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32,879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33,221</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Motus, LLC </w:t>
            </w:r>
            <w:r>
              <w:rPr>
                <w:rFonts w:ascii="Times New Roman" w:cs="Times New Roman" w:eastAsia="Times New Roman" w:hAnsi="Times New Roman"/>
                <w:sz w:val="24"/>
                <w:szCs w:val="24"/>
                <w:color w:val="auto"/>
                <w:vertAlign w:val="superscript"/>
              </w:rPr>
              <w:t>(3)</w:t>
            </w:r>
          </w:p>
        </w:tc>
        <w:tc>
          <w:tcPr>
            <w:tcW w:w="24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($20,879 par, due</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11.57% (incl.</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54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7/2021)</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7/29/2016</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+ 10.00%</w:t>
            </w: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3.00% PIK)</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20,496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21,975</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Sovos Compliance, LLC </w:t>
            </w:r>
            <w:r>
              <w:rPr>
                <w:rFonts w:ascii="Times New Roman" w:cs="Times New Roman" w:eastAsia="Times New Roman" w:hAnsi="Times New Roman"/>
                <w:sz w:val="23"/>
                <w:szCs w:val="23"/>
                <w:color w:val="auto"/>
                <w:vertAlign w:val="superscript"/>
              </w:rPr>
              <w:t>(3)</w:t>
            </w: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First-lien loan ($34,323 par, due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540" w:type="dxa"/>
            <w:vAlign w:val="bottom"/>
          </w:tcPr>
          <w:p>
            <w:pPr>
              <w:spacing w:after="0"/>
              <w:rPr>
                <w:sz w:val="18"/>
                <w:szCs w:val="18"/>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3/2022)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7/1/2016</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 + 6.00%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34,421</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Tangoe, Inc. </w:t>
            </w:r>
            <w:r>
              <w:rPr>
                <w:rFonts w:ascii="Times New Roman" w:cs="Times New Roman" w:eastAsia="Times New Roman" w:hAnsi="Times New Roman"/>
                <w:sz w:val="24"/>
                <w:szCs w:val="24"/>
                <w:color w:val="auto"/>
                <w:vertAlign w:val="superscript"/>
              </w:rPr>
              <w:t>(3)(5)</w:t>
            </w:r>
          </w:p>
        </w:tc>
        <w:tc>
          <w:tcPr>
            <w:tcW w:w="24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($49,975 par, due</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10.20% (incl.</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54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6/2022)</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6/16/2017</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+ 8.50%</w:t>
            </w: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0.50% PIK)</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48,196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48,725</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192,072</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19.8%</w:t>
            </w:r>
          </w:p>
        </w:tc>
      </w:tr>
      <w:tr>
        <w:trPr>
          <w:trHeight w:val="212"/>
        </w:trPr>
        <w:tc>
          <w:tcPr>
            <w:tcW w:w="2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Chemicals</w:t>
            </w:r>
          </w:p>
        </w:tc>
        <w:tc>
          <w:tcPr>
            <w:tcW w:w="120" w:type="dxa"/>
            <w:vAlign w:val="bottom"/>
            <w:tcBorders>
              <w:top w:val="single" w:sz="8" w:color="CFF0FC"/>
            </w:tcBorders>
            <w:shd w:val="clear" w:color="auto" w:fill="CFF0FC"/>
          </w:tcPr>
          <w:p>
            <w:pPr>
              <w:spacing w:after="0"/>
              <w:rPr>
                <w:sz w:val="18"/>
                <w:szCs w:val="18"/>
                <w:color w:val="auto"/>
              </w:rPr>
            </w:pPr>
          </w:p>
        </w:tc>
        <w:tc>
          <w:tcPr>
            <w:tcW w:w="2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Vertellus Specialties, Inc. </w:t>
            </w:r>
            <w:r>
              <w:rPr>
                <w:rFonts w:ascii="Times New Roman" w:cs="Times New Roman" w:eastAsia="Times New Roman" w:hAnsi="Times New Roman"/>
                <w:sz w:val="23"/>
                <w:szCs w:val="23"/>
                <w:color w:val="auto"/>
                <w:vertAlign w:val="superscript"/>
              </w:rPr>
              <w:t>(3)</w:t>
            </w: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First-lien loan ($4,967 par, due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2540" w:type="dxa"/>
            <w:vAlign w:val="bottom"/>
          </w:tcPr>
          <w:p>
            <w:pPr>
              <w:spacing w:after="0"/>
              <w:rPr>
                <w:sz w:val="18"/>
                <w:szCs w:val="18"/>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4/2018)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10/31/2016</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 + 9.00%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r>
      <w:tr>
        <w:trPr>
          <w:trHeight w:val="205"/>
        </w:trPr>
        <w:tc>
          <w:tcPr>
            <w:tcW w:w="2540" w:type="dxa"/>
            <w:vAlign w:val="bottom"/>
            <w:shd w:val="clear" w:color="auto" w:fill="CFF0FC"/>
          </w:tcPr>
          <w:p>
            <w:pPr>
              <w:spacing w:after="0"/>
              <w:rPr>
                <w:sz w:val="17"/>
                <w:szCs w:val="17"/>
                <w:color w:val="auto"/>
              </w:rPr>
            </w:pPr>
          </w:p>
        </w:tc>
        <w:tc>
          <w:tcPr>
            <w:tcW w:w="24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Second-lien loan ($3,341 par,</w:t>
            </w: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3"/>
        </w:trPr>
        <w:tc>
          <w:tcPr>
            <w:tcW w:w="2540" w:type="dxa"/>
            <w:vAlign w:val="bottom"/>
            <w:shd w:val="clear" w:color="auto" w:fill="CFF0FC"/>
          </w:tcPr>
          <w:p>
            <w:pPr>
              <w:spacing w:after="0"/>
              <w:rPr>
                <w:sz w:val="18"/>
                <w:szCs w:val="18"/>
                <w:color w:val="auto"/>
              </w:rPr>
            </w:pPr>
          </w:p>
        </w:tc>
        <w:tc>
          <w:tcPr>
            <w:tcW w:w="24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due 10/2021)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10/31/2016</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+ 12.00%</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13.57%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0.3%</w:t>
            </w: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8,333</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r>
      <w:tr>
        <w:trPr>
          <w:trHeight w:val="212"/>
        </w:trPr>
        <w:tc>
          <w:tcPr>
            <w:tcW w:w="2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120" w:type="dxa"/>
            <w:vAlign w:val="bottom"/>
            <w:tcBorders>
              <w:top w:val="single" w:sz="8" w:color="CFF0FC"/>
            </w:tcBorders>
            <w:shd w:val="clear" w:color="auto" w:fill="CFF0FC"/>
          </w:tcPr>
          <w:p>
            <w:pPr>
              <w:spacing w:after="0"/>
              <w:rPr>
                <w:sz w:val="18"/>
                <w:szCs w:val="18"/>
                <w:color w:val="auto"/>
              </w:rPr>
            </w:pPr>
          </w:p>
        </w:tc>
        <w:tc>
          <w:tcPr>
            <w:tcW w:w="2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iHeart Communications </w:t>
            </w:r>
            <w:r>
              <w:rPr>
                <w:rFonts w:ascii="Times New Roman" w:cs="Times New Roman" w:eastAsia="Times New Roman" w:hAnsi="Times New Roman"/>
                <w:sz w:val="23"/>
                <w:szCs w:val="23"/>
                <w:color w:val="auto"/>
                <w:vertAlign w:val="superscript"/>
              </w:rPr>
              <w:t>(3)(5)</w:t>
            </w: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ABL FILO term loan ($115,000</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540" w:type="dxa"/>
            <w:vAlign w:val="bottom"/>
          </w:tcPr>
          <w:p>
            <w:pPr>
              <w:spacing w:after="0"/>
              <w:rPr>
                <w:sz w:val="18"/>
                <w:szCs w:val="18"/>
                <w:color w:val="auto"/>
              </w:rPr>
            </w:pP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par, due 11/2020)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11/30/2017</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 + 4.75%</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112,700</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11.6%</w:t>
            </w:r>
          </w:p>
        </w:tc>
      </w:tr>
      <w:tr>
        <w:trPr>
          <w:trHeight w:val="222"/>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Education</w:t>
            </w:r>
          </w:p>
        </w:tc>
        <w:tc>
          <w:tcPr>
            <w:tcW w:w="12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Finalsite Holdings, Inc. </w:t>
            </w:r>
            <w:r>
              <w:rPr>
                <w:rFonts w:ascii="Times New Roman" w:cs="Times New Roman" w:eastAsia="Times New Roman" w:hAnsi="Times New Roman"/>
                <w:sz w:val="23"/>
                <w:szCs w:val="23"/>
                <w:color w:val="auto"/>
                <w:vertAlign w:val="superscript"/>
              </w:rPr>
              <w:t>(3)(5)</w:t>
            </w: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First-lien loan ($45,000 par, due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540" w:type="dxa"/>
            <w:vAlign w:val="bottom"/>
          </w:tcPr>
          <w:p>
            <w:pPr>
              <w:spacing w:after="0"/>
              <w:rPr>
                <w:sz w:val="18"/>
                <w:szCs w:val="18"/>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8/2022)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8/31/2016</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 + 7.00%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45,450</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r>
      <w:tr>
        <w:trPr>
          <w:trHeight w:val="207"/>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Frontline Technologies Group, LLC</w:t>
            </w:r>
          </w:p>
        </w:tc>
        <w:tc>
          <w:tcPr>
            <w:tcW w:w="24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($47,703 par, due</w:t>
            </w: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8"/>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(3)</w:t>
            </w:r>
          </w:p>
        </w:tc>
        <w:tc>
          <w:tcPr>
            <w:tcW w:w="2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9/2023)</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9/18/2017</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+ 6.50%</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8.09%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47,039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47,132</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Illuminate Education, Inc.</w:t>
            </w:r>
            <w:r>
              <w:rPr>
                <w:rFonts w:ascii="Times New Roman" w:cs="Times New Roman" w:eastAsia="Times New Roman" w:hAnsi="Times New Roman"/>
                <w:sz w:val="23"/>
                <w:szCs w:val="23"/>
                <w:color w:val="auto"/>
                <w:vertAlign w:val="superscript"/>
              </w:rPr>
              <w:t>(3)</w:t>
            </w: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First-lien loan ($56,900 par, due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2540" w:type="dxa"/>
            <w:vAlign w:val="bottom"/>
          </w:tcPr>
          <w:p>
            <w:pPr>
              <w:spacing w:after="0"/>
              <w:rPr>
                <w:sz w:val="18"/>
                <w:szCs w:val="18"/>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8/2022)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8/25/2017</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 + 8.00%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9.48%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55,772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55,971</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w:t>
            </w:r>
          </w:p>
        </w:tc>
      </w:tr>
      <w:tr>
        <w:trPr>
          <w:trHeight w:val="20"/>
        </w:trPr>
        <w:tc>
          <w:tcPr>
            <w:tcW w:w="25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146,840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148,553</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15.4%</w:t>
            </w:r>
          </w:p>
        </w:tc>
      </w:tr>
      <w:tr>
        <w:trPr>
          <w:trHeight w:val="204"/>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services</w:t>
            </w: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AppStar Financial, LLC </w:t>
            </w:r>
            <w:r>
              <w:rPr>
                <w:rFonts w:ascii="Times New Roman" w:cs="Times New Roman" w:eastAsia="Times New Roman" w:hAnsi="Times New Roman"/>
                <w:sz w:val="24"/>
                <w:szCs w:val="24"/>
                <w:color w:val="auto"/>
                <w:vertAlign w:val="superscript"/>
              </w:rPr>
              <w:t>(3)</w:t>
            </w:r>
          </w:p>
        </w:tc>
        <w:tc>
          <w:tcPr>
            <w:tcW w:w="24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($20,364 par, due</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54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8/2020)</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8/18/2015</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+ 8.00%</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9.57%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20,071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20,643</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AvidXchange, Inc. </w:t>
            </w:r>
            <w:r>
              <w:rPr>
                <w:rFonts w:ascii="Times New Roman" w:cs="Times New Roman" w:eastAsia="Times New Roman" w:hAnsi="Times New Roman"/>
                <w:sz w:val="23"/>
                <w:szCs w:val="23"/>
                <w:color w:val="auto"/>
                <w:vertAlign w:val="superscript"/>
              </w:rPr>
              <w:t>(3)</w:t>
            </w: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First-lien loan ($54,449 par, due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540" w:type="dxa"/>
            <w:vAlign w:val="bottom"/>
          </w:tcPr>
          <w:p>
            <w:pPr>
              <w:spacing w:after="0"/>
              <w:rPr>
                <w:sz w:val="18"/>
                <w:szCs w:val="18"/>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8/2020)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8/7/2015</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 + 9.50%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53,879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55,266</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w:t>
            </w: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PayLease, LLC </w:t>
            </w:r>
            <w:r>
              <w:rPr>
                <w:rFonts w:ascii="Times New Roman" w:cs="Times New Roman" w:eastAsia="Times New Roman" w:hAnsi="Times New Roman"/>
                <w:sz w:val="24"/>
                <w:szCs w:val="24"/>
                <w:color w:val="auto"/>
                <w:vertAlign w:val="superscript"/>
              </w:rPr>
              <w:t>(3)</w:t>
            </w:r>
          </w:p>
        </w:tc>
        <w:tc>
          <w:tcPr>
            <w:tcW w:w="24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($56,525 par, due</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54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7/2022)</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7/28/2017</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+ 7.00%</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8.57%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55,413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55,627</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5.7%</w:t>
            </w: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PaySimple, Inc. </w:t>
            </w:r>
            <w:r>
              <w:rPr>
                <w:rFonts w:ascii="Times New Roman" w:cs="Times New Roman" w:eastAsia="Times New Roman" w:hAnsi="Times New Roman"/>
                <w:sz w:val="23"/>
                <w:szCs w:val="23"/>
                <w:color w:val="auto"/>
                <w:vertAlign w:val="superscript"/>
              </w:rPr>
              <w:t>(3)</w:t>
            </w: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First-lien loan ($50,601 par, due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10.00% (incl.</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540" w:type="dxa"/>
            <w:vAlign w:val="bottom"/>
          </w:tcPr>
          <w:p>
            <w:pPr>
              <w:spacing w:after="0"/>
              <w:rPr>
                <w:sz w:val="18"/>
                <w:szCs w:val="18"/>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3/2022)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3/7/2017</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 + 8.25%</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1.75% PIK)</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50,045</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Swift Gift Limited </w:t>
            </w:r>
            <w:r>
              <w:rPr>
                <w:rFonts w:ascii="Times New Roman" w:cs="Times New Roman" w:eastAsia="Times New Roman" w:hAnsi="Times New Roman"/>
                <w:sz w:val="24"/>
                <w:szCs w:val="24"/>
                <w:color w:val="auto"/>
                <w:vertAlign w:val="superscript"/>
              </w:rPr>
              <w:t>(3)(5)</w:t>
            </w:r>
          </w:p>
        </w:tc>
        <w:tc>
          <w:tcPr>
            <w:tcW w:w="24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($29,167 par, due</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54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1/2022)</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7/31/2017</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L + 6.50%</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8.13%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28,472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29,458</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207,468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211,039</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21.7%</w:t>
            </w:r>
          </w:p>
        </w:tc>
      </w:tr>
      <w:tr>
        <w:trPr>
          <w:trHeight w:val="212"/>
        </w:trPr>
        <w:tc>
          <w:tcPr>
            <w:tcW w:w="2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20" w:type="dxa"/>
            <w:vAlign w:val="bottom"/>
            <w:tcBorders>
              <w:top w:val="single" w:sz="8" w:color="CFF0FC"/>
            </w:tcBorders>
            <w:shd w:val="clear" w:color="auto" w:fill="CFF0FC"/>
          </w:tcPr>
          <w:p>
            <w:pPr>
              <w:spacing w:after="0"/>
              <w:rPr>
                <w:sz w:val="18"/>
                <w:szCs w:val="18"/>
                <w:color w:val="auto"/>
              </w:rPr>
            </w:pPr>
          </w:p>
        </w:tc>
        <w:tc>
          <w:tcPr>
            <w:tcW w:w="2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1"/>
        </w:trPr>
        <w:tc>
          <w:tcPr>
            <w:tcW w:w="2540" w:type="dxa"/>
            <w:vAlign w:val="bottom"/>
          </w:tcPr>
          <w:p>
            <w:pPr>
              <w:spacing w:after="0" w:line="201" w:lineRule="exact"/>
              <w:rPr>
                <w:sz w:val="20"/>
                <w:szCs w:val="20"/>
                <w:color w:val="auto"/>
              </w:rPr>
            </w:pPr>
            <w:r>
              <w:rPr>
                <w:rFonts w:ascii="Times New Roman" w:cs="Times New Roman" w:eastAsia="Times New Roman" w:hAnsi="Times New Roman"/>
                <w:sz w:val="14"/>
                <w:szCs w:val="14"/>
                <w:color w:val="auto"/>
              </w:rPr>
              <w:t xml:space="preserve">Integrated Practice Solutions, Inc. </w:t>
            </w:r>
            <w:r>
              <w:rPr>
                <w:rFonts w:ascii="Times New Roman" w:cs="Times New Roman" w:eastAsia="Times New Roman" w:hAnsi="Times New Roman"/>
                <w:sz w:val="23"/>
                <w:szCs w:val="23"/>
                <w:color w:val="auto"/>
                <w:vertAlign w:val="superscript"/>
              </w:rPr>
              <w:t>(3)</w:t>
            </w: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First-lien loan ($32,338 par, due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(5)</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6/2022)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6/30/2017</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 + 8.00%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9.57%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31,691</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r>
      <w:tr>
        <w:trPr>
          <w:trHeight w:val="208"/>
        </w:trPr>
        <w:tc>
          <w:tcPr>
            <w:tcW w:w="254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Helix Health, Ltd. </w:t>
            </w:r>
            <w:r>
              <w:rPr>
                <w:rFonts w:ascii="Times New Roman" w:cs="Times New Roman" w:eastAsia="Times New Roman" w:hAnsi="Times New Roman"/>
                <w:sz w:val="24"/>
                <w:szCs w:val="24"/>
                <w:color w:val="auto"/>
                <w:vertAlign w:val="superscript"/>
              </w:rPr>
              <w:t>(3)(4)</w:t>
            </w:r>
          </w:p>
        </w:tc>
        <w:tc>
          <w:tcPr>
            <w:tcW w:w="24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(EUR 38,019 par,</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47,366</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540" w:type="dxa"/>
            <w:vAlign w:val="bottom"/>
            <w:shd w:val="clear" w:color="auto" w:fill="CFF0FC"/>
          </w:tcPr>
          <w:p>
            <w:pPr>
              <w:spacing w:after="0"/>
              <w:rPr>
                <w:sz w:val="18"/>
                <w:szCs w:val="18"/>
                <w:color w:val="auto"/>
              </w:rPr>
            </w:pPr>
          </w:p>
        </w:tc>
        <w:tc>
          <w:tcPr>
            <w:tcW w:w="24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due 9/2019)</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9/30/2014</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E + 10.50%</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11.50%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45,164</w:t>
            </w:r>
          </w:p>
        </w:tc>
        <w:tc>
          <w:tcPr>
            <w:tcW w:w="2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(EUR 39,445)</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First-lien revolving loan (EUR 300</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66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par, due 9/2019)</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9/30/2014</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E + 10.50%</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(EUR 450)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r>
      <w:tr>
        <w:trPr>
          <w:trHeight w:val="208"/>
        </w:trPr>
        <w:tc>
          <w:tcPr>
            <w:tcW w:w="266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MatrixCare, Inc. </w:t>
            </w:r>
            <w:r>
              <w:rPr>
                <w:rFonts w:ascii="Times New Roman" w:cs="Times New Roman" w:eastAsia="Times New Roman" w:hAnsi="Times New Roman"/>
                <w:sz w:val="24"/>
                <w:szCs w:val="24"/>
                <w:color w:val="auto"/>
                <w:vertAlign w:val="superscript"/>
              </w:rPr>
              <w:t>(3)(5)</w:t>
            </w: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First-lien loan ($57,305 par, due</w:t>
            </w: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660" w:type="dxa"/>
            <w:vAlign w:val="bottom"/>
            <w:shd w:val="clear" w:color="auto" w:fill="CFF0FC"/>
          </w:tcPr>
          <w:p>
            <w:pPr>
              <w:spacing w:after="0"/>
              <w:rPr>
                <w:sz w:val="18"/>
                <w:szCs w:val="18"/>
                <w:color w:val="auto"/>
              </w:rPr>
            </w:pP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12/2021)</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12/17/2015</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+ 5.25%</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56,455</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58,021</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r>
      <w:tr>
        <w:trPr>
          <w:trHeight w:val="202"/>
        </w:trPr>
        <w:tc>
          <w:tcPr>
            <w:tcW w:w="26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MedeAnalytics, Inc. </w:t>
            </w:r>
            <w:r>
              <w:rPr>
                <w:rFonts w:ascii="Times New Roman" w:cs="Times New Roman" w:eastAsia="Times New Roman" w:hAnsi="Times New Roman"/>
                <w:sz w:val="23"/>
                <w:szCs w:val="23"/>
                <w:color w:val="auto"/>
                <w:vertAlign w:val="superscript"/>
              </w:rPr>
              <w:t>(3)(5)</w:t>
            </w: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First-lien loan ($43,262 par, due</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66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9/2020)</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9/30/2015</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+ 8.50%</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43,478</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r>
      <w:tr>
        <w:trPr>
          <w:trHeight w:val="208"/>
        </w:trPr>
        <w:tc>
          <w:tcPr>
            <w:tcW w:w="266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Quantros, Inc. </w:t>
            </w:r>
            <w:r>
              <w:rPr>
                <w:rFonts w:ascii="Times New Roman" w:cs="Times New Roman" w:eastAsia="Times New Roman" w:hAnsi="Times New Roman"/>
                <w:sz w:val="24"/>
                <w:szCs w:val="24"/>
                <w:color w:val="auto"/>
                <w:vertAlign w:val="superscript"/>
              </w:rPr>
              <w:t>(3)(5)</w:t>
            </w: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First-lien loan ($29,475 par, due</w:t>
            </w: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660" w:type="dxa"/>
            <w:vAlign w:val="bottom"/>
            <w:shd w:val="clear" w:color="auto" w:fill="CFF0FC"/>
          </w:tcPr>
          <w:p>
            <w:pPr>
              <w:spacing w:after="0"/>
              <w:rPr>
                <w:sz w:val="18"/>
                <w:szCs w:val="18"/>
                <w:color w:val="auto"/>
              </w:rPr>
            </w:pP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2/2021)</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2/29/2016</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+ 7.75%</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28,772</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30,212</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r>
      <w:tr>
        <w:trPr>
          <w:trHeight w:val="20"/>
        </w:trPr>
        <w:tc>
          <w:tcPr>
            <w:tcW w:w="2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204,653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211,308</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21.9%</w:t>
            </w:r>
          </w:p>
        </w:tc>
      </w:tr>
      <w:tr>
        <w:trPr>
          <w:trHeight w:val="212"/>
        </w:trPr>
        <w:tc>
          <w:tcPr>
            <w:tcW w:w="2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Hotel, gaming, and leisure</w:t>
            </w:r>
          </w:p>
        </w:tc>
        <w:tc>
          <w:tcPr>
            <w:tcW w:w="244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2"/>
        </w:trPr>
        <w:tc>
          <w:tcPr>
            <w:tcW w:w="26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23"/>
                <w:szCs w:val="23"/>
                <w:color w:val="auto"/>
                <w:vertAlign w:val="superscript"/>
              </w:rPr>
              <w:t>(3)(6)</w:t>
            </w: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First-lien loan ($22,414 par, due</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11.19% (incl.</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266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9/2019)</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9/29/2015</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+ 9.50%</w:t>
            </w:r>
          </w:p>
        </w:tc>
        <w:tc>
          <w:tcPr>
            <w:tcW w:w="1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5.00% PIK)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22,414</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17,596</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r>
      <w:tr>
        <w:trPr>
          <w:trHeight w:val="205"/>
        </w:trPr>
        <w:tc>
          <w:tcPr>
            <w:tcW w:w="2660" w:type="dxa"/>
            <w:vAlign w:val="bottom"/>
            <w:shd w:val="clear" w:color="auto" w:fill="CFF0FC"/>
          </w:tcPr>
          <w:p>
            <w:pPr>
              <w:spacing w:after="0"/>
              <w:rPr>
                <w:sz w:val="17"/>
                <w:szCs w:val="17"/>
                <w:color w:val="auto"/>
              </w:rPr>
            </w:pP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First-lien revolving loan ($21,665</w:t>
            </w:r>
          </w:p>
        </w:tc>
        <w:tc>
          <w:tcPr>
            <w:tcW w:w="9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11.06% (incl.</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3"/>
        </w:trPr>
        <w:tc>
          <w:tcPr>
            <w:tcW w:w="2660" w:type="dxa"/>
            <w:vAlign w:val="bottom"/>
            <w:shd w:val="clear" w:color="auto" w:fill="CFF0FC"/>
          </w:tcPr>
          <w:p>
            <w:pPr>
              <w:spacing w:after="0"/>
              <w:rPr>
                <w:sz w:val="18"/>
                <w:szCs w:val="18"/>
                <w:color w:val="auto"/>
              </w:rPr>
            </w:pP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par, due 9/2019)</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9/29/2015</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+ 9.50%</w:t>
            </w:r>
          </w:p>
        </w:tc>
        <w:tc>
          <w:tcPr>
            <w:tcW w:w="13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5.00% PIK)</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21,665</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17,007</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2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44,079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34,603</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r>
      <w:tr>
        <w:trPr>
          <w:trHeight w:val="212"/>
        </w:trPr>
        <w:tc>
          <w:tcPr>
            <w:tcW w:w="2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244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2"/>
        </w:trPr>
        <w:tc>
          <w:tcPr>
            <w:tcW w:w="26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Insurity, Inc. </w:t>
            </w:r>
            <w:r>
              <w:rPr>
                <w:rFonts w:ascii="Times New Roman" w:cs="Times New Roman" w:eastAsia="Times New Roman" w:hAnsi="Times New Roman"/>
                <w:sz w:val="23"/>
                <w:szCs w:val="23"/>
                <w:color w:val="auto"/>
                <w:vertAlign w:val="superscript"/>
              </w:rPr>
              <w:t>(3)(5)</w:t>
            </w: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First-lien loan ($63,321 par, due</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66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10/2020)</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10/31/2014</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+ 6.50%</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62,899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64,904</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w:t>
            </w:r>
          </w:p>
        </w:tc>
      </w:tr>
      <w:tr>
        <w:trPr>
          <w:trHeight w:val="208"/>
        </w:trPr>
        <w:tc>
          <w:tcPr>
            <w:tcW w:w="266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Riskonnect, Inc. </w:t>
            </w:r>
            <w:r>
              <w:rPr>
                <w:rFonts w:ascii="Times New Roman" w:cs="Times New Roman" w:eastAsia="Times New Roman" w:hAnsi="Times New Roman"/>
                <w:sz w:val="24"/>
                <w:szCs w:val="24"/>
                <w:color w:val="auto"/>
                <w:vertAlign w:val="superscript"/>
              </w:rPr>
              <w:t>(3)</w:t>
            </w: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First-lien loan ($42,800 par, due</w:t>
            </w: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660" w:type="dxa"/>
            <w:vAlign w:val="bottom"/>
            <w:shd w:val="clear" w:color="auto" w:fill="CFF0FC"/>
          </w:tcPr>
          <w:p>
            <w:pPr>
              <w:spacing w:after="0"/>
              <w:rPr>
                <w:sz w:val="18"/>
                <w:szCs w:val="18"/>
                <w:color w:val="auto"/>
              </w:rPr>
            </w:pP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6/2022)</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6/30/2017</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+ 7.75%</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41,920</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42,203</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r>
      <w:tr>
        <w:trPr>
          <w:trHeight w:val="20"/>
        </w:trPr>
        <w:tc>
          <w:tcPr>
            <w:tcW w:w="2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104,819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107,107</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11.1%</w:t>
            </w:r>
          </w:p>
        </w:tc>
      </w:tr>
      <w:tr>
        <w:trPr>
          <w:trHeight w:val="212"/>
        </w:trPr>
        <w:tc>
          <w:tcPr>
            <w:tcW w:w="2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Internet services</w:t>
            </w:r>
          </w:p>
        </w:tc>
        <w:tc>
          <w:tcPr>
            <w:tcW w:w="244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2"/>
        </w:trPr>
        <w:tc>
          <w:tcPr>
            <w:tcW w:w="26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Lithium Technologies, LLC </w:t>
            </w:r>
            <w:r>
              <w:rPr>
                <w:rFonts w:ascii="Times New Roman" w:cs="Times New Roman" w:eastAsia="Times New Roman" w:hAnsi="Times New Roman"/>
                <w:sz w:val="23"/>
                <w:szCs w:val="23"/>
                <w:color w:val="auto"/>
                <w:vertAlign w:val="superscript"/>
              </w:rPr>
              <w:t>(3)</w:t>
            </w: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First-lien loan ($50,000 par, due</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66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10/2022)</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10/3/2017</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+ 8.00%</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48,927</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222"/>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Manufacturing</w:t>
            </w:r>
          </w:p>
        </w:tc>
        <w:tc>
          <w:tcPr>
            <w:tcW w:w="24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2"/>
        </w:trPr>
        <w:tc>
          <w:tcPr>
            <w:tcW w:w="26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Industrial Physics, LLC </w:t>
            </w:r>
            <w:r>
              <w:rPr>
                <w:rFonts w:ascii="Times New Roman" w:cs="Times New Roman" w:eastAsia="Times New Roman" w:hAnsi="Times New Roman"/>
                <w:sz w:val="23"/>
                <w:szCs w:val="23"/>
                <w:color w:val="auto"/>
                <w:vertAlign w:val="superscript"/>
              </w:rPr>
              <w:t>(3)</w:t>
            </w: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First-lien loan ($9,975 par, due</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266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10/2022)</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10/23/2017</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+ 7.00%</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9,750</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205"/>
        </w:trPr>
        <w:tc>
          <w:tcPr>
            <w:tcW w:w="2660" w:type="dxa"/>
            <w:vAlign w:val="bottom"/>
            <w:shd w:val="clear" w:color="auto" w:fill="CFF0FC"/>
          </w:tcPr>
          <w:p>
            <w:pPr>
              <w:spacing w:after="0"/>
              <w:rPr>
                <w:sz w:val="17"/>
                <w:szCs w:val="17"/>
                <w:color w:val="auto"/>
              </w:rPr>
            </w:pP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First-lien loan (EUR 21,065 par,</w:t>
            </w:r>
          </w:p>
        </w:tc>
        <w:tc>
          <w:tcPr>
            <w:tcW w:w="9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24,915</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660" w:type="dxa"/>
            <w:vAlign w:val="bottom"/>
            <w:shd w:val="clear" w:color="auto" w:fill="CFF0FC"/>
          </w:tcPr>
          <w:p>
            <w:pPr>
              <w:spacing w:after="0"/>
              <w:rPr>
                <w:sz w:val="17"/>
                <w:szCs w:val="17"/>
                <w:color w:val="auto"/>
              </w:rPr>
            </w:pP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due 10/2022)</w:t>
            </w:r>
          </w:p>
        </w:tc>
        <w:tc>
          <w:tcPr>
            <w:tcW w:w="9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(EUR</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6"/>
        </w:trPr>
        <w:tc>
          <w:tcPr>
            <w:tcW w:w="266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10/23/2017</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E + 7.00%</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24,260</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20,749)</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r>
      <w:tr>
        <w:trPr>
          <w:trHeight w:val="202"/>
        </w:trPr>
        <w:tc>
          <w:tcPr>
            <w:tcW w:w="26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ScentAir Technologies, Inc. </w:t>
            </w:r>
            <w:r>
              <w:rPr>
                <w:rFonts w:ascii="Times New Roman" w:cs="Times New Roman" w:eastAsia="Times New Roman" w:hAnsi="Times New Roman"/>
                <w:sz w:val="23"/>
                <w:szCs w:val="23"/>
                <w:color w:val="auto"/>
                <w:vertAlign w:val="superscript"/>
              </w:rPr>
              <w:t>(3)</w:t>
            </w: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First-lien loan ($19,986 par, due</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266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12/2019)</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12/30/2014</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+ 7.00%</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8.57%</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20,086</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r>
      <w:tr>
        <w:trPr>
          <w:trHeight w:val="205"/>
        </w:trPr>
        <w:tc>
          <w:tcPr>
            <w:tcW w:w="2660" w:type="dxa"/>
            <w:vAlign w:val="bottom"/>
            <w:shd w:val="clear" w:color="auto" w:fill="CFF0FC"/>
          </w:tcPr>
          <w:p>
            <w:pPr>
              <w:spacing w:after="0"/>
              <w:rPr>
                <w:sz w:val="17"/>
                <w:szCs w:val="17"/>
                <w:color w:val="auto"/>
              </w:rPr>
            </w:pP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First-lien revolving loan ($1,393</w:t>
            </w:r>
          </w:p>
        </w:tc>
        <w:tc>
          <w:tcPr>
            <w:tcW w:w="9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3"/>
        </w:trPr>
        <w:tc>
          <w:tcPr>
            <w:tcW w:w="2660" w:type="dxa"/>
            <w:vAlign w:val="bottom"/>
            <w:shd w:val="clear" w:color="auto" w:fill="CFF0FC"/>
          </w:tcPr>
          <w:p>
            <w:pPr>
              <w:spacing w:after="0"/>
              <w:rPr>
                <w:sz w:val="18"/>
                <w:szCs w:val="18"/>
                <w:color w:val="auto"/>
              </w:rPr>
            </w:pP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par, due 12/2019)</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12/30/2014</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+ 7.00%</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8.57%</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r>
      <w:tr>
        <w:trPr>
          <w:trHeight w:val="20"/>
        </w:trPr>
        <w:tc>
          <w:tcPr>
            <w:tcW w:w="2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55,139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56,155</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w:t>
            </w:r>
          </w:p>
        </w:tc>
      </w:tr>
      <w:tr>
        <w:trPr>
          <w:trHeight w:val="212"/>
        </w:trPr>
        <w:tc>
          <w:tcPr>
            <w:tcW w:w="2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Marketing services</w:t>
            </w:r>
          </w:p>
        </w:tc>
        <w:tc>
          <w:tcPr>
            <w:tcW w:w="244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2"/>
        </w:trPr>
        <w:tc>
          <w:tcPr>
            <w:tcW w:w="26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Marketo, Inc. </w:t>
            </w:r>
            <w:r>
              <w:rPr>
                <w:rFonts w:ascii="Times New Roman" w:cs="Times New Roman" w:eastAsia="Times New Roman" w:hAnsi="Times New Roman"/>
                <w:sz w:val="23"/>
                <w:szCs w:val="23"/>
                <w:color w:val="auto"/>
                <w:vertAlign w:val="superscript"/>
              </w:rPr>
              <w:t>(3)</w:t>
            </w: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First-lien loan ($28,125 par, due</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66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8/2021)</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8/16/2016</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+ 9.50%</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27,428</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29,025</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r>
      <w:tr>
        <w:trPr>
          <w:trHeight w:val="208"/>
        </w:trPr>
        <w:tc>
          <w:tcPr>
            <w:tcW w:w="266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Vivial Inc.</w:t>
            </w:r>
            <w:r>
              <w:rPr>
                <w:rFonts w:ascii="Times New Roman" w:cs="Times New Roman" w:eastAsia="Times New Roman" w:hAnsi="Times New Roman"/>
                <w:sz w:val="24"/>
                <w:szCs w:val="24"/>
                <w:color w:val="auto"/>
                <w:vertAlign w:val="superscript"/>
              </w:rPr>
              <w:t>(3)</w:t>
            </w: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First-lien loan ($32,463 par, due</w:t>
            </w: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660" w:type="dxa"/>
            <w:vAlign w:val="bottom"/>
            <w:shd w:val="clear" w:color="auto" w:fill="CFF0FC"/>
          </w:tcPr>
          <w:p>
            <w:pPr>
              <w:spacing w:after="0"/>
              <w:rPr>
                <w:sz w:val="18"/>
                <w:szCs w:val="18"/>
                <w:color w:val="auto"/>
              </w:rPr>
            </w:pP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9/2022)</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9/29/2017</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+ 8.00%</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9.69%</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31,918</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31,976</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r>
      <w:tr>
        <w:trPr>
          <w:trHeight w:val="20"/>
        </w:trPr>
        <w:tc>
          <w:tcPr>
            <w:tcW w:w="2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59,346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61,001</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r>
      <w:tr>
        <w:trPr>
          <w:trHeight w:val="212"/>
        </w:trPr>
        <w:tc>
          <w:tcPr>
            <w:tcW w:w="2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Office products</w:t>
            </w:r>
          </w:p>
        </w:tc>
        <w:tc>
          <w:tcPr>
            <w:tcW w:w="244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2"/>
        </w:trPr>
        <w:tc>
          <w:tcPr>
            <w:tcW w:w="26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USR Parent Inc. </w:t>
            </w:r>
            <w:r>
              <w:rPr>
                <w:rFonts w:ascii="Times New Roman" w:cs="Times New Roman" w:eastAsia="Times New Roman" w:hAnsi="Times New Roman"/>
                <w:sz w:val="23"/>
                <w:szCs w:val="23"/>
                <w:color w:val="auto"/>
                <w:vertAlign w:val="superscript"/>
              </w:rPr>
              <w:t>(3)(5)</w:t>
            </w: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ABL FILO term loan ($20,000</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66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par, due 9/2022)</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9/12/2017</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+ 7.75%</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19,600</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r>
      <w:tr>
        <w:trPr>
          <w:trHeight w:val="206"/>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Oil, gas and consumable</w:t>
            </w:r>
          </w:p>
        </w:tc>
        <w:tc>
          <w:tcPr>
            <w:tcW w:w="24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8"/>
        </w:trPr>
        <w:tc>
          <w:tcPr>
            <w:tcW w:w="2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fuels</w:t>
            </w:r>
          </w:p>
        </w:tc>
        <w:tc>
          <w:tcPr>
            <w:tcW w:w="2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6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Mississippi Resources, LLC </w:t>
            </w:r>
            <w:r>
              <w:rPr>
                <w:rFonts w:ascii="Times New Roman" w:cs="Times New Roman" w:eastAsia="Times New Roman" w:hAnsi="Times New Roman"/>
                <w:sz w:val="23"/>
                <w:szCs w:val="23"/>
                <w:color w:val="auto"/>
                <w:vertAlign w:val="superscript"/>
              </w:rPr>
              <w:t>(3)(6)</w:t>
            </w: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First-lien loan ($25,229 par, due</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66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6/2018)</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5/3/2017</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+ 10.50%</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12.07%</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25,229</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r>
      <w:tr>
        <w:trPr>
          <w:trHeight w:val="208"/>
        </w:trPr>
        <w:tc>
          <w:tcPr>
            <w:tcW w:w="266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Northern Oil and Gas, Inc. </w:t>
            </w:r>
            <w:r>
              <w:rPr>
                <w:rFonts w:ascii="Times New Roman" w:cs="Times New Roman" w:eastAsia="Times New Roman" w:hAnsi="Times New Roman"/>
                <w:sz w:val="24"/>
                <w:szCs w:val="24"/>
                <w:color w:val="auto"/>
                <w:vertAlign w:val="superscript"/>
              </w:rPr>
              <w:t>(3)</w:t>
            </w: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First-lien loan ($48,750 par, due</w:t>
            </w: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660" w:type="dxa"/>
            <w:vAlign w:val="bottom"/>
            <w:shd w:val="clear" w:color="auto" w:fill="CFF0FC"/>
          </w:tcPr>
          <w:p>
            <w:pPr>
              <w:spacing w:after="0"/>
              <w:rPr>
                <w:sz w:val="18"/>
                <w:szCs w:val="18"/>
                <w:color w:val="auto"/>
              </w:rPr>
            </w:pP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11/2022)</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11/1/2017</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+ 7.75%</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47,563</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47,450</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r>
      <w:tr>
        <w:trPr>
          <w:trHeight w:val="202"/>
        </w:trPr>
        <w:tc>
          <w:tcPr>
            <w:tcW w:w="26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Rex Energy Corporation </w:t>
            </w:r>
            <w:r>
              <w:rPr>
                <w:rFonts w:ascii="Times New Roman" w:cs="Times New Roman" w:eastAsia="Times New Roman" w:hAnsi="Times New Roman"/>
                <w:sz w:val="23"/>
                <w:szCs w:val="23"/>
                <w:color w:val="auto"/>
                <w:vertAlign w:val="superscript"/>
              </w:rPr>
              <w:t>(3)</w:t>
            </w: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First-lien loan ($18,950 par, due</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266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4/2021)</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4/28/2017</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+ 8.75%</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20,525</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r>
      <w:tr>
        <w:trPr>
          <w:trHeight w:val="20"/>
        </w:trPr>
        <w:tc>
          <w:tcPr>
            <w:tcW w:w="2660" w:type="dxa"/>
            <w:vAlign w:val="bottom"/>
            <w:shd w:val="clear" w:color="auto" w:fill="CFF0FC"/>
          </w:tcPr>
          <w:p>
            <w:pPr>
              <w:spacing w:after="0" w:line="20" w:lineRule="exact"/>
              <w:rPr>
                <w:sz w:val="1"/>
                <w:szCs w:val="1"/>
                <w:color w:val="auto"/>
              </w:rPr>
            </w:pPr>
          </w:p>
        </w:tc>
        <w:tc>
          <w:tcPr>
            <w:tcW w:w="24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3"/>
        </w:trPr>
        <w:tc>
          <w:tcPr>
            <w:tcW w:w="266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91,210</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93,204</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9.6%</w:t>
            </w:r>
          </w:p>
        </w:tc>
      </w:tr>
      <w:tr>
        <w:trPr>
          <w:trHeight w:val="204"/>
        </w:trPr>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Pharmaceuticals</w:t>
            </w:r>
          </w:p>
        </w:tc>
        <w:tc>
          <w:tcPr>
            <w:tcW w:w="2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8"/>
        </w:trPr>
        <w:tc>
          <w:tcPr>
            <w:tcW w:w="266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Ironwood Pharmaceuticals, Inc. </w:t>
            </w:r>
            <w:r>
              <w:rPr>
                <w:rFonts w:ascii="Times New Roman" w:cs="Times New Roman" w:eastAsia="Times New Roman" w:hAnsi="Times New Roman"/>
                <w:sz w:val="24"/>
                <w:szCs w:val="24"/>
                <w:color w:val="auto"/>
                <w:vertAlign w:val="superscript"/>
              </w:rPr>
              <w:t>(4)(5)(8)</w:t>
            </w: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Secured note ($33,333 par, due</w:t>
            </w: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660" w:type="dxa"/>
            <w:vAlign w:val="bottom"/>
            <w:shd w:val="clear" w:color="auto" w:fill="CFF0FC"/>
          </w:tcPr>
          <w:p>
            <w:pPr>
              <w:spacing w:after="0"/>
              <w:rPr>
                <w:sz w:val="18"/>
                <w:szCs w:val="18"/>
                <w:color w:val="auto"/>
              </w:rPr>
            </w:pP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9/2026)</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1/5/2017</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8.38%</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8.38%</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33,191</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33,250</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r>
      <w:tr>
        <w:trPr>
          <w:trHeight w:val="202"/>
        </w:trPr>
        <w:tc>
          <w:tcPr>
            <w:tcW w:w="26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Model N, Inc. </w:t>
            </w:r>
            <w:r>
              <w:rPr>
                <w:rFonts w:ascii="Times New Roman" w:cs="Times New Roman" w:eastAsia="Times New Roman" w:hAnsi="Times New Roman"/>
                <w:sz w:val="23"/>
                <w:szCs w:val="23"/>
                <w:color w:val="auto"/>
                <w:vertAlign w:val="superscript"/>
              </w:rPr>
              <w:t>(3)(4)</w:t>
            </w: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First-lien loan ($30,000 par, due</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66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1/2022)</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1/5/2017</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+ 8.25%</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9.88%</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29,497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29,925</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r>
      <w:tr>
        <w:trPr>
          <w:trHeight w:val="208"/>
        </w:trPr>
        <w:tc>
          <w:tcPr>
            <w:tcW w:w="266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Nektar Therapeutics </w:t>
            </w:r>
            <w:r>
              <w:rPr>
                <w:rFonts w:ascii="Times New Roman" w:cs="Times New Roman" w:eastAsia="Times New Roman" w:hAnsi="Times New Roman"/>
                <w:sz w:val="24"/>
                <w:szCs w:val="24"/>
                <w:color w:val="auto"/>
                <w:vertAlign w:val="superscript"/>
              </w:rPr>
              <w:t>(4)(5)(8)</w:t>
            </w: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Secured note ($74,950 par, due</w:t>
            </w: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660" w:type="dxa"/>
            <w:vAlign w:val="bottom"/>
            <w:shd w:val="clear" w:color="auto" w:fill="CFF0FC"/>
          </w:tcPr>
          <w:p>
            <w:pPr>
              <w:spacing w:after="0"/>
              <w:rPr>
                <w:sz w:val="18"/>
                <w:szCs w:val="18"/>
                <w:color w:val="auto"/>
              </w:rPr>
            </w:pPr>
          </w:p>
        </w:tc>
        <w:tc>
          <w:tcPr>
            <w:tcW w:w="2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10/2020)</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10/5/2015</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7.75%</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74,363</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76,449</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7.9%</w:t>
            </w:r>
          </w:p>
        </w:tc>
      </w:tr>
      <w:tr>
        <w:trPr>
          <w:trHeight w:val="20"/>
        </w:trPr>
        <w:tc>
          <w:tcPr>
            <w:tcW w:w="2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137,051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139,624</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14.4%</w:t>
            </w:r>
          </w:p>
        </w:tc>
      </w:tr>
      <w:tr>
        <w:trPr>
          <w:trHeight w:val="197"/>
        </w:trPr>
        <w:tc>
          <w:tcPr>
            <w:tcW w:w="2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Retail and consumer</w:t>
            </w:r>
          </w:p>
        </w:tc>
        <w:tc>
          <w:tcPr>
            <w:tcW w:w="244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CFF0FC"/>
            </w:tcBorders>
            <w:shd w:val="clear" w:color="auto" w:fill="CFF0FC"/>
          </w:tcPr>
          <w:p>
            <w:pPr>
              <w:spacing w:after="0"/>
              <w:rPr>
                <w:sz w:val="17"/>
                <w:szCs w:val="17"/>
                <w:color w:val="auto"/>
              </w:rPr>
            </w:pPr>
          </w:p>
        </w:tc>
        <w:tc>
          <w:tcPr>
            <w:tcW w:w="138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r>
      <w:tr>
        <w:trPr>
          <w:trHeight w:val="218"/>
        </w:trPr>
        <w:tc>
          <w:tcPr>
            <w:tcW w:w="2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products</w:t>
            </w:r>
          </w:p>
        </w:tc>
        <w:tc>
          <w:tcPr>
            <w:tcW w:w="2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310"/>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99 Cents Only Stores LLC </w:t>
            </w:r>
            <w:r>
              <w:rPr>
                <w:rFonts w:ascii="Times New Roman" w:cs="Times New Roman" w:eastAsia="Times New Roman" w:hAnsi="Times New Roman"/>
                <w:sz w:val="27"/>
                <w:szCs w:val="27"/>
                <w:color w:val="auto"/>
                <w:vertAlign w:val="superscript"/>
              </w:rPr>
              <w:t>(3)</w:t>
            </w: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ABL FILO term loan ($25,000</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par, due 4/2021)</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9/6/2017</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 + 7.75%</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9.26%</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24,875</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7"/>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American Achievement</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First-lien loan ($23,161 par, due</w:t>
            </w:r>
          </w:p>
        </w:tc>
        <w:tc>
          <w:tcPr>
            <w:tcW w:w="10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600" w:type="dxa"/>
            <w:vAlign w:val="bottom"/>
            <w:shd w:val="clear" w:color="auto" w:fill="CFF0FC"/>
          </w:tcPr>
          <w:p>
            <w:pPr>
              <w:ind w:left="120"/>
              <w:spacing w:after="0" w:line="217" w:lineRule="exact"/>
              <w:rPr>
                <w:sz w:val="20"/>
                <w:szCs w:val="20"/>
                <w:color w:val="auto"/>
              </w:rPr>
            </w:pPr>
            <w:r>
              <w:rPr>
                <w:rFonts w:ascii="Times New Roman" w:cs="Times New Roman" w:eastAsia="Times New Roman" w:hAnsi="Times New Roman"/>
                <w:sz w:val="15"/>
                <w:szCs w:val="15"/>
                <w:color w:val="auto"/>
              </w:rPr>
              <w:t xml:space="preserve">Corporation </w:t>
            </w:r>
            <w:r>
              <w:rPr>
                <w:rFonts w:ascii="Times New Roman" w:cs="Times New Roman" w:eastAsia="Times New Roman" w:hAnsi="Times New Roman"/>
                <w:sz w:val="25"/>
                <w:szCs w:val="25"/>
                <w:color w:val="auto"/>
                <w:vertAlign w:val="superscript"/>
              </w:rPr>
              <w:t>(3)(5)</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9/2020)</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9/30/2015</w:t>
            </w:r>
          </w:p>
        </w:tc>
        <w:tc>
          <w:tcPr>
            <w:tcW w:w="1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 + 8.25%</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9.62%</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22,964</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23,219</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1"/>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Destination Maternity</w:t>
            </w: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ABL FILO term loan ($15,420</w:t>
            </w: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600" w:type="dxa"/>
            <w:vAlign w:val="bottom"/>
          </w:tcPr>
          <w:p>
            <w:pPr>
              <w:ind w:left="120"/>
              <w:spacing w:after="0" w:line="217" w:lineRule="exact"/>
              <w:rPr>
                <w:sz w:val="20"/>
                <w:szCs w:val="20"/>
                <w:color w:val="auto"/>
              </w:rPr>
            </w:pPr>
            <w:r>
              <w:rPr>
                <w:rFonts w:ascii="Times New Roman" w:cs="Times New Roman" w:eastAsia="Times New Roman" w:hAnsi="Times New Roman"/>
                <w:sz w:val="15"/>
                <w:szCs w:val="15"/>
                <w:color w:val="auto"/>
              </w:rPr>
              <w:t xml:space="preserve">Corporation </w:t>
            </w:r>
            <w:r>
              <w:rPr>
                <w:rFonts w:ascii="Times New Roman" w:cs="Times New Roman" w:eastAsia="Times New Roman" w:hAnsi="Times New Roman"/>
                <w:sz w:val="25"/>
                <w:szCs w:val="25"/>
                <w:color w:val="auto"/>
                <w:vertAlign w:val="superscript"/>
              </w:rPr>
              <w:t>(3)(5)</w:t>
            </w: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par, due 3/2021)</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3/25/2016</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 + 7.50%</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15,767</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2"/>
        </w:trPr>
        <w:tc>
          <w:tcPr>
            <w:tcW w:w="260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4"/>
                <w:szCs w:val="14"/>
                <w:color w:val="auto"/>
              </w:rPr>
              <w:t xml:space="preserve">Eddie Bauer LLC </w:t>
            </w:r>
            <w:r>
              <w:rPr>
                <w:rFonts w:ascii="Times New Roman" w:cs="Times New Roman" w:eastAsia="Times New Roman" w:hAnsi="Times New Roman"/>
                <w:sz w:val="23"/>
                <w:szCs w:val="23"/>
                <w:color w:val="auto"/>
                <w:vertAlign w:val="superscript"/>
              </w:rPr>
              <w:t>(3)</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ABL FILO term loan ($29,250</w:t>
            </w:r>
          </w:p>
        </w:tc>
        <w:tc>
          <w:tcPr>
            <w:tcW w:w="10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18"/>
                <w:szCs w:val="18"/>
                <w:color w:val="auto"/>
              </w:rPr>
            </w:pP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par, due 6/2019)</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3/31/2017</w:t>
            </w:r>
          </w:p>
        </w:tc>
        <w:tc>
          <w:tcPr>
            <w:tcW w:w="1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 + 9.25%</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28,847</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29,396</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2"/>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Sears </w:t>
            </w:r>
            <w:r>
              <w:rPr>
                <w:rFonts w:ascii="Times New Roman" w:cs="Times New Roman" w:eastAsia="Times New Roman" w:hAnsi="Times New Roman"/>
                <w:sz w:val="13"/>
                <w:szCs w:val="13"/>
                <w:color w:val="auto"/>
              </w:rPr>
              <w:t>(3)(4)(10)</w:t>
            </w: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First-lien ABL loan ($17,296 par,</w:t>
            </w: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due 7/2020)</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3/18/2016</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 + 7.50%</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17,383</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108,592</w:t>
            </w:r>
          </w:p>
        </w:tc>
        <w:tc>
          <w:tcPr>
            <w:tcW w:w="22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110,640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2"/>
        </w:trPr>
        <w:tc>
          <w:tcPr>
            <w:tcW w:w="2600" w:type="dxa"/>
            <w:vAlign w:val="bottom"/>
            <w:tcBorders>
              <w:bottom w:val="single" w:sz="8" w:color="CFF0FC"/>
            </w:tcBorders>
          </w:tcPr>
          <w:p>
            <w:pPr>
              <w:spacing w:after="0"/>
              <w:rPr>
                <w:sz w:val="18"/>
                <w:szCs w:val="18"/>
                <w:color w:val="auto"/>
              </w:rPr>
            </w:pPr>
          </w:p>
        </w:tc>
        <w:tc>
          <w:tcPr>
            <w:tcW w:w="240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2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1,624,237</w:t>
            </w:r>
          </w:p>
        </w:tc>
        <w:tc>
          <w:tcPr>
            <w:tcW w:w="22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1,642,255</w:t>
            </w: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and Other Investments</w:t>
            </w:r>
          </w:p>
        </w:tc>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Beverage, food and tobacco</w:t>
            </w:r>
          </w:p>
        </w:tc>
        <w:tc>
          <w:tcPr>
            <w:tcW w:w="2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AFS Technologies, Inc. </w:t>
            </w:r>
            <w:r>
              <w:rPr>
                <w:rFonts w:ascii="Times New Roman" w:cs="Times New Roman" w:eastAsia="Times New Roman" w:hAnsi="Times New Roman"/>
                <w:sz w:val="23"/>
                <w:szCs w:val="23"/>
                <w:color w:val="auto"/>
                <w:vertAlign w:val="superscript"/>
              </w:rPr>
              <w:t>(6)(12)(13)</w:t>
            </w: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Class A Preferred Units (125,000</w:t>
            </w: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units)</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6/30/2017</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14,031</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5"/>
        </w:trPr>
        <w:tc>
          <w:tcPr>
            <w:tcW w:w="2600" w:type="dxa"/>
            <w:vAlign w:val="bottom"/>
            <w:shd w:val="clear" w:color="auto" w:fill="CFF0FC"/>
          </w:tcPr>
          <w:p>
            <w:pPr>
              <w:spacing w:after="0"/>
              <w:rPr>
                <w:sz w:val="17"/>
                <w:szCs w:val="17"/>
                <w:color w:val="auto"/>
              </w:rPr>
            </w:pP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Class B Common Units (90,000</w:t>
            </w:r>
          </w:p>
        </w:tc>
        <w:tc>
          <w:tcPr>
            <w:tcW w:w="10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18"/>
                <w:szCs w:val="18"/>
                <w:color w:val="auto"/>
              </w:rPr>
            </w:pP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units)</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6/30/2017</w:t>
            </w:r>
          </w:p>
        </w:tc>
        <w:tc>
          <w:tcPr>
            <w:tcW w:w="1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6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12,502</w:t>
            </w:r>
          </w:p>
        </w:tc>
        <w:tc>
          <w:tcPr>
            <w:tcW w:w="22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18,246</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2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Chemicals</w:t>
            </w:r>
          </w:p>
        </w:tc>
        <w:tc>
          <w:tcPr>
            <w:tcW w:w="24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Vertellus Specialties, Inc. </w:t>
            </w:r>
            <w:r>
              <w:rPr>
                <w:rFonts w:ascii="Times New Roman" w:cs="Times New Roman" w:eastAsia="Times New Roman" w:hAnsi="Times New Roman"/>
                <w:sz w:val="25"/>
                <w:szCs w:val="25"/>
                <w:color w:val="auto"/>
                <w:vertAlign w:val="superscript"/>
              </w:rPr>
              <w:t>(12)</w:t>
            </w: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Units (2,672,990 units)</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10/31/2016</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3,780</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Financial services</w:t>
            </w:r>
          </w:p>
        </w:tc>
        <w:tc>
          <w:tcPr>
            <w:tcW w:w="2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AvidXchange, Inc. </w:t>
            </w:r>
            <w:r>
              <w:rPr>
                <w:rFonts w:ascii="Times New Roman" w:cs="Times New Roman" w:eastAsia="Times New Roman" w:hAnsi="Times New Roman"/>
                <w:sz w:val="23"/>
                <w:szCs w:val="23"/>
                <w:color w:val="auto"/>
                <w:vertAlign w:val="superscript"/>
              </w:rPr>
              <w:t>(12)</w:t>
            </w: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Series E Preferred Equity</w:t>
            </w: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(214,132 shares)</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8/7/2015</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7,481</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22"/>
        </w:trPr>
        <w:tc>
          <w:tcPr>
            <w:tcW w:w="2600" w:type="dxa"/>
            <w:vAlign w:val="bottom"/>
            <w:shd w:val="clear" w:color="auto" w:fill="CFF0FC"/>
          </w:tcPr>
          <w:p>
            <w:pPr>
              <w:spacing w:after="0" w:line="222" w:lineRule="exact"/>
              <w:rPr>
                <w:sz w:val="20"/>
                <w:szCs w:val="20"/>
                <w:color w:val="auto"/>
              </w:rPr>
            </w:pPr>
            <w:r>
              <w:rPr>
                <w:rFonts w:ascii="Times New Roman" w:cs="Times New Roman" w:eastAsia="Times New Roman" w:hAnsi="Times New Roman"/>
                <w:sz w:val="15"/>
                <w:szCs w:val="15"/>
                <w:color w:val="auto"/>
              </w:rPr>
              <w:t xml:space="preserve">Swift Gift Limited </w:t>
            </w:r>
            <w:r>
              <w:rPr>
                <w:rFonts w:ascii="Times New Roman" w:cs="Times New Roman" w:eastAsia="Times New Roman" w:hAnsi="Times New Roman"/>
                <w:sz w:val="25"/>
                <w:szCs w:val="25"/>
                <w:color w:val="auto"/>
                <w:vertAlign w:val="superscript"/>
              </w:rPr>
              <w:t>(12)(13)</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Common Shares (35,000 shares)</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7/31/2017</w:t>
            </w:r>
          </w:p>
        </w:tc>
        <w:tc>
          <w:tcPr>
            <w:tcW w:w="1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5,066</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6"/>
        </w:trPr>
        <w:tc>
          <w:tcPr>
            <w:tcW w:w="260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TICC Capital Corp. </w:t>
            </w:r>
            <w:r>
              <w:rPr>
                <w:rFonts w:ascii="Times New Roman" w:cs="Times New Roman" w:eastAsia="Times New Roman" w:hAnsi="Times New Roman"/>
                <w:sz w:val="25"/>
                <w:szCs w:val="25"/>
                <w:color w:val="auto"/>
                <w:vertAlign w:val="superscript"/>
              </w:rPr>
              <w:t>(4)(11)</w:t>
            </w: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Shares (1,059 shares)</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8/5/2015</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2"/>
        </w:trPr>
        <w:tc>
          <w:tcPr>
            <w:tcW w:w="260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4"/>
                <w:szCs w:val="14"/>
                <w:color w:val="auto"/>
              </w:rPr>
              <w:t xml:space="preserve">Triangle Capital Corp. </w:t>
            </w:r>
            <w:r>
              <w:rPr>
                <w:rFonts w:ascii="Times New Roman" w:cs="Times New Roman" w:eastAsia="Times New Roman" w:hAnsi="Times New Roman"/>
                <w:sz w:val="23"/>
                <w:szCs w:val="23"/>
                <w:color w:val="auto"/>
                <w:vertAlign w:val="superscript"/>
              </w:rPr>
              <w:t>(4)(11)</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Common Shares (1,384,570</w:t>
            </w:r>
          </w:p>
        </w:tc>
        <w:tc>
          <w:tcPr>
            <w:tcW w:w="10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18"/>
                <w:szCs w:val="18"/>
                <w:color w:val="auto"/>
              </w:rPr>
            </w:pP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shares)</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11/3/2017</w:t>
            </w:r>
          </w:p>
        </w:tc>
        <w:tc>
          <w:tcPr>
            <w:tcW w:w="1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13,428</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13,140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6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20,781</w:t>
            </w:r>
          </w:p>
        </w:tc>
        <w:tc>
          <w:tcPr>
            <w:tcW w:w="22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25,693</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2"/>
        </w:trPr>
        <w:tc>
          <w:tcPr>
            <w:tcW w:w="2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24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Helix Health, Ltd. </w:t>
            </w:r>
            <w:r>
              <w:rPr>
                <w:rFonts w:ascii="Times New Roman" w:cs="Times New Roman" w:eastAsia="Times New Roman" w:hAnsi="Times New Roman"/>
                <w:sz w:val="23"/>
                <w:szCs w:val="23"/>
                <w:color w:val="auto"/>
                <w:vertAlign w:val="superscript"/>
              </w:rPr>
              <w:t>(4)(12)</w:t>
            </w: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Warrants</w:t>
            </w: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9/30/2014</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26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(EUR 1,112)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8"/>
        </w:trPr>
        <w:tc>
          <w:tcPr>
            <w:tcW w:w="260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SRS Parent Corp. </w:t>
            </w:r>
            <w:r>
              <w:rPr>
                <w:rFonts w:ascii="Times New Roman" w:cs="Times New Roman" w:eastAsia="Times New Roman" w:hAnsi="Times New Roman"/>
                <w:sz w:val="24"/>
                <w:szCs w:val="24"/>
                <w:color w:val="auto"/>
                <w:vertAlign w:val="superscript"/>
              </w:rPr>
              <w:t>(12)</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Common Shares Class A</w:t>
            </w:r>
          </w:p>
        </w:tc>
        <w:tc>
          <w:tcPr>
            <w:tcW w:w="10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18"/>
                <w:szCs w:val="18"/>
                <w:color w:val="auto"/>
              </w:rPr>
            </w:pP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(1,980 shares)</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12/28/2012</w:t>
            </w:r>
          </w:p>
        </w:tc>
        <w:tc>
          <w:tcPr>
            <w:tcW w:w="1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2"/>
        </w:trPr>
        <w:tc>
          <w:tcPr>
            <w:tcW w:w="2600" w:type="dxa"/>
            <w:vAlign w:val="bottom"/>
          </w:tcPr>
          <w:p>
            <w:pPr>
              <w:spacing w:after="0"/>
              <w:rPr>
                <w:sz w:val="17"/>
                <w:szCs w:val="17"/>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Shares Class B</w:t>
            </w: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(2,953,020 shares)</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12/28/2012</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60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22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4"/>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Hotel, gaming, and leisure</w:t>
            </w:r>
          </w:p>
        </w:tc>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600" w:type="dxa"/>
            <w:vAlign w:val="bottom"/>
            <w:shd w:val="clear" w:color="auto" w:fill="CFF0FC"/>
          </w:tcPr>
          <w:p>
            <w:pPr>
              <w:spacing w:after="0" w:line="222" w:lineRule="exact"/>
              <w:rPr>
                <w:sz w:val="20"/>
                <w:szCs w:val="20"/>
                <w:color w:val="auto"/>
              </w:rPr>
            </w:pPr>
            <w:r>
              <w:rPr>
                <w:rFonts w:ascii="Times New Roman" w:cs="Times New Roman" w:eastAsia="Times New Roman" w:hAnsi="Times New Roman"/>
                <w:sz w:val="15"/>
                <w:szCs w:val="15"/>
                <w:color w:val="auto"/>
              </w:rPr>
              <w:t xml:space="preserve">IRGSE Holding Corp. </w:t>
            </w:r>
            <w:r>
              <w:rPr>
                <w:rFonts w:ascii="Times New Roman" w:cs="Times New Roman" w:eastAsia="Times New Roman" w:hAnsi="Times New Roman"/>
                <w:sz w:val="25"/>
                <w:szCs w:val="25"/>
                <w:color w:val="auto"/>
                <w:vertAlign w:val="superscript"/>
              </w:rPr>
              <w:t>(6)(12)</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Class A Units (5,000,000 units)</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9/29/2015</w:t>
            </w:r>
          </w:p>
        </w:tc>
        <w:tc>
          <w:tcPr>
            <w:tcW w:w="1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Class C-1 Units (8,800,000 units)</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9/29/2015</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60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3,996</w:t>
            </w:r>
          </w:p>
        </w:tc>
        <w:tc>
          <w:tcPr>
            <w:tcW w:w="22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4"/>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60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Riskonnect, Inc. </w:t>
            </w:r>
            <w:r>
              <w:rPr>
                <w:rFonts w:ascii="Times New Roman" w:cs="Times New Roman" w:eastAsia="Times New Roman" w:hAnsi="Times New Roman"/>
                <w:sz w:val="24"/>
                <w:szCs w:val="24"/>
                <w:color w:val="auto"/>
                <w:vertAlign w:val="superscript"/>
              </w:rPr>
              <w:t>(12)(13)</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Preferred Class A Units (990</w:t>
            </w:r>
          </w:p>
        </w:tc>
        <w:tc>
          <w:tcPr>
            <w:tcW w:w="10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18"/>
                <w:szCs w:val="18"/>
                <w:color w:val="auto"/>
              </w:rPr>
            </w:pP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units)</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6/30/2017</w:t>
            </w:r>
          </w:p>
        </w:tc>
        <w:tc>
          <w:tcPr>
            <w:tcW w:w="1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2"/>
        </w:trPr>
        <w:tc>
          <w:tcPr>
            <w:tcW w:w="2600" w:type="dxa"/>
            <w:vAlign w:val="bottom"/>
          </w:tcPr>
          <w:p>
            <w:pPr>
              <w:spacing w:after="0"/>
              <w:rPr>
                <w:sz w:val="17"/>
                <w:szCs w:val="17"/>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Class B Units (959,018</w:t>
            </w: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units)</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6/30/2017</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60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4"/>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Oil, gas and consumable fuels</w:t>
            </w:r>
          </w:p>
        </w:tc>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60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5"/>
                <w:szCs w:val="15"/>
                <w:color w:val="auto"/>
              </w:rPr>
              <w:t xml:space="preserve">Mississippi Resources, LLC </w:t>
            </w:r>
            <w:r>
              <w:rPr>
                <w:rFonts w:ascii="Times New Roman" w:cs="Times New Roman" w:eastAsia="Times New Roman" w:hAnsi="Times New Roman"/>
                <w:sz w:val="24"/>
                <w:szCs w:val="24"/>
                <w:color w:val="auto"/>
                <w:vertAlign w:val="superscript"/>
              </w:rPr>
              <w:t>(6)(12)(13)</w:t>
            </w: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Class A-1 Member Units (1,000</w:t>
            </w:r>
          </w:p>
        </w:tc>
        <w:tc>
          <w:tcPr>
            <w:tcW w:w="10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18"/>
                <w:szCs w:val="18"/>
                <w:color w:val="auto"/>
              </w:rPr>
            </w:pPr>
          </w:p>
        </w:tc>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units)</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5/3/2017</w:t>
            </w:r>
          </w:p>
        </w:tc>
        <w:tc>
          <w:tcPr>
            <w:tcW w:w="1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2"/>
        </w:trPr>
        <w:tc>
          <w:tcPr>
            <w:tcW w:w="2600" w:type="dxa"/>
            <w:vAlign w:val="bottom"/>
          </w:tcPr>
          <w:p>
            <w:pPr>
              <w:spacing w:after="0"/>
              <w:rPr>
                <w:sz w:val="17"/>
                <w:szCs w:val="17"/>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Class A-2 Member Units (933</w:t>
            </w: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units)</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6/4/2014</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8,874</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60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17,029</w:t>
            </w:r>
          </w:p>
        </w:tc>
        <w:tc>
          <w:tcPr>
            <w:tcW w:w="22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94"/>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 and Other</w:t>
            </w:r>
          </w:p>
        </w:tc>
        <w:tc>
          <w:tcPr>
            <w:tcW w:w="2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51,468</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1"/>
        </w:trPr>
        <w:tc>
          <w:tcPr>
            <w:tcW w:w="2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240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CFF0FC"/>
              <w:bottom w:val="single" w:sz="8" w:color="CFF0FC"/>
            </w:tcBorders>
            <w:shd w:val="clear" w:color="auto" w:fill="CFF0FC"/>
          </w:tcPr>
          <w:p>
            <w:pPr>
              <w:spacing w:after="0"/>
              <w:rPr>
                <w:sz w:val="18"/>
                <w:szCs w:val="18"/>
                <w:color w:val="auto"/>
              </w:rPr>
            </w:pPr>
          </w:p>
        </w:tc>
        <w:tc>
          <w:tcPr>
            <w:tcW w:w="134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CFF0FC"/>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$ 1,686,250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$ 1,693,723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174.6</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20" w:type="dxa"/>
            <w:vAlign w:val="bottom"/>
            <w:gridSpan w:val="9"/>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Interest Rate Swaps as of December 31, 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8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Pr>
          <w:p>
            <w:pPr>
              <w:spacing w:after="0"/>
              <w:rPr>
                <w:sz w:val="11"/>
                <w:szCs w:val="11"/>
                <w:color w:val="auto"/>
              </w:rPr>
            </w:pPr>
          </w:p>
        </w:tc>
        <w:tc>
          <w:tcPr>
            <w:tcW w:w="7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w w:val="99"/>
              </w:rPr>
              <w:t>Upfront</w:t>
            </w:r>
          </w:p>
        </w:tc>
        <w:tc>
          <w:tcPr>
            <w:tcW w:w="20" w:type="dxa"/>
            <w:vAlign w:val="bottom"/>
          </w:tcPr>
          <w:p>
            <w:pPr>
              <w:spacing w:after="0"/>
              <w:rPr>
                <w:sz w:val="11"/>
                <w:szCs w:val="11"/>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 in Unrealized</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Company Receives</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Pays</w:t>
            </w:r>
          </w:p>
        </w:tc>
        <w:tc>
          <w:tcPr>
            <w:tcW w:w="260" w:type="dxa"/>
            <w:vAlign w:val="bottom"/>
          </w:tcPr>
          <w:p>
            <w:pPr>
              <w:spacing w:after="0"/>
              <w:rPr>
                <w:sz w:val="12"/>
                <w:szCs w:val="12"/>
                <w:color w:val="auto"/>
              </w:rPr>
            </w:pPr>
          </w:p>
        </w:tc>
        <w:tc>
          <w:tcPr>
            <w:tcW w:w="1380" w:type="dxa"/>
            <w:vAlign w:val="bottom"/>
            <w:gridSpan w:val="3"/>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2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Receipts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Gains / (Losses)</w:t>
            </w: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(b)</w:t>
            </w:r>
          </w:p>
        </w:tc>
        <w:tc>
          <w:tcPr>
            <w:tcW w:w="14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w:t>
            </w: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1.16%</w:t>
            </w: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10/5/2018</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(b)</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+ 2.86%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12/15/2019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(a)(b)</w:t>
            </w:r>
          </w:p>
        </w:tc>
        <w:tc>
          <w:tcPr>
            <w:tcW w:w="1700" w:type="dxa"/>
            <w:vAlign w:val="bottom"/>
            <w:gridSpan w:val="2"/>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rPr>
              <w:t>L</w:t>
            </w: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1.72%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1/10/2020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(b)</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+ 2.37%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collateral</w:t>
            </w: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355,833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40" w:hanging="519"/>
        <w:spacing w:after="0"/>
        <w:tabs>
          <w:tab w:leader="none" w:pos="10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terms are shown net of Company receiving 6.65% and paying 8.38%.</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three-month LIBOR.</w:t>
      </w:r>
    </w:p>
    <w:p>
      <w:pPr>
        <w:spacing w:after="0" w:line="11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27" w:lineRule="exact"/>
        <w:rPr>
          <w:rFonts w:ascii="Times New Roman" w:cs="Times New Roman" w:eastAsia="Times New Roman" w:hAnsi="Times New Roman"/>
          <w:sz w:val="18"/>
          <w:szCs w:val="18"/>
          <w:color w:val="auto"/>
        </w:rPr>
      </w:pPr>
    </w:p>
    <w:p>
      <w:pPr>
        <w:ind w:left="520" w:right="180" w:hanging="512"/>
        <w:spacing w:after="0" w:line="250"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520" w:right="20" w:hanging="512"/>
        <w:spacing w:after="0" w:line="250"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Offered Rate ( “EURIBOR” or “E”)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2017.</w:t>
      </w:r>
    </w:p>
    <w:p>
      <w:pPr>
        <w:spacing w:after="0" w:line="2" w:lineRule="exact"/>
        <w:rPr>
          <w:rFonts w:ascii="Times New Roman" w:cs="Times New Roman" w:eastAsia="Times New Roman" w:hAnsi="Times New Roman"/>
          <w:sz w:val="18"/>
          <w:szCs w:val="18"/>
          <w:color w:val="auto"/>
        </w:rPr>
      </w:pPr>
    </w:p>
    <w:p>
      <w:pPr>
        <w:ind w:left="520" w:right="120" w:hanging="512"/>
        <w:spacing w:after="0" w:line="250"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14.7% of total assets as of December 31, 2017.</w:t>
      </w:r>
    </w:p>
    <w:p>
      <w:pPr>
        <w:spacing w:after="0" w:line="1" w:lineRule="exact"/>
        <w:rPr>
          <w:rFonts w:ascii="Times New Roman" w:cs="Times New Roman" w:eastAsia="Times New Roman" w:hAnsi="Times New Roman"/>
          <w:sz w:val="18"/>
          <w:szCs w:val="18"/>
          <w:color w:val="auto"/>
        </w:rPr>
      </w:pPr>
    </w:p>
    <w:p>
      <w:pPr>
        <w:ind w:left="520" w:right="20" w:hanging="512"/>
        <w:spacing w:after="0" w:line="254"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77" w:lineRule="exact"/>
        <w:rPr>
          <w:rFonts w:ascii="Times New Roman" w:cs="Times New Roman" w:eastAsia="Times New Roman" w:hAnsi="Times New Roman"/>
          <w:sz w:val="18"/>
          <w:szCs w:val="18"/>
          <w:color w:val="auto"/>
        </w:rPr>
      </w:pPr>
    </w:p>
    <w:p>
      <w:pPr>
        <w:ind w:left="520" w:right="60" w:hanging="512"/>
        <w:spacing w:after="0" w:line="261"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2017 in which the issuer was an Affiliated Person of and was deemed to Control a portfolio company are as follows: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Affiliated Investments during the year ended December 31, 2017</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40" w:type="dxa"/>
            <w:vAlign w:val="bottom"/>
          </w:tcPr>
          <w:p>
            <w:pPr>
              <w:spacing w:after="0"/>
              <w:rPr>
                <w:sz w:val="12"/>
                <w:szCs w:val="12"/>
                <w:color w:val="auto"/>
              </w:rPr>
            </w:pPr>
          </w:p>
        </w:tc>
        <w:tc>
          <w:tcPr>
            <w:tcW w:w="7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0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40" w:type="dxa"/>
            <w:vAlign w:val="bottom"/>
          </w:tcPr>
          <w:p>
            <w:pPr>
              <w:spacing w:after="0"/>
              <w:rPr>
                <w:sz w:val="15"/>
                <w:szCs w:val="15"/>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Additions (a)</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80" w:type="dxa"/>
            <w:vAlign w:val="bottom"/>
          </w:tcPr>
          <w:p>
            <w:pPr>
              <w:spacing w:after="0"/>
              <w:rPr>
                <w:sz w:val="15"/>
                <w:szCs w:val="15"/>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8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Gain/(Losses)</w:t>
            </w:r>
          </w:p>
        </w:tc>
        <w:tc>
          <w:tcPr>
            <w:tcW w:w="140" w:type="dxa"/>
            <w:vAlign w:val="bottom"/>
          </w:tcPr>
          <w:p>
            <w:pPr>
              <w:spacing w:after="0"/>
              <w:rPr>
                <w:sz w:val="15"/>
                <w:szCs w:val="15"/>
                <w:color w:val="auto"/>
              </w:rPr>
            </w:pPr>
          </w:p>
        </w:tc>
        <w:tc>
          <w:tcPr>
            <w:tcW w:w="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AFS Technologies, Inc.</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72,122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75,780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IRGSE Holding Corp.</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Mississippi Resources, LLC</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33,885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(21,776)</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65,859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86,433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(21,776</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135,920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40" w:right="260" w:hanging="519"/>
        <w:spacing w:after="0" w:line="261" w:lineRule="auto"/>
        <w:tabs>
          <w:tab w:leader="none" w:pos="10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40" w:right="160" w:hanging="519"/>
        <w:spacing w:after="0" w:line="255" w:lineRule="auto"/>
        <w:tabs>
          <w:tab w:leader="none" w:pos="10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7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the tax cost of the Company’s investments approximates the amortized cost.</w:t>
      </w:r>
    </w:p>
    <w:p>
      <w:pPr>
        <w:spacing w:after="0" w:line="27" w:lineRule="exact"/>
        <w:rPr>
          <w:rFonts w:ascii="Times New Roman" w:cs="Times New Roman" w:eastAsia="Times New Roman" w:hAnsi="Times New Roman"/>
          <w:sz w:val="18"/>
          <w:szCs w:val="18"/>
          <w:color w:val="auto"/>
        </w:rPr>
      </w:pPr>
    </w:p>
    <w:p>
      <w:pPr>
        <w:ind w:left="520" w:right="100" w:hanging="512"/>
        <w:spacing w:after="0" w:line="250"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20" w:right="140" w:hanging="512"/>
        <w:spacing w:after="0" w:line="255"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Financial Accounting Standards Board Accounting Standards Codification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7" w:right="239" w:bottom="1440" w:gutter="0" w:footer="0" w:header="0"/>
        </w:sectPr>
      </w:pPr>
    </w:p>
    <w:bookmarkStart w:id="94" w:name="page95"/>
    <w:bookmarkEnd w:id="94"/>
    <w:p>
      <w:pPr>
        <w:ind w:left="512" w:hanging="512"/>
        <w:spacing w:after="0" w:line="261" w:lineRule="auto"/>
        <w:tabs>
          <w:tab w:leader="none" w:pos="51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ind w:left="512" w:hanging="512"/>
        <w:spacing w:after="0" w:line="250" w:lineRule="auto"/>
        <w:tabs>
          <w:tab w:leader="none" w:pos="51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1 investment. See Note 6 for further information related to investments at fair value.</w:t>
      </w:r>
    </w:p>
    <w:p>
      <w:pPr>
        <w:ind w:left="512" w:hanging="512"/>
        <w:spacing w:after="0"/>
        <w:tabs>
          <w:tab w:leader="none" w:pos="51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equity investment is non-income producing.</w:t>
      </w:r>
    </w:p>
    <w:p>
      <w:pPr>
        <w:spacing w:after="0" w:line="9" w:lineRule="exact"/>
        <w:rPr>
          <w:rFonts w:ascii="Times New Roman" w:cs="Times New Roman" w:eastAsia="Times New Roman" w:hAnsi="Times New Roman"/>
          <w:sz w:val="18"/>
          <w:szCs w:val="18"/>
          <w:color w:val="auto"/>
        </w:rPr>
      </w:pPr>
    </w:p>
    <w:p>
      <w:pPr>
        <w:ind w:left="512" w:right="60" w:hanging="512"/>
        <w:spacing w:after="0" w:line="261" w:lineRule="auto"/>
        <w:tabs>
          <w:tab w:leader="none" w:pos="51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acquired in transaction exempt from registration under the Securities Act of 1933, and may be deemed to be “restricted securities” under the Securities Act. As of December 31, 2017, the aggregate fair value of these securities is $24,475, or 2.5% of the Company’s net assets.</w:t>
      </w:r>
    </w:p>
    <w:p>
      <w:pPr>
        <w:spacing w:after="0" w:line="180"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12"/>
          </w:cols>
          <w:pgMar w:left="248" w:top="337"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5"/>
                <w:szCs w:val="15"/>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23"/>
        </w:trPr>
        <w:tc>
          <w:tcPr>
            <w:tcW w:w="5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Increase (Decrease) in Net Assets Resulting from Operations</w:t>
            </w:r>
          </w:p>
        </w:tc>
        <w:tc>
          <w:tcPr>
            <w:tcW w:w="6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143,889</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120,259</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(14,151)</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(10,721)</w:t>
            </w:r>
          </w:p>
        </w:tc>
        <w:tc>
          <w:tcPr>
            <w:tcW w:w="1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(13,945)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57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6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119,017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111,609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137,007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76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Increase (Decrease) in Net Assets Resulting from</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Capital Share Transactions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shares, net of offering and underwriting costs</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71,813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Reinvestment of dividends</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declared from distributable earnings</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(113,946)</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(105,051)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(92,794)</w:t>
            </w:r>
          </w:p>
        </w:tc>
        <w:tc>
          <w:tcPr>
            <w:tcW w:w="0" w:type="dxa"/>
            <w:vAlign w:val="bottom"/>
          </w:tcPr>
          <w:p>
            <w:pPr>
              <w:spacing w:after="0"/>
              <w:rPr>
                <w:sz w:val="1"/>
                <w:szCs w:val="1"/>
                <w:color w:val="auto"/>
              </w:rPr>
            </w:pPr>
          </w:p>
        </w:tc>
      </w:tr>
      <w:tr>
        <w:trPr>
          <w:trHeight w:val="201"/>
        </w:trPr>
        <w:tc>
          <w:tcPr>
            <w:tcW w:w="57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Increase (Decrease) in Net Assets Resulting from Capital Share</w:t>
            </w:r>
          </w:p>
        </w:tc>
        <w:tc>
          <w:tcPr>
            <w:tcW w:w="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(25,099)</w:t>
            </w:r>
          </w:p>
        </w:tc>
        <w:tc>
          <w:tcPr>
            <w:tcW w:w="10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(94,537)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(5,536)</w:t>
            </w:r>
          </w:p>
        </w:tc>
        <w:tc>
          <w:tcPr>
            <w:tcW w:w="0" w:type="dxa"/>
            <w:vAlign w:val="bottom"/>
          </w:tcPr>
          <w:p>
            <w:pPr>
              <w:spacing w:after="0"/>
              <w:rPr>
                <w:sz w:val="1"/>
                <w:szCs w:val="1"/>
                <w:color w:val="auto"/>
              </w:rPr>
            </w:pPr>
          </w:p>
        </w:tc>
      </w:tr>
      <w:tr>
        <w:trPr>
          <w:trHeight w:val="223"/>
        </w:trPr>
        <w:tc>
          <w:tcPr>
            <w:tcW w:w="57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Increase in Net Assets</w:t>
            </w:r>
          </w:p>
        </w:tc>
        <w:tc>
          <w:tcPr>
            <w:tcW w:w="6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93,918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131,471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assets, beginning of period</w:t>
            </w:r>
          </w:p>
        </w:tc>
        <w:tc>
          <w:tcPr>
            <w:tcW w:w="6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969,284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952,212</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820,741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Net Assets, End of Period</w:t>
            </w:r>
          </w:p>
        </w:tc>
        <w:tc>
          <w:tcPr>
            <w:tcW w:w="6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1,063,202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969,284</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952,212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71,987</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63,519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6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119,017</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111,609</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increase in net assets resulting from operations</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net cash provided by (used) in operating activities:</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unrealized (gains) losses on investments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(33,682)</w:t>
            </w:r>
          </w:p>
        </w:tc>
        <w:tc>
          <w:tcPr>
            <w:tcW w:w="0" w:type="dxa"/>
            <w:vAlign w:val="bottom"/>
          </w:tcPr>
          <w:p>
            <w:pPr>
              <w:spacing w:after="0"/>
              <w:rPr>
                <w:sz w:val="1"/>
                <w:szCs w:val="1"/>
                <w:color w:val="auto"/>
              </w:rPr>
            </w:pPr>
          </w:p>
        </w:tc>
      </w:tr>
      <w:tr>
        <w:trPr>
          <w:trHeight w:val="211"/>
        </w:trPr>
        <w:tc>
          <w:tcPr>
            <w:tcW w:w="6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change in unrealized (gains) losses on foreign currency</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transactions</w:t>
            </w: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(5,455)</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unrealized losses on interest rate swaps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realized losses on investments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realized gains on foreign currency transactions</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amortization of discount on investments</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(23,315)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(29,606)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(15,624)</w:t>
            </w: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discount on debt</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Purchases and originations of investments, net</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(838,206)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(1,027,978)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(720,728)</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Proceeds from investments, net</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Repayments on investments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922,473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Paid-in-kind interest</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(6,251)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(6,206)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(8,920)</w:t>
            </w: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receivable</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(1,763)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receivable paid-in-kind</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(10,660)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Payable to affiliate</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(4,734)</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119,193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Borrowings on debt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on debt</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(1,178,959)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(1,171,592)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(533,772)</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(2,892)</w:t>
            </w:r>
          </w:p>
        </w:tc>
        <w:tc>
          <w:tcPr>
            <w:tcW w:w="0" w:type="dxa"/>
            <w:vAlign w:val="bottom"/>
          </w:tcPr>
          <w:p>
            <w:pPr>
              <w:spacing w:after="0"/>
              <w:rPr>
                <w:sz w:val="1"/>
                <w:szCs w:val="1"/>
                <w:color w:val="auto"/>
              </w:rPr>
            </w:pPr>
          </w:p>
        </w:tc>
      </w:tr>
      <w:tr>
        <w:trPr>
          <w:trHeight w:val="211"/>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offering and</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underwriting costs</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71,813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78,250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(95,909)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(94,695)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(80,291)</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(115,283)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(81,677)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34,370</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21,148</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Excise taxes paid during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Dividends declared during the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113,946</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105,051</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Reinvestment of dividends during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16,024</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89" w:lineRule="exact"/>
        <w:rPr>
          <w:sz w:val="20"/>
          <w:szCs w:val="20"/>
          <w:color w:val="auto"/>
        </w:rPr>
      </w:pPr>
    </w:p>
    <w:p>
      <w:pPr>
        <w:ind w:right="40" w:firstLine="259"/>
        <w:spacing w:after="0" w:line="282" w:lineRule="auto"/>
        <w:rPr>
          <w:sz w:val="20"/>
          <w:szCs w:val="20"/>
          <w:color w:val="auto"/>
        </w:rPr>
      </w:pPr>
      <w:r>
        <w:rPr>
          <w:rFonts w:ascii="Times New Roman" w:cs="Times New Roman" w:eastAsia="Times New Roman" w:hAnsi="Times New Roman"/>
          <w:sz w:val="18"/>
          <w:szCs w:val="18"/>
          <w:color w:val="auto"/>
        </w:rPr>
        <w:t>On March 21, 2014, the Company completed its initial public offering (“IPO”) and the Company’s shares began trading on the New York Stock Exchange (“NYSE”) under the symbol “TSLX.”</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160" w:firstLine="25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All intercompany balances and transactions have been eliminated in consolidation.</w:t>
      </w:r>
    </w:p>
    <w:p>
      <w:pPr>
        <w:spacing w:after="0" w:line="180" w:lineRule="exact"/>
        <w:rPr>
          <w:sz w:val="20"/>
          <w:szCs w:val="20"/>
          <w:color w:val="auto"/>
        </w:rPr>
      </w:pPr>
    </w:p>
    <w:p>
      <w:pPr>
        <w:ind w:right="140" w:firstLine="259"/>
        <w:spacing w:after="0" w:line="282" w:lineRule="auto"/>
        <w:rPr>
          <w:sz w:val="20"/>
          <w:szCs w:val="20"/>
          <w:color w:val="auto"/>
        </w:rPr>
      </w:pPr>
      <w:r>
        <w:rPr>
          <w:rFonts w:ascii="Times New Roman" w:cs="Times New Roman" w:eastAsia="Times New Roman" w:hAnsi="Times New Roman"/>
          <w:sz w:val="18"/>
          <w:szCs w:val="18"/>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8"/>
          <w:szCs w:val="18"/>
          <w:i w:val="1"/>
          <w:iCs w:val="1"/>
          <w:color w:val="auto"/>
        </w:rPr>
        <w:t>Financial Services – Investment Companies.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right="200" w:firstLine="25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100" w:firstLine="259"/>
        <w:spacing w:after="0" w:line="261" w:lineRule="auto"/>
        <w:rPr>
          <w:sz w:val="20"/>
          <w:szCs w:val="20"/>
          <w:color w:val="auto"/>
        </w:rPr>
      </w:pPr>
      <w:r>
        <w:rPr>
          <w:rFonts w:ascii="Times New Roman" w:cs="Times New Roman" w:eastAsia="Times New Roman" w:hAnsi="Times New Roman"/>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19"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4"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8" w:name="page99"/>
    <w:bookmarkEnd w:id="98"/>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58"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40" w:hanging="255"/>
        <w:spacing w:after="0" w:line="282"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3" w:lineRule="exact"/>
        <w:rPr>
          <w:rFonts w:ascii="Times New Roman" w:cs="Times New Roman" w:eastAsia="Times New Roman" w:hAnsi="Times New Roman"/>
          <w:sz w:val="18"/>
          <w:szCs w:val="18"/>
          <w:color w:val="auto"/>
        </w:rPr>
      </w:pPr>
    </w:p>
    <w:p>
      <w:pPr>
        <w:ind w:left="520" w:right="560" w:hanging="255"/>
        <w:spacing w:after="0" w:line="282"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 upon valuation recommendations are presented to the Audit Committee.</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17" w:lineRule="exact"/>
        <w:rPr>
          <w:rFonts w:ascii="Times New Roman" w:cs="Times New Roman" w:eastAsia="Times New Roman" w:hAnsi="Times New Roman"/>
          <w:sz w:val="18"/>
          <w:szCs w:val="18"/>
          <w:color w:val="auto"/>
        </w:rPr>
      </w:pPr>
    </w:p>
    <w:p>
      <w:pPr>
        <w:ind w:left="520" w:right="60" w:hanging="255"/>
        <w:spacing w:after="0" w:line="266"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conducts this valuation process on a quarterly basis.</w:t>
      </w:r>
    </w:p>
    <w:p>
      <w:pPr>
        <w:spacing w:after="0" w:line="225"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The Board has engaged independent third-party valuation firms to perform certain limited procedures that the Board has identified and requested them to perform in connection with the valuation process. At December 31, 2018,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appeared reasonable.</w:t>
      </w:r>
    </w:p>
    <w:p>
      <w:pPr>
        <w:spacing w:after="0" w:line="178"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7" w:lineRule="exact"/>
        <w:rPr>
          <w:sz w:val="20"/>
          <w:szCs w:val="20"/>
          <w:color w:val="auto"/>
        </w:rPr>
      </w:pPr>
    </w:p>
    <w:p>
      <w:pPr>
        <w:ind w:left="520" w:hanging="255"/>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17" w:lineRule="exact"/>
        <w:rPr>
          <w:rFonts w:ascii="Times New Roman" w:cs="Times New Roman" w:eastAsia="Times New Roman" w:hAnsi="Times New Roman"/>
          <w:sz w:val="18"/>
          <w:szCs w:val="18"/>
          <w:color w:val="auto"/>
        </w:rPr>
      </w:pPr>
    </w:p>
    <w:p>
      <w:pPr>
        <w:ind w:left="520" w:right="740" w:hanging="255"/>
        <w:spacing w:after="0" w:line="282"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99" w:name="page100"/>
    <w:bookmarkEnd w:id="99"/>
    <w:p>
      <w:pPr>
        <w:ind w:right="260" w:firstLine="259"/>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8"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and Derivative Instruments</w:t>
      </w:r>
    </w:p>
    <w:p>
      <w:pPr>
        <w:spacing w:after="0" w:line="119" w:lineRule="exact"/>
        <w:rPr>
          <w:sz w:val="20"/>
          <w:szCs w:val="20"/>
          <w:color w:val="auto"/>
        </w:rPr>
      </w:pPr>
    </w:p>
    <w:p>
      <w:pPr>
        <w:ind w:firstLine="259"/>
        <w:spacing w:after="0" w:line="313" w:lineRule="auto"/>
        <w:rPr>
          <w:sz w:val="20"/>
          <w:szCs w:val="20"/>
          <w:color w:val="auto"/>
        </w:rPr>
      </w:pPr>
      <w:r>
        <w:rPr>
          <w:rFonts w:ascii="Times New Roman" w:cs="Times New Roman" w:eastAsia="Times New Roman" w:hAnsi="Times New Roman"/>
          <w:sz w:val="17"/>
          <w:szCs w:val="17"/>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38" w:lineRule="exact"/>
        <w:rPr>
          <w:sz w:val="20"/>
          <w:szCs w:val="20"/>
          <w:color w:val="auto"/>
        </w:rPr>
      </w:pPr>
    </w:p>
    <w:p>
      <w:pPr>
        <w:ind w:right="60" w:firstLine="259"/>
        <w:spacing w:after="0" w:line="277" w:lineRule="auto"/>
        <w:rPr>
          <w:sz w:val="20"/>
          <w:szCs w:val="20"/>
          <w:color w:val="auto"/>
        </w:rPr>
      </w:pPr>
      <w:r>
        <w:rPr>
          <w:rFonts w:ascii="Times New Roman" w:cs="Times New Roman" w:eastAsia="Times New Roman" w:hAnsi="Times New Roman"/>
          <w:sz w:val="17"/>
          <w:szCs w:val="17"/>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Derivatives, including the Company’s interest rate swaps, for which broker quotes are available are typically valued at those broker quotes.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Assets and Liabilities</w:t>
      </w:r>
    </w:p>
    <w:p>
      <w:pPr>
        <w:spacing w:after="0" w:line="119"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Foreign currency amounts are translated into U.S. dollars on the following basis:</w:t>
      </w:r>
    </w:p>
    <w:p>
      <w:pPr>
        <w:spacing w:after="0" w:line="117" w:lineRule="exact"/>
        <w:rPr>
          <w:sz w:val="20"/>
          <w:szCs w:val="20"/>
          <w:color w:val="auto"/>
        </w:rPr>
      </w:pPr>
    </w:p>
    <w:p>
      <w:pPr>
        <w:ind w:left="520" w:right="40" w:hanging="255"/>
        <w:spacing w:after="0" w:line="282"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53" w:lineRule="exact"/>
        <w:rPr>
          <w:rFonts w:ascii="Times New Roman" w:cs="Times New Roman" w:eastAsia="Times New Roman" w:hAnsi="Times New Roman"/>
          <w:sz w:val="18"/>
          <w:szCs w:val="18"/>
          <w:color w:val="auto"/>
        </w:rPr>
      </w:pPr>
    </w:p>
    <w:p>
      <w:pPr>
        <w:ind w:left="520" w:right="160" w:hanging="255"/>
        <w:spacing w:after="0" w:line="282"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investments, borrowings and repayments of such borrowings, income and expenses: at the rates of exchange prevailing on the respective dates of such transactions.</w:t>
      </w:r>
    </w:p>
    <w:p>
      <w:pPr>
        <w:spacing w:after="0" w:line="162" w:lineRule="exact"/>
        <w:rPr>
          <w:sz w:val="20"/>
          <w:szCs w:val="20"/>
          <w:color w:val="auto"/>
        </w:rPr>
      </w:pPr>
    </w:p>
    <w:p>
      <w:pPr>
        <w:ind w:right="140" w:firstLine="259"/>
        <w:spacing w:after="0" w:line="274" w:lineRule="auto"/>
        <w:rPr>
          <w:sz w:val="20"/>
          <w:szCs w:val="20"/>
          <w:color w:val="auto"/>
        </w:rPr>
      </w:pPr>
      <w:r>
        <w:rPr>
          <w:rFonts w:ascii="Times New Roman" w:cs="Times New Roman" w:eastAsia="Times New Roman" w:hAnsi="Times New Roman"/>
          <w:sz w:val="17"/>
          <w:szCs w:val="17"/>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74" w:lineRule="exact"/>
        <w:rPr>
          <w:sz w:val="20"/>
          <w:szCs w:val="20"/>
          <w:color w:val="auto"/>
        </w:rPr>
      </w:pPr>
    </w:p>
    <w:p>
      <w:pPr>
        <w:ind w:right="320" w:firstLine="259"/>
        <w:spacing w:after="0" w:line="282" w:lineRule="auto"/>
        <w:rPr>
          <w:sz w:val="20"/>
          <w:szCs w:val="20"/>
          <w:color w:val="auto"/>
        </w:rPr>
      </w:pPr>
      <w:r>
        <w:rPr>
          <w:rFonts w:ascii="Times New Roman" w:cs="Times New Roman" w:eastAsia="Times New Roman" w:hAnsi="Times New Roman"/>
          <w:sz w:val="18"/>
          <w:szCs w:val="18"/>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i w:val="1"/>
          <w:iCs w:val="1"/>
          <w:color w:val="auto"/>
        </w:rPr>
        <w:t>Equity Offering Expenses</w:t>
      </w:r>
    </w:p>
    <w:p>
      <w:pPr>
        <w:spacing w:after="0" w:line="119" w:lineRule="exact"/>
        <w:rPr>
          <w:sz w:val="20"/>
          <w:szCs w:val="20"/>
          <w:color w:val="auto"/>
        </w:rPr>
      </w:pPr>
    </w:p>
    <w:p>
      <w:pPr>
        <w:ind w:right="320" w:firstLine="259"/>
        <w:spacing w:after="0" w:line="282" w:lineRule="auto"/>
        <w:rPr>
          <w:sz w:val="20"/>
          <w:szCs w:val="20"/>
          <w:color w:val="auto"/>
        </w:rPr>
      </w:pPr>
      <w:r>
        <w:rPr>
          <w:rFonts w:ascii="Times New Roman" w:cs="Times New Roman" w:eastAsia="Times New Roman" w:hAnsi="Times New Roman"/>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obligation.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 Recognition</w:t>
      </w:r>
    </w:p>
    <w:p>
      <w:pPr>
        <w:spacing w:after="0" w:line="119" w:lineRule="exact"/>
        <w:rPr>
          <w:sz w:val="20"/>
          <w:szCs w:val="20"/>
          <w:color w:val="auto"/>
        </w:rPr>
      </w:pPr>
    </w:p>
    <w:p>
      <w:pPr>
        <w:ind w:right="180" w:firstLine="259"/>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6"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62" w:lineRule="exact"/>
        <w:rPr>
          <w:sz w:val="20"/>
          <w:szCs w:val="20"/>
          <w:color w:val="auto"/>
        </w:rPr>
      </w:pPr>
    </w:p>
    <w:p>
      <w:pPr>
        <w:ind w:right="100" w:firstLine="259"/>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8"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right="100" w:firstLine="25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of Transaction-Related Expenses</w:t>
      </w:r>
    </w:p>
    <w:p>
      <w:pPr>
        <w:spacing w:after="0" w:line="119"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0"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180" w:firstLine="259"/>
        <w:spacing w:after="0" w:line="258" w:lineRule="auto"/>
        <w:rPr>
          <w:sz w:val="20"/>
          <w:szCs w:val="20"/>
          <w:color w:val="auto"/>
        </w:rPr>
      </w:pPr>
      <w:r>
        <w:rPr>
          <w:rFonts w:ascii="Times New Roman" w:cs="Times New Roman" w:eastAsia="Times New Roman" w:hAnsi="Times New Roman"/>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659" w:right="359" w:bottom="1440" w:gutter="0" w:footer="0" w:header="0"/>
        </w:sectPr>
      </w:pPr>
    </w:p>
    <w:bookmarkStart w:id="101" w:name="page102"/>
    <w:bookmarkEnd w:id="101"/>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2018, the Company did not have any uncertain tax positions that met the recognition or measurement criteria, nor did the Company have any unrecognized tax benefits. Conclusions regarding tax positions are subject to review and may be adjusted at a later date based on factors including on-going analyses of tax laws, regulations and interpretations thereof. The Company’s 2017, 2016 and 2015 tax year returns remain subject to examination by the relevant federal, state, and local tax authorities.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to Common Stockholders</w:t>
      </w:r>
    </w:p>
    <w:p>
      <w:pPr>
        <w:spacing w:after="0" w:line="119" w:lineRule="exact"/>
        <w:rPr>
          <w:sz w:val="20"/>
          <w:szCs w:val="20"/>
          <w:color w:val="auto"/>
        </w:rPr>
      </w:pPr>
    </w:p>
    <w:p>
      <w:pPr>
        <w:ind w:right="60" w:firstLine="259"/>
        <w:spacing w:after="0" w:line="282" w:lineRule="auto"/>
        <w:rPr>
          <w:sz w:val="20"/>
          <w:szCs w:val="20"/>
          <w:color w:val="auto"/>
        </w:rPr>
      </w:pPr>
      <w:r>
        <w:rPr>
          <w:rFonts w:ascii="Times New Roman" w:cs="Times New Roman" w:eastAsia="Times New Roman" w:hAnsi="Times New Roman"/>
          <w:sz w:val="18"/>
          <w:szCs w:val="18"/>
          <w:color w:val="auto"/>
        </w:rPr>
        <w:t>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62"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and Regulatory Updates Adopted in 2018</w:t>
      </w:r>
    </w:p>
    <w:p>
      <w:pPr>
        <w:spacing w:after="0" w:line="119"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issued Accounting Standards Update 2014-09 (“ASU 2014-09”), “Revenue from Contracts with Customers (Topic 606).” The guidance in this ASU supersedes the revenue recognition requirements in Topic 605, Revenue Recognition. Under the new guidance, an entity should recognize revenue to depict the transfer of promised goods or services to customers in an amount that reflects the consideration to which the entity expects to be entitled in exchange for those goods or services. The amendments in ASU 2014-09 were effective for public companies for interim and annual periods in fiscal years beginning after December 15, 2017. The Company’s adoption of this guidance did not have a material impact on the Company’s financial position, results of operations, cash flows or notes to the consolidated financial statements.</w:t>
      </w:r>
    </w:p>
    <w:p>
      <w:pPr>
        <w:spacing w:after="0" w:line="188"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In August 2018, the Securities and Exchange Commission (the “SEC”) adopted the final rule under SEC Release No. 33-10532, Disclosure Update and Simplification amending certain disclosure requirements that were redundant, duplicative, overlapping, outdated or superseded. The amendments are intended to facilitate the disclosure of information to investors and simplify compliance. The SEC Release requires presentation changes to the Company's Consolidated Balance Sheets and Consolidated Statements of Changes in Net Assets. The final rule is effective for all filings on or after November 5, 2018. The Company has adopted the SEC guidance in the current annual period. In accordance with previous SEC rules, the Company had presented distributable earnings on the Consolidated Balance Sheet, as three components: 1) undistributed net investment income; 2) net unrealized gains (losses) on investments and</w:t>
      </w:r>
    </w:p>
    <w:p>
      <w:pPr>
        <w:ind w:right="60" w:firstLine="8"/>
        <w:spacing w:after="0" w:line="253" w:lineRule="auto"/>
        <w:tabs>
          <w:tab w:leader="none" w:pos="1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realized gains (losses) on investments and presented dividends from distributable earnings on the Consolidated Statements of Changes in Net Assets as two components: 1) dividends declared from net investment income; and 2) dividends declared from realized gains. In accordance with the SEC release, distributable earnings and dividends from distributable earnings are shown in total on the Consolidated Balance Sheets and Consolidated Statements of Changes in Net Assets, respectively. The changes in presentation have been retrospectively applied to the Consolidated Balance Sheets as of December 31, 2017 and to the Consolidated Statements of Changes in Net Assets for the years ended December 30, 2017 and 2016.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19" w:lineRule="exact"/>
        <w:rPr>
          <w:sz w:val="20"/>
          <w:szCs w:val="20"/>
          <w:color w:val="auto"/>
        </w:rPr>
      </w:pPr>
    </w:p>
    <w:p>
      <w:pPr>
        <w:ind w:right="80" w:firstLine="259"/>
        <w:spacing w:after="0" w:line="255" w:lineRule="auto"/>
        <w:rPr>
          <w:sz w:val="20"/>
          <w:szCs w:val="20"/>
          <w:color w:val="auto"/>
        </w:rPr>
      </w:pPr>
      <w:r>
        <w:rPr>
          <w:rFonts w:ascii="Times New Roman" w:cs="Times New Roman" w:eastAsia="Times New Roman" w:hAnsi="Times New Roman"/>
          <w:sz w:val="18"/>
          <w:szCs w:val="18"/>
          <w:color w:val="auto"/>
        </w:rPr>
        <w:t>In August 2017, the Financial Accounting Standards Board issued Accounting Standards Update 2017-12 (“ASU 2017-12”) “Derivatives and Hedging (Topic 815), Targeted Improvements to Accounting for Hedging Activities.” Among other things, the new guidance includes updates to the alignment of risk management activities and financial reporting, risk component hedging, accounting for the hedged item in fair value hedges of interest rate risk, recognition and presentation of the effects of hedging instruments, amounts excluded from the assessment of hedge effectiveness, and other simplifications of hedge accounting guidance. The amendments of ASU 2017-12 are effective for fiscal years beginning after December 15, 2018, and interim periods therein. Early adoption is permitted in any interim period and the effect of the adoption should be reflected as of the beginning of the fiscal year of adoption. The Company is evaluating whether we will elect to adopt this new guidance and the impact it will have on our financial position and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02" w:name="page103"/>
    <w:bookmarkEnd w:id="102"/>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In August 2018, the Financial Accounting Standards Board issued Accounting Standards Update 2018-13 (“ASU 2018-13”) “Fair Value Measurement (Topic 820): Disclosure Framework – Changes to the Disclosure Requirements for Fair Value Measurement.” This guidance modifies the disclosure requirements on fair value measurements in ASC Topic 820, by eliminating, amending, and adding certain disclosure requirements. ASU 2018-13 is effective for financial statements issued for fiscal years beginning after December 15, 2019, including interim periods within those fiscal years. Early adoption is permitted for any period for which financial statements have not yet been issued or have not yet been made available for issuance. The Company is currently evaluating the impact, if any, of adopting this ASU on our financial statements.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88" w:lineRule="exact"/>
        <w:rPr>
          <w:sz w:val="20"/>
          <w:szCs w:val="20"/>
          <w:color w:val="auto"/>
        </w:rPr>
      </w:pPr>
    </w:p>
    <w:p>
      <w:pPr>
        <w:ind w:right="380" w:firstLine="259"/>
        <w:spacing w:after="0" w:line="266" w:lineRule="auto"/>
        <w:rPr>
          <w:sz w:val="20"/>
          <w:szCs w:val="20"/>
          <w:color w:val="auto"/>
        </w:rPr>
      </w:pPr>
      <w:r>
        <w:rPr>
          <w:rFonts w:ascii="Times New Roman" w:cs="Times New Roman" w:eastAsia="Times New Roman" w:hAnsi="Times New Roman"/>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76" w:lineRule="exact"/>
        <w:rPr>
          <w:sz w:val="20"/>
          <w:szCs w:val="20"/>
          <w:color w:val="auto"/>
        </w:rPr>
      </w:pPr>
    </w:p>
    <w:p>
      <w:pPr>
        <w:jc w:val="both"/>
        <w:ind w:right="120" w:firstLine="259"/>
        <w:spacing w:after="0" w:line="266" w:lineRule="auto"/>
        <w:rPr>
          <w:sz w:val="20"/>
          <w:szCs w:val="20"/>
          <w:color w:val="auto"/>
        </w:rPr>
      </w:pPr>
      <w:r>
        <w:rPr>
          <w:rFonts w:ascii="Times New Roman" w:cs="Times New Roman" w:eastAsia="Times New Roman" w:hAnsi="Times New Roman"/>
          <w:sz w:val="18"/>
          <w:szCs w:val="18"/>
          <w:color w:val="auto"/>
        </w:rPr>
        <w:t>In November 2018, the Board renewed the Administration Agreement. Unless earlier terminated as described below, the Administration Agreement will remain in effect until November 2019,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right="140" w:firstLine="259"/>
        <w:spacing w:after="0" w:line="277" w:lineRule="auto"/>
        <w:rPr>
          <w:sz w:val="20"/>
          <w:szCs w:val="20"/>
          <w:color w:val="auto"/>
        </w:rPr>
      </w:pPr>
      <w:r>
        <w:rPr>
          <w:rFonts w:ascii="Times New Roman" w:cs="Times New Roman" w:eastAsia="Times New Roman" w:hAnsi="Times New Roman"/>
          <w:sz w:val="17"/>
          <w:szCs w:val="17"/>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168" w:lineRule="exact"/>
        <w:rPr>
          <w:sz w:val="20"/>
          <w:szCs w:val="20"/>
          <w:color w:val="auto"/>
        </w:rPr>
      </w:pPr>
    </w:p>
    <w:p>
      <w:pPr>
        <w:ind w:right="160" w:firstLine="25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2018, 2017 and 2016, the Company incurred expenses of $3.4 million, $3.5 million and $3.1 million, respectively, for administrative services payable to the Adviser under the terms of the Administration Agreement.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4"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76" w:lineRule="exact"/>
        <w:rPr>
          <w:sz w:val="20"/>
          <w:szCs w:val="20"/>
          <w:color w:val="auto"/>
        </w:rPr>
      </w:pPr>
    </w:p>
    <w:p>
      <w:pPr>
        <w:ind w:right="540" w:firstLine="25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2018, 2017 and 2016, Management Fees (gross of waivers) were $28.6 million, $24.3 million and $24.3 million, respectively, of which less than $0.1 million, less than $0.1 million and $0.1 million, respectively, were waived.</w:t>
      </w:r>
    </w:p>
    <w:p>
      <w:pPr>
        <w:spacing w:after="0" w:line="162"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For the period ended December 31, 2016, the Adviser voluntarily waived the Management Fee on the Company’s ownership of shares of common stock in TICC Capital Corp., now known as Oxford Square Capital Corp. (the “OXSQ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3" w:name="page104"/>
    <w:bookmarkEnd w:id="103"/>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In addition, the Adviser voluntarily waived the Management Fee on the Company’s ownership of shares of common stock in Triangle Capital Corp. (the “TCAP Shares”) for any period in which Triangle Capital Corp. remained a portfolio company. As of June 30, 2018 the Company had fully exited its position in the TCAP Shares.</w:t>
      </w:r>
    </w:p>
    <w:p>
      <w:pPr>
        <w:spacing w:after="0" w:line="176" w:lineRule="exact"/>
        <w:rPr>
          <w:sz w:val="20"/>
          <w:szCs w:val="20"/>
          <w:color w:val="auto"/>
        </w:rPr>
      </w:pPr>
    </w:p>
    <w:p>
      <w:pPr>
        <w:ind w:right="520" w:firstLine="259"/>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2018 and 2017, Management Fees of less than $0.1 million were waived consisting solely of Management Fees attributable to the Company’s ownership of the TCAP Shares. For the year ended December 31, 2016, Management Fees of $0.1 million were waived consisting solely of Management Fees attributable to the Company’s ownership of the OXSQ Shares. Any waived Management Fees are not subject to recoupment by the Adviser.</w:t>
      </w:r>
    </w:p>
    <w:p>
      <w:pPr>
        <w:spacing w:after="0" w:line="180"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As of December 31, 2018, no Management Fees have been waived pursuant to the Leverage Waiver.</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20" w:right="120" w:hanging="255"/>
        <w:spacing w:after="0" w:line="255"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1" w:lineRule="exact"/>
        <w:rPr>
          <w:rFonts w:ascii="Times New Roman" w:cs="Times New Roman" w:eastAsia="Times New Roman" w:hAnsi="Times New Roman"/>
          <w:sz w:val="18"/>
          <w:szCs w:val="18"/>
          <w:color w:val="auto"/>
        </w:rPr>
      </w:pPr>
    </w:p>
    <w:p>
      <w:pPr>
        <w:ind w:left="520"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79" w:lineRule="exact"/>
        <w:rPr>
          <w:rFonts w:ascii="Times New Roman" w:cs="Times New Roman" w:eastAsia="Times New Roman" w:hAnsi="Times New Roman"/>
          <w:sz w:val="18"/>
          <w:szCs w:val="18"/>
          <w:color w:val="auto"/>
        </w:rPr>
      </w:pPr>
    </w:p>
    <w:p>
      <w:pPr>
        <w:ind w:left="520" w:right="60" w:hanging="255"/>
        <w:spacing w:after="0" w:line="254"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89" w:lineRule="exact"/>
        <w:rPr>
          <w:sz w:val="20"/>
          <w:szCs w:val="20"/>
          <w:color w:val="auto"/>
        </w:rPr>
      </w:pPr>
    </w:p>
    <w:p>
      <w:pPr>
        <w:ind w:right="600" w:firstLine="259"/>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62" w:lineRule="exact"/>
        <w:rPr>
          <w:sz w:val="20"/>
          <w:szCs w:val="20"/>
          <w:color w:val="auto"/>
        </w:rPr>
      </w:pPr>
    </w:p>
    <w:p>
      <w:pPr>
        <w:ind w:right="60" w:firstLine="259"/>
        <w:spacing w:after="0" w:line="282" w:lineRule="auto"/>
        <w:rPr>
          <w:sz w:val="20"/>
          <w:szCs w:val="20"/>
          <w:color w:val="auto"/>
        </w:rPr>
      </w:pPr>
      <w:r>
        <w:rPr>
          <w:rFonts w:ascii="Times New Roman" w:cs="Times New Roman" w:eastAsia="Times New Roman" w:hAnsi="Times New Roman"/>
          <w:sz w:val="18"/>
          <w:szCs w:val="18"/>
          <w:color w:val="auto"/>
        </w:rPr>
        <w:t>Section 205(b)(3) of the Investment Advisers Act of 1940, as amended,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right="140" w:firstLine="25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2017 and 2016, Incentive Fees (gross of waivers) were $30.5 million, $25.5 million and $22.7 million, respectively, all of which were realized and payable to the Adviser. For the years ended December 31, 2018, 2017 and 2016, no Incentive Fees were accrued related to capital gains.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4" w:name="page105"/>
    <w:bookmarkEnd w:id="104"/>
    <w:p>
      <w:pPr>
        <w:ind w:right="400" w:firstLine="259"/>
        <w:spacing w:after="0" w:line="261" w:lineRule="auto"/>
        <w:rPr>
          <w:sz w:val="20"/>
          <w:szCs w:val="20"/>
          <w:color w:val="auto"/>
        </w:rPr>
      </w:pPr>
      <w:r>
        <w:rPr>
          <w:rFonts w:ascii="Times New Roman" w:cs="Times New Roman" w:eastAsia="Times New Roman" w:hAnsi="Times New Roman"/>
          <w:sz w:val="18"/>
          <w:szCs w:val="18"/>
          <w:color w:val="auto"/>
        </w:rPr>
        <w:t>For the period ended December 31, 2016, the Adviser voluntarily waived the Incentive Fees attributable to pre-Incentive Fee net investment income accrued by the Company as a result of its ownership of the OXSQ Shares. The Adviser did not waive any part of the Capital Gains Fee attributable to the Company’s ownership of the OXSQ Shares and, accordingly, any realized capital gains or losses and unrealized capital losses with respect to the OXSQ Shares were applied against the Company’s cumulative realized capital gains on which the Capital Gains Fee is calculated.</w:t>
      </w:r>
    </w:p>
    <w:p>
      <w:pPr>
        <w:spacing w:after="0" w:line="180"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In addition, the Adviser voluntarily waived the Incentive Fees attributable to pre-Incentive Fee net investment income accrued by the Company as a result of its ownership of the TCAP Shares. The Adviser did not waive any part of the Capital Gains Fee attributable to the Company’s ownership of the TCAP Shares and, accordingly, any realized capital gains or losses and unrealized capital losses with respect to the TCAP Shares were applied against the Company’s cumulative realized capital gains on which the Capital Gains Fee is calculated.</w:t>
      </w:r>
    </w:p>
    <w:p>
      <w:pPr>
        <w:spacing w:after="0" w:line="180"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2018 and 2017, Incentive Fees of less than $0.1 million were waived, respectively, consisting solely of Incentive Fees attributable to the Company’s ownership of the TCAP Shares. For the year ended December 31, 2016, Incentive Fees of $0.3 million were waived, consisting solely of Incentive Fees attributable to the Company’s ownership of the OXSQ Shares. Any waived Incentive Fees are not subject to recoupment by the Adviser.</w:t>
      </w:r>
    </w:p>
    <w:p>
      <w:pPr>
        <w:spacing w:after="0" w:line="180"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Since the Company’s IPO, with the exception of its waiver of Management Fees and certain Incentive Fees attributable to the Company’s ownership of the TCAP Shares and OXSQ Shares and the Leverage Waiver, the Adviser has not waived its right to receive any Management Fees or Incentive Fees payable pursuant to the Investment Advisory Agreement.</w:t>
      </w:r>
    </w:p>
    <w:p>
      <w:pPr>
        <w:spacing w:after="0" w:line="176" w:lineRule="exact"/>
        <w:rPr>
          <w:sz w:val="20"/>
          <w:szCs w:val="20"/>
          <w:color w:val="auto"/>
        </w:rPr>
      </w:pPr>
    </w:p>
    <w:p>
      <w:pPr>
        <w:ind w:right="200" w:firstLine="259"/>
        <w:spacing w:after="0" w:line="266" w:lineRule="auto"/>
        <w:rPr>
          <w:sz w:val="20"/>
          <w:szCs w:val="20"/>
          <w:color w:val="auto"/>
        </w:rPr>
      </w:pPr>
      <w:r>
        <w:rPr>
          <w:rFonts w:ascii="Times New Roman" w:cs="Times New Roman" w:eastAsia="Times New Roman" w:hAnsi="Times New Roman"/>
          <w:sz w:val="18"/>
          <w:szCs w:val="18"/>
          <w:color w:val="auto"/>
        </w:rPr>
        <w:t>In November 2018, the Board renewed the Investment Advisory Agreement. Unless earlier terminated as described below, the Investment Advisory Agreement will remain in effect until November 2019,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76" w:lineRule="exact"/>
        <w:rPr>
          <w:sz w:val="20"/>
          <w:szCs w:val="20"/>
          <w:color w:val="auto"/>
        </w:rPr>
      </w:pPr>
    </w:p>
    <w:p>
      <w:pPr>
        <w:ind w:right="280" w:firstLine="259"/>
        <w:spacing w:after="0" w:line="266" w:lineRule="auto"/>
        <w:rPr>
          <w:sz w:val="20"/>
          <w:szCs w:val="20"/>
          <w:color w:val="auto"/>
        </w:rPr>
      </w:pPr>
      <w:r>
        <w:rPr>
          <w:rFonts w:ascii="Times New Roman" w:cs="Times New Roman" w:eastAsia="Times New Roman" w:hAnsi="Times New Roman"/>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at Fair Value</w:t>
      </w:r>
    </w:p>
    <w:p>
      <w:pPr>
        <w:spacing w:after="0" w:line="121" w:lineRule="exact"/>
        <w:rPr>
          <w:sz w:val="20"/>
          <w:szCs w:val="20"/>
          <w:color w:val="auto"/>
        </w:rPr>
      </w:pPr>
    </w:p>
    <w:p>
      <w:pPr>
        <w:ind w:right="80" w:firstLine="259"/>
        <w:spacing w:after="0" w:line="255" w:lineRule="auto"/>
        <w:rPr>
          <w:sz w:val="20"/>
          <w:szCs w:val="20"/>
          <w:color w:val="auto"/>
        </w:rPr>
      </w:pPr>
      <w:r>
        <w:rPr>
          <w:rFonts w:ascii="Times New Roman" w:cs="Times New Roman" w:eastAsia="Times New Roman" w:hAnsi="Times New Roman"/>
          <w:sz w:val="18"/>
          <w:szCs w:val="18"/>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Investments consisted of the following at December 31, 2018 and 2017:</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0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1,642,015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1,653,907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(22,313)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1,716,400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1,705,969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F-24</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05" w:name="page106"/>
    <w:bookmarkEnd w:id="105"/>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1,561,275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1,581,355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1,686,250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1,693,723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300" w:hanging="512"/>
        <w:spacing w:after="0" w:line="282" w:lineRule="auto"/>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or premiums, as applicable, on debt investments using the effective interest method.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December 31, 2018 and 2017 is as follows: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22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19.3%</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Chemicals</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4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Education</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19.2%</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Marketing services</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vMerge w:val="continue"/>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December 31, 2018 and 2017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960" w:type="dxa"/>
            <w:vAlign w:val="bottom"/>
            <w:gridSpan w:val="2"/>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5"/>
                <w:szCs w:val="15"/>
                <w:color w:val="auto"/>
              </w:rPr>
            </w:pPr>
          </w:p>
        </w:tc>
        <w:tc>
          <w:tcPr>
            <w:tcW w:w="11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8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Midwest</w:t>
            </w:r>
          </w:p>
        </w:tc>
        <w:tc>
          <w:tcPr>
            <w:tcW w:w="4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Northeast</w:t>
            </w:r>
          </w:p>
        </w:tc>
        <w:tc>
          <w:tcPr>
            <w:tcW w:w="42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23.5%</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South</w:t>
            </w:r>
          </w:p>
        </w:tc>
        <w:tc>
          <w:tcPr>
            <w:tcW w:w="4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19.6%</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West</w:t>
            </w:r>
          </w:p>
        </w:tc>
        <w:tc>
          <w:tcPr>
            <w:tcW w:w="42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40.2%</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4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28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282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20" w:type="dxa"/>
            <w:vAlign w:val="bottom"/>
            <w:vMerge w:val="restart"/>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tcPr>
          <w:p>
            <w:pPr>
              <w:spacing w:after="0"/>
              <w:rPr>
                <w:sz w:val="19"/>
                <w:szCs w:val="19"/>
                <w:color w:val="auto"/>
              </w:rPr>
            </w:pPr>
          </w:p>
        </w:tc>
        <w:tc>
          <w:tcPr>
            <w:tcW w:w="2400" w:type="dxa"/>
            <w:vAlign w:val="bottom"/>
            <w:vMerge w:val="continue"/>
            <w:shd w:val="clear" w:color="auto" w:fill="CFF0FC"/>
          </w:tcPr>
          <w:p>
            <w:pPr>
              <w:spacing w:after="0"/>
              <w:rPr>
                <w:sz w:val="19"/>
                <w:szCs w:val="19"/>
                <w:color w:val="auto"/>
              </w:rPr>
            </w:pPr>
          </w:p>
        </w:tc>
        <w:tc>
          <w:tcPr>
            <w:tcW w:w="2820" w:type="dxa"/>
            <w:vAlign w:val="bottom"/>
            <w:vMerge w:val="continue"/>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0" w:type="dxa"/>
            <w:vAlign w:val="bottom"/>
            <w:tcBorders>
              <w:top w:val="single" w:sz="8" w:color="CFF0FC"/>
            </w:tcBorders>
          </w:tcPr>
          <w:p>
            <w:pPr>
              <w:spacing w:after="0" w:line="20" w:lineRule="exact"/>
              <w:rPr>
                <w:sz w:val="1"/>
                <w:szCs w:val="1"/>
                <w:color w:val="auto"/>
              </w:rPr>
            </w:pPr>
          </w:p>
        </w:tc>
        <w:tc>
          <w:tcPr>
            <w:tcW w:w="28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7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60" w:type="dxa"/>
            <w:vAlign w:val="bottom"/>
            <w:gridSpan w:val="3"/>
          </w:tcPr>
          <w:p>
            <w:pPr>
              <w:jc w:val="right"/>
              <w:ind w:right="2500"/>
              <w:spacing w:after="0"/>
              <w:rPr>
                <w:sz w:val="20"/>
                <w:szCs w:val="20"/>
                <w:color w:val="auto"/>
              </w:rPr>
            </w:pPr>
            <w:r>
              <w:rPr>
                <w:rFonts w:ascii="Times New Roman" w:cs="Times New Roman" w:eastAsia="Times New Roman" w:hAnsi="Times New Roman"/>
                <w:sz w:val="18"/>
                <w:szCs w:val="18"/>
                <w:color w:val="auto"/>
              </w:rPr>
              <w:t>F-25</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79" w:right="2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jc w:val="both"/>
        <w:ind w:right="140" w:firstLine="259"/>
        <w:spacing w:after="0" w:line="266" w:lineRule="auto"/>
        <w:rPr>
          <w:sz w:val="20"/>
          <w:szCs w:val="20"/>
          <w:color w:val="auto"/>
        </w:rPr>
      </w:pPr>
      <w:r>
        <w:rPr>
          <w:rFonts w:ascii="Times New Roman" w:cs="Times New Roman" w:eastAsia="Times New Roman" w:hAnsi="Times New Roman"/>
          <w:sz w:val="18"/>
          <w:szCs w:val="18"/>
          <w:color w:val="auto"/>
        </w:rPr>
        <w:t>In January 2015, in connection with its 2019 Convertible Notes, the Company entered into two interest rate swap transactions, each with a $57.5 million notional amount. The Company receives fixed rate interest at 4.50% and pays variable rate interest based on the three-month London Interbank Offered Rate (“LIBOR”) plus 2.86%. The swap transactions mature on December 15, 2019.</w:t>
      </w:r>
    </w:p>
    <w:p>
      <w:pPr>
        <w:spacing w:after="0" w:line="176" w:lineRule="exact"/>
        <w:rPr>
          <w:sz w:val="20"/>
          <w:szCs w:val="20"/>
          <w:color w:val="auto"/>
        </w:rPr>
      </w:pPr>
    </w:p>
    <w:p>
      <w:pPr>
        <w:ind w:right="300" w:firstLine="259"/>
        <w:spacing w:after="0" w:line="261" w:lineRule="auto"/>
        <w:rPr>
          <w:sz w:val="20"/>
          <w:szCs w:val="20"/>
          <w:color w:val="auto"/>
        </w:rPr>
      </w:pPr>
      <w:r>
        <w:rPr>
          <w:rFonts w:ascii="Times New Roman" w:cs="Times New Roman" w:eastAsia="Times New Roman" w:hAnsi="Times New Roman"/>
          <w:sz w:val="18"/>
          <w:szCs w:val="18"/>
          <w:color w:val="auto"/>
        </w:rPr>
        <w:t>In November 2015, in connection with a fixed rate investment, the Company entered into two interest rate swap transactions, each with a $46.3 million notional amount. The Company receives three-month LIBOR and pays fixed rate interest at 1.16%. The swap transactions matured on October 5, 2018. In October 2018, upon maturity of the original swap transactions, the Company entered into an interest rate swap transaction with a $91.5 million notional amount. The Company receives three-month LIBOR and pays fixed rate interest at 2.66%. The swap transaction matures on June 27, 2019.</w:t>
      </w:r>
    </w:p>
    <w:p>
      <w:pPr>
        <w:spacing w:after="0" w:line="180" w:lineRule="exact"/>
        <w:rPr>
          <w:sz w:val="20"/>
          <w:szCs w:val="20"/>
          <w:color w:val="auto"/>
        </w:rPr>
      </w:pPr>
    </w:p>
    <w:p>
      <w:pPr>
        <w:ind w:right="140" w:firstLine="259"/>
        <w:spacing w:after="0" w:line="282" w:lineRule="auto"/>
        <w:rPr>
          <w:sz w:val="20"/>
          <w:szCs w:val="20"/>
          <w:color w:val="auto"/>
        </w:rPr>
      </w:pPr>
      <w:r>
        <w:rPr>
          <w:rFonts w:ascii="Times New Roman" w:cs="Times New Roman" w:eastAsia="Times New Roman" w:hAnsi="Times New Roman"/>
          <w:sz w:val="18"/>
          <w:szCs w:val="18"/>
          <w:color w:val="auto"/>
        </w:rPr>
        <w:t>In January 2017, in connection with a fixed rate investment, the Company entered into an interest rate swap transaction with a $33.3 million notional amount. On a net basis, the Company receives three-month LIBOR and pays fixed rate interest at 1.72%. The swap transaction matures on January 10, 2020.</w:t>
      </w:r>
    </w:p>
    <w:p>
      <w:pPr>
        <w:spacing w:after="0" w:line="162" w:lineRule="exact"/>
        <w:rPr>
          <w:sz w:val="20"/>
          <w:szCs w:val="20"/>
          <w:color w:val="auto"/>
        </w:rPr>
      </w:pPr>
    </w:p>
    <w:p>
      <w:pPr>
        <w:jc w:val="both"/>
        <w:ind w:right="80" w:firstLine="259"/>
        <w:spacing w:after="0" w:line="266" w:lineRule="auto"/>
        <w:rPr>
          <w:sz w:val="20"/>
          <w:szCs w:val="20"/>
          <w:color w:val="auto"/>
        </w:rPr>
      </w:pPr>
      <w:r>
        <w:rPr>
          <w:rFonts w:ascii="Times New Roman" w:cs="Times New Roman" w:eastAsia="Times New Roman" w:hAnsi="Times New Roman"/>
          <w:sz w:val="18"/>
          <w:szCs w:val="18"/>
          <w:color w:val="auto"/>
        </w:rPr>
        <w:t>In February 2017, in connection with the issuance of the 2022 Convertible Notes, the Company entered into an interest rate swap transaction with a $115 million notional amount. The Company receives fixed rate interest at 4.50% and pays variable rate interest based on the three-month LIBOR plus 2.37%. The swap transaction matures on August 1, 2022.</w:t>
      </w:r>
    </w:p>
    <w:p>
      <w:pPr>
        <w:spacing w:after="0" w:line="176" w:lineRule="exact"/>
        <w:rPr>
          <w:sz w:val="20"/>
          <w:szCs w:val="20"/>
          <w:color w:val="auto"/>
        </w:rPr>
      </w:pPr>
    </w:p>
    <w:p>
      <w:pPr>
        <w:jc w:val="both"/>
        <w:ind w:right="440" w:firstLine="259"/>
        <w:spacing w:after="0" w:line="266" w:lineRule="auto"/>
        <w:rPr>
          <w:sz w:val="20"/>
          <w:szCs w:val="20"/>
          <w:color w:val="auto"/>
        </w:rPr>
      </w:pPr>
      <w:r>
        <w:rPr>
          <w:rFonts w:ascii="Times New Roman" w:cs="Times New Roman" w:eastAsia="Times New Roman" w:hAnsi="Times New Roman"/>
          <w:sz w:val="18"/>
          <w:szCs w:val="18"/>
          <w:color w:val="auto"/>
        </w:rPr>
        <w:t>In January 2018, in connection with the issuance of the 2023 Notes, the Company entered into an interest rate swap transaction with a $150.0 million notional amount. The Company receives fixed rate interest at 4.50% and pays variable rate interest based on three-month LIBOR plus 1.99%. The swap transaction matures on January 22, 2023.</w:t>
      </w:r>
    </w:p>
    <w:p>
      <w:pPr>
        <w:spacing w:after="0" w:line="176"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In June 2018, in connection with the reopening and issuance of additional 2022 Convertible Notes, the Company entered into two interest rate swap transactions with notional amounts of $50.0 million and $7.5 million, respectively. The Company receives fixed rate interest on each swap at 4.50%, and pays variable rate interest based on three-month LIBOR plus 1.59%, and 1.60%, respectively. The swap transactions mature on August 1, 2022.</w:t>
      </w:r>
    </w:p>
    <w:p>
      <w:pPr>
        <w:spacing w:after="0" w:line="176" w:lineRule="exact"/>
        <w:rPr>
          <w:sz w:val="20"/>
          <w:szCs w:val="20"/>
          <w:color w:val="auto"/>
        </w:rPr>
      </w:pPr>
    </w:p>
    <w:p>
      <w:pPr>
        <w:ind w:right="22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gross and net information on the Company’s interest rate swap transactions that are eligible for offset in the Company’s consolidated balance sheets as of December 31, 2018 and 2017:</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2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Gross Amount</w:t>
            </w: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Net 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6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Assets in the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6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2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(1)</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6/27/2019</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91,500</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12/15/2019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1/10/2020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1/22/2023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562,333</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F-26</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Amount of</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6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Assets in the</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restart"/>
          </w:tcPr>
          <w:p>
            <w:pPr>
              <w:jc w:val="center"/>
              <w:ind w:right="380"/>
              <w:spacing w:after="0" w:line="151"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5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gridSpan w:val="2"/>
            <w:vMerge w:val="restart"/>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60" w:type="dxa"/>
            <w:vAlign w:val="bottom"/>
            <w:gridSpan w:val="2"/>
            <w:vMerge w:val="restart"/>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6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 xml:space="preserve"> (Liability)</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52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(1)</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10/5/2018</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12/15/2019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1/10/2020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355,833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280" w:hanging="512"/>
        <w:spacing w:after="0" w:line="282" w:lineRule="auto"/>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notional amount of certain interest rate swaps may exceed the Company’s investment in individual portfolio companies as a result of arrangements with other lenders in the syndicate.</w:t>
      </w:r>
    </w:p>
    <w:p>
      <w:pPr>
        <w:spacing w:after="0" w:line="162"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amounts paid and received on the Company’s interest rate swap transactions for the year ended December 31, 2018 and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40" w:type="dxa"/>
            <w:vAlign w:val="bottom"/>
          </w:tcPr>
          <w:p>
            <w:pPr>
              <w:spacing w:after="0"/>
              <w:rPr>
                <w:sz w:val="15"/>
                <w:szCs w:val="15"/>
                <w:color w:val="auto"/>
              </w:rPr>
            </w:pPr>
          </w:p>
        </w:tc>
        <w:tc>
          <w:tcPr>
            <w:tcW w:w="1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20" w:type="dxa"/>
            <w:vAlign w:val="bottom"/>
          </w:tcPr>
          <w:p>
            <w:pPr>
              <w:spacing w:after="0"/>
              <w:rPr>
                <w:sz w:val="15"/>
                <w:szCs w:val="15"/>
                <w:color w:val="auto"/>
              </w:rPr>
            </w:pPr>
          </w:p>
        </w:tc>
        <w:tc>
          <w:tcPr>
            <w:tcW w:w="1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3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Year Ended December 31, 2018</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2"/>
          </w:tcPr>
          <w:p>
            <w:pPr>
              <w:jc w:val="right"/>
              <w:ind w:right="960"/>
              <w:spacing w:after="0" w:line="155" w:lineRule="exact"/>
              <w:rPr>
                <w:sz w:val="20"/>
                <w:szCs w:val="20"/>
                <w:color w:val="auto"/>
              </w:rPr>
            </w:pPr>
            <w:r>
              <w:rPr>
                <w:rFonts w:ascii="Times New Roman" w:cs="Times New Roman" w:eastAsia="Times New Roman" w:hAnsi="Times New Roman"/>
                <w:sz w:val="14"/>
                <w:szCs w:val="14"/>
                <w:b w:val="1"/>
                <w:bCs w:val="1"/>
                <w:color w:val="auto"/>
              </w:rPr>
              <w:t>Paid</w:t>
            </w:r>
          </w:p>
        </w:tc>
        <w:tc>
          <w:tcPr>
            <w:tcW w:w="300" w:type="dxa"/>
            <w:vAlign w:val="bottom"/>
          </w:tcPr>
          <w:p>
            <w:pPr>
              <w:spacing w:after="0"/>
              <w:rPr>
                <w:sz w:val="13"/>
                <w:szCs w:val="13"/>
                <w:color w:val="auto"/>
              </w:rPr>
            </w:pPr>
          </w:p>
        </w:tc>
        <w:tc>
          <w:tcPr>
            <w:tcW w:w="15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380" w:type="dxa"/>
            <w:vAlign w:val="bottom"/>
          </w:tcPr>
          <w:p>
            <w:pPr>
              <w:spacing w:after="0"/>
              <w:rPr>
                <w:sz w:val="13"/>
                <w:szCs w:val="13"/>
                <w:color w:val="auto"/>
              </w:rPr>
            </w:pPr>
          </w:p>
        </w:tc>
        <w:tc>
          <w:tcPr>
            <w:tcW w:w="1200" w:type="dxa"/>
            <w:vAlign w:val="bottom"/>
          </w:tcPr>
          <w:p>
            <w:pPr>
              <w:jc w:val="right"/>
              <w:ind w:right="612"/>
              <w:spacing w:after="0" w:line="155"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(1)(2)</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10/5/2018</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6/27/2019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12/15/2019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(5,815)</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(2,792)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(5,339)</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(1,065)</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1/22/2023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(6,008)</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654,833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340" w:type="dxa"/>
            <w:vAlign w:val="bottom"/>
          </w:tcPr>
          <w:p>
            <w:pPr>
              <w:spacing w:after="0"/>
              <w:rPr>
                <w:sz w:val="24"/>
                <w:szCs w:val="24"/>
                <w:color w:val="auto"/>
              </w:rPr>
            </w:pPr>
          </w:p>
        </w:tc>
        <w:tc>
          <w:tcPr>
            <w:tcW w:w="1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20" w:type="dxa"/>
            <w:vAlign w:val="bottom"/>
          </w:tcPr>
          <w:p>
            <w:pPr>
              <w:spacing w:after="0"/>
              <w:rPr>
                <w:sz w:val="24"/>
                <w:szCs w:val="24"/>
                <w:color w:val="auto"/>
              </w:rPr>
            </w:pPr>
          </w:p>
        </w:tc>
        <w:tc>
          <w:tcPr>
            <w:tcW w:w="1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3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Year Ended December 31, 2017</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2"/>
          </w:tcPr>
          <w:p>
            <w:pPr>
              <w:jc w:val="right"/>
              <w:ind w:right="960"/>
              <w:spacing w:after="0" w:line="155" w:lineRule="exact"/>
              <w:rPr>
                <w:sz w:val="20"/>
                <w:szCs w:val="20"/>
                <w:color w:val="auto"/>
              </w:rPr>
            </w:pPr>
            <w:r>
              <w:rPr>
                <w:rFonts w:ascii="Times New Roman" w:cs="Times New Roman" w:eastAsia="Times New Roman" w:hAnsi="Times New Roman"/>
                <w:sz w:val="14"/>
                <w:szCs w:val="14"/>
                <w:b w:val="1"/>
                <w:bCs w:val="1"/>
                <w:color w:val="auto"/>
              </w:rPr>
              <w:t>Paid</w:t>
            </w:r>
          </w:p>
        </w:tc>
        <w:tc>
          <w:tcPr>
            <w:tcW w:w="300" w:type="dxa"/>
            <w:vAlign w:val="bottom"/>
          </w:tcPr>
          <w:p>
            <w:pPr>
              <w:spacing w:after="0"/>
              <w:rPr>
                <w:sz w:val="13"/>
                <w:szCs w:val="13"/>
                <w:color w:val="auto"/>
              </w:rPr>
            </w:pPr>
          </w:p>
        </w:tc>
        <w:tc>
          <w:tcPr>
            <w:tcW w:w="15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380" w:type="dxa"/>
            <w:vAlign w:val="bottom"/>
          </w:tcPr>
          <w:p>
            <w:pPr>
              <w:spacing w:after="0"/>
              <w:rPr>
                <w:sz w:val="13"/>
                <w:szCs w:val="13"/>
                <w:color w:val="auto"/>
              </w:rPr>
            </w:pPr>
          </w:p>
        </w:tc>
        <w:tc>
          <w:tcPr>
            <w:tcW w:w="1200" w:type="dxa"/>
            <w:vAlign w:val="bottom"/>
          </w:tcPr>
          <w:p>
            <w:pPr>
              <w:jc w:val="right"/>
              <w:ind w:right="612"/>
              <w:spacing w:after="0" w:line="155"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(1)</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10/5/2018</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12/15/2019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(4,694)</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1/10/2020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(2,598)</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(3,817)</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355,833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280" w:hanging="512"/>
        <w:spacing w:after="0" w:line="261"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notional amount of certain interest rate swaps may exceed the Company’s investment in individual portfolio companies as a result of arrangements with other lenders in the syndicate.</w:t>
      </w:r>
    </w:p>
    <w:p>
      <w:pPr>
        <w:ind w:left="520" w:hanging="512"/>
        <w:spacing w:after="0"/>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Swap matured during the period.</w:t>
      </w:r>
    </w:p>
    <w:p>
      <w:pPr>
        <w:spacing w:after="0" w:line="207"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2018 and 2017, the Company recognized ($1.7) million and ($1.0) million, respectively, in net change in unrealized losses on interest rate swaps in the consolidated statement of operations related to the swap transactions. As of December 31, 2018, the swap transactions had a fair value of ($2.7) million which is netted against restricted cash collateral on the Company’s consolidated balance sheet. As of December 31, 2017, the swap transactions had a fair value of ($1.0) million which is netted against restricted cash collateral on the Company’s consolidated balance sheet.</w:t>
      </w:r>
    </w:p>
    <w:p>
      <w:pPr>
        <w:spacing w:after="0" w:line="180" w:lineRule="exact"/>
        <w:rPr>
          <w:sz w:val="20"/>
          <w:szCs w:val="20"/>
          <w:color w:val="auto"/>
        </w:rPr>
      </w:pPr>
    </w:p>
    <w:p>
      <w:pPr>
        <w:ind w:right="160" w:firstLine="259"/>
        <w:spacing w:after="0" w:line="281" w:lineRule="auto"/>
        <w:rPr>
          <w:sz w:val="20"/>
          <w:szCs w:val="20"/>
          <w:color w:val="auto"/>
        </w:rPr>
      </w:pPr>
      <w:r>
        <w:rPr>
          <w:rFonts w:ascii="Times New Roman" w:cs="Times New Roman" w:eastAsia="Times New Roman" w:hAnsi="Times New Roman"/>
          <w:sz w:val="17"/>
          <w:szCs w:val="17"/>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65"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As of December 31, 2018, $10.0 million of cash is pledged as collateral under the Company’s derivative instruments and $7.3 million is included in restricted cash as a component of cash and cash equivalents on the Company’s consolidated balance sheet. The Company had $4.1 million of cash collateral posted as of December 31, 2017, of which $3.2 million is included in restricted cash as a component of cash and cash equivalents on the Company’s consolidated balance sheet.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7" w:right="239" w:bottom="1440" w:gutter="0" w:footer="0" w:header="0"/>
        </w:sectPr>
      </w:pPr>
    </w:p>
    <w:bookmarkStart w:id="108" w:name="page109"/>
    <w:bookmarkEnd w:id="108"/>
    <w:p>
      <w:pPr>
        <w:ind w:left="260"/>
        <w:spacing w:after="0"/>
        <w:rPr>
          <w:sz w:val="20"/>
          <w:szCs w:val="20"/>
          <w:color w:val="auto"/>
        </w:rPr>
      </w:pPr>
      <w:r>
        <w:rPr>
          <w:rFonts w:ascii="Times New Roman" w:cs="Times New Roman" w:eastAsia="Times New Roman" w:hAnsi="Times New Roman"/>
          <w:sz w:val="18"/>
          <w:szCs w:val="18"/>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as of December 31, 2018 and 2017:</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6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2018</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156"/>
        </w:trPr>
        <w:tc>
          <w:tcPr>
            <w:tcW w:w="59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1,628,037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1,653,907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45,444</w:t>
            </w:r>
          </w:p>
        </w:tc>
        <w:tc>
          <w:tcPr>
            <w:tcW w:w="100" w:type="dxa"/>
            <w:vAlign w:val="bottom"/>
          </w:tcPr>
          <w:p>
            <w:pPr>
              <w:spacing w:after="0"/>
              <w:rPr>
                <w:sz w:val="19"/>
                <w:szCs w:val="19"/>
                <w:color w:val="auto"/>
              </w:rPr>
            </w:pPr>
          </w:p>
        </w:tc>
      </w:tr>
      <w:tr>
        <w:trPr>
          <w:trHeight w:val="223"/>
        </w:trPr>
        <w:tc>
          <w:tcPr>
            <w:tcW w:w="594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1,677,889</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1,705,969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(2,663)</w:t>
            </w:r>
          </w:p>
        </w:tc>
      </w:tr>
      <w:tr>
        <w:trPr>
          <w:trHeight w:val="223"/>
        </w:trPr>
        <w:tc>
          <w:tcPr>
            <w:tcW w:w="59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1,677,889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1,703,306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5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6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2017</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156"/>
        </w:trPr>
        <w:tc>
          <w:tcPr>
            <w:tcW w:w="59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1,563,972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1,581,355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51,468</w:t>
            </w:r>
          </w:p>
        </w:tc>
        <w:tc>
          <w:tcPr>
            <w:tcW w:w="100" w:type="dxa"/>
            <w:vAlign w:val="bottom"/>
            <w:shd w:val="clear" w:color="auto" w:fill="CFF0FC"/>
          </w:tcPr>
          <w:p>
            <w:pPr>
              <w:spacing w:after="0"/>
              <w:rPr>
                <w:sz w:val="19"/>
                <w:szCs w:val="19"/>
                <w:color w:val="auto"/>
              </w:rPr>
            </w:pPr>
          </w:p>
        </w:tc>
      </w:tr>
      <w:tr>
        <w:trPr>
          <w:trHeight w:val="223"/>
        </w:trPr>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1,663,194</w:t>
            </w:r>
          </w:p>
        </w:tc>
        <w:tc>
          <w:tcPr>
            <w:tcW w:w="240" w:type="dxa"/>
            <w:vAlign w:val="bottom"/>
          </w:tcPr>
          <w:p>
            <w:pPr>
              <w:spacing w:after="0"/>
              <w:rPr>
                <w:sz w:val="19"/>
                <w:szCs w:val="19"/>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1,693,723</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(962)</w:t>
            </w:r>
          </w:p>
        </w:tc>
      </w:tr>
      <w:tr>
        <w:trPr>
          <w:trHeight w:val="223"/>
        </w:trPr>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1,663,194</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1,692,761</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year ended December 31, 2018 and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gridSpan w:val="10"/>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2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First-lien debt</w:t>
            </w: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20" w:type="dxa"/>
            <w:vAlign w:val="bottom"/>
          </w:tcPr>
          <w:p>
            <w:pPr>
              <w:spacing w:after="0"/>
              <w:rPr>
                <w:sz w:val="11"/>
                <w:szCs w:val="11"/>
                <w:color w:val="auto"/>
              </w:rPr>
            </w:pPr>
          </w:p>
        </w:tc>
        <w:tc>
          <w:tcPr>
            <w:tcW w:w="11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Mezzanine debt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Equity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1,563,972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1,663,194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808,032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(726,497)</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(59,621)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(17,213)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(803,331)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(8,462)</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(12,796)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(20,043)</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Transfers within Level 3</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(18,378)</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1,628,037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1,677,889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F-28</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gridSpan w:val="10"/>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2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First-lien debt</w:t>
            </w: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20" w:type="dxa"/>
            <w:vAlign w:val="bottom"/>
          </w:tcPr>
          <w:p>
            <w:pPr>
              <w:spacing w:after="0"/>
              <w:rPr>
                <w:sz w:val="11"/>
                <w:szCs w:val="11"/>
                <w:color w:val="auto"/>
              </w:rPr>
            </w:pPr>
          </w:p>
        </w:tc>
        <w:tc>
          <w:tcPr>
            <w:tcW w:w="11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Mezzanine debt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Equity and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1,454,087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1,469,902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995,968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(846,714)</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(4,833)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(851,547)</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(21,013)</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(17,323)</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Transfers within Level 3</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(67,775)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1,563,972</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net change in unrealized gains or losses on investments for which Level 3 inputs were used in determining fair value that are still held by the Company at December 31, 2018 and 2017:</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140" w:type="dxa"/>
            <w:vAlign w:val="bottom"/>
          </w:tcPr>
          <w:p>
            <w:pPr>
              <w:spacing w:after="0"/>
              <w:rPr>
                <w:sz w:val="14"/>
                <w:szCs w:val="14"/>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 or (Losses)</w:t>
            </w:r>
          </w:p>
        </w:tc>
        <w:tc>
          <w:tcPr>
            <w:tcW w:w="140" w:type="dxa"/>
            <w:vAlign w:val="bottom"/>
          </w:tcPr>
          <w:p>
            <w:pPr>
              <w:spacing w:after="0"/>
              <w:rPr>
                <w:sz w:val="14"/>
                <w:szCs w:val="14"/>
                <w:color w:val="auto"/>
              </w:rPr>
            </w:pPr>
          </w:p>
        </w:tc>
        <w:tc>
          <w:tcPr>
            <w:tcW w:w="1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 or (Losses)</w:t>
            </w: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0" w:type="dxa"/>
            <w:vAlign w:val="bottom"/>
          </w:tcPr>
          <w:p>
            <w:pPr>
              <w:spacing w:after="0"/>
              <w:rPr>
                <w:sz w:val="14"/>
                <w:szCs w:val="14"/>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2018 on</w:t>
            </w:r>
          </w:p>
        </w:tc>
        <w:tc>
          <w:tcPr>
            <w:tcW w:w="140" w:type="dxa"/>
            <w:vAlign w:val="bottom"/>
          </w:tcPr>
          <w:p>
            <w:pPr>
              <w:spacing w:after="0"/>
              <w:rPr>
                <w:sz w:val="14"/>
                <w:szCs w:val="14"/>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2017 on</w:t>
            </w: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Investments Held at</w:t>
            </w:r>
          </w:p>
        </w:tc>
        <w:tc>
          <w:tcPr>
            <w:tcW w:w="140" w:type="dxa"/>
            <w:vAlign w:val="bottom"/>
          </w:tcPr>
          <w:p>
            <w:pPr>
              <w:spacing w:after="0"/>
              <w:rPr>
                <w:sz w:val="14"/>
                <w:szCs w:val="14"/>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 Held at</w:t>
            </w:r>
          </w:p>
        </w:tc>
      </w:t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0" w:type="dxa"/>
            <w:vAlign w:val="bottom"/>
          </w:tcPr>
          <w:p>
            <w:pPr>
              <w:spacing w:after="0"/>
              <w:rPr>
                <w:sz w:val="15"/>
                <w:szCs w:val="15"/>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23"/>
        </w:trPr>
        <w:tc>
          <w:tcPr>
            <w:tcW w:w="20" w:type="dxa"/>
            <w:vAlign w:val="bottom"/>
          </w:tcPr>
          <w:p>
            <w:pPr>
              <w:spacing w:after="0"/>
              <w:rPr>
                <w:sz w:val="19"/>
                <w:szCs w:val="19"/>
                <w:color w:val="auto"/>
              </w:rPr>
            </w:pPr>
          </w:p>
        </w:tc>
        <w:tc>
          <w:tcPr>
            <w:tcW w:w="4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40" w:type="dxa"/>
            <w:vAlign w:val="bottom"/>
          </w:tcPr>
          <w:p>
            <w:pPr>
              <w:spacing w:after="0"/>
              <w:rPr>
                <w:sz w:val="19"/>
                <w:szCs w:val="19"/>
                <w:color w:val="auto"/>
              </w:rPr>
            </w:pP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(2,070)</w:t>
            </w: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4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40" w:type="dxa"/>
            <w:vAlign w:val="bottom"/>
          </w:tcPr>
          <w:p>
            <w:pPr>
              <w:spacing w:after="0"/>
              <w:rPr>
                <w:sz w:val="19"/>
                <w:szCs w:val="19"/>
                <w:color w:val="auto"/>
              </w:rPr>
            </w:pP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(10,448)</w:t>
            </w:r>
          </w:p>
        </w:tc>
        <w:tc>
          <w:tcPr>
            <w:tcW w:w="140" w:type="dxa"/>
            <w:vAlign w:val="bottom"/>
          </w:tcPr>
          <w:p>
            <w:pPr>
              <w:spacing w:after="0"/>
              <w:rPr>
                <w:sz w:val="19"/>
                <w:szCs w:val="19"/>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(5,737)</w:t>
            </w:r>
          </w:p>
        </w:tc>
      </w:tr>
      <w:tr>
        <w:trPr>
          <w:trHeight w:val="223"/>
        </w:trPr>
        <w:tc>
          <w:tcPr>
            <w:tcW w:w="20" w:type="dxa"/>
            <w:vAlign w:val="bottom"/>
          </w:tcPr>
          <w:p>
            <w:pPr>
              <w:spacing w:after="0"/>
              <w:rPr>
                <w:sz w:val="19"/>
                <w:szCs w:val="19"/>
                <w:color w:val="auto"/>
              </w:rPr>
            </w:pPr>
          </w:p>
        </w:tc>
        <w:tc>
          <w:tcPr>
            <w:tcW w:w="48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40"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fair value of Level 3 Investments at fair value and the significant unobservable inputs used in the valuations as of December 31, 2018 and 2017. The tables are not intended to be all-inclusive, but instead capture the significant unobservable inputs relevant to the Company’s determination of fair values.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8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7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Impact to Valuation</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5"/>
                <w:szCs w:val="15"/>
                <w:color w:val="auto"/>
              </w:rPr>
            </w:pPr>
          </w:p>
        </w:tc>
        <w:tc>
          <w:tcPr>
            <w:tcW w:w="18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86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1,628,037</w:t>
            </w:r>
          </w:p>
        </w:tc>
        <w:tc>
          <w:tcPr>
            <w:tcW w:w="2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Income approach </w:t>
            </w:r>
            <w:r>
              <w:rPr>
                <w:rFonts w:ascii="Times New Roman" w:cs="Times New Roman" w:eastAsia="Times New Roman" w:hAnsi="Times New Roman"/>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6.8% — 15.8% (11.8%)</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2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Income approach </w:t>
            </w:r>
            <w:r>
              <w:rPr>
                <w:rFonts w:ascii="Times New Roman" w:cs="Times New Roman" w:eastAsia="Times New Roman" w:hAnsi="Times New Roman"/>
                <w:sz w:val="15"/>
                <w:szCs w:val="15"/>
                <w:color w:val="auto"/>
              </w:rPr>
              <w:t>(2)</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15.8% — 15.8% (15.8%)</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06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approach</w:t>
            </w:r>
          </w:p>
        </w:tc>
        <w:tc>
          <w:tcPr>
            <w:tcW w:w="1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9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16.4% — 16.4% (16.4%)</w:t>
            </w: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43,234</w:t>
            </w:r>
          </w:p>
        </w:tc>
        <w:tc>
          <w:tcPr>
            <w:tcW w:w="2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Market Multiple </w:t>
            </w:r>
            <w:r>
              <w:rPr>
                <w:rFonts w:ascii="Times New Roman" w:cs="Times New Roman" w:eastAsia="Times New Roman" w:hAnsi="Times New Roman"/>
                <w:sz w:val="15"/>
                <w:szCs w:val="15"/>
                <w:color w:val="auto"/>
              </w:rPr>
              <w:t>(3)</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Comparable multiple</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3.0x — 13.2x (10.6x)</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1,677,889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76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400" w:hanging="512"/>
        <w:spacing w:after="0" w:line="261"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$19.7 million of first-lien debt investments which, due to the proximity of the transactions relative to the measurement date, were valued using the cost of the investments.</w:t>
      </w:r>
    </w:p>
    <w:p>
      <w:pPr>
        <w:ind w:left="520" w:right="280" w:hanging="512"/>
        <w:spacing w:after="0" w:line="250"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$0.8 million of second-lien debt investments which, due to the proximity of the transactions relative to the measurement date, were valued using the cost of the investments.</w:t>
      </w:r>
    </w:p>
    <w:p>
      <w:pPr>
        <w:ind w:left="520" w:right="60" w:hanging="512"/>
        <w:spacing w:after="0" w:line="261"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$9.5 million of equity investments which were valued using a weighted valuation approach and $4.2 million of equity investments which due to the proximity of the transactions relative to the measurement date were valued using the cost of the investments.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8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7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Impact to Valuation</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5"/>
                <w:szCs w:val="15"/>
                <w:color w:val="auto"/>
              </w:rPr>
            </w:pPr>
          </w:p>
        </w:tc>
        <w:tc>
          <w:tcPr>
            <w:tcW w:w="18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86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1,563,972</w:t>
            </w:r>
          </w:p>
        </w:tc>
        <w:tc>
          <w:tcPr>
            <w:tcW w:w="2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Income approach </w:t>
            </w:r>
            <w:r>
              <w:rPr>
                <w:rFonts w:ascii="Times New Roman" w:cs="Times New Roman" w:eastAsia="Times New Roman" w:hAnsi="Times New Roman"/>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7.3% — 14.6% (10.2%)</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2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Income approach</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12.9% — 14.0% (13.0%)</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38,322</w:t>
            </w:r>
          </w:p>
        </w:tc>
        <w:tc>
          <w:tcPr>
            <w:tcW w:w="206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Market Multiple </w:t>
            </w:r>
            <w:r>
              <w:rPr>
                <w:rFonts w:ascii="Times New Roman" w:cs="Times New Roman" w:eastAsia="Times New Roman" w:hAnsi="Times New Roman"/>
                <w:sz w:val="15"/>
                <w:szCs w:val="15"/>
                <w:color w:val="auto"/>
              </w:rPr>
              <w:t>(2)</w:t>
            </w:r>
          </w:p>
        </w:tc>
        <w:tc>
          <w:tcPr>
            <w:tcW w:w="1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Comparable multiple</w:t>
            </w:r>
          </w:p>
        </w:tc>
        <w:tc>
          <w:tcPr>
            <w:tcW w:w="19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4.6x — 13.2x (11.2x)</w:t>
            </w: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23"/>
        </w:trPr>
        <w:tc>
          <w:tcPr>
            <w:tcW w:w="28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1,663,194</w:t>
            </w:r>
          </w:p>
        </w:tc>
        <w:tc>
          <w:tcPr>
            <w:tcW w:w="22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$34.6 million of first-lien debt investments which were valued using an asset valuation waterfall.</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$18.6 million of equity investments which were valued using a weighted valuation approach.</w:t>
      </w:r>
    </w:p>
    <w:p>
      <w:pPr>
        <w:spacing w:after="0" w:line="207" w:lineRule="exact"/>
        <w:rPr>
          <w:sz w:val="20"/>
          <w:szCs w:val="20"/>
          <w:color w:val="auto"/>
        </w:rPr>
      </w:pPr>
    </w:p>
    <w:p>
      <w:pPr>
        <w:ind w:right="60" w:firstLine="259"/>
        <w:spacing w:after="0" w:line="258" w:lineRule="auto"/>
        <w:rPr>
          <w:sz w:val="20"/>
          <w:szCs w:val="20"/>
          <w:color w:val="auto"/>
        </w:rPr>
      </w:pPr>
      <w:r>
        <w:rPr>
          <w:rFonts w:ascii="Times New Roman" w:cs="Times New Roman" w:eastAsia="Times New Roman" w:hAnsi="Times New Roman"/>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4" w:lineRule="exact"/>
        <w:rPr>
          <w:sz w:val="20"/>
          <w:szCs w:val="20"/>
          <w:color w:val="auto"/>
        </w:rPr>
      </w:pPr>
    </w:p>
    <w:p>
      <w:pPr>
        <w:ind w:right="120" w:firstLine="259"/>
        <w:spacing w:after="0" w:line="256" w:lineRule="auto"/>
        <w:rPr>
          <w:sz w:val="20"/>
          <w:szCs w:val="20"/>
          <w:color w:val="auto"/>
        </w:rPr>
      </w:pPr>
      <w:r>
        <w:rPr>
          <w:rFonts w:ascii="Times New Roman" w:cs="Times New Roman" w:eastAsia="Times New Roman" w:hAnsi="Times New Roman"/>
          <w:sz w:val="18"/>
          <w:szCs w:val="18"/>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fair value of the Company’s Revolving Credit Facility, which is categorized as Level 3 within the fair value hierarchy, as of December 31,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approximates its carrying value as the outstanding balance is callable at carrying value. The fair value of the Company’s Convertible Notes (consisting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Convertible Notes and the 2022 Convertible Notes) and 2023 Notes, which are categorized as Level 2 within the fair value hierarchy,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was $428.9 million, based on broker quotes received by the Company. The aggregate principal amount of the Company’s Convertible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2023 Notes, as of December 31, 2018, was $437.5 million. The fair value of the Company’s Convertible Notes, as of December 31, 2017,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$237.9 million, based on broker quotes received by the Company. The aggregate principal amount of the Company’s Convertible Notes, as of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was $230.0 million.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Assets and Liabilities</w:t>
      </w:r>
    </w:p>
    <w:p>
      <w:pPr>
        <w:spacing w:after="0" w:line="117"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assets and liabilities, other than investments at fair value and the Convertible Notes and 2023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ind w:right="140" w:firstLine="259"/>
        <w:spacing w:after="0" w:line="282" w:lineRule="auto"/>
        <w:rPr>
          <w:sz w:val="20"/>
          <w:szCs w:val="20"/>
          <w:color w:val="auto"/>
        </w:rPr>
      </w:pPr>
      <w:r>
        <w:rPr>
          <w:rFonts w:ascii="Times New Roman" w:cs="Times New Roman" w:eastAsia="Times New Roman" w:hAnsi="Times New Roman"/>
          <w:sz w:val="18"/>
          <w:szCs w:val="18"/>
          <w:color w:val="auto"/>
        </w:rPr>
        <w:t>In accordance with the 1940 Act, with certain limitations, the Company is allowed to borrow amounts such that its asset coverage, as defined in the 1940 Act, is at least 150% after such borrowing. As of December 31, 2018 and 2017, the Company’s asset coverage was 270.5% and 235.5% respectively.</w:t>
      </w:r>
    </w:p>
    <w:p>
      <w:pPr>
        <w:spacing w:after="0" w:line="162"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On October 8, 2018, the Company’s stockholders approved the application of the minimum asset coverage ratio of 150% to the Company, as set forth in Section 61(a)(2) of the 1940 Act, as amended by the Small Business Credit Availability Act (the “SBCAA”).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sectPr>
      </w:pPr>
    </w:p>
    <w:bookmarkStart w:id="111" w:name="page112"/>
    <w:bookmarkEnd w:id="111"/>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a result and subject to certain additional disclosure requirements, as of October 9, 2018, the Company’s minimum asset coverage ratio was reduced from 200% to 150%. In other words, pursuant to Section 61(a) of the 1940 Act, as amended by the SBCAA, the Company is permitted to potentially increase its maximum debt-to-equity ratio from an effective level of one-to-one to two-to-one.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December 31, 2018 and 2017:</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8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 xml:space="preserve">Value </w:t>
            </w:r>
            <w:r>
              <w:rPr>
                <w:rFonts w:ascii="Times New Roman" w:cs="Times New Roman" w:eastAsia="Times New Roman" w:hAnsi="Times New Roman"/>
                <w:sz w:val="12"/>
                <w:szCs w:val="12"/>
                <w:b w:val="1"/>
                <w:bCs w:val="1"/>
                <w:color w:val="auto"/>
                <w:w w:val="98"/>
              </w:rPr>
              <w:t>(2)</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187,543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752,457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2019</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2022</w:t>
            </w:r>
          </w:p>
        </w:tc>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w w:val="99"/>
              </w:rPr>
              <w:t>2023</w:t>
            </w:r>
          </w:p>
        </w:tc>
        <w:tc>
          <w:tcPr>
            <w:tcW w:w="4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1,377,500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625,043</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752,457</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608,007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520" w:right="300" w:hanging="512"/>
        <w:spacing w:after="0" w:line="261" w:lineRule="auto"/>
        <w:tabs>
          <w:tab w:leader="none" w:pos="5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Convertible Notes, and 2023 Notes are presented net of deferred financing costs and original issue discounts of $8.7 million, $5.6 million and $2.7 million, respectively.</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59"/>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 xml:space="preserve">Available </w:t>
            </w:r>
            <w:r>
              <w:rPr>
                <w:rFonts w:ascii="Times New Roman" w:cs="Times New Roman" w:eastAsia="Times New Roman" w:hAnsi="Times New Roman"/>
                <w:sz w:val="12"/>
                <w:szCs w:val="12"/>
                <w:b w:val="1"/>
                <w:bCs w:val="1"/>
                <w:color w:val="auto"/>
                <w:w w:val="99"/>
              </w:rPr>
              <w:t>(1)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 xml:space="preserve">Value </w:t>
            </w:r>
            <w:r>
              <w:rPr>
                <w:rFonts w:ascii="Times New Roman" w:cs="Times New Roman" w:eastAsia="Times New Roman" w:hAnsi="Times New Roman"/>
                <w:sz w:val="12"/>
                <w:szCs w:val="12"/>
                <w:b w:val="1"/>
                <w:bCs w:val="1"/>
                <w:color w:val="auto"/>
                <w:w w:val="98"/>
              </w:rPr>
              <w:t>(2)</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486,808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488,192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479,724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2019 Convertible Notes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Convertible Notes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1,205,000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716,808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488,192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520" w:right="120" w:hanging="512"/>
        <w:spacing w:after="0" w:line="261" w:lineRule="auto"/>
        <w:tabs>
          <w:tab w:leader="none" w:pos="5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and Convertible Notes are presented net of deferred financing costs and original issue discounts of $7.1 million, $6.3 million, respectively.</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years ended December 31, 2018, 2017 and 2016, the components of interest expense were as follows: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35,713</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22,933</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20,501</w:t>
            </w:r>
          </w:p>
        </w:tc>
        <w:tc>
          <w:tcPr>
            <w:tcW w:w="200" w:type="dxa"/>
            <w:vAlign w:val="bottom"/>
            <w:tcBorders>
              <w:top w:val="single" w:sz="8" w:color="CFF0FC"/>
            </w:tcBorders>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0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20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Swap settlements</w:t>
            </w: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(1,379)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(1,057)</w:t>
            </w:r>
          </w:p>
        </w:tc>
      </w:tr>
      <w:tr>
        <w:trPr>
          <w:trHeight w:val="263"/>
        </w:trPr>
        <w:tc>
          <w:tcPr>
            <w:tcW w:w="41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2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42,761</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27,441</w:t>
            </w:r>
          </w:p>
        </w:tc>
        <w:tc>
          <w:tcPr>
            <w:tcW w:w="18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200" w:type="dxa"/>
            <w:vAlign w:val="bottom"/>
            <w:tcBorders>
              <w:bottom w:val="single" w:sz="8" w:color="CFF0FC"/>
            </w:tcBorders>
          </w:tcPr>
          <w:p>
            <w:pPr>
              <w:spacing w:after="0"/>
              <w:rPr>
                <w:sz w:val="22"/>
                <w:szCs w:val="22"/>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debt outstanding (in millions)</w:t>
            </w: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200" w:type="dxa"/>
            <w:vAlign w:val="bottom"/>
            <w:shd w:val="clear" w:color="auto" w:fill="CFF0FC"/>
          </w:tcPr>
          <w:p>
            <w:pPr>
              <w:spacing w:after="0"/>
              <w:rPr>
                <w:sz w:val="18"/>
                <w:szCs w:val="18"/>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1-month LIBOR rate</w:t>
            </w: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On August 23, 2012, the Company entered into a senior secured revolving credit agreement with SunTrust Bank, as administrative agent, and J.P. Morgan Chase Bank, N.A., as syndication agent, and certain other lenders (as amended and restated, the “Revolving Credit Facility”).</w:t>
      </w:r>
    </w:p>
    <w:p>
      <w:pPr>
        <w:spacing w:after="0" w:line="162"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As of December 31, 2018, aggregate commitments under the facility were $940 million. Pursuant to an amendment to the Revolving Credit Facility dated as of February 14, 2019 (the “Eighth Amendment”), the aggregate commitments under the facility were increased to $1.17 billion. The facility includes an uncommitted accordion feature that allows the Company, under certain circumstances, to increase the size of the facility to up to $1.5 billion.</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112" w:name="page113"/>
    <w:bookmarkEnd w:id="112"/>
    <w:p>
      <w:pPr>
        <w:jc w:val="both"/>
        <w:ind w:right="240" w:firstLine="259"/>
        <w:spacing w:after="0" w:line="266" w:lineRule="auto"/>
        <w:rPr>
          <w:sz w:val="20"/>
          <w:szCs w:val="20"/>
          <w:color w:val="auto"/>
        </w:rPr>
      </w:pPr>
      <w:r>
        <w:rPr>
          <w:rFonts w:ascii="Times New Roman" w:cs="Times New Roman" w:eastAsia="Times New Roman" w:hAnsi="Times New Roman"/>
          <w:sz w:val="18"/>
          <w:szCs w:val="18"/>
          <w:color w:val="auto"/>
        </w:rPr>
        <w:t>Pursuant to the Eighth Amendment, the revolving period, during which period the Company, subject to certain conditions, may make borrowings under the facility, was extended from February 18, 2022 to February 14, 2023 and the stated maturity date was extended from February 17, 2023 to February 14, 2024.</w:t>
      </w:r>
    </w:p>
    <w:p>
      <w:pPr>
        <w:spacing w:after="0" w:line="176" w:lineRule="exact"/>
        <w:rPr>
          <w:sz w:val="20"/>
          <w:szCs w:val="20"/>
          <w:color w:val="auto"/>
        </w:rPr>
      </w:pPr>
    </w:p>
    <w:p>
      <w:pPr>
        <w:ind w:right="260" w:firstLine="259"/>
        <w:spacing w:after="0" w:line="266"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December 31, 2018, the Company had outstanding debt denominated in Australian dollars (AUD) of 48.8 million and Canadian dollars (CAD) of 64.7 million on its Revolving Credit Facility, included in the Outstanding Principal amount in the table above.</w:t>
      </w:r>
    </w:p>
    <w:p>
      <w:pPr>
        <w:spacing w:after="0" w:line="176"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$75 million. As of December 31, 2018 and December 31, 2017,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76"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LIBOR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88" w:lineRule="exact"/>
        <w:rPr>
          <w:sz w:val="20"/>
          <w:szCs w:val="20"/>
          <w:color w:val="auto"/>
        </w:rPr>
      </w:pPr>
    </w:p>
    <w:p>
      <w:pPr>
        <w:ind w:right="220" w:firstLine="259"/>
        <w:spacing w:after="0" w:line="261" w:lineRule="auto"/>
        <w:rPr>
          <w:sz w:val="20"/>
          <w:szCs w:val="20"/>
          <w:color w:val="auto"/>
        </w:rPr>
      </w:pPr>
      <w:r>
        <w:rPr>
          <w:rFonts w:ascii="Times New Roman" w:cs="Times New Roman" w:eastAsia="Times New Roman" w:hAnsi="Times New Roman"/>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0" w:lineRule="exact"/>
        <w:rPr>
          <w:sz w:val="20"/>
          <w:szCs w:val="20"/>
          <w:color w:val="auto"/>
        </w:rPr>
      </w:pPr>
    </w:p>
    <w:p>
      <w:pPr>
        <w:ind w:right="340" w:firstLine="259"/>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The financial covenants, as amended on November 5, 2018, require:</w:t>
      </w:r>
    </w:p>
    <w:p>
      <w:pPr>
        <w:spacing w:after="0" w:line="54" w:lineRule="exact"/>
        <w:rPr>
          <w:sz w:val="20"/>
          <w:szCs w:val="20"/>
          <w:color w:val="auto"/>
        </w:rPr>
      </w:pPr>
    </w:p>
    <w:p>
      <w:pPr>
        <w:ind w:left="520" w:hanging="255"/>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1.5 to 1 on the last day of any fiscal quarter;</w:t>
      </w:r>
    </w:p>
    <w:p>
      <w:pPr>
        <w:spacing w:after="0" w:line="117" w:lineRule="exact"/>
        <w:rPr>
          <w:rFonts w:ascii="Times New Roman" w:cs="Times New Roman" w:eastAsia="Times New Roman" w:hAnsi="Times New Roman"/>
          <w:sz w:val="18"/>
          <w:szCs w:val="18"/>
          <w:color w:val="auto"/>
        </w:rPr>
      </w:pPr>
    </w:p>
    <w:p>
      <w:pPr>
        <w:ind w:left="520" w:right="40" w:hanging="255"/>
        <w:spacing w:after="0" w:line="266"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w:t>
      </w:r>
    </w:p>
    <w:p>
      <w:pPr>
        <w:spacing w:after="0" w:line="68"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$500 million plus 25% of the net proceeds of the sale of equity interests after November 5, 2018;</w:t>
      </w:r>
    </w:p>
    <w:p>
      <w:pPr>
        <w:spacing w:after="0" w:line="117" w:lineRule="exact"/>
        <w:rPr>
          <w:rFonts w:ascii="Times New Roman" w:cs="Times New Roman" w:eastAsia="Times New Roman" w:hAnsi="Times New Roman"/>
          <w:sz w:val="18"/>
          <w:szCs w:val="18"/>
          <w:color w:val="auto"/>
        </w:rPr>
      </w:pPr>
    </w:p>
    <w:p>
      <w:pPr>
        <w:ind w:left="520" w:right="160" w:hanging="255"/>
        <w:spacing w:after="0" w:line="261"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1" w:lineRule="exact"/>
        <w:rPr>
          <w:rFonts w:ascii="Times New Roman" w:cs="Times New Roman" w:eastAsia="Times New Roman" w:hAnsi="Times New Roman"/>
          <w:sz w:val="18"/>
          <w:szCs w:val="18"/>
          <w:color w:val="auto"/>
        </w:rPr>
      </w:pPr>
    </w:p>
    <w:p>
      <w:pPr>
        <w:ind w:left="520" w:right="260" w:hanging="255"/>
        <w:spacing w:after="0" w:line="282"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62" w:lineRule="exact"/>
        <w:rPr>
          <w:sz w:val="20"/>
          <w:szCs w:val="20"/>
          <w:color w:val="auto"/>
        </w:rPr>
      </w:pPr>
    </w:p>
    <w:p>
      <w:pPr>
        <w:ind w:right="40" w:firstLine="259"/>
        <w:spacing w:after="0" w:line="282" w:lineRule="auto"/>
        <w:rPr>
          <w:sz w:val="20"/>
          <w:szCs w:val="20"/>
          <w:color w:val="auto"/>
        </w:rPr>
      </w:pPr>
      <w:r>
        <w:rPr>
          <w:rFonts w:ascii="Times New Roman" w:cs="Times New Roman" w:eastAsia="Times New Roman" w:hAnsi="Times New Roman"/>
          <w:sz w:val="18"/>
          <w:szCs w:val="18"/>
          <w:color w:val="auto"/>
        </w:rPr>
        <w:t>The November 5, 2018 amendment also established certain additional concentration limits in connection with the calculation of the borrowing base, based on the Obligor Asset Coverage Ratio. Size, pricing and other significant terms in the Revolving Credit Facility remained unchanged.</w:t>
      </w:r>
    </w:p>
    <w:p>
      <w:pPr>
        <w:spacing w:after="0" w:line="162"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Net proceeds received from the Company’s common stock issuance in March 2018 and net proceeds received from the issuance of the 2022 Convertible Notes and 2023 Notes were used to pay down borrowings on the Revolving Credit Facility.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2018, the Company was in compliance with the terms of the Revolving Credit Facility.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Convertible Notes</w:t>
      </w:r>
    </w:p>
    <w:p>
      <w:pPr>
        <w:spacing w:after="0" w:line="119" w:lineRule="exact"/>
        <w:rPr>
          <w:sz w:val="20"/>
          <w:szCs w:val="20"/>
          <w:color w:val="auto"/>
        </w:rPr>
      </w:pPr>
    </w:p>
    <w:p>
      <w:pPr>
        <w:ind w:right="220" w:firstLine="259"/>
        <w:spacing w:after="0" w:line="261" w:lineRule="auto"/>
        <w:rPr>
          <w:sz w:val="20"/>
          <w:szCs w:val="20"/>
          <w:color w:val="auto"/>
        </w:rPr>
      </w:pPr>
      <w:r>
        <w:rPr>
          <w:rFonts w:ascii="Times New Roman" w:cs="Times New Roman" w:eastAsia="Times New Roman" w:hAnsi="Times New Roman"/>
          <w:sz w:val="18"/>
          <w:szCs w:val="18"/>
          <w:color w:val="auto"/>
        </w:rPr>
        <w:t>In June 2014, the Company issued in a private offering $115 million aggregate principal amount convertible notes due December 2019 (the “2019 Convertible Notes”). The 2019 Convertible Notes were issued in a private placement only to qualified institutional buyers pursuant to Rule 144A under the Securities Act. The 2019 Convertible Notes are unsecured, and bear interest at a rate of 4.50% per year, payable semiannually. The 2019 Convertible Notes will mature on December 15, 2019. In certain circumstances,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3" w:name="page114"/>
    <w:bookmarkEnd w:id="113"/>
    <w:p>
      <w:pPr>
        <w:ind w:right="20"/>
        <w:spacing w:after="0" w:line="254" w:lineRule="auto"/>
        <w:rPr>
          <w:sz w:val="20"/>
          <w:szCs w:val="20"/>
          <w:color w:val="auto"/>
        </w:rPr>
      </w:pPr>
      <w:r>
        <w:rPr>
          <w:rFonts w:ascii="Times New Roman" w:cs="Times New Roman" w:eastAsia="Times New Roman" w:hAnsi="Times New Roman"/>
          <w:sz w:val="18"/>
          <w:szCs w:val="18"/>
          <w:color w:val="auto"/>
        </w:rPr>
        <w:t>2019 Convertible Notes will be convertible into cash, shares of the Company’s common stock or a combination of cash and shares of the Company’s common stock, at the Company’s election, at an initial conversion rate of 38.7162 shares of common stock per $1,000 principal amount of 2019 Convertible Notes, which is equivalent to an initial conversion price of approximately $25.83 per share of the Company’s common stock, subject to customary anti-dilution adjustments. As of December 31, 2018, the estimated adjusted conversion price was approximately $25.07 per share of common stock. The sale of the 2019 Convertible Notes generated net proceeds of approximately $110.8 million. The Company used the net proceeds of the offering to pay down debt under the Revolving Credit Facility. In connection with the offering of 2019 Convertible Notes, the Company has entered into interest rate swaps to continue to align the interest rates of its liabilities with its investment portfolio, which consists of predominately floating rate loans. As a result of the swaps, the Company’s effective interest rate on the 2019 Convertible Notes is three-month LIBOR plus 2.86%. See Note 5 for further information related to the Company’s interest rate swaps.</w:t>
      </w:r>
    </w:p>
    <w:p>
      <w:pPr>
        <w:spacing w:after="0" w:line="189"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Holders may convert their 2019 Convertible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2019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Convertible Notes</w:t>
      </w:r>
    </w:p>
    <w:p>
      <w:pPr>
        <w:spacing w:after="0" w:line="119" w:lineRule="exact"/>
        <w:rPr>
          <w:sz w:val="20"/>
          <w:szCs w:val="20"/>
          <w:color w:val="auto"/>
        </w:rPr>
      </w:pPr>
    </w:p>
    <w:p>
      <w:pPr>
        <w:ind w:firstLine="259"/>
        <w:spacing w:after="0" w:line="253" w:lineRule="auto"/>
        <w:rPr>
          <w:sz w:val="20"/>
          <w:szCs w:val="20"/>
          <w:color w:val="auto"/>
        </w:rPr>
      </w:pPr>
      <w:r>
        <w:rPr>
          <w:rFonts w:ascii="Times New Roman" w:cs="Times New Roman" w:eastAsia="Times New Roman" w:hAnsi="Times New Roman"/>
          <w:sz w:val="18"/>
          <w:szCs w:val="18"/>
          <w:color w:val="auto"/>
        </w:rPr>
        <w:t>In February 2017, the Company issued in a private offering $115 million aggregate principal amount convertible notes due August 2022 (the “2022 Convertible Notes” and, together with the 2019 Convertible Notes, the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the Company’s common stock or a combination of cash and shares of the Company’s common stock, at the Company’s election, at an initial conversion rate of 46.8516 shares of common stock per $1,000 principal amount of 2022 Convertible Notes, which is equivalent to an initial conversion price of approximately $21.34 per share of the Company’s common stock, subject to customary anti-dilution adjustments. As of December 31, 2018, the estimated adjusted conversion price was approximately $20.91 per share of common stock. The sale of the 2022 Convertible Notes generated net proceeds of approximately $111.2 million. The Company used the net proceeds of the offering to pay down debt under the Revolving Credit Facility. In connection with the offering of 2022 Convertible Notes, the Company has entered into an interest rate swap to continue to align the interest rates of its liabilities with its investment portfolio, which consists of predominately floating rate loans. As a result of the swap, the Company’s effective interest rate on the original issuance of 2022 Convertible Notes is three-month LIBOR plus 2.37%. See Note 5 for further information related to the Company’s interest rate swaps.</w:t>
      </w:r>
    </w:p>
    <w:p>
      <w:pPr>
        <w:spacing w:after="0" w:line="189"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In June 2018, the Company issued an additional $57.5 million aggregate principal amount of 2022 Convertible Notes. The additional Convertible Notes were issued with identical terms, and are fungible with and are part of a single series with the previously outstanding $115 million aggregate principal amount of the Company’s existing 2022 Convertible Notes issued in February 2017. In connection with the reopening of the 2022 Convertible Notes, the Company entered into interest rate swaps to continue to align the interest rates of its liabilities with its investment portfolio, which consists of predominantly floating rate loans. As a result of the additional swaps, the Company’s effective interest rate on the additional 2022 Convertible Notes is approximately three-month LIBOR plus 1.60%. See Note 5 for further information related to the Company’s interest rate swaps.</w:t>
      </w:r>
    </w:p>
    <w:p>
      <w:pPr>
        <w:spacing w:after="0" w:line="188"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Holders may convert their 2022 Convertible Notes at their option at any time prior to February 1, 2022 only under the following circumstances: (1) 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4" w:name="page115"/>
    <w:bookmarkEnd w:id="114"/>
    <w:p>
      <w:pPr>
        <w:ind w:firstLine="259"/>
        <w:spacing w:after="0" w:line="258" w:lineRule="auto"/>
        <w:rPr>
          <w:sz w:val="20"/>
          <w:szCs w:val="20"/>
          <w:color w:val="auto"/>
        </w:rPr>
      </w:pPr>
      <w:r>
        <w:rPr>
          <w:rFonts w:ascii="Times New Roman" w:cs="Times New Roman" w:eastAsia="Times New Roman" w:hAnsi="Times New Roman"/>
          <w:sz w:val="18"/>
          <w:szCs w:val="18"/>
          <w:color w:val="auto"/>
        </w:rPr>
        <w:t>The Convertible Notes are the Company’s unsecured obligations and rank senior in right of payment to the Company’s future indebtedness that is expressly subordinated in right of payment to the Convertible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years ended December 31, 2018, 2017, and 2016 the components of interest expense related to the Convertible Notes were as follows: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Total interest expense in the table above does not include the effect of the interest rate swaps. During the years ended December 31, 2018, 2017 and 2016, the Company received $11.7 million, $9.9 million, and $5.2 million, respectively, and paid $12.4 million, $8.5 million, and $4.1 million, respectively, related to the quarterly settlement of its interest rate swaps. These net amounts are reductions to interest expense in the Company’s consolidated statements of operations.</w:t>
      </w:r>
    </w:p>
    <w:p>
      <w:pPr>
        <w:spacing w:after="0" w:line="180" w:lineRule="exact"/>
        <w:rPr>
          <w:sz w:val="20"/>
          <w:szCs w:val="20"/>
          <w:color w:val="auto"/>
        </w:rPr>
      </w:pPr>
    </w:p>
    <w:p>
      <w:pPr>
        <w:ind w:right="120" w:firstLine="259"/>
        <w:spacing w:after="0" w:line="282" w:lineRule="auto"/>
        <w:rPr>
          <w:sz w:val="20"/>
          <w:szCs w:val="20"/>
          <w:color w:val="auto"/>
        </w:rPr>
      </w:pPr>
      <w:r>
        <w:rPr>
          <w:rFonts w:ascii="Times New Roman" w:cs="Times New Roman" w:eastAsia="Times New Roman" w:hAnsi="Times New Roman"/>
          <w:sz w:val="18"/>
          <w:szCs w:val="18"/>
          <w:color w:val="auto"/>
        </w:rPr>
        <w:t>As of December 31, 2018 and December 31, 2017, the principal amount of the Convertible Notes exceeded the value of the underlying shares multiplied by the per share closing price of the Company’s common stock.</w:t>
      </w:r>
    </w:p>
    <w:p>
      <w:pPr>
        <w:spacing w:after="0" w:line="162" w:lineRule="exact"/>
        <w:rPr>
          <w:sz w:val="20"/>
          <w:szCs w:val="20"/>
          <w:color w:val="auto"/>
        </w:rPr>
      </w:pPr>
    </w:p>
    <w:p>
      <w:pPr>
        <w:ind w:right="400" w:firstLine="259"/>
        <w:spacing w:after="0" w:line="282" w:lineRule="auto"/>
        <w:rPr>
          <w:sz w:val="20"/>
          <w:szCs w:val="20"/>
          <w:color w:val="auto"/>
        </w:rPr>
      </w:pPr>
      <w:r>
        <w:rPr>
          <w:rFonts w:ascii="Times New Roman" w:cs="Times New Roman" w:eastAsia="Times New Roman" w:hAnsi="Times New Roman"/>
          <w:sz w:val="18"/>
          <w:szCs w:val="18"/>
          <w:color w:val="auto"/>
        </w:rPr>
        <w:t>As of December 31, 2018 and December 31, 2017, the components of the carrying value of the Convertible Notes and the stated interest rate were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4"/>
        </w:trPr>
        <w:tc>
          <w:tcPr>
            <w:tcW w:w="4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198"/>
              <w:spacing w:after="0" w:line="14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jc w:val="center"/>
              <w:ind w:right="337"/>
              <w:spacing w:after="0" w:line="145"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2"/>
                <w:szCs w:val="12"/>
                <w:color w:val="auto"/>
              </w:rPr>
            </w:pPr>
          </w:p>
        </w:tc>
      </w:tr>
      <w:tr>
        <w:trPr>
          <w:trHeight w:val="149"/>
        </w:trPr>
        <w:tc>
          <w:tcPr>
            <w:tcW w:w="4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r>
      <w:tr>
        <w:trPr>
          <w:trHeight w:val="173"/>
        </w:trPr>
        <w:tc>
          <w:tcPr>
            <w:tcW w:w="4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Notes</w:t>
            </w: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debt</w:t>
            </w: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net of accretion</w:t>
            </w:r>
          </w:p>
        </w:tc>
        <w:tc>
          <w:tcPr>
            <w:tcW w:w="2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r>
      <w:tr>
        <w:trPr>
          <w:trHeight w:val="23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(3,416)</w:t>
            </w:r>
          </w:p>
        </w:tc>
      </w:tr>
      <w:tr>
        <w:trPr>
          <w:trHeight w:val="263"/>
        </w:trPr>
        <w:tc>
          <w:tcPr>
            <w:tcW w:w="4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Carrying value of debt</w:t>
            </w: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113,606</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168,251</w:t>
            </w:r>
          </w:p>
        </w:tc>
        <w:tc>
          <w:tcPr>
            <w:tcW w:w="180" w:type="dxa"/>
            <w:vAlign w:val="bottom"/>
            <w:tcBorders>
              <w:bottom w:val="single" w:sz="8" w:color="CFF0FC"/>
            </w:tcBorders>
          </w:tcPr>
          <w:p>
            <w:pPr>
              <w:spacing w:after="0"/>
              <w:rPr>
                <w:sz w:val="22"/>
                <w:szCs w:val="22"/>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r>
      <w:tr>
        <w:trPr>
          <w:trHeight w:val="378"/>
        </w:trPr>
        <w:tc>
          <w:tcPr>
            <w:tcW w:w="4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1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4"/>
        </w:trPr>
        <w:tc>
          <w:tcPr>
            <w:tcW w:w="4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198"/>
              <w:spacing w:after="0" w:line="14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jc w:val="center"/>
              <w:ind w:right="337"/>
              <w:spacing w:after="0" w:line="145"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2"/>
                <w:szCs w:val="12"/>
                <w:color w:val="auto"/>
              </w:rPr>
            </w:pPr>
          </w:p>
        </w:tc>
      </w:tr>
      <w:tr>
        <w:trPr>
          <w:trHeight w:val="149"/>
        </w:trPr>
        <w:tc>
          <w:tcPr>
            <w:tcW w:w="4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r>
      <w:tr>
        <w:trPr>
          <w:trHeight w:val="173"/>
        </w:trPr>
        <w:tc>
          <w:tcPr>
            <w:tcW w:w="4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Notes</w:t>
            </w: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debt</w:t>
            </w: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net of accretion</w:t>
            </w:r>
          </w:p>
        </w:tc>
        <w:tc>
          <w:tcPr>
            <w:tcW w:w="2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(3,176)</w:t>
            </w:r>
          </w:p>
        </w:tc>
      </w:tr>
      <w:tr>
        <w:trPr>
          <w:trHeight w:val="263"/>
        </w:trPr>
        <w:tc>
          <w:tcPr>
            <w:tcW w:w="4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Carrying value of debt</w:t>
            </w: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112,182</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111,522</w:t>
            </w:r>
          </w:p>
        </w:tc>
        <w:tc>
          <w:tcPr>
            <w:tcW w:w="180" w:type="dxa"/>
            <w:vAlign w:val="bottom"/>
            <w:tcBorders>
              <w:bottom w:val="single" w:sz="8" w:color="CFF0FC"/>
            </w:tcBorders>
          </w:tcPr>
          <w:p>
            <w:pPr>
              <w:spacing w:after="0"/>
              <w:rPr>
                <w:sz w:val="22"/>
                <w:szCs w:val="22"/>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r>
    </w:tbl>
    <w:p>
      <w:pPr>
        <w:spacing w:after="0" w:line="198" w:lineRule="exact"/>
        <w:rPr>
          <w:sz w:val="20"/>
          <w:szCs w:val="20"/>
          <w:color w:val="auto"/>
        </w:rPr>
      </w:pPr>
    </w:p>
    <w:p>
      <w:pPr>
        <w:ind w:right="120" w:firstLine="259"/>
        <w:spacing w:after="0" w:line="266" w:lineRule="auto"/>
        <w:rPr>
          <w:sz w:val="20"/>
          <w:szCs w:val="20"/>
          <w:color w:val="auto"/>
        </w:rPr>
      </w:pPr>
      <w:r>
        <w:rPr>
          <w:rFonts w:ascii="Times New Roman" w:cs="Times New Roman" w:eastAsia="Times New Roman" w:hAnsi="Times New Roman"/>
          <w:sz w:val="18"/>
          <w:szCs w:val="18"/>
          <w:color w:val="auto"/>
        </w:rPr>
        <w:t>The stated interest rate in the table above does not include the effect of the interest rate swaps. The Company’s swap-adjusted interest rate on the Convertible Notes is three month LIBOR plus 2.86% for the 2019 Convertible Notes, and three month LIBOR plus 2.11% (on a weighted average basis) for the 2022 Convertible Notes. Please see Note 5 for further information about the Company’s interest rate swaps.</w:t>
      </w:r>
    </w:p>
    <w:p>
      <w:pPr>
        <w:spacing w:after="0" w:line="176"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The indentures governing the Convertible Notes contain certain covenants, including covenants requiring the Company to comply with the applicable asset coverage ratio requirement under the 1940 Act and to provide financial information to the holders of the Convertible Notes under certain circumstances. These covenants are subject to important limitations and exceptions that are described in the indentures governing the Convertible Notes. As of December 31, 2018, the Company was in compliance with the terms of the indentures governing the Convertible Notes.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115" w:name="page116"/>
    <w:bookmarkEnd w:id="115"/>
    <w:p>
      <w:pPr>
        <w:ind w:right="60" w:firstLine="259"/>
        <w:spacing w:after="0" w:line="254" w:lineRule="auto"/>
        <w:rPr>
          <w:sz w:val="20"/>
          <w:szCs w:val="20"/>
          <w:color w:val="auto"/>
        </w:rPr>
      </w:pPr>
      <w:r>
        <w:rPr>
          <w:rFonts w:ascii="Times New Roman" w:cs="Times New Roman" w:eastAsia="Times New Roman" w:hAnsi="Times New Roman"/>
          <w:sz w:val="18"/>
          <w:szCs w:val="18"/>
          <w:color w:val="auto"/>
        </w:rPr>
        <w:t>The Convertible Notes are accounted for in accordance with Accounting Standards Codification (“ASC”) 470-20. Upon conversion of any of the Convertible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indentures governing the Convertible Notes. The Company has determined that the embedded conversion options in each series of Convertible Notes are not required to be separately accounted for as a derivative under U.S. GAAP. In accounting for the Convertible Notes, the Company estimated at the time of issuance separate debt and equity components of each series of Convertible Notes. An original issue discount equal to the equity components of each series of Convertible Notes was recorded in “additional paid-in capital” in the accompanying consolidated balance sheet. Additionally, the issuance costs associated with the Convertible Notes were allocated to the debt and equity components in proportion to the allocation of the proceeds and accounted for as deferred financing costs and equity issuance costs, respectively.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Notes</w:t>
      </w:r>
    </w:p>
    <w:p>
      <w:pPr>
        <w:spacing w:after="0" w:line="119"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84" w:lineRule="exact"/>
        <w:rPr>
          <w:sz w:val="20"/>
          <w:szCs w:val="20"/>
          <w:color w:val="auto"/>
        </w:rPr>
      </w:pPr>
    </w:p>
    <w:p>
      <w:pPr>
        <w:ind w:right="140" w:firstLine="259"/>
        <w:spacing w:after="0" w:line="266" w:lineRule="auto"/>
        <w:rPr>
          <w:sz w:val="20"/>
          <w:szCs w:val="20"/>
          <w:color w:val="auto"/>
        </w:rPr>
      </w:pPr>
      <w:r>
        <w:rPr>
          <w:rFonts w:ascii="Times New Roman" w:cs="Times New Roman" w:eastAsia="Times New Roman" w:hAnsi="Times New Roman"/>
          <w:sz w:val="18"/>
          <w:szCs w:val="18"/>
          <w:color w:val="auto"/>
        </w:rPr>
        <w:t>In connection with the 2023 Notes offering, the Company entered into an interest rate swap to continue to align the interest rates of its liabilities with the Company’s investment portfolio, which consists of predominately floating rate loans. As a result of the swap, the Company’s effective interest rate on the 2023 Notes is three-month LIBOR plus 1.99%. Please see Note 5 for further information about the Company’s interest rate swaps.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year ended December 31, 2018, the components of interest expense related to the 2023 Notes were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20" w:type="dxa"/>
            <w:vAlign w:val="bottom"/>
          </w:tcPr>
          <w:p>
            <w:pPr>
              <w:spacing w:after="0"/>
              <w:rPr>
                <w:sz w:val="19"/>
                <w:szCs w:val="19"/>
                <w:color w:val="auto"/>
              </w:rPr>
            </w:pPr>
          </w:p>
        </w:tc>
        <w:tc>
          <w:tcPr>
            <w:tcW w:w="6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2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259"/>
        <w:spacing w:after="0" w:line="261" w:lineRule="auto"/>
        <w:rPr>
          <w:sz w:val="20"/>
          <w:szCs w:val="20"/>
          <w:color w:val="auto"/>
        </w:rPr>
      </w:pPr>
      <w:r>
        <w:rPr>
          <w:rFonts w:ascii="Times New Roman" w:cs="Times New Roman" w:eastAsia="Times New Roman" w:hAnsi="Times New Roman"/>
          <w:sz w:val="18"/>
          <w:szCs w:val="18"/>
          <w:color w:val="auto"/>
        </w:rPr>
        <w:t>Total interest expense in the table above does not include the effect of the interest rate swaps related to the 2023 Notes. During the year ended December 31, 2018, the Company received $6.3 million and paid $6.0 million related to the settlements of its interest rate swaps related to the Notes. These net amounts are included in interest expense in the Company’s consolidated statements of operations. Please see Note 5 for further information about the Company’s interest rate swaps.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2018, the components of the carrying value of the 2023 Notes and the stated interest rate were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2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2023 Notes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debt</w:t>
            </w:r>
          </w:p>
        </w:tc>
        <w:tc>
          <w:tcPr>
            <w:tcW w:w="18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net of accretion</w:t>
            </w:r>
          </w:p>
        </w:tc>
        <w:tc>
          <w:tcPr>
            <w:tcW w:w="1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8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value of debt</w:t>
            </w:r>
          </w:p>
        </w:tc>
        <w:tc>
          <w:tcPr>
            <w:tcW w:w="184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147,343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000000"/>
          </w:tcPr>
          <w:p>
            <w:pPr>
              <w:spacing w:after="0" w:line="20" w:lineRule="exact"/>
              <w:rPr>
                <w:sz w:val="1"/>
                <w:szCs w:val="1"/>
                <w:color w:val="auto"/>
              </w:rPr>
            </w:pPr>
          </w:p>
        </w:tc>
        <w:tc>
          <w:tcPr>
            <w:tcW w:w="194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vMerge w:val="continue"/>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00" w:firstLine="259"/>
        <w:spacing w:after="0" w:line="282" w:lineRule="auto"/>
        <w:rPr>
          <w:sz w:val="20"/>
          <w:szCs w:val="20"/>
          <w:color w:val="auto"/>
        </w:rPr>
      </w:pPr>
      <w:r>
        <w:rPr>
          <w:rFonts w:ascii="Times New Roman" w:cs="Times New Roman" w:eastAsia="Times New Roman" w:hAnsi="Times New Roman"/>
          <w:sz w:val="18"/>
          <w:szCs w:val="18"/>
          <w:color w:val="auto"/>
        </w:rPr>
        <w:t>The stated interest rate in the table above does not include the effect of the interest rate swaps. The Company’s swap-adjusted interest rate on the 2023 Notes is three month LIBOR plus 1.99%.</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2018 and December 31, 2017, the Company was in compliance with the terms of the indentures governing the 2023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Company Commitments</w:t>
      </w:r>
    </w:p>
    <w:p>
      <w:pPr>
        <w:spacing w:after="0" w:line="119"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2018 and December 31, 2017, the Company had the following commitments to fund investments in current portfolio companies: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7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23"/>
        </w:trPr>
        <w:tc>
          <w:tcPr>
            <w:tcW w:w="7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AppStar Financial, LLC - Revolver</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Caris Life Sciences, Ltd. - Delayed Draw</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ClearCompany, LLC - Delayed Draw</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Ferrellgas, L.P.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Frontline Technologies Group, LLC - Delayed Draw</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 Treasury SS, LLC - Delayed Draw</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 Treasury SS, LLC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Government Brands, LLC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Helix Health, Ltd.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Illuminate Education, Inc.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Industrial Physics, LLC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Integration Appliance, Inc.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IRGSE Holding Corp.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Leaf US Holdings, Inc.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Lithium Technologies, LLC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MD America Energy, LLC - Delayed Draw</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Marketo, Inc.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Motus, LLC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Northern Oil and Gas, Inc. - Delayed Draw</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PageUp People Limited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PayLease, LLC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PaySimple, Inc.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PrimeRevenue, Inc.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Rex Energy Corporation - Delayed Draw</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Riskonnect, Inc.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ScentAir Technologies, Inc.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Sovos Compliance, LLC - Delayed Draw</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Sovos Compliance, LLC - Revolver</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103,721</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As of December 31, 2018 and 2017, the Company did not have any unfunded commitments to fund investments to new borrowers that were not current portfolio companies as of such date.</w:t>
      </w:r>
    </w:p>
    <w:p>
      <w:pPr>
        <w:spacing w:after="0" w:line="162" w:lineRule="exact"/>
        <w:rPr>
          <w:sz w:val="20"/>
          <w:szCs w:val="20"/>
          <w:color w:val="auto"/>
        </w:rPr>
      </w:pPr>
    </w:p>
    <w:p>
      <w:pPr>
        <w:ind w:right="320" w:firstLine="25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a party to certain legal proceedings incidental to the normal course of its business. As of December 31, 2018 and 2017, management is not aware of any pending or threatened litigation.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Assets</w:t>
      </w:r>
    </w:p>
    <w:p>
      <w:pPr>
        <w:spacing w:after="0" w:line="121" w:lineRule="exact"/>
        <w:rPr>
          <w:sz w:val="20"/>
          <w:szCs w:val="20"/>
          <w:color w:val="auto"/>
        </w:rPr>
      </w:pPr>
    </w:p>
    <w:p>
      <w:pPr>
        <w:ind w:right="320" w:firstLine="259"/>
        <w:spacing w:after="0" w:line="282" w:lineRule="auto"/>
        <w:rPr>
          <w:sz w:val="20"/>
          <w:szCs w:val="20"/>
          <w:color w:val="auto"/>
        </w:rPr>
      </w:pPr>
      <w:r>
        <w:rPr>
          <w:rFonts w:ascii="Times New Roman" w:cs="Times New Roman" w:eastAsia="Times New Roman" w:hAnsi="Times New Roman"/>
          <w:sz w:val="18"/>
          <w:szCs w:val="18"/>
          <w:color w:val="auto"/>
        </w:rPr>
        <w:t>In March 2018, the Company issued a total of 3,750,000 shares of common stock at $17.45 per share. Net of underwriting fees and offering costs, the Company received total cash proceeds of $63.0 million. Subsequent to the offering the Company issued an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117" w:name="page118"/>
    <w:bookmarkEnd w:id="117"/>
    <w:p>
      <w:pPr>
        <w:ind w:right="600"/>
        <w:spacing w:after="0" w:line="282" w:lineRule="auto"/>
        <w:rPr>
          <w:sz w:val="20"/>
          <w:szCs w:val="20"/>
          <w:color w:val="auto"/>
        </w:rPr>
      </w:pPr>
      <w:r>
        <w:rPr>
          <w:rFonts w:ascii="Times New Roman" w:cs="Times New Roman" w:eastAsia="Times New Roman" w:hAnsi="Times New Roman"/>
          <w:sz w:val="18"/>
          <w:szCs w:val="18"/>
          <w:color w:val="auto"/>
        </w:rPr>
        <w:t>additional 522,224 shares in April 2018 pursuant to the overallotment option granted to underwriters and received, net of underwriting fees, total cash proceeds of $8.8 million.</w:t>
      </w:r>
    </w:p>
    <w:p>
      <w:pPr>
        <w:spacing w:after="0" w:line="162" w:lineRule="exact"/>
        <w:rPr>
          <w:sz w:val="20"/>
          <w:szCs w:val="20"/>
          <w:color w:val="auto"/>
        </w:rPr>
      </w:pPr>
    </w:p>
    <w:p>
      <w:pPr>
        <w:ind w:right="40" w:firstLine="259"/>
        <w:spacing w:after="0" w:line="254" w:lineRule="auto"/>
        <w:rPr>
          <w:sz w:val="20"/>
          <w:szCs w:val="20"/>
          <w:color w:val="auto"/>
        </w:rPr>
      </w:pPr>
      <w:r>
        <w:rPr>
          <w:rFonts w:ascii="Times New Roman" w:cs="Times New Roman" w:eastAsia="Times New Roman" w:hAnsi="Times New Roman"/>
          <w:sz w:val="18"/>
          <w:szCs w:val="18"/>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9" w:lineRule="exact"/>
        <w:rPr>
          <w:sz w:val="20"/>
          <w:szCs w:val="20"/>
          <w:color w:val="auto"/>
        </w:rPr>
      </w:pPr>
    </w:p>
    <w:p>
      <w:pPr>
        <w:jc w:val="both"/>
        <w:ind w:right="180" w:firstLine="259"/>
        <w:spacing w:after="0" w:line="266" w:lineRule="auto"/>
        <w:rPr>
          <w:sz w:val="20"/>
          <w:szCs w:val="20"/>
          <w:color w:val="auto"/>
        </w:rPr>
      </w:pPr>
      <w:r>
        <w:rPr>
          <w:rFonts w:ascii="Times New Roman" w:cs="Times New Roman" w:eastAsia="Times New Roman" w:hAnsi="Times New Roman"/>
          <w:sz w:val="18"/>
          <w:szCs w:val="18"/>
          <w:color w:val="auto"/>
        </w:rPr>
        <w:t>Pursuant to the Company’s dividend reinvestment plan, the following tables summarize the shares issued to stockholders who have not opted out of the Company’s dividend reinvestment plan during the year ended December 31, 2018 and 2017. All shares issued to stockholders in the tables below are newly issued shares.</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3"/>
          </w:tcPr>
          <w:p>
            <w:pPr>
              <w:jc w:val="center"/>
              <w:ind w:left="197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540" w:type="dxa"/>
            <w:vAlign w:val="bottom"/>
            <w:tcBorders>
              <w:bottom w:val="single" w:sz="8" w:color="auto"/>
            </w:tcBorders>
            <w:gridSpan w:val="5"/>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b w:val="1"/>
                <w:bCs w:val="1"/>
                <w:color w:val="auto"/>
              </w:rPr>
              <w:t>Date</w:t>
            </w: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xml:space="preserve">Dividend </w:t>
            </w:r>
            <w:r>
              <w:rPr>
                <w:rFonts w:ascii="Times New Roman" w:cs="Times New Roman" w:eastAsia="Times New Roman" w:hAnsi="Times New Roman"/>
                <w:sz w:val="12"/>
                <w:szCs w:val="12"/>
                <w:b w:val="1"/>
                <w:bCs w:val="1"/>
                <w:color w:val="auto"/>
              </w:rPr>
              <w:t>(1)</w:t>
            </w:r>
          </w:p>
        </w:tc>
        <w:tc>
          <w:tcPr>
            <w:tcW w:w="29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7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7, 2017</w:t>
            </w:r>
          </w:p>
        </w:tc>
        <w:tc>
          <w:tcPr>
            <w:tcW w:w="3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Base</w:t>
            </w:r>
          </w:p>
        </w:tc>
        <w:tc>
          <w:tcPr>
            <w:tcW w:w="120" w:type="dxa"/>
            <w:vAlign w:val="bottom"/>
            <w:tcBorders>
              <w:top w:val="single" w:sz="8" w:color="CFF0FC"/>
            </w:tcBorders>
            <w:shd w:val="clear" w:color="auto" w:fill="CFF0FC"/>
          </w:tcPr>
          <w:p>
            <w:pPr>
              <w:spacing w:after="0"/>
              <w:rPr>
                <w:sz w:val="19"/>
                <w:szCs w:val="19"/>
                <w:color w:val="auto"/>
              </w:rPr>
            </w:pPr>
          </w:p>
        </w:tc>
        <w:tc>
          <w:tcPr>
            <w:tcW w:w="2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15, 2017</w:t>
            </w: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January 12, 2018</w:t>
            </w:r>
          </w:p>
        </w:tc>
        <w:tc>
          <w:tcPr>
            <w:tcW w:w="14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21, 2018</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Supplemental</w:t>
            </w:r>
          </w:p>
        </w:tc>
        <w:tc>
          <w:tcPr>
            <w:tcW w:w="29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February 28, 2018</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March 30, 2018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21, 2018</w:t>
            </w:r>
          </w:p>
        </w:tc>
        <w:tc>
          <w:tcPr>
            <w:tcW w:w="12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7"/>
              </w:rPr>
              <w:t>Base</w:t>
            </w:r>
          </w:p>
        </w:tc>
        <w:tc>
          <w:tcPr>
            <w:tcW w:w="290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March 15, 2018</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April 13, 2018</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2018</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Supplemental</w:t>
            </w:r>
          </w:p>
        </w:tc>
        <w:tc>
          <w:tcPr>
            <w:tcW w:w="29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May 31, 2018</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June 29, 2018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3, 2018</w:t>
            </w:r>
          </w:p>
        </w:tc>
        <w:tc>
          <w:tcPr>
            <w:tcW w:w="12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7"/>
              </w:rPr>
              <w:t>Base</w:t>
            </w:r>
          </w:p>
        </w:tc>
        <w:tc>
          <w:tcPr>
            <w:tcW w:w="290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June 15, 2018</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July 13, 2018</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2018</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Supplemental</w:t>
            </w:r>
          </w:p>
        </w:tc>
        <w:tc>
          <w:tcPr>
            <w:tcW w:w="29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August 31, 2018</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September 28, 2018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1, 2018</w:t>
            </w:r>
          </w:p>
        </w:tc>
        <w:tc>
          <w:tcPr>
            <w:tcW w:w="12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7"/>
              </w:rPr>
              <w:t>Base</w:t>
            </w:r>
          </w:p>
        </w:tc>
        <w:tc>
          <w:tcPr>
            <w:tcW w:w="290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September 14, 2018</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October 15, 2018</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November 6, 2018</w:t>
            </w:r>
          </w:p>
        </w:tc>
        <w:tc>
          <w:tcPr>
            <w:tcW w:w="1220" w:type="dxa"/>
            <w:vAlign w:val="bottom"/>
            <w:tcBorders>
              <w:bottom w:val="single" w:sz="8" w:color="CFF0FC"/>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Supplemental</w:t>
            </w:r>
          </w:p>
        </w:tc>
        <w:tc>
          <w:tcPr>
            <w:tcW w:w="2900" w:type="dxa"/>
            <w:vAlign w:val="bottom"/>
            <w:tcBorders>
              <w:bottom w:val="single" w:sz="8" w:color="CFF0FC"/>
            </w:tcBorders>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November 30, 2018</w:t>
            </w:r>
          </w:p>
        </w:tc>
        <w:tc>
          <w:tcPr>
            <w:tcW w:w="1640" w:type="dxa"/>
            <w:vAlign w:val="bottom"/>
            <w:tcBorders>
              <w:bottom w:val="single" w:sz="8" w:color="CFF0FC"/>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December 31, 2018</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893,392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gridSpan w:val="3"/>
            <w:vMerge w:val="restart"/>
          </w:tcPr>
          <w:p>
            <w:pPr>
              <w:jc w:val="center"/>
              <w:ind w:left="197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3"/>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540" w:type="dxa"/>
            <w:vAlign w:val="bottom"/>
            <w:tcBorders>
              <w:bottom w:val="single" w:sz="8" w:color="auto"/>
            </w:tcBorders>
            <w:gridSpan w:val="5"/>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b w:val="1"/>
                <w:bCs w:val="1"/>
                <w:color w:val="auto"/>
              </w:rPr>
              <w:t>Date</w:t>
            </w: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xml:space="preserve">Dividend </w:t>
            </w:r>
            <w:r>
              <w:rPr>
                <w:rFonts w:ascii="Times New Roman" w:cs="Times New Roman" w:eastAsia="Times New Roman" w:hAnsi="Times New Roman"/>
                <w:sz w:val="12"/>
                <w:szCs w:val="12"/>
                <w:b w:val="1"/>
                <w:bCs w:val="1"/>
                <w:color w:val="auto"/>
              </w:rPr>
              <w:t>(1)</w:t>
            </w:r>
          </w:p>
        </w:tc>
        <w:tc>
          <w:tcPr>
            <w:tcW w:w="29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7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7, 2016</w:t>
            </w:r>
          </w:p>
        </w:tc>
        <w:tc>
          <w:tcPr>
            <w:tcW w:w="3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Base</w:t>
            </w:r>
          </w:p>
        </w:tc>
        <w:tc>
          <w:tcPr>
            <w:tcW w:w="120" w:type="dxa"/>
            <w:vAlign w:val="bottom"/>
            <w:tcBorders>
              <w:top w:val="single" w:sz="8" w:color="CFF0FC"/>
            </w:tcBorders>
            <w:shd w:val="clear" w:color="auto" w:fill="CFF0FC"/>
          </w:tcPr>
          <w:p>
            <w:pPr>
              <w:spacing w:after="0"/>
              <w:rPr>
                <w:sz w:val="19"/>
                <w:szCs w:val="19"/>
                <w:color w:val="auto"/>
              </w:rPr>
            </w:pPr>
          </w:p>
        </w:tc>
        <w:tc>
          <w:tcPr>
            <w:tcW w:w="2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31, 2016</w:t>
            </w: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1, 2017</w:t>
            </w:r>
          </w:p>
        </w:tc>
        <w:tc>
          <w:tcPr>
            <w:tcW w:w="14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122,836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22, 2017</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Base</w:t>
            </w:r>
          </w:p>
        </w:tc>
        <w:tc>
          <w:tcPr>
            <w:tcW w:w="29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 xml:space="preserve">April 7, 2017 </w:t>
            </w:r>
            <w:r>
              <w:rPr>
                <w:rFonts w:ascii="Times New Roman" w:cs="Times New Roman" w:eastAsia="Times New Roman" w:hAnsi="Times New Roman"/>
                <w:sz w:val="15"/>
                <w:szCs w:val="15"/>
                <w:color w:val="auto"/>
              </w:rPr>
              <w:t>(2)</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May 1, 2017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3, 2017</w:t>
            </w:r>
          </w:p>
        </w:tc>
        <w:tc>
          <w:tcPr>
            <w:tcW w:w="12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8"/>
              </w:rPr>
              <w:t>Supplemental</w:t>
            </w:r>
          </w:p>
        </w:tc>
        <w:tc>
          <w:tcPr>
            <w:tcW w:w="290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May 31, 2017</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June 30, 2017</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2017</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Base</w:t>
            </w:r>
          </w:p>
        </w:tc>
        <w:tc>
          <w:tcPr>
            <w:tcW w:w="29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June 15, 2017</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July 14, 2017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12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8"/>
              </w:rPr>
              <w:t>Supplemental</w:t>
            </w:r>
          </w:p>
        </w:tc>
        <w:tc>
          <w:tcPr>
            <w:tcW w:w="290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August 31, 2017</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September 29, 2017</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Base</w:t>
            </w:r>
          </w:p>
        </w:tc>
        <w:tc>
          <w:tcPr>
            <w:tcW w:w="29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September 15, 2017</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October 13, 2017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7, 2017</w:t>
            </w:r>
          </w:p>
        </w:tc>
        <w:tc>
          <w:tcPr>
            <w:tcW w:w="12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8"/>
              </w:rPr>
              <w:t>Supplemental</w:t>
            </w:r>
          </w:p>
        </w:tc>
        <w:tc>
          <w:tcPr>
            <w:tcW w:w="290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November 30, 2017</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December 29, 2017</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for further information on base and supplemental dividends.</w:t>
      </w:r>
    </w:p>
    <w:p>
      <w:pPr>
        <w:spacing w:after="0" w:line="27" w:lineRule="exact"/>
        <w:rPr>
          <w:rFonts w:ascii="Times New Roman" w:cs="Times New Roman" w:eastAsia="Times New Roman" w:hAnsi="Times New Roman"/>
          <w:sz w:val="18"/>
          <w:szCs w:val="18"/>
          <w:color w:val="auto"/>
        </w:rPr>
      </w:pPr>
    </w:p>
    <w:p>
      <w:pPr>
        <w:ind w:left="520" w:hanging="512"/>
        <w:spacing w:after="0" w:line="254" w:lineRule="auto"/>
        <w:tabs>
          <w:tab w:leader="none" w:pos="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the Company’s consolidated balance sheet as of March 31, 2017. There was no change to the dividend amount or payment date.</w:t>
      </w:r>
    </w:p>
    <w:p>
      <w:pPr>
        <w:spacing w:after="0" w:line="186"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On August 4, 2015, the Company's Board approved a stock repurchase plan, the Company 10b5-1 Plan, to acquire up to $50 million in the aggregate of the Company’s common stock at prices just below the Company’s net asset value per share over an initial six month period, in accordance with the guidelines specified in Rule 10b-18 and Rule 10b5-1 of the Exchange Act, and has continued to authorize extensions of the plan termination date prior to its expiration since that time.</w:t>
      </w:r>
    </w:p>
    <w:p>
      <w:pPr>
        <w:spacing w:after="0" w:line="180" w:lineRule="exact"/>
        <w:rPr>
          <w:sz w:val="20"/>
          <w:szCs w:val="20"/>
          <w:color w:val="auto"/>
        </w:rPr>
      </w:pPr>
    </w:p>
    <w:p>
      <w:pPr>
        <w:ind w:right="160" w:firstLine="259"/>
        <w:spacing w:after="0" w:line="282" w:lineRule="auto"/>
        <w:rPr>
          <w:sz w:val="20"/>
          <w:szCs w:val="20"/>
          <w:color w:val="auto"/>
        </w:rPr>
      </w:pPr>
      <w:r>
        <w:rPr>
          <w:rFonts w:ascii="Times New Roman" w:cs="Times New Roman" w:eastAsia="Times New Roman" w:hAnsi="Times New Roman"/>
          <w:sz w:val="18"/>
          <w:szCs w:val="18"/>
          <w:color w:val="auto"/>
        </w:rPr>
        <w:t>The Company 10b5-1 Plan is designed to allow the Company to repurchase its common stock at times when it otherwise might be prevented from doing so under insider trading laws. The Company 10b5-1 Plan requires Goldman Sachs &amp; Co. LLC, as agent, to</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18" w:name="page119"/>
    <w:bookmarkEnd w:id="118"/>
    <w:p>
      <w:pPr>
        <w:ind w:right="300"/>
        <w:spacing w:after="0" w:line="258" w:lineRule="auto"/>
        <w:rPr>
          <w:sz w:val="20"/>
          <w:szCs w:val="20"/>
          <w:color w:val="auto"/>
        </w:rPr>
      </w:pPr>
      <w:r>
        <w:rPr>
          <w:rFonts w:ascii="Times New Roman" w:cs="Times New Roman" w:eastAsia="Times New Roman" w:hAnsi="Times New Roman"/>
          <w:sz w:val="18"/>
          <w:szCs w:val="18"/>
          <w:color w:val="auto"/>
        </w:rPr>
        <w:t>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84" w:lineRule="exact"/>
        <w:rPr>
          <w:sz w:val="20"/>
          <w:szCs w:val="20"/>
          <w:color w:val="auto"/>
        </w:rPr>
      </w:pPr>
    </w:p>
    <w:p>
      <w:pPr>
        <w:ind w:right="300" w:firstLine="259"/>
        <w:spacing w:after="0" w:line="282" w:lineRule="auto"/>
        <w:rPr>
          <w:sz w:val="20"/>
          <w:szCs w:val="20"/>
          <w:color w:val="auto"/>
        </w:rPr>
      </w:pPr>
      <w:r>
        <w:rPr>
          <w:rFonts w:ascii="Times New Roman" w:cs="Times New Roman" w:eastAsia="Times New Roman" w:hAnsi="Times New Roman"/>
          <w:sz w:val="18"/>
          <w:szCs w:val="18"/>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62" w:lineRule="exact"/>
        <w:rPr>
          <w:sz w:val="20"/>
          <w:szCs w:val="20"/>
          <w:color w:val="auto"/>
        </w:rPr>
      </w:pPr>
    </w:p>
    <w:p>
      <w:pPr>
        <w:jc w:val="both"/>
        <w:ind w:right="240" w:firstLine="259"/>
        <w:spacing w:after="0" w:line="266" w:lineRule="auto"/>
        <w:rPr>
          <w:sz w:val="20"/>
          <w:szCs w:val="20"/>
          <w:color w:val="auto"/>
        </w:rPr>
      </w:pPr>
      <w:r>
        <w:rPr>
          <w:rFonts w:ascii="Times New Roman" w:cs="Times New Roman" w:eastAsia="Times New Roman" w:hAnsi="Times New Roman"/>
          <w:sz w:val="18"/>
          <w:szCs w:val="18"/>
          <w:color w:val="auto"/>
        </w:rPr>
        <w:t>On February 20, 2019, the Board authorized the extension of the termination date of the Company 10b5-1 Plan to August 31, 2019. Unless extended or terminated by the Board, the Company 10b5-1 Plan will be in effect through the earlier of August 31, 2019 or such time as the current approved repurchase amount of up to $50 million has been fully utilized, subject to certain conditions.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years ended December 31, 2018 and 2017, no shares were repurchased under the Company 10b5-1 Plan.</w:t>
      </w:r>
    </w:p>
    <w:p>
      <w:pPr>
        <w:spacing w:after="0" w:line="200" w:lineRule="exact"/>
        <w:rPr>
          <w:sz w:val="20"/>
          <w:szCs w:val="20"/>
          <w:color w:val="auto"/>
        </w:rPr>
      </w:pPr>
    </w:p>
    <w:p>
      <w:pPr>
        <w:spacing w:after="0" w:line="210" w:lineRule="exact"/>
        <w:rPr>
          <w:sz w:val="20"/>
          <w:szCs w:val="20"/>
          <w:color w:val="auto"/>
        </w:rPr>
      </w:pPr>
    </w:p>
    <w:p>
      <w:pPr>
        <w:ind w:left="280" w:hanging="272"/>
        <w:spacing w:after="0"/>
        <w:tabs>
          <w:tab w:leader="none" w:pos="2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common share:</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28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94"/>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7"/>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2017</w:t>
            </w:r>
          </w:p>
        </w:tc>
        <w:tc>
          <w:tcPr>
            <w:tcW w:w="2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94"/>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100" w:type="dxa"/>
            <w:vAlign w:val="bottom"/>
            <w:tcBorders>
              <w:bottom w:val="single" w:sz="8" w:color="CFF0FC"/>
            </w:tcBorders>
          </w:tcPr>
          <w:p>
            <w:pPr>
              <w:spacing w:after="0"/>
              <w:rPr>
                <w:sz w:val="13"/>
                <w:szCs w:val="13"/>
                <w:color w:val="auto"/>
              </w:rPr>
            </w:pPr>
          </w:p>
        </w:tc>
      </w:tr>
      <w:tr>
        <w:trPr>
          <w:trHeight w:val="22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119,017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111,609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137,007</w:t>
            </w:r>
          </w:p>
        </w:tc>
        <w:tc>
          <w:tcPr>
            <w:tcW w:w="100" w:type="dxa"/>
            <w:vAlign w:val="bottom"/>
            <w:shd w:val="clear" w:color="auto" w:fill="CFF0FC"/>
          </w:tcPr>
          <w:p>
            <w:pPr>
              <w:spacing w:after="0"/>
              <w:rPr>
                <w:sz w:val="19"/>
                <w:szCs w:val="19"/>
                <w:color w:val="auto"/>
              </w:rPr>
            </w:pPr>
          </w:p>
        </w:tc>
      </w:tr>
      <w:tr>
        <w:trPr>
          <w:trHeight w:val="211"/>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64,028,137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59,995,387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58,591,380</w:t>
            </w:r>
          </w:p>
        </w:tc>
        <w:tc>
          <w:tcPr>
            <w:tcW w:w="100" w:type="dxa"/>
            <w:vAlign w:val="bottom"/>
          </w:tcPr>
          <w:p>
            <w:pPr>
              <w:spacing w:after="0"/>
              <w:rPr>
                <w:sz w:val="20"/>
                <w:szCs w:val="20"/>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common share—basic and diluted</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For the purpose of calculating diluted earnings per common share, the average closing price of the Company’s common stock for the year ended December 31, 2018 was less than the conversion price for the Convertible Notes outstanding as of December 31, 2018. Therefore, for all periods presented in the consolidated financial statements, the underlying shares for the intrinsic value of the embedded options in the Convertible Notes have no impact on the computation of diluted earnings per common share.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Dividends</w:t>
      </w:r>
    </w:p>
    <w:p>
      <w:pPr>
        <w:spacing w:after="0" w:line="121"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The Company has historically paid a dividend to stockholders on a quarterly basis. Following the completion of the quarter ended March 31, 2017, the Company introduced a dividend framework that provides for a quarterly base dividend and a variable supplemental dividend, subject to satisfaction of certain measurement tests and the approval of the Board.</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years ended December 31, 2018, 2017, and 2016:</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00" w:type="dxa"/>
            <w:vAlign w:val="bottom"/>
            <w:gridSpan w:val="2"/>
          </w:tcPr>
          <w:p>
            <w:pPr>
              <w:jc w:val="right"/>
              <w:ind w:right="16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gridSpan w:val="3"/>
          </w:tcPr>
          <w:p>
            <w:pPr>
              <w:jc w:val="right"/>
              <w:ind w:right="143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00" w:type="dxa"/>
            <w:vAlign w:val="bottom"/>
            <w:vMerge w:val="continue"/>
          </w:tcPr>
          <w:p>
            <w:pPr>
              <w:spacing w:after="0"/>
              <w:rPr>
                <w:sz w:val="13"/>
                <w:szCs w:val="13"/>
                <w:color w:val="auto"/>
              </w:rPr>
            </w:pPr>
          </w:p>
        </w:tc>
        <w:tc>
          <w:tcPr>
            <w:tcW w:w="116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2200" w:type="dxa"/>
            <w:vAlign w:val="bottom"/>
          </w:tcPr>
          <w:p>
            <w:pPr>
              <w:jc w:val="right"/>
              <w:ind w:right="633"/>
              <w:spacing w:after="0" w:line="155"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Pr>
          <w:p>
            <w:pPr>
              <w:spacing w:after="0"/>
              <w:rPr>
                <w:sz w:val="13"/>
                <w:szCs w:val="13"/>
                <w:color w:val="auto"/>
              </w:rPr>
            </w:pPr>
          </w:p>
        </w:tc>
        <w:tc>
          <w:tcPr>
            <w:tcW w:w="2380" w:type="dxa"/>
            <w:vAlign w:val="bottom"/>
          </w:tcPr>
          <w:p>
            <w:pPr>
              <w:jc w:val="right"/>
              <w:ind w:right="672"/>
              <w:spacing w:after="0" w:line="155"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ind w:right="92"/>
              <w:spacing w:after="0" w:line="155"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21, 2018</w:t>
            </w:r>
          </w:p>
        </w:tc>
        <w:tc>
          <w:tcPr>
            <w:tcW w:w="1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40" w:type="dxa"/>
            <w:vAlign w:val="bottom"/>
            <w:tcBorders>
              <w:top w:val="single" w:sz="8" w:color="CFF0FC"/>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28, 2018</w:t>
            </w:r>
          </w:p>
        </w:tc>
        <w:tc>
          <w:tcPr>
            <w:tcW w:w="120" w:type="dxa"/>
            <w:vAlign w:val="bottom"/>
            <w:tcBorders>
              <w:top w:val="single" w:sz="8" w:color="CFF0FC"/>
            </w:tcBorders>
            <w:shd w:val="clear" w:color="auto" w:fill="CFF0FC"/>
          </w:tcPr>
          <w:p>
            <w:pPr>
              <w:spacing w:after="0"/>
              <w:rPr>
                <w:sz w:val="19"/>
                <w:szCs w:val="19"/>
                <w:color w:val="auto"/>
              </w:rPr>
            </w:pPr>
          </w:p>
        </w:tc>
        <w:tc>
          <w:tcPr>
            <w:tcW w:w="2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30, 2018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February 21, 2018</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Base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15, 2018</w:t>
            </w:r>
          </w:p>
        </w:tc>
        <w:tc>
          <w:tcPr>
            <w:tcW w:w="1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13, 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3, 2018</w:t>
            </w:r>
          </w:p>
        </w:tc>
        <w:tc>
          <w:tcPr>
            <w:tcW w:w="11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Supplemental</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31, 2018</w:t>
            </w:r>
          </w:p>
        </w:tc>
        <w:tc>
          <w:tcPr>
            <w:tcW w:w="120" w:type="dxa"/>
            <w:vAlign w:val="bottom"/>
            <w:shd w:val="clear" w:color="auto" w:fill="CFF0FC"/>
          </w:tcPr>
          <w:p>
            <w:pPr>
              <w:spacing w:after="0"/>
              <w:rPr>
                <w:sz w:val="19"/>
                <w:szCs w:val="19"/>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29, 2018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May 3, 2018</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Base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15, 2018</w:t>
            </w:r>
          </w:p>
        </w:tc>
        <w:tc>
          <w:tcPr>
            <w:tcW w:w="1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13, 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1, 2018</w:t>
            </w:r>
          </w:p>
        </w:tc>
        <w:tc>
          <w:tcPr>
            <w:tcW w:w="11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Supplemental</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August 31, 2018</w:t>
            </w:r>
          </w:p>
        </w:tc>
        <w:tc>
          <w:tcPr>
            <w:tcW w:w="120" w:type="dxa"/>
            <w:vAlign w:val="bottom"/>
            <w:shd w:val="clear" w:color="auto" w:fill="CFF0FC"/>
          </w:tcPr>
          <w:p>
            <w:pPr>
              <w:spacing w:after="0"/>
              <w:rPr>
                <w:sz w:val="19"/>
                <w:szCs w:val="19"/>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28, 2018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August 1, 2018</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Base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14, 2018</w:t>
            </w:r>
          </w:p>
        </w:tc>
        <w:tc>
          <w:tcPr>
            <w:tcW w:w="1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15, 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6, 2018</w:t>
            </w:r>
          </w:p>
        </w:tc>
        <w:tc>
          <w:tcPr>
            <w:tcW w:w="11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Supplemental</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November 30, 2018</w:t>
            </w:r>
          </w:p>
        </w:tc>
        <w:tc>
          <w:tcPr>
            <w:tcW w:w="120" w:type="dxa"/>
            <w:vAlign w:val="bottom"/>
            <w:shd w:val="clear" w:color="auto" w:fill="CFF0FC"/>
          </w:tcPr>
          <w:p>
            <w:pPr>
              <w:spacing w:after="0"/>
              <w:rPr>
                <w:sz w:val="19"/>
                <w:szCs w:val="19"/>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31, 2018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November 6, 2018</w:t>
            </w:r>
          </w:p>
        </w:tc>
        <w:tc>
          <w:tcPr>
            <w:tcW w:w="1160" w:type="dxa"/>
            <w:vAlign w:val="bottom"/>
            <w:tcBorders>
              <w:bottom w:val="single" w:sz="8" w:color="CFF0FC"/>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Base</w:t>
            </w:r>
          </w:p>
        </w:tc>
        <w:tc>
          <w:tcPr>
            <w:tcW w:w="2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December 14, 2018</w:t>
            </w:r>
          </w:p>
        </w:tc>
        <w:tc>
          <w:tcPr>
            <w:tcW w:w="120" w:type="dxa"/>
            <w:vAlign w:val="bottom"/>
            <w:tcBorders>
              <w:bottom w:val="single" w:sz="8" w:color="CFF0FC"/>
            </w:tcBorders>
          </w:tcPr>
          <w:p>
            <w:pPr>
              <w:spacing w:after="0"/>
              <w:rPr>
                <w:sz w:val="19"/>
                <w:szCs w:val="19"/>
                <w:color w:val="auto"/>
              </w:rPr>
            </w:pPr>
          </w:p>
        </w:tc>
        <w:tc>
          <w:tcPr>
            <w:tcW w:w="23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January 15, 2019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0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vMerge w:val="restart"/>
          </w:tcPr>
          <w:p>
            <w:pPr>
              <w:jc w:val="right"/>
              <w:ind w:right="1193"/>
              <w:spacing w:after="0"/>
              <w:rPr>
                <w:sz w:val="20"/>
                <w:szCs w:val="20"/>
                <w:color w:val="auto"/>
              </w:rPr>
            </w:pPr>
            <w:r>
              <w:rPr>
                <w:rFonts w:ascii="Times New Roman" w:cs="Times New Roman" w:eastAsia="Times New Roman" w:hAnsi="Times New Roman"/>
                <w:sz w:val="18"/>
                <w:szCs w:val="18"/>
                <w:color w:val="auto"/>
              </w:rPr>
              <w:t>F-38</w:t>
            </w: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40" w:type="dxa"/>
            <w:vAlign w:val="bottom"/>
            <w:gridSpan w:val="3"/>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40" w:type="dxa"/>
            <w:vAlign w:val="bottom"/>
            <w:tcBorders>
              <w:bottom w:val="single" w:sz="8" w:color="auto"/>
            </w:tcBorders>
            <w:gridSpan w:val="4"/>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80" w:type="dxa"/>
            <w:vAlign w:val="bottom"/>
            <w:vMerge w:val="continue"/>
          </w:tcPr>
          <w:p>
            <w:pPr>
              <w:spacing w:after="0"/>
              <w:rPr>
                <w:sz w:val="13"/>
                <w:szCs w:val="13"/>
                <w:color w:val="auto"/>
              </w:rPr>
            </w:pPr>
          </w:p>
        </w:tc>
        <w:tc>
          <w:tcPr>
            <w:tcW w:w="116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2200" w:type="dxa"/>
            <w:vAlign w:val="bottom"/>
          </w:tcPr>
          <w:p>
            <w:pPr>
              <w:jc w:val="right"/>
              <w:ind w:right="634"/>
              <w:spacing w:after="0" w:line="155"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40" w:type="dxa"/>
            <w:vAlign w:val="bottom"/>
          </w:tcPr>
          <w:p>
            <w:pPr>
              <w:spacing w:after="0"/>
              <w:rPr>
                <w:sz w:val="13"/>
                <w:szCs w:val="13"/>
                <w:color w:val="auto"/>
              </w:rPr>
            </w:pPr>
          </w:p>
        </w:tc>
        <w:tc>
          <w:tcPr>
            <w:tcW w:w="2500" w:type="dxa"/>
            <w:vAlign w:val="bottom"/>
            <w:gridSpan w:val="2"/>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ind w:right="92"/>
              <w:spacing w:after="0" w:line="155"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22, 2017</w:t>
            </w:r>
          </w:p>
        </w:tc>
        <w:tc>
          <w:tcPr>
            <w:tcW w:w="1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Base</w:t>
            </w:r>
          </w:p>
        </w:tc>
        <w:tc>
          <w:tcPr>
            <w:tcW w:w="140" w:type="dxa"/>
            <w:vAlign w:val="bottom"/>
            <w:tcBorders>
              <w:top w:val="single" w:sz="8" w:color="CFF0FC"/>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xml:space="preserve">April 7, 2017 </w:t>
            </w:r>
            <w:r>
              <w:rPr>
                <w:rFonts w:ascii="Times New Roman" w:cs="Times New Roman" w:eastAsia="Times New Roman" w:hAnsi="Times New Roman"/>
                <w:sz w:val="15"/>
                <w:szCs w:val="15"/>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2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April 28, 2017</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May 3, 2017</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Supplemental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31, 2017</w:t>
            </w:r>
          </w:p>
        </w:tc>
        <w:tc>
          <w:tcPr>
            <w:tcW w:w="140" w:type="dxa"/>
            <w:vAlign w:val="bottom"/>
          </w:tcPr>
          <w:p>
            <w:pPr>
              <w:spacing w:after="0"/>
              <w:rPr>
                <w:sz w:val="19"/>
                <w:szCs w:val="19"/>
                <w:color w:val="auto"/>
              </w:rPr>
            </w:pPr>
          </w:p>
        </w:tc>
        <w:tc>
          <w:tcPr>
            <w:tcW w:w="2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June 30, 2017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3, 2017</w:t>
            </w:r>
          </w:p>
        </w:tc>
        <w:tc>
          <w:tcPr>
            <w:tcW w:w="11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7"/>
              </w:rPr>
              <w:t>Base</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15, 2017</w:t>
            </w:r>
          </w:p>
        </w:tc>
        <w:tc>
          <w:tcPr>
            <w:tcW w:w="140" w:type="dxa"/>
            <w:vAlign w:val="bottom"/>
            <w:shd w:val="clear" w:color="auto" w:fill="CFF0FC"/>
          </w:tcPr>
          <w:p>
            <w:pPr>
              <w:spacing w:after="0"/>
              <w:rPr>
                <w:sz w:val="19"/>
                <w:szCs w:val="19"/>
                <w:color w:val="auto"/>
              </w:rPr>
            </w:pPr>
          </w:p>
        </w:tc>
        <w:tc>
          <w:tcPr>
            <w:tcW w:w="2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July 14, 2017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Supplemental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31, 2017</w:t>
            </w:r>
          </w:p>
        </w:tc>
        <w:tc>
          <w:tcPr>
            <w:tcW w:w="140" w:type="dxa"/>
            <w:vAlign w:val="bottom"/>
          </w:tcPr>
          <w:p>
            <w:pPr>
              <w:spacing w:after="0"/>
              <w:rPr>
                <w:sz w:val="19"/>
                <w:szCs w:val="19"/>
                <w:color w:val="auto"/>
              </w:rPr>
            </w:pPr>
          </w:p>
        </w:tc>
        <w:tc>
          <w:tcPr>
            <w:tcW w:w="2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September 29, 2017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11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7"/>
              </w:rPr>
              <w:t>Base</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15, 2017</w:t>
            </w:r>
          </w:p>
        </w:tc>
        <w:tc>
          <w:tcPr>
            <w:tcW w:w="140" w:type="dxa"/>
            <w:vAlign w:val="bottom"/>
            <w:shd w:val="clear" w:color="auto" w:fill="CFF0FC"/>
          </w:tcPr>
          <w:p>
            <w:pPr>
              <w:spacing w:after="0"/>
              <w:rPr>
                <w:sz w:val="19"/>
                <w:szCs w:val="19"/>
                <w:color w:val="auto"/>
              </w:rPr>
            </w:pPr>
          </w:p>
        </w:tc>
        <w:tc>
          <w:tcPr>
            <w:tcW w:w="2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October 13, 2017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2017</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Supplemental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30, 2017</w:t>
            </w:r>
          </w:p>
        </w:tc>
        <w:tc>
          <w:tcPr>
            <w:tcW w:w="140" w:type="dxa"/>
            <w:vAlign w:val="bottom"/>
          </w:tcPr>
          <w:p>
            <w:pPr>
              <w:spacing w:after="0"/>
              <w:rPr>
                <w:sz w:val="19"/>
                <w:szCs w:val="19"/>
                <w:color w:val="auto"/>
              </w:rPr>
            </w:pPr>
          </w:p>
        </w:tc>
        <w:tc>
          <w:tcPr>
            <w:tcW w:w="2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December 29, 2017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7, 2017</w:t>
            </w:r>
          </w:p>
        </w:tc>
        <w:tc>
          <w:tcPr>
            <w:tcW w:w="11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7"/>
              </w:rPr>
              <w:t>Base</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15, 2017</w:t>
            </w:r>
          </w:p>
        </w:tc>
        <w:tc>
          <w:tcPr>
            <w:tcW w:w="140" w:type="dxa"/>
            <w:vAlign w:val="bottom"/>
            <w:shd w:val="clear" w:color="auto" w:fill="CFF0FC"/>
          </w:tcPr>
          <w:p>
            <w:pPr>
              <w:spacing w:after="0"/>
              <w:rPr>
                <w:sz w:val="19"/>
                <w:szCs w:val="19"/>
                <w:color w:val="auto"/>
              </w:rPr>
            </w:pPr>
          </w:p>
        </w:tc>
        <w:tc>
          <w:tcPr>
            <w:tcW w:w="2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January 12, 2018</w:t>
            </w: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40" w:hanging="512"/>
        <w:spacing w:after="0" w:line="261" w:lineRule="auto"/>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the Company’s consolidated balance sheet as of March 31, 2017. There was no change to the dividend amount or payment date.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tcPr>
          <w:p>
            <w:pPr>
              <w:jc w:val="right"/>
              <w:ind w:right="111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40" w:type="dxa"/>
            <w:vAlign w:val="bottom"/>
            <w:vMerge w:val="continue"/>
          </w:tcPr>
          <w:p>
            <w:pPr>
              <w:spacing w:after="0"/>
              <w:rPr>
                <w:sz w:val="13"/>
                <w:szCs w:val="13"/>
                <w:color w:val="auto"/>
              </w:rPr>
            </w:pPr>
          </w:p>
        </w:tc>
        <w:tc>
          <w:tcPr>
            <w:tcW w:w="106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2360" w:type="dxa"/>
            <w:vAlign w:val="bottom"/>
            <w:gridSpan w:val="2"/>
          </w:tcPr>
          <w:p>
            <w:pPr>
              <w:ind w:left="720"/>
              <w:spacing w:after="0" w:line="155"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2400" w:type="dxa"/>
            <w:vAlign w:val="bottom"/>
          </w:tcPr>
          <w:p>
            <w:pPr>
              <w:jc w:val="right"/>
              <w:ind w:right="698"/>
              <w:spacing w:after="0" w:line="155"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ind w:right="93"/>
              <w:spacing w:after="0" w:line="155"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24, 2016</w:t>
            </w:r>
          </w:p>
        </w:tc>
        <w:tc>
          <w:tcPr>
            <w:tcW w:w="9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tcBorders>
              <w:top w:val="single" w:sz="8" w:color="CFF0FC"/>
            </w:tcBorders>
            <w:shd w:val="clear" w:color="auto" w:fill="CFF0FC"/>
          </w:tcPr>
          <w:p>
            <w:pPr>
              <w:spacing w:after="0"/>
              <w:rPr>
                <w:sz w:val="19"/>
                <w:szCs w:val="19"/>
                <w:color w:val="auto"/>
              </w:rPr>
            </w:pPr>
          </w:p>
        </w:tc>
        <w:tc>
          <w:tcPr>
            <w:tcW w:w="2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2016</w:t>
            </w:r>
          </w:p>
        </w:tc>
        <w:tc>
          <w:tcPr>
            <w:tcW w:w="140" w:type="dxa"/>
            <w:vAlign w:val="bottom"/>
            <w:tcBorders>
              <w:top w:val="single" w:sz="8" w:color="CFF0FC"/>
            </w:tcBorders>
            <w:shd w:val="clear" w:color="auto" w:fill="CFF0FC"/>
          </w:tcPr>
          <w:p>
            <w:pPr>
              <w:spacing w:after="0"/>
              <w:rPr>
                <w:sz w:val="19"/>
                <w:szCs w:val="19"/>
                <w:color w:val="auto"/>
              </w:rPr>
            </w:pPr>
          </w:p>
        </w:tc>
        <w:tc>
          <w:tcPr>
            <w:tcW w:w="2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April 29, 2016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May 4, 2016</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Base</w:t>
            </w:r>
          </w:p>
        </w:tc>
        <w:tc>
          <w:tcPr>
            <w:tcW w:w="2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June 30, 2016</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29, 2016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3, 2016</w:t>
            </w:r>
          </w:p>
        </w:tc>
        <w:tc>
          <w:tcPr>
            <w:tcW w:w="10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Base</w:t>
            </w:r>
          </w:p>
        </w:tc>
        <w:tc>
          <w:tcPr>
            <w:tcW w:w="2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September 30, 2016</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October 31, 2016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November 7, 2016</w:t>
            </w:r>
          </w:p>
        </w:tc>
        <w:tc>
          <w:tcPr>
            <w:tcW w:w="1060" w:type="dxa"/>
            <w:vAlign w:val="bottom"/>
            <w:tcBorders>
              <w:bottom w:val="single" w:sz="8" w:color="CFF0FC"/>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Base</w:t>
            </w:r>
          </w:p>
        </w:tc>
        <w:tc>
          <w:tcPr>
            <w:tcW w:w="2360" w:type="dxa"/>
            <w:vAlign w:val="bottom"/>
            <w:tcBorders>
              <w:bottom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December 31, 2016</w:t>
            </w:r>
          </w:p>
        </w:tc>
        <w:tc>
          <w:tcPr>
            <w:tcW w:w="24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January 31, 2017</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9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80" w:firstLine="259"/>
        <w:spacing w:after="0" w:line="282" w:lineRule="auto"/>
        <w:rPr>
          <w:sz w:val="20"/>
          <w:szCs w:val="20"/>
          <w:color w:val="auto"/>
        </w:rPr>
      </w:pPr>
      <w:r>
        <w:rPr>
          <w:rFonts w:ascii="Times New Roman" w:cs="Times New Roman" w:eastAsia="Times New Roman" w:hAnsi="Times New Roman"/>
          <w:sz w:val="18"/>
          <w:szCs w:val="18"/>
          <w:color w:val="auto"/>
        </w:rPr>
        <w:t>The dividends declared during the years ended December 31, 2018, 2017, and 2016, were derived from net investment income and long-term capital gains, determined on a tax basis.</w:t>
      </w:r>
    </w:p>
    <w:p>
      <w:pPr>
        <w:spacing w:after="0" w:line="347" w:lineRule="exact"/>
        <w:rPr>
          <w:sz w:val="20"/>
          <w:szCs w:val="20"/>
          <w:color w:val="auto"/>
        </w:rPr>
      </w:pPr>
    </w:p>
    <w:p>
      <w:pPr>
        <w:ind w:left="280" w:hanging="272"/>
        <w:spacing w:after="0"/>
        <w:tabs>
          <w:tab w:leader="none" w:pos="2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 character of shareholder distributions attributable to the fiscal years ended December 31, 2018, 2017 and 2016 were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56"/>
        </w:trPr>
        <w:tc>
          <w:tcPr>
            <w:tcW w:w="20" w:type="dxa"/>
            <w:vAlign w:val="bottom"/>
          </w:tcPr>
          <w:p>
            <w:pPr>
              <w:spacing w:after="0"/>
              <w:rPr>
                <w:sz w:val="13"/>
                <w:szCs w:val="13"/>
                <w:color w:val="auto"/>
              </w:rPr>
            </w:pPr>
          </w:p>
        </w:tc>
        <w:tc>
          <w:tcPr>
            <w:tcW w:w="43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2017</w:t>
            </w:r>
          </w:p>
        </w:tc>
        <w:tc>
          <w:tcPr>
            <w:tcW w:w="2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Ordinary Income </w:t>
            </w:r>
            <w:r>
              <w:rPr>
                <w:rFonts w:ascii="Times New Roman" w:cs="Times New Roman" w:eastAsia="Times New Roman" w:hAnsi="Times New Roman"/>
                <w:sz w:val="15"/>
                <w:szCs w:val="15"/>
                <w:color w:val="auto"/>
              </w:rPr>
              <w:t>(1)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113,946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89,916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Long-Term Capital Gains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113,946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105,051</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92,794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80" w:hanging="512"/>
        <w:spacing w:after="0" w:line="282" w:lineRule="auto"/>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2018, 2017 and 2016, 87.16%, 89.16%, and 82.52% of ordinary income qualified as interest related dividend which is exempt from U.S. withholding tax applicable to non-U.S. shareholders.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tax basis components of distributable earnings for the years ended December 31, 2018, 2017 and 2016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2017</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Undistributed net investment income - tax basis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61,790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50,142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11"/>
        </w:trPr>
        <w:tc>
          <w:tcPr>
            <w:tcW w:w="11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net realized gains (losses) - tax</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basis</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0"/>
        </w:trPr>
        <w:tc>
          <w:tcPr>
            <w:tcW w:w="116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(7,434)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55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Total distributable earnings - book basis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56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F-39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2" w:right="219" w:bottom="1440" w:gutter="0" w:footer="0" w:header="0"/>
        </w:sectPr>
      </w:pPr>
    </w:p>
    <w:bookmarkStart w:id="120" w:name="page121"/>
    <w:bookmarkEnd w:id="120"/>
    <w:p>
      <w:pPr>
        <w:ind w:right="60" w:firstLine="259"/>
        <w:spacing w:after="0" w:line="282" w:lineRule="auto"/>
        <w:rPr>
          <w:sz w:val="20"/>
          <w:szCs w:val="20"/>
          <w:color w:val="auto"/>
        </w:rPr>
      </w:pPr>
      <w:r>
        <w:rPr>
          <w:rFonts w:ascii="Times New Roman" w:cs="Times New Roman" w:eastAsia="Times New Roman" w:hAnsi="Times New Roman"/>
          <w:sz w:val="18"/>
          <w:szCs w:val="18"/>
          <w:color w:val="auto"/>
        </w:rPr>
        <w:t>The following reconciles increase in net assets resulting from operations for the fiscal years ended December 31, 2018, 2017 and 2016, to taxable income at December 31, 2018, 2017 and 2016:</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56"/>
        </w:trPr>
        <w:tc>
          <w:tcPr>
            <w:tcW w:w="20" w:type="dxa"/>
            <w:vAlign w:val="bottom"/>
          </w:tcPr>
          <w:p>
            <w:pPr>
              <w:spacing w:after="0"/>
              <w:rPr>
                <w:sz w:val="13"/>
                <w:szCs w:val="13"/>
                <w:color w:val="auto"/>
              </w:rPr>
            </w:pPr>
          </w:p>
        </w:tc>
        <w:tc>
          <w:tcPr>
            <w:tcW w:w="43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4"/>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4"/>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74"/>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111,609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137,007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loss on investments</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(5,295)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(29,802)</w:t>
            </w:r>
          </w:p>
        </w:tc>
      </w:tr>
      <w:tr>
        <w:trPr>
          <w:trHeight w:val="211"/>
        </w:trPr>
        <w:tc>
          <w:tcPr>
            <w:tcW w:w="2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for tax purposes, not</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book</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organization costs</w:t>
            </w: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2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expenses not currently deductible</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book-tax differences</w:t>
            </w: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(2,930)</w:t>
            </w:r>
          </w:p>
        </w:tc>
      </w:tr>
      <w:tr>
        <w:trPr>
          <w:trHeight w:val="223"/>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Taxable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112,024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106,134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Note: Taxable income is an estimate and is not fully determined until the Company’s tax return is filed. The Company’s tax year end is March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firstLine="259"/>
        <w:spacing w:after="0" w:line="266" w:lineRule="auto"/>
        <w:rPr>
          <w:sz w:val="20"/>
          <w:szCs w:val="20"/>
          <w:color w:val="auto"/>
        </w:rPr>
      </w:pPr>
      <w:r>
        <w:rPr>
          <w:rFonts w:ascii="Times New Roman" w:cs="Times New Roman" w:eastAsia="Times New Roman" w:hAnsi="Times New Roman"/>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76" w:lineRule="exact"/>
        <w:rPr>
          <w:sz w:val="20"/>
          <w:szCs w:val="20"/>
          <w:color w:val="auto"/>
        </w:rPr>
      </w:pPr>
    </w:p>
    <w:p>
      <w:pPr>
        <w:ind w:right="220" w:firstLine="259"/>
        <w:spacing w:after="0" w:line="258" w:lineRule="auto"/>
        <w:rPr>
          <w:sz w:val="20"/>
          <w:szCs w:val="20"/>
          <w:color w:val="auto"/>
        </w:rPr>
      </w:pPr>
      <w:r>
        <w:rPr>
          <w:rFonts w:ascii="Times New Roman" w:cs="Times New Roman" w:eastAsia="Times New Roman" w:hAnsi="Times New Roman"/>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 In addition, due to the Company’s differing fiscal, tax, and excise tax year ends, the best estimates available are recorded to the above accounts in the period that such differences arise or are identifiable.</w:t>
      </w:r>
    </w:p>
    <w:p>
      <w:pPr>
        <w:spacing w:after="0" w:line="184" w:lineRule="exact"/>
        <w:rPr>
          <w:sz w:val="20"/>
          <w:szCs w:val="20"/>
          <w:color w:val="auto"/>
        </w:rPr>
      </w:pPr>
    </w:p>
    <w:p>
      <w:pPr>
        <w:ind w:right="260" w:firstLine="259"/>
        <w:spacing w:after="0" w:line="282" w:lineRule="auto"/>
        <w:rPr>
          <w:sz w:val="20"/>
          <w:szCs w:val="20"/>
          <w:color w:val="auto"/>
        </w:rPr>
      </w:pPr>
      <w:r>
        <w:rPr>
          <w:rFonts w:ascii="Times New Roman" w:cs="Times New Roman" w:eastAsia="Times New Roman" w:hAnsi="Times New Roman"/>
          <w:sz w:val="18"/>
          <w:szCs w:val="18"/>
          <w:color w:val="auto"/>
        </w:rPr>
        <w:t>During the period April 1, 2018 through December 31, 2018, the Company increased distributable earnings and decreased additional paid in capital by $2.5 million attributable to U.S. federal excise taxes.</w:t>
      </w:r>
    </w:p>
    <w:p>
      <w:pPr>
        <w:spacing w:after="0" w:line="162" w:lineRule="exact"/>
        <w:rPr>
          <w:sz w:val="20"/>
          <w:szCs w:val="20"/>
          <w:color w:val="auto"/>
        </w:rPr>
      </w:pPr>
    </w:p>
    <w:p>
      <w:pPr>
        <w:ind w:right="260" w:firstLine="259"/>
        <w:spacing w:after="0" w:line="282" w:lineRule="auto"/>
        <w:rPr>
          <w:sz w:val="20"/>
          <w:szCs w:val="20"/>
          <w:color w:val="auto"/>
        </w:rPr>
      </w:pPr>
      <w:r>
        <w:rPr>
          <w:rFonts w:ascii="Times New Roman" w:cs="Times New Roman" w:eastAsia="Times New Roman" w:hAnsi="Times New Roman"/>
          <w:sz w:val="18"/>
          <w:szCs w:val="18"/>
          <w:color w:val="auto"/>
        </w:rPr>
        <w:t>During the period April 1, 2017 through December 31, 2017, the Company increased distributable earnings and decreased additional paid in capital by $2.1 million attributable to U.S. federal excise taxes.</w:t>
      </w:r>
    </w:p>
    <w:p>
      <w:pPr>
        <w:spacing w:after="0" w:line="162" w:lineRule="exact"/>
        <w:rPr>
          <w:sz w:val="20"/>
          <w:szCs w:val="20"/>
          <w:color w:val="auto"/>
        </w:rPr>
      </w:pPr>
    </w:p>
    <w:p>
      <w:pPr>
        <w:ind w:right="260" w:firstLine="259"/>
        <w:spacing w:after="0" w:line="282" w:lineRule="auto"/>
        <w:rPr>
          <w:sz w:val="20"/>
          <w:szCs w:val="20"/>
          <w:color w:val="auto"/>
        </w:rPr>
      </w:pPr>
      <w:r>
        <w:rPr>
          <w:rFonts w:ascii="Times New Roman" w:cs="Times New Roman" w:eastAsia="Times New Roman" w:hAnsi="Times New Roman"/>
          <w:sz w:val="18"/>
          <w:szCs w:val="18"/>
          <w:color w:val="auto"/>
        </w:rPr>
        <w:t>During the period April 1, 2016 through December 31, 2016, the Company increased distributable earnings and decreased additional paid in capital by $1.8 million attributable to U.S. federal excise taxes.</w:t>
      </w:r>
    </w:p>
    <w:p>
      <w:pPr>
        <w:spacing w:after="0" w:line="162" w:lineRule="exact"/>
        <w:rPr>
          <w:sz w:val="20"/>
          <w:szCs w:val="20"/>
          <w:color w:val="auto"/>
        </w:rPr>
      </w:pPr>
    </w:p>
    <w:p>
      <w:pPr>
        <w:jc w:val="both"/>
        <w:ind w:firstLine="259"/>
        <w:spacing w:after="0" w:line="266" w:lineRule="auto"/>
        <w:rPr>
          <w:sz w:val="20"/>
          <w:szCs w:val="20"/>
          <w:color w:val="auto"/>
        </w:rPr>
      </w:pPr>
      <w:r>
        <w:rPr>
          <w:rFonts w:ascii="Times New Roman" w:cs="Times New Roman" w:eastAsia="Times New Roman" w:hAnsi="Times New Roman"/>
          <w:sz w:val="18"/>
          <w:szCs w:val="18"/>
          <w:color w:val="auto"/>
        </w:rPr>
        <w:t>The Company’s wholly-owned subsidiary, TSL MR, LLC, is a taxable subsidiary in which the Company holds certain equity investments. TSL MR,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176" w:lineRule="exact"/>
        <w:rPr>
          <w:sz w:val="20"/>
          <w:szCs w:val="20"/>
          <w:color w:val="auto"/>
        </w:rPr>
      </w:pPr>
    </w:p>
    <w:p>
      <w:pPr>
        <w:jc w:val="both"/>
        <w:ind w:right="20" w:firstLine="259"/>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had a deferred tax asset of $4.4 million pertaining to operating losses, related to one of its investments. Given the losses generated by the entity, the deferred tax asset has been offset by a valuation allowance of $4.4 million.</w:t>
      </w:r>
    </w:p>
    <w:p>
      <w:pPr>
        <w:spacing w:after="0" w:line="162" w:lineRule="exact"/>
        <w:rPr>
          <w:sz w:val="20"/>
          <w:szCs w:val="20"/>
          <w:color w:val="auto"/>
        </w:rPr>
      </w:pPr>
    </w:p>
    <w:p>
      <w:pPr>
        <w:jc w:val="both"/>
        <w:ind w:right="20" w:firstLine="259"/>
        <w:spacing w:after="0" w:line="282" w:lineRule="auto"/>
        <w:rPr>
          <w:sz w:val="20"/>
          <w:szCs w:val="20"/>
          <w:color w:val="auto"/>
        </w:rPr>
      </w:pPr>
      <w:r>
        <w:rPr>
          <w:rFonts w:ascii="Times New Roman" w:cs="Times New Roman" w:eastAsia="Times New Roman" w:hAnsi="Times New Roman"/>
          <w:sz w:val="18"/>
          <w:szCs w:val="18"/>
          <w:color w:val="auto"/>
        </w:rPr>
        <w:t>As of December 31, 2017, the Company had a deferred tax asset of $2.9 million pertaining to operating losses, related to one of its investments. Given the losses generated by the entity, the deferred tax asset has been offset by a valuation allowance of $2.9 million.</w:t>
      </w:r>
    </w:p>
    <w:p>
      <w:pPr>
        <w:spacing w:after="0" w:line="162" w:lineRule="exact"/>
        <w:rPr>
          <w:sz w:val="20"/>
          <w:szCs w:val="20"/>
          <w:color w:val="auto"/>
        </w:rPr>
      </w:pPr>
    </w:p>
    <w:p>
      <w:pPr>
        <w:jc w:val="both"/>
        <w:ind w:right="20" w:firstLine="259"/>
        <w:spacing w:after="0" w:line="282" w:lineRule="auto"/>
        <w:rPr>
          <w:sz w:val="20"/>
          <w:szCs w:val="20"/>
          <w:color w:val="auto"/>
        </w:rPr>
      </w:pPr>
      <w:r>
        <w:rPr>
          <w:rFonts w:ascii="Times New Roman" w:cs="Times New Roman" w:eastAsia="Times New Roman" w:hAnsi="Times New Roman"/>
          <w:sz w:val="18"/>
          <w:szCs w:val="18"/>
          <w:color w:val="auto"/>
        </w:rPr>
        <w:t>As of December 31, 2016, the Company had a deferred tax asset of $3.1 million pertaining to operating losses, related to one of its investments. Given the losses generated by the entity, the deferred tax asset has been offset by a valuation allowance of $3.1 million.</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tax cost of the Company’s investments as of December 31, 2018 and 2017, approximates their amortized cost.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13. Financial Highlights</w:t>
      </w:r>
    </w:p>
    <w:p>
      <w:pPr>
        <w:spacing w:after="0" w:line="121" w:lineRule="exact"/>
        <w:rPr>
          <w:sz w:val="20"/>
          <w:szCs w:val="20"/>
          <w:color w:val="auto"/>
        </w:rPr>
      </w:pPr>
    </w:p>
    <w:p>
      <w:pPr>
        <w:ind w:right="480" w:firstLine="259"/>
        <w:spacing w:after="0" w:line="282" w:lineRule="auto"/>
        <w:rPr>
          <w:sz w:val="20"/>
          <w:szCs w:val="20"/>
          <w:color w:val="auto"/>
        </w:rPr>
      </w:pPr>
      <w:r>
        <w:rPr>
          <w:rFonts w:ascii="Times New Roman" w:cs="Times New Roman" w:eastAsia="Times New Roman" w:hAnsi="Times New Roman"/>
          <w:sz w:val="18"/>
          <w:szCs w:val="18"/>
          <w:color w:val="auto"/>
        </w:rPr>
        <w:t>The following per share data and ratios have been derived from information provided in the consolidated financial statements. The following are the financial highlights for one share of common stock outstanding during the years ended December 31, 2018, 2017, 2016, 2015, and 2014.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4"/>
                <w:szCs w:val="14"/>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00" w:type="dxa"/>
            <w:vAlign w:val="bottom"/>
          </w:tcPr>
          <w:p>
            <w:pPr>
              <w:spacing w:after="0"/>
              <w:rPr>
                <w:sz w:val="15"/>
                <w:szCs w:val="15"/>
                <w:color w:val="auto"/>
              </w:rPr>
            </w:pPr>
          </w:p>
        </w:tc>
        <w:tc>
          <w:tcPr>
            <w:tcW w:w="16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6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Per Share Data </w:t>
            </w:r>
            <w:r>
              <w:rPr>
                <w:rFonts w:ascii="Times New Roman" w:cs="Times New Roman" w:eastAsia="Times New Roman" w:hAnsi="Times New Roman"/>
                <w:sz w:val="15"/>
                <w:szCs w:val="15"/>
                <w:b w:val="1"/>
                <w:bCs w:val="1"/>
                <w:color w:val="auto"/>
              </w:rPr>
              <w:t>(6)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320" w:type="dxa"/>
            <w:vAlign w:val="bottom"/>
          </w:tcPr>
          <w:p>
            <w:pPr>
              <w:spacing w:after="0"/>
              <w:rPr>
                <w:sz w:val="19"/>
                <w:szCs w:val="19"/>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40" w:type="dxa"/>
            <w:vAlign w:val="bottom"/>
          </w:tcPr>
          <w:p>
            <w:pPr>
              <w:spacing w:after="0"/>
              <w:rPr>
                <w:sz w:val="19"/>
                <w:szCs w:val="19"/>
                <w:color w:val="auto"/>
              </w:rPr>
            </w:pPr>
          </w:p>
        </w:tc>
        <w:tc>
          <w:tcPr>
            <w:tcW w:w="3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340" w:type="dxa"/>
            <w:vAlign w:val="bottom"/>
          </w:tcPr>
          <w:p>
            <w:pPr>
              <w:spacing w:after="0"/>
              <w:rPr>
                <w:sz w:val="19"/>
                <w:szCs w:val="19"/>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34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15"/>
                <w:szCs w:val="15"/>
                <w:color w:val="auto"/>
              </w:rPr>
              <w:t>(1)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and unrealized</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gain (loss) </w:t>
            </w:r>
            <w:r>
              <w:rPr>
                <w:rFonts w:ascii="Times New Roman" w:cs="Times New Roman" w:eastAsia="Times New Roman" w:hAnsi="Times New Roman"/>
                <w:sz w:val="15"/>
                <w:szCs w:val="15"/>
                <w:color w:val="auto"/>
              </w:rPr>
              <w:t>(1)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(0.39)</w:t>
            </w:r>
          </w:p>
        </w:tc>
        <w:tc>
          <w:tcPr>
            <w:tcW w:w="1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(0.58)</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from operations</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net of</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offering costs </w:t>
            </w:r>
            <w:r>
              <w:rPr>
                <w:rFonts w:ascii="Times New Roman" w:cs="Times New Roman" w:eastAsia="Times New Roman" w:hAnsi="Times New Roman"/>
                <w:sz w:val="15"/>
                <w:szCs w:val="15"/>
                <w:color w:val="auto"/>
              </w:rPr>
              <w:t>(2)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from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15"/>
                <w:szCs w:val="15"/>
                <w:color w:val="auto"/>
              </w:rPr>
              <w:t>(2)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declared from realized</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gains </w:t>
            </w:r>
            <w:r>
              <w:rPr>
                <w:rFonts w:ascii="Times New Roman" w:cs="Times New Roman" w:eastAsia="Times New Roman" w:hAnsi="Times New Roman"/>
                <w:sz w:val="15"/>
                <w:szCs w:val="15"/>
                <w:color w:val="auto"/>
              </w:rPr>
              <w:t>(2)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(0.41)</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5"/>
        </w:trPr>
        <w:tc>
          <w:tcPr>
            <w:tcW w:w="30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Total increase in net</w:t>
            </w: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(0.38)</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3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0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Per share market value at end of</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period</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320" w:type="dxa"/>
            <w:vAlign w:val="bottom"/>
          </w:tcPr>
          <w:p>
            <w:pPr>
              <w:spacing w:after="0"/>
              <w:rPr>
                <w:sz w:val="20"/>
                <w:szCs w:val="20"/>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40" w:type="dxa"/>
            <w:vAlign w:val="bottom"/>
          </w:tcPr>
          <w:p>
            <w:pPr>
              <w:spacing w:after="0"/>
              <w:rPr>
                <w:sz w:val="20"/>
                <w:szCs w:val="20"/>
                <w:color w:val="auto"/>
              </w:rPr>
            </w:pPr>
          </w:p>
        </w:tc>
        <w:tc>
          <w:tcPr>
            <w:tcW w:w="3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340" w:type="dxa"/>
            <w:vAlign w:val="bottom"/>
          </w:tcPr>
          <w:p>
            <w:pPr>
              <w:spacing w:after="0"/>
              <w:rPr>
                <w:sz w:val="20"/>
                <w:szCs w:val="20"/>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34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Total return based on market value </w:t>
            </w:r>
            <w:r>
              <w:rPr>
                <w:rFonts w:ascii="Times New Roman" w:cs="Times New Roman" w:eastAsia="Times New Roman" w:hAnsi="Times New Roman"/>
                <w:sz w:val="15"/>
                <w:szCs w:val="15"/>
                <w:color w:val="auto"/>
              </w:rPr>
              <w:t>(3)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24.78%</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5.71%</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Total return based on net asset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value </w:t>
            </w:r>
            <w:r>
              <w:rPr>
                <w:rFonts w:ascii="Times New Roman" w:cs="Times New Roman" w:eastAsia="Times New Roman" w:hAnsi="Times New Roman"/>
                <w:sz w:val="15"/>
                <w:szCs w:val="15"/>
                <w:color w:val="auto"/>
              </w:rPr>
              <w:t>(4)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12.06%</w:t>
            </w:r>
          </w:p>
        </w:tc>
        <w:tc>
          <w:tcPr>
            <w:tcW w:w="18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15.54%</w:t>
            </w:r>
          </w:p>
        </w:tc>
        <w:tc>
          <w:tcPr>
            <w:tcW w:w="1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7.62%</w:t>
            </w: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Outstanding, End of Period</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65,412,817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60,247,201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59,716,205</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54,163,960</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53,797,358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Ratios / Supplemental Data </w:t>
            </w:r>
            <w:r>
              <w:rPr>
                <w:rFonts w:ascii="Times New Roman" w:cs="Times New Roman" w:eastAsia="Times New Roman" w:hAnsi="Times New Roman"/>
                <w:sz w:val="15"/>
                <w:szCs w:val="15"/>
                <w:b w:val="1"/>
                <w:bCs w:val="1"/>
                <w:color w:val="auto"/>
              </w:rPr>
              <w:t>(5)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Ratio of net expenses to average</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assets</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11.32%</w:t>
            </w:r>
          </w:p>
        </w:tc>
        <w:tc>
          <w:tcPr>
            <w:tcW w:w="1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9.39%</w:t>
            </w:r>
          </w:p>
        </w:tc>
        <w:tc>
          <w:tcPr>
            <w:tcW w:w="1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Ratio of net investment income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average net assets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13.80%</w:t>
            </w:r>
          </w:p>
        </w:tc>
        <w:tc>
          <w:tcPr>
            <w:tcW w:w="18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11.84%</w:t>
            </w:r>
          </w:p>
        </w:tc>
        <w:tc>
          <w:tcPr>
            <w:tcW w:w="1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11.35%</w:t>
            </w: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Portfolio turnover</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44.57%</w:t>
            </w: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58.08%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37.40%</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34.51%</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1,063,202</w:t>
            </w:r>
          </w:p>
        </w:tc>
        <w:tc>
          <w:tcPr>
            <w:tcW w:w="320" w:type="dxa"/>
            <w:vAlign w:val="bottom"/>
          </w:tcPr>
          <w:p>
            <w:pPr>
              <w:spacing w:after="0"/>
              <w:rPr>
                <w:sz w:val="20"/>
                <w:szCs w:val="20"/>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969,284</w:t>
            </w:r>
          </w:p>
        </w:tc>
        <w:tc>
          <w:tcPr>
            <w:tcW w:w="240" w:type="dxa"/>
            <w:vAlign w:val="bottom"/>
          </w:tcPr>
          <w:p>
            <w:pPr>
              <w:spacing w:after="0"/>
              <w:rPr>
                <w:sz w:val="20"/>
                <w:szCs w:val="20"/>
                <w:color w:val="auto"/>
              </w:rPr>
            </w:pPr>
          </w:p>
        </w:tc>
        <w:tc>
          <w:tcPr>
            <w:tcW w:w="3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952,212</w:t>
            </w:r>
          </w:p>
        </w:tc>
        <w:tc>
          <w:tcPr>
            <w:tcW w:w="340" w:type="dxa"/>
            <w:vAlign w:val="bottom"/>
          </w:tcPr>
          <w:p>
            <w:pPr>
              <w:spacing w:after="0"/>
              <w:rPr>
                <w:sz w:val="20"/>
                <w:szCs w:val="20"/>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820,741</w:t>
            </w:r>
          </w:p>
        </w:tc>
        <w:tc>
          <w:tcPr>
            <w:tcW w:w="34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835,405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hanging="512"/>
        <w:spacing w:after="0"/>
        <w:tabs>
          <w:tab w:leader="none" w:pos="5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shares outstanding during the period.</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actual shares outstanding at the date of the relevant transactions.</w:t>
      </w:r>
    </w:p>
    <w:p>
      <w:pPr>
        <w:spacing w:after="0" w:line="9" w:lineRule="exact"/>
        <w:rPr>
          <w:rFonts w:ascii="Times New Roman" w:cs="Times New Roman" w:eastAsia="Times New Roman" w:hAnsi="Times New Roman"/>
          <w:sz w:val="18"/>
          <w:szCs w:val="18"/>
          <w:color w:val="auto"/>
        </w:rPr>
      </w:pPr>
    </w:p>
    <w:p>
      <w:pPr>
        <w:ind w:left="520" w:right="220" w:hanging="512"/>
        <w:spacing w:after="0" w:line="250" w:lineRule="auto"/>
        <w:tabs>
          <w:tab w:leader="none" w:pos="5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calculated as the change in market value per share during the period plus declared dividends per share, divided by the beginning market value per share.</w:t>
      </w:r>
    </w:p>
    <w:p>
      <w:pPr>
        <w:ind w:left="520" w:right="580" w:hanging="512"/>
        <w:spacing w:after="0" w:line="250" w:lineRule="auto"/>
        <w:tabs>
          <w:tab w:leader="none" w:pos="5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per share, divided by the beginning net asset value per share.</w:t>
      </w:r>
    </w:p>
    <w:p>
      <w:pPr>
        <w:ind w:left="520" w:right="80" w:hanging="512"/>
        <w:spacing w:after="0" w:line="250" w:lineRule="auto"/>
        <w:tabs>
          <w:tab w:leader="none" w:pos="5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net expenses to average net assets in the table above reflects the Adviser’s waivers of its right to receive a portion of the Management Fee and Incentive Fees with respect to the Company’s ownership of shares of common stock of Oxford Square Capital Corp. and Triangle Capital Corp. Excluding the effects of the waivers, the ratio of net expenses to average net assets would have been 11.33%, 9.42%, 9.43% and 9.33% for the years ended December 31, 2018, 2017, 2016 and 2015, respectively. For the year ended December 31, 2014, the Company did not own any shares of common stock of Oxford Square Capital Corp. or Triangle Capital Corp. For the year ended December 31, 2014, the ratio of net expenses to average net assets in the table above reflects the Adviser’s waivers of its right to receive a portion of the Management Fee prior to the Company’s IPO. Excluding the effects of the waiver, the ratio of net expenses to average net assets would have been 7.88% for the year ended December 31, 2014.</w:t>
      </w:r>
    </w:p>
    <w:p>
      <w:pPr>
        <w:spacing w:after="0" w:line="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14. Selected Quarterly Financial Data (Unaudited)</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6"/>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
        </w:trPr>
        <w:tc>
          <w:tcPr>
            <w:tcW w:w="4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4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Q4</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3"/>
          </w:tcPr>
          <w:p>
            <w:pPr>
              <w:jc w:val="right"/>
              <w:ind w:right="580"/>
              <w:spacing w:after="0" w:line="155" w:lineRule="exact"/>
              <w:rPr>
                <w:sz w:val="20"/>
                <w:szCs w:val="20"/>
                <w:color w:val="auto"/>
              </w:rPr>
            </w:pPr>
            <w:r>
              <w:rPr>
                <w:rFonts w:ascii="Times New Roman" w:cs="Times New Roman" w:eastAsia="Times New Roman" w:hAnsi="Times New Roman"/>
                <w:sz w:val="14"/>
                <w:szCs w:val="14"/>
                <w:b w:val="1"/>
                <w:bCs w:val="1"/>
                <w:color w:val="auto"/>
              </w:rPr>
              <w:t>Q2</w:t>
            </w: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Q1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7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74,741</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63,004</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66,401</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57,768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Expenses </w:t>
            </w:r>
            <w:r>
              <w:rPr>
                <w:rFonts w:ascii="Times New Roman" w:cs="Times New Roman" w:eastAsia="Times New Roman" w:hAnsi="Times New Roman"/>
                <w:sz w:val="15"/>
                <w:szCs w:val="15"/>
                <w:color w:val="auto"/>
              </w:rPr>
              <w:t>(1)</w:t>
            </w:r>
          </w:p>
        </w:tc>
        <w:tc>
          <w:tcPr>
            <w:tcW w:w="96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960" w:type="dxa"/>
            <w:vAlign w:val="bottom"/>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96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(29,875)</w:t>
            </w: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(2,733)</w:t>
            </w: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960" w:type="dxa"/>
            <w:vAlign w:val="bottom"/>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33,569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96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4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3"/>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Q4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3"/>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3"/>
          </w:tcPr>
          <w:p>
            <w:pPr>
              <w:jc w:val="right"/>
              <w:ind w:right="580"/>
              <w:spacing w:after="0" w:line="155" w:lineRule="exact"/>
              <w:rPr>
                <w:sz w:val="20"/>
                <w:szCs w:val="20"/>
                <w:color w:val="auto"/>
              </w:rPr>
            </w:pPr>
            <w:r>
              <w:rPr>
                <w:rFonts w:ascii="Times New Roman" w:cs="Times New Roman" w:eastAsia="Times New Roman" w:hAnsi="Times New Roman"/>
                <w:sz w:val="14"/>
                <w:szCs w:val="14"/>
                <w:b w:val="1"/>
                <w:bCs w:val="1"/>
                <w:color w:val="auto"/>
              </w:rPr>
              <w:t>Q2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Q1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7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48,825</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52,305</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58,819</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Expenses </w:t>
            </w:r>
            <w:r>
              <w:rPr>
                <w:rFonts w:ascii="Times New Roman" w:cs="Times New Roman" w:eastAsia="Times New Roman" w:hAnsi="Times New Roman"/>
                <w:sz w:val="15"/>
                <w:szCs w:val="15"/>
                <w:color w:val="auto"/>
              </w:rPr>
              <w:t>(1)</w:t>
            </w:r>
          </w:p>
        </w:tc>
        <w:tc>
          <w:tcPr>
            <w:tcW w:w="96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960" w:type="dxa"/>
            <w:vAlign w:val="bottom"/>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and realized losses</w:t>
            </w:r>
          </w:p>
        </w:tc>
        <w:tc>
          <w:tcPr>
            <w:tcW w:w="96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(6,170)</w:t>
            </w: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(2,106)</w:t>
            </w: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960" w:type="dxa"/>
            <w:vAlign w:val="bottom"/>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31,826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96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4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3"/>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Q4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3"/>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3"/>
          </w:tcPr>
          <w:p>
            <w:pPr>
              <w:jc w:val="right"/>
              <w:ind w:right="580"/>
              <w:spacing w:after="0" w:line="155" w:lineRule="exact"/>
              <w:rPr>
                <w:sz w:val="20"/>
                <w:szCs w:val="20"/>
                <w:color w:val="auto"/>
              </w:rPr>
            </w:pPr>
            <w:r>
              <w:rPr>
                <w:rFonts w:ascii="Times New Roman" w:cs="Times New Roman" w:eastAsia="Times New Roman" w:hAnsi="Times New Roman"/>
                <w:sz w:val="14"/>
                <w:szCs w:val="14"/>
                <w:b w:val="1"/>
                <w:bCs w:val="1"/>
                <w:color w:val="auto"/>
              </w:rPr>
              <w:t>Q2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3"/>
                <w:szCs w:val="13"/>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49,708</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53,917</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46,034</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42,751</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Expenses </w:t>
            </w:r>
            <w:r>
              <w:rPr>
                <w:rFonts w:ascii="Times New Roman" w:cs="Times New Roman" w:eastAsia="Times New Roman" w:hAnsi="Times New Roman"/>
                <w:sz w:val="15"/>
                <w:szCs w:val="15"/>
                <w:color w:val="auto"/>
              </w:rPr>
              <w:t>(1)</w:t>
            </w:r>
          </w:p>
        </w:tc>
        <w:tc>
          <w:tcPr>
            <w:tcW w:w="96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960" w:type="dxa"/>
            <w:vAlign w:val="bottom"/>
            <w:gridSpan w:val="3"/>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96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(5,421)</w:t>
            </w: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960" w:type="dxa"/>
            <w:vAlign w:val="bottom"/>
            <w:gridSpan w:val="3"/>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49,638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96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3"/>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3" w:lineRule="exact"/>
        <w:rPr>
          <w:sz w:val="20"/>
          <w:szCs w:val="20"/>
          <w:color w:val="auto"/>
        </w:rPr>
      </w:pPr>
    </w:p>
    <w:p>
      <w:pPr>
        <w:ind w:left="520" w:hanging="512"/>
        <w:spacing w:after="0"/>
        <w:tabs>
          <w:tab w:leader="none" w:pos="5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Net expenses include income taxes, including excise taxes.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21"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On February 14, 2019, the Company entered into an amendment to the Revolving Credit Facility. Under the terms of the amendment, aggregate commitments under the facility were increased to $1.17 billion. The revolving period and maturity of the facility were also extended to February 2023 and February 2024,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240" w:top="333" w:right="5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firstLine="2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 supervision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80" w:lineRule="exact"/>
        <w:rPr>
          <w:sz w:val="20"/>
          <w:szCs w:val="20"/>
          <w:color w:val="auto"/>
        </w:rPr>
      </w:pPr>
    </w:p>
    <w:p>
      <w:pPr>
        <w:ind w:right="20" w:firstLine="2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Management’s Report on Internal Control Over Financial Reporting. </w:t>
      </w:r>
      <w:r>
        <w:rPr>
          <w:rFonts w:ascii="Times New Roman" w:cs="Times New Roman" w:eastAsia="Times New Roman" w:hAnsi="Times New Roman"/>
          <w:sz w:val="18"/>
          <w:szCs w:val="18"/>
          <w:color w:val="auto"/>
        </w:rPr>
        <w:t>Our management is responsible for establishing and maintaining adequate internal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control over financial reporting (as defined in Rules 13a-15(f) and 15d-15(f) of the Exchange Act). Under the supervision and with the participation of management, including the Chief Executive Officer and Chief Financial Officer, we conducted an evaluation of the effectiveness of our internal control over financial reporting based on the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(2013 COSO Framework). Based on our evaluation under the framework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management concluded that our internal control over financial reporting was effective as of December 31, 2018.</w:t>
      </w:r>
    </w:p>
    <w:p>
      <w:pPr>
        <w:spacing w:after="0" w:line="187" w:lineRule="exact"/>
        <w:rPr>
          <w:sz w:val="20"/>
          <w:szCs w:val="20"/>
          <w:color w:val="auto"/>
        </w:rPr>
      </w:pPr>
    </w:p>
    <w:p>
      <w:pPr>
        <w:ind w:right="200" w:firstLine="2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ind w:right="160" w:firstLine="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Attestation Report of the Independent Registered Public Accounting Firm. </w:t>
      </w:r>
      <w:r>
        <w:rPr>
          <w:rFonts w:ascii="Times New Roman" w:cs="Times New Roman" w:eastAsia="Times New Roman" w:hAnsi="Times New Roman"/>
          <w:sz w:val="18"/>
          <w:szCs w:val="18"/>
          <w:color w:val="auto"/>
        </w:rPr>
        <w:t>Our independent registered public accounting firm, KPMG LLP, has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audit report on the effectiveness of our internal control over financial reporting, which is set forth under the heading “Report of Independent Registered Public Accounting Firm” on page F-2.</w:t>
      </w:r>
    </w:p>
    <w:p>
      <w:pPr>
        <w:spacing w:after="0" w:line="171" w:lineRule="exact"/>
        <w:rPr>
          <w:sz w:val="20"/>
          <w:szCs w:val="20"/>
          <w:color w:val="auto"/>
        </w:rPr>
      </w:pPr>
    </w:p>
    <w:p>
      <w:pPr>
        <w:ind w:right="120" w:firstLine="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been no changes in our internal control over financial reporting that occurred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most recently completed fiscal quarter that have materially affected, or are reasonably likely to materially affect, our internal control over financial reporting.</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24" w:name="page125"/>
    <w:bookmarkEnd w:id="12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200" w:firstLine="259"/>
        <w:spacing w:after="0" w:line="266" w:lineRule="auto"/>
        <w:rPr>
          <w:sz w:val="20"/>
          <w:szCs w:val="20"/>
          <w:color w:val="auto"/>
        </w:rPr>
      </w:pPr>
      <w:r>
        <w:rPr>
          <w:rFonts w:ascii="Times New Roman" w:cs="Times New Roman" w:eastAsia="Times New Roman" w:hAnsi="Times New Roman"/>
          <w:sz w:val="18"/>
          <w:szCs w:val="18"/>
          <w:color w:val="auto"/>
        </w:rPr>
        <w:t>Except for the information regarding the SOX Code of Business Conduct and Ethics (which is set forth below), information in response to this item is incorporated by reference from our Proxy Statement relating to our 2019 annual meeting of stockholders. The Proxy Statement will be filed with the SEC within 120 days after the end of the fiscal year covered by this Form 10-K pursuant to Regulation 14A under the Exchange Act.</w:t>
      </w:r>
    </w:p>
    <w:p>
      <w:pPr>
        <w:spacing w:after="0" w:line="176" w:lineRule="exact"/>
        <w:rPr>
          <w:sz w:val="20"/>
          <w:szCs w:val="20"/>
          <w:color w:val="auto"/>
        </w:rPr>
      </w:pPr>
    </w:p>
    <w:p>
      <w:pPr>
        <w:jc w:val="both"/>
        <w:ind w:firstLine="259"/>
        <w:spacing w:after="0" w:line="266" w:lineRule="auto"/>
        <w:rPr>
          <w:sz w:val="20"/>
          <w:szCs w:val="20"/>
          <w:color w:val="auto"/>
        </w:rPr>
      </w:pPr>
      <w:r>
        <w:rPr>
          <w:rFonts w:ascii="Times New Roman" w:cs="Times New Roman" w:eastAsia="Times New Roman" w:hAnsi="Times New Roman"/>
          <w:sz w:val="18"/>
          <w:szCs w:val="18"/>
          <w:color w:val="auto"/>
        </w:rPr>
        <w:t>Our SOX Code of Business Conduct and Ethics may be found at http://www.tpgspecialtylending.com in the “Investor Resources” section of our website. We intend to disclose any substantive amendments to or waivers of required provisions of the SOX Code of Business Conduct and Ethics on our website or on a current report on Form 8-K.</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Information in response to this item is incorporated by reference from our Proxy Statement relating to our 2019 annual meeting of stockholders.</w:t>
      </w:r>
    </w:p>
    <w:p>
      <w:pPr>
        <w:spacing w:after="0" w:line="200" w:lineRule="exact"/>
        <w:rPr>
          <w:sz w:val="20"/>
          <w:szCs w:val="20"/>
          <w:color w:val="auto"/>
        </w:rPr>
      </w:pPr>
    </w:p>
    <w:p>
      <w:pPr>
        <w:spacing w:after="0" w:line="21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Information in response to this item is incorporated by reference from our Proxy Statement relating to our 2019 annual meeting of stockholders.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 AND RELATED TRANSACTION, AND DIRECTOR INDEPENDENCE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Information in response to this item is incorporated by reference from our Proxy Statement relating to our 2019 annual meeting of stockholders.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Information in response to this item is incorporated by reference from our Proxy Statement relating to our 2019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3" w:right="379" w:bottom="1440" w:gutter="0" w:footer="0" w:header="0"/>
        </w:sectPr>
      </w:pPr>
    </w:p>
    <w:bookmarkStart w:id="125" w:name="page126"/>
    <w:bookmarkEnd w:id="125"/>
    <w:p>
      <w:pPr>
        <w:ind w:left="53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17" w:lineRule="exact"/>
        <w:rPr>
          <w:sz w:val="20"/>
          <w:szCs w:val="20"/>
          <w:color w:val="auto"/>
        </w:rPr>
      </w:pPr>
    </w:p>
    <w:p>
      <w:pPr>
        <w:ind w:left="260" w:right="400" w:hanging="252"/>
        <w:spacing w:after="0" w:line="282" w:lineRule="auto"/>
        <w:tabs>
          <w:tab w:leader="none" w:pos="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Statements—Financial statements are included in Item 8. See the Index to the Consolidated Financial Statements on page F-1 of this annual report on Form 10-K.</w:t>
      </w:r>
    </w:p>
    <w:p>
      <w:pPr>
        <w:spacing w:after="0" w:line="53" w:lineRule="exact"/>
        <w:rPr>
          <w:rFonts w:ascii="Times New Roman" w:cs="Times New Roman" w:eastAsia="Times New Roman" w:hAnsi="Times New Roman"/>
          <w:sz w:val="18"/>
          <w:szCs w:val="18"/>
          <w:color w:val="auto"/>
        </w:rPr>
      </w:pPr>
    </w:p>
    <w:p>
      <w:pPr>
        <w:ind w:left="260" w:right="40" w:hanging="252"/>
        <w:spacing w:after="0" w:line="266" w:lineRule="auto"/>
        <w:tabs>
          <w:tab w:leader="none" w:pos="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6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Exhibits—The following is a list of all exhibits filed as a part of this annual report on Form 10-K, including those incorporated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34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Description of Exhibits</w:t>
            </w:r>
          </w:p>
        </w:tc>
        <w:tc>
          <w:tcPr>
            <w:tcW w:w="20" w:type="dxa"/>
            <w:vAlign w:val="bottom"/>
          </w:tcPr>
          <w:p>
            <w:pPr>
              <w:spacing w:after="0"/>
              <w:rPr>
                <w:sz w:val="14"/>
                <w:szCs w:val="14"/>
                <w:color w:val="auto"/>
              </w:rPr>
            </w:pPr>
          </w:p>
        </w:tc>
      </w:tr>
      <w:tr>
        <w:trPr>
          <w:trHeight w:val="291"/>
        </w:trPr>
        <w:tc>
          <w:tcPr>
            <w:tcW w:w="90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9560" w:type="dxa"/>
            <w:vAlign w:val="bottom"/>
            <w:tcBorders>
              <w:top w:val="single" w:sz="8" w:color="auto"/>
              <w:bottom w:val="single" w:sz="8" w:color="0000EE"/>
            </w:tcBorders>
            <w:gridSpan w:val="16"/>
          </w:tcPr>
          <w:p>
            <w:pPr>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Amended and Restated Certificate of Incorporation (incorporated by reference to Exhibit 3.1 to Amendment No. 1 to the Company’s</w:t>
              </w:r>
            </w:hyperlink>
          </w:p>
        </w:tc>
        <w:tc>
          <w:tcPr>
            <w:tcW w:w="780" w:type="dxa"/>
            <w:vAlign w:val="bottom"/>
            <w:tcBorders>
              <w:top w:val="single" w:sz="8" w:color="auto"/>
            </w:tcBorders>
            <w:gridSpan w:val="11"/>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Registration Statement on Form 10 filed on March 14, 2011).</w:t>
              </w:r>
            </w:hyperlink>
          </w:p>
        </w:tc>
        <w:tc>
          <w:tcPr>
            <w:tcW w:w="592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10340" w:type="dxa"/>
            <w:vAlign w:val="bottom"/>
            <w:gridSpan w:val="27"/>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Certificate of Amendment to Amended and Restated Certificate of Incorporation (incorporated by reference to Exhibit 3.1 to the Company’s</w:t>
              </w:r>
            </w:hyperlink>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Current Report on Form 8-K filed on March 12, 2014).</w:t>
              </w:r>
            </w:hyperlink>
          </w:p>
        </w:tc>
        <w:tc>
          <w:tcPr>
            <w:tcW w:w="6140" w:type="dxa"/>
            <w:vAlign w:val="bottom"/>
            <w:tcBorders>
              <w:top w:val="single" w:sz="8" w:color="0000EE"/>
            </w:tcBorders>
            <w:gridSpan w:val="14"/>
          </w:tcPr>
          <w:p>
            <w:pPr>
              <w:spacing w:after="0"/>
              <w:rPr>
                <w:sz w:val="17"/>
                <w:szCs w:val="17"/>
                <w:color w:val="auto"/>
              </w:rPr>
            </w:pPr>
          </w:p>
        </w:tc>
        <w:tc>
          <w:tcPr>
            <w:tcW w:w="24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99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Certificate of Change of Registered Agent and/or Registered Office (incorporated by reference to Exhibit 3.1 to the Company’s Quarterly</w:t>
              </w:r>
            </w:hyperlink>
          </w:p>
        </w:tc>
        <w:tc>
          <w:tcPr>
            <w:tcW w:w="44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Report on Form 10-Q filed on November 7, 2016).</w:t>
              </w:r>
            </w:hyperlink>
          </w:p>
        </w:tc>
        <w:tc>
          <w:tcPr>
            <w:tcW w:w="668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4"/>
                <w:szCs w:val="24"/>
                <w:color w:val="auto"/>
              </w:rPr>
            </w:pPr>
          </w:p>
        </w:tc>
        <w:tc>
          <w:tcPr>
            <w:tcW w:w="96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Bylaws of TPG Specialty Lending, Inc., effective as of November 7, 2016 (incorporated by reference to Exhibit 3.2 to the Company’s</w:t>
              </w:r>
            </w:hyperlink>
          </w:p>
        </w:tc>
        <w:tc>
          <w:tcPr>
            <w:tcW w:w="70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27"/>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Quarterly Report on Form 10-Q filed on November 7, 2016).</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4"/>
                <w:szCs w:val="24"/>
                <w:color w:val="auto"/>
              </w:rPr>
            </w:pPr>
          </w:p>
        </w:tc>
        <w:tc>
          <w:tcPr>
            <w:tcW w:w="10340" w:type="dxa"/>
            <w:vAlign w:val="bottom"/>
            <w:gridSpan w:val="27"/>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of Common Stock Certificate (incorporated by reference to Exhibit 4.2 to the Company’s Annual Report on Form 10-K filed on March</w:t>
              </w:r>
            </w:hyperlink>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22, 2012).</w:t>
              </w:r>
            </w:hyperlink>
          </w:p>
        </w:tc>
        <w:tc>
          <w:tcPr>
            <w:tcW w:w="24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4"/>
                <w:szCs w:val="24"/>
                <w:color w:val="auto"/>
              </w:rPr>
            </w:pPr>
          </w:p>
        </w:tc>
        <w:tc>
          <w:tcPr>
            <w:tcW w:w="103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Indenture, dated June 10, 2014, between TPG Specialty Lending, Inc. and Wells Fargo Bank, National Association, as Trustee (incorporated by</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reference to Exhibit 4.1 to the Company’s Current Report on Form 8-K filed on June 10, 2014).</w:t>
              </w:r>
            </w:hyperlink>
          </w:p>
        </w:tc>
        <w:tc>
          <w:tcPr>
            <w:tcW w:w="346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4"/>
                <w:szCs w:val="24"/>
                <w:color w:val="auto"/>
              </w:rPr>
            </w:pPr>
          </w:p>
        </w:tc>
        <w:tc>
          <w:tcPr>
            <w:tcW w:w="10340" w:type="dxa"/>
            <w:vAlign w:val="bottom"/>
            <w:gridSpan w:val="27"/>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Form of 4.50% Convertible Note Due 2019 (incorporated by reference to Exhibit 4.2 to the Company’s Current Report on Form 8-K filed on</w:t>
              </w:r>
            </w:hyperlink>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June 10, 2014).</w:t>
              </w:r>
            </w:hyperlink>
          </w:p>
        </w:tc>
        <w:tc>
          <w:tcPr>
            <w:tcW w:w="2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4"/>
                <w:szCs w:val="24"/>
                <w:color w:val="auto"/>
              </w:rPr>
            </w:pPr>
          </w:p>
        </w:tc>
        <w:tc>
          <w:tcPr>
            <w:tcW w:w="97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Indenture, dated as of February 1, 2017, between TPG Specialty Lending, Inc. and Wells Fargo Bank, National Association, as Trustee</w:t>
              </w:r>
            </w:hyperlink>
          </w:p>
        </w:tc>
        <w:tc>
          <w:tcPr>
            <w:tcW w:w="64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27"/>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(incorporated by reference to Exhibit 4.1 to the Company’s Current Report on Form 8-K filed on February 1, 2017).</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88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4"/>
                <w:szCs w:val="24"/>
                <w:color w:val="auto"/>
              </w:rPr>
            </w:pPr>
          </w:p>
        </w:tc>
        <w:tc>
          <w:tcPr>
            <w:tcW w:w="10340" w:type="dxa"/>
            <w:vAlign w:val="bottom"/>
            <w:gridSpan w:val="27"/>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Form of 4.50% Convertible Note Due 2022 (incorporated by reference to Exhibit 4.2 to the Company’s Current Report on Form 8-K filed on</w:t>
              </w:r>
            </w:hyperlink>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February 1, 2017).</w:t>
              </w:r>
            </w:hyperlink>
          </w:p>
        </w:tc>
        <w:tc>
          <w:tcPr>
            <w:tcW w:w="8800" w:type="dxa"/>
            <w:vAlign w:val="bottom"/>
            <w:tcBorders>
              <w:top w:val="single" w:sz="8" w:color="0000EE"/>
            </w:tcBorders>
            <w:gridSpan w:val="17"/>
          </w:tcPr>
          <w:p>
            <w:pPr>
              <w:spacing w:after="0"/>
              <w:rPr>
                <w:sz w:val="17"/>
                <w:szCs w:val="17"/>
                <w:color w:val="auto"/>
              </w:rPr>
            </w:pPr>
          </w:p>
        </w:tc>
        <w:tc>
          <w:tcPr>
            <w:tcW w:w="2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24"/>
                <w:szCs w:val="24"/>
                <w:color w:val="auto"/>
              </w:rPr>
            </w:pPr>
          </w:p>
        </w:tc>
        <w:tc>
          <w:tcPr>
            <w:tcW w:w="97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Indenture, dated as of January 22, 2018, between TPG Specialty Lending, Inc. and Wells Fargo Bank, National Association, as Trustee</w:t>
              </w:r>
            </w:hyperlink>
          </w:p>
        </w:tc>
        <w:tc>
          <w:tcPr>
            <w:tcW w:w="64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27"/>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(incorporated by reference to Exhibit 4.1 to the Company’s Current Report on Form 8-K filed on January 22, 2018).</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760" w:type="dxa"/>
            <w:vAlign w:val="bottom"/>
            <w:gridSpan w:val="9"/>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24"/>
                <w:szCs w:val="24"/>
                <w:color w:val="auto"/>
              </w:rPr>
            </w:pPr>
          </w:p>
        </w:tc>
        <w:tc>
          <w:tcPr>
            <w:tcW w:w="103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First Supplemental Indenture, dated as of January 22, 2018, between TPG Specialty Lending, Inc. and Wells Fargo Bank, National Association,</w:t>
              </w:r>
            </w:hyperlink>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27"/>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as Trustee (incorporated by reference to Exhibit 4.2 to the Company’s Current Report on Form 8-K filed on January 22, 2018).</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760" w:type="dxa"/>
            <w:vAlign w:val="bottom"/>
            <w:gridSpan w:val="9"/>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4"/>
                <w:szCs w:val="24"/>
                <w:color w:val="auto"/>
              </w:rPr>
            </w:pPr>
          </w:p>
        </w:tc>
        <w:tc>
          <w:tcPr>
            <w:tcW w:w="10340" w:type="dxa"/>
            <w:vAlign w:val="bottom"/>
            <w:gridSpan w:val="27"/>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Form of 4.500% Note Due 2023 (incorporated by reference to Exhibit 4.3 to the Company’s Current Report on Form 8-K filed on January 22,</w:t>
              </w:r>
            </w:hyperlink>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64">
              <w:r>
                <w:rPr>
                  <w:rFonts w:ascii="Times New Roman" w:cs="Times New Roman" w:eastAsia="Times New Roman" w:hAnsi="Times New Roman"/>
                  <w:sz w:val="18"/>
                  <w:szCs w:val="18"/>
                  <w:color w:val="0000EE"/>
                  <w:w w:val="94"/>
                </w:rPr>
                <w:t>2018).</w:t>
              </w:r>
            </w:hyperlink>
          </w:p>
        </w:tc>
        <w:tc>
          <w:tcPr>
            <w:tcW w:w="2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24"/>
                <w:szCs w:val="24"/>
                <w:color w:val="auto"/>
              </w:rPr>
            </w:pPr>
          </w:p>
        </w:tc>
        <w:tc>
          <w:tcPr>
            <w:tcW w:w="103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First Supplemental Indenture, dated as of June 19, 2018, between TPG Specialty Lending, Inc. and Wells Fargo Bank, National Association, as</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Trustee (incorporated by reference to Exhibit 4.1 to the Company’s Current Report on Form 8-K filed on June 19, 2018).</w:t>
              </w:r>
            </w:hyperlink>
          </w:p>
        </w:tc>
        <w:tc>
          <w:tcPr>
            <w:tcW w:w="16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w w:val="95"/>
              </w:rPr>
              <w:t>10.1</w:t>
            </w:r>
          </w:p>
        </w:tc>
        <w:tc>
          <w:tcPr>
            <w:tcW w:w="180" w:type="dxa"/>
            <w:vAlign w:val="bottom"/>
          </w:tcPr>
          <w:p>
            <w:pPr>
              <w:spacing w:after="0"/>
              <w:rPr>
                <w:sz w:val="24"/>
                <w:szCs w:val="24"/>
                <w:color w:val="auto"/>
              </w:rPr>
            </w:pPr>
          </w:p>
        </w:tc>
        <w:tc>
          <w:tcPr>
            <w:tcW w:w="10340" w:type="dxa"/>
            <w:vAlign w:val="bottom"/>
            <w:gridSpan w:val="27"/>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Form of Indemnification Agreement between the Company and certain officers and directors (incorporated by reference to</w:t>
              </w:r>
            </w:hyperlink>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Exhibit 10.3 to Amendment No. 1 to the Company’s Registration Statement on Form 10 filed on March 14, 2011).</w:t>
              </w:r>
            </w:hyperlink>
          </w:p>
        </w:tc>
        <w:tc>
          <w:tcPr>
            <w:tcW w:w="152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20" w:type="dxa"/>
            <w:vAlign w:val="bottom"/>
            <w:gridSpan w:val="10"/>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w w:val="95"/>
              </w:rPr>
              <w:t>10.2</w:t>
            </w:r>
          </w:p>
        </w:tc>
        <w:tc>
          <w:tcPr>
            <w:tcW w:w="180" w:type="dxa"/>
            <w:vAlign w:val="bottom"/>
          </w:tcPr>
          <w:p>
            <w:pPr>
              <w:spacing w:after="0"/>
              <w:rPr>
                <w:sz w:val="24"/>
                <w:szCs w:val="24"/>
                <w:color w:val="auto"/>
              </w:rPr>
            </w:pPr>
          </w:p>
        </w:tc>
        <w:tc>
          <w:tcPr>
            <w:tcW w:w="101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Amended and Restated Investment Advisory and Management Agreement, dated December 12, 2011, between the Company and the Adviser</w:t>
              </w:r>
            </w:hyperlink>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27"/>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(incorporated by reference to Exhibit 10.1 to the Company’s Current Report on Form 8-K filed on December 13, 2011).</w:t>
              </w:r>
            </w:hyperlink>
          </w:p>
        </w:tc>
        <w:tc>
          <w:tcPr>
            <w:tcW w:w="20" w:type="dxa"/>
            <w:vAlign w:val="bottom"/>
          </w:tcPr>
          <w:p>
            <w:pPr>
              <w:spacing w:after="0"/>
              <w:rPr>
                <w:sz w:val="17"/>
                <w:szCs w:val="17"/>
                <w:color w:val="auto"/>
              </w:rPr>
            </w:pPr>
          </w:p>
        </w:tc>
      </w:tr>
      <w:tr>
        <w:trPr>
          <w:trHeight w:val="453"/>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80" w:type="dxa"/>
            <w:vAlign w:val="bottom"/>
            <w:tcBorders>
              <w:top w:val="single" w:sz="8" w:color="0000EE"/>
            </w:tcBorders>
            <w:gridSpan w:val="9"/>
          </w:tcPr>
          <w:p>
            <w:pPr>
              <w:ind w:left="4540"/>
              <w:spacing w:after="0"/>
              <w:rPr>
                <w:sz w:val="20"/>
                <w:szCs w:val="20"/>
                <w:color w:val="auto"/>
              </w:rPr>
            </w:pPr>
            <w:r>
              <w:rPr>
                <w:rFonts w:ascii="Times New Roman" w:cs="Times New Roman" w:eastAsia="Times New Roman" w:hAnsi="Times New Roman"/>
                <w:sz w:val="18"/>
                <w:szCs w:val="18"/>
                <w:color w:val="auto"/>
              </w:rPr>
              <w:t>84</w:t>
            </w:r>
          </w:p>
        </w:tc>
        <w:tc>
          <w:tcPr>
            <w:tcW w:w="1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7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340" w:type="dxa"/>
            <w:vAlign w:val="bottom"/>
            <w:gridSpan w:val="32"/>
          </w:tcPr>
          <w:p>
            <w:pPr>
              <w:spacing w:after="0"/>
              <w:rPr>
                <w:sz w:val="20"/>
                <w:szCs w:val="20"/>
                <w:color w:val="auto"/>
              </w:rPr>
            </w:pPr>
            <w:r>
              <w:rPr>
                <w:rFonts w:ascii="Times New Roman" w:cs="Times New Roman" w:eastAsia="Times New Roman" w:hAnsi="Times New Roman"/>
                <w:sz w:val="14"/>
                <w:szCs w:val="14"/>
                <w:color w:val="auto"/>
              </w:rPr>
              <w:t>Description of Exhibits</w:t>
            </w:r>
          </w:p>
        </w:tc>
        <w:tc>
          <w:tcPr>
            <w:tcW w:w="20" w:type="dxa"/>
            <w:vAlign w:val="bottom"/>
          </w:tcPr>
          <w:p>
            <w:pPr>
              <w:spacing w:after="0"/>
              <w:rPr>
                <w:sz w:val="14"/>
                <w:szCs w:val="14"/>
                <w:color w:val="auto"/>
              </w:rPr>
            </w:pPr>
          </w:p>
        </w:tc>
      </w:tr>
      <w:tr>
        <w:trPr>
          <w:trHeight w:val="291"/>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4"/>
                <w:szCs w:val="24"/>
                <w:color w:val="auto"/>
              </w:rPr>
            </w:pPr>
          </w:p>
        </w:tc>
        <w:tc>
          <w:tcPr>
            <w:tcW w:w="10000" w:type="dxa"/>
            <w:vAlign w:val="bottom"/>
            <w:tcBorders>
              <w:top w:val="single" w:sz="8" w:color="auto"/>
              <w:bottom w:val="single" w:sz="8" w:color="0000EE"/>
            </w:tcBorders>
            <w:gridSpan w:val="22"/>
          </w:tcPr>
          <w:p>
            <w:pPr>
              <w:spacing w:after="0"/>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Custodian Agreement dated November 29, 2012 (incorporated by reference to Exhibit 10.1 to the Company’s Current Report on Form 8-K</w:t>
              </w:r>
            </w:hyperlink>
          </w:p>
        </w:tc>
        <w:tc>
          <w:tcPr>
            <w:tcW w:w="340" w:type="dxa"/>
            <w:vAlign w:val="bottom"/>
            <w:tcBorders>
              <w:top w:val="single" w:sz="8" w:color="auto"/>
            </w:tcBorders>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32"/>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filed on December 4, 2012).</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0340" w:type="dxa"/>
            <w:vAlign w:val="bottom"/>
            <w:gridSpan w:val="32"/>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Second Amended and Restated Senior Secured Credit Agreement, dated February 27, 2014, among TPG Specialty Lending, Inc., as Borrower,</w:t>
              </w:r>
            </w:hyperlink>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the Lenders Party Hereto and SunTrust Bank, as Administrative Agent, and JPMorgan Chase Bank, N.A., as Syndication Agent (incorporated</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by reference to Exhibit 10.20 to the Company’s Annual Report on Form 10-K filed on March 4, 2014).</w:t>
              </w:r>
            </w:hyperlink>
          </w:p>
        </w:tc>
        <w:tc>
          <w:tcPr>
            <w:tcW w:w="1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4"/>
                <w:szCs w:val="24"/>
                <w:color w:val="auto"/>
              </w:rPr>
            </w:pPr>
          </w:p>
        </w:tc>
        <w:tc>
          <w:tcPr>
            <w:tcW w:w="100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Dividend Reinvestment Plan of TPG Specialty Lending, Inc. (incorporated by reference to Exhibit (e) to Pre-Effective Amendment No. 4 to</w:t>
              </w:r>
            </w:hyperlink>
          </w:p>
        </w:tc>
        <w:tc>
          <w:tcPr>
            <w:tcW w:w="26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32"/>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the Company’s Registration Statement on Form N-2 filed on March 17, 2014).</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4"/>
                <w:szCs w:val="24"/>
                <w:color w:val="auto"/>
              </w:rPr>
            </w:pPr>
          </w:p>
        </w:tc>
        <w:tc>
          <w:tcPr>
            <w:tcW w:w="100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Form of Increase Letter pursuant to the Second Amended and Restated Senior Secured Credit Agreement, dated February 27, 2014, among</w:t>
              </w:r>
            </w:hyperlink>
          </w:p>
        </w:tc>
        <w:tc>
          <w:tcPr>
            <w:tcW w:w="3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32"/>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TPG Specialty Lending, Inc., as Borrower, the Lenders Party Hereto and SunTrust Bank, as Administrative Agent, and JPMorgan Chase Bank,</w:t>
              </w:r>
            </w:hyperlink>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N.A., as Syndication Agent (incorporated by reference to Exhibit 10.3 to the Company’s Quarterly Annual Report on Form 10-Q filed on</w:t>
              </w:r>
            </w:hyperlink>
          </w:p>
        </w:tc>
        <w:tc>
          <w:tcPr>
            <w:tcW w:w="380" w:type="dxa"/>
            <w:vAlign w:val="bottom"/>
            <w:tcBorders>
              <w:top w:val="single" w:sz="8" w:color="0000EE"/>
            </w:tcBorders>
            <w:gridSpan w:val="12"/>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32"/>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August 4, 2014).</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4"/>
                <w:szCs w:val="24"/>
                <w:color w:val="auto"/>
              </w:rPr>
            </w:pPr>
          </w:p>
        </w:tc>
        <w:tc>
          <w:tcPr>
            <w:tcW w:w="10340" w:type="dxa"/>
            <w:vAlign w:val="bottom"/>
            <w:gridSpan w:val="32"/>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First Amendment to Second Amended and Restated Senior Secured Revolving Credit Agreement, dated June 3, 2014, among TPG Specialty</w:t>
              </w:r>
            </w:hyperlink>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Lending, Inc., as Borrower, the Lenders party thereto and SunTrust Bank, as Administrative Agent and Collateral Agent (incorporated by</w:t>
              </w:r>
            </w:hyperlink>
          </w:p>
        </w:tc>
        <w:tc>
          <w:tcPr>
            <w:tcW w:w="220" w:type="dxa"/>
            <w:vAlign w:val="bottom"/>
            <w:tcBorders>
              <w:top w:val="single" w:sz="8" w:color="0000EE"/>
            </w:tcBorders>
            <w:gridSpan w:val="8"/>
          </w:tcPr>
          <w:p>
            <w:pPr>
              <w:spacing w:after="0"/>
              <w:rPr>
                <w:sz w:val="17"/>
                <w:szCs w:val="17"/>
                <w:color w:val="auto"/>
              </w:rPr>
            </w:pPr>
          </w:p>
        </w:tc>
        <w:tc>
          <w:tcPr>
            <w:tcW w:w="22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reference to Exhibit 10.4 to the Company’s Quarterly Report on Form 10-Q filed on August 4, 2014).</w:t>
              </w:r>
            </w:hyperlink>
          </w:p>
        </w:tc>
        <w:tc>
          <w:tcPr>
            <w:tcW w:w="304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4"/>
                <w:szCs w:val="24"/>
                <w:color w:val="auto"/>
              </w:rPr>
            </w:pPr>
          </w:p>
        </w:tc>
        <w:tc>
          <w:tcPr>
            <w:tcW w:w="10340" w:type="dxa"/>
            <w:vAlign w:val="bottom"/>
            <w:gridSpan w:val="32"/>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Second Amendment to Second Amended and Restated Senior Secured Revolving Credit Agreement, dated June 27, 2014, among TPG</w:t>
              </w:r>
            </w:hyperlink>
          </w:p>
        </w:tc>
        <w:tc>
          <w:tcPr>
            <w:tcW w:w="2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32"/>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Specialty Lending, Inc., as Borrower, Morgan Stanley Bank, N.A., as a Lender, and SunTrust Bank, as Administrative Agent (incorporated by</w:t>
              </w:r>
            </w:hyperlink>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reference to Exhibit 10.5 to the Company’s Quarterly Report on Form 10-Q filed on August 4, 2014).</w:t>
              </w:r>
            </w:hyperlink>
          </w:p>
        </w:tc>
        <w:tc>
          <w:tcPr>
            <w:tcW w:w="2920" w:type="dxa"/>
            <w:vAlign w:val="bottom"/>
            <w:tcBorders>
              <w:top w:val="single" w:sz="8" w:color="0000EE"/>
            </w:tcBorders>
            <w:gridSpan w:val="20"/>
          </w:tcPr>
          <w:p>
            <w:pPr>
              <w:spacing w:after="0"/>
              <w:rPr>
                <w:sz w:val="17"/>
                <w:szCs w:val="17"/>
                <w:color w:val="auto"/>
              </w:rPr>
            </w:pPr>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24"/>
                <w:szCs w:val="24"/>
                <w:color w:val="auto"/>
              </w:rPr>
            </w:pPr>
          </w:p>
        </w:tc>
        <w:tc>
          <w:tcPr>
            <w:tcW w:w="98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Third Amendment to Second Amended and Restated Senior Secured Revolving Credit Agreement, dated October 17, 2014, among TPG</w:t>
              </w:r>
            </w:hyperlink>
          </w:p>
        </w:tc>
        <w:tc>
          <w:tcPr>
            <w:tcW w:w="50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Specialty Lending, Inc., as Borrower, the Lenders party thereto and SunTrust Bank, as Administrative Agent (incorporated by reference to</w:t>
              </w:r>
            </w:hyperlink>
          </w:p>
        </w:tc>
        <w:tc>
          <w:tcPr>
            <w:tcW w:w="38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Exhibit 10.1 to the Company’s Quarterly Report on Form 10-Q filed on November 3, 2014).</w:t>
              </w:r>
            </w:hyperlink>
          </w:p>
        </w:tc>
        <w:tc>
          <w:tcPr>
            <w:tcW w:w="370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tcPr>
          <w:p>
            <w:pPr>
              <w:spacing w:after="0"/>
              <w:rPr>
                <w:sz w:val="24"/>
                <w:szCs w:val="24"/>
                <w:color w:val="auto"/>
              </w:rPr>
            </w:pPr>
          </w:p>
        </w:tc>
        <w:tc>
          <w:tcPr>
            <w:tcW w:w="10340" w:type="dxa"/>
            <w:vAlign w:val="bottom"/>
            <w:gridSpan w:val="32"/>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Second Amended and Restated Credit and Security Agreement, dated as of March 27, 2015, among TPG SL SPV, LLC, as Borrower, the</w:t>
              </w:r>
            </w:hyperlink>
          </w:p>
        </w:tc>
        <w:tc>
          <w:tcPr>
            <w:tcW w:w="2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32"/>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Lenders from time to time parties thereto, Natixis, New York Branch, as Facility Agent and State Street Bank and Trust Company, as Collateral</w:t>
              </w:r>
            </w:hyperlink>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Agent (incorporated by reference to Exhibit 10.1 to the Company’s Current Report on Form 8-K filed on March 30, 2015).</w:t>
              </w:r>
            </w:hyperlink>
          </w:p>
        </w:tc>
        <w:tc>
          <w:tcPr>
            <w:tcW w:w="1480" w:type="dxa"/>
            <w:vAlign w:val="bottom"/>
            <w:tcBorders>
              <w:top w:val="single" w:sz="8" w:color="0000EE"/>
            </w:tcBorders>
            <w:gridSpan w:val="1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80" w:type="dxa"/>
            <w:vAlign w:val="bottom"/>
          </w:tcPr>
          <w:p>
            <w:pPr>
              <w:spacing w:after="0"/>
              <w:rPr>
                <w:sz w:val="24"/>
                <w:szCs w:val="24"/>
                <w:color w:val="auto"/>
              </w:rPr>
            </w:pPr>
          </w:p>
        </w:tc>
        <w:tc>
          <w:tcPr>
            <w:tcW w:w="98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Fourth Amendment to Second Amended and Restated Senior Secured Revolving Credit Agreement, dated October 2, 2015, among TPG</w:t>
              </w:r>
            </w:hyperlink>
          </w:p>
        </w:tc>
        <w:tc>
          <w:tcPr>
            <w:tcW w:w="52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Specialty Lending, Inc., as Borrower, the Lenders party thereto and Suntrust Bank, as Administrative Agent (incorporated by reference to</w:t>
              </w:r>
            </w:hyperlink>
          </w:p>
        </w:tc>
        <w:tc>
          <w:tcPr>
            <w:tcW w:w="4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Exhibit 10.1 to the Company’s Quarterly Report on Form 10-Q filed on November 3, 2015).</w:t>
              </w:r>
            </w:hyperlink>
          </w:p>
        </w:tc>
        <w:tc>
          <w:tcPr>
            <w:tcW w:w="370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tcPr>
          <w:p>
            <w:pPr>
              <w:spacing w:after="0"/>
              <w:rPr>
                <w:sz w:val="24"/>
                <w:szCs w:val="24"/>
                <w:color w:val="auto"/>
              </w:rPr>
            </w:pPr>
          </w:p>
        </w:tc>
        <w:tc>
          <w:tcPr>
            <w:tcW w:w="99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Fifth Amendment to Second Amended and Restated Senior Secured Revolving Credit Agreement, dated December 22, 2016, among TPG</w:t>
              </w:r>
            </w:hyperlink>
          </w:p>
        </w:tc>
        <w:tc>
          <w:tcPr>
            <w:tcW w:w="40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Specialty Lending, Inc., as Borrower, the Lenders party thereto and SunTrust Bank, as Administrative Agent (incorporated by reference to</w:t>
              </w:r>
            </w:hyperlink>
          </w:p>
        </w:tc>
        <w:tc>
          <w:tcPr>
            <w:tcW w:w="38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32"/>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Exhibit 10.15 to the Company’s Annual Report on Form 10-K filed on February 22, 2017).</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80" w:type="dxa"/>
            <w:vAlign w:val="bottom"/>
          </w:tcPr>
          <w:p>
            <w:pPr>
              <w:spacing w:after="0"/>
              <w:rPr>
                <w:sz w:val="24"/>
                <w:szCs w:val="24"/>
                <w:color w:val="auto"/>
              </w:rPr>
            </w:pPr>
          </w:p>
        </w:tc>
        <w:tc>
          <w:tcPr>
            <w:tcW w:w="99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Amended and Restated Administration Agreement, dated as of February 22, 2017 between the Company and the Adviser (incorporated by</w:t>
              </w:r>
            </w:hyperlink>
          </w:p>
        </w:tc>
        <w:tc>
          <w:tcPr>
            <w:tcW w:w="36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32"/>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reference to Exhibit 10.16 to the Company’s Annual Report on Form 10-K filed on February 22, 2017).</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80" w:type="dxa"/>
            <w:vAlign w:val="bottom"/>
          </w:tcPr>
          <w:p>
            <w:pPr>
              <w:spacing w:after="0"/>
              <w:rPr>
                <w:sz w:val="24"/>
                <w:szCs w:val="24"/>
                <w:color w:val="auto"/>
              </w:rPr>
            </w:pPr>
          </w:p>
        </w:tc>
        <w:tc>
          <w:tcPr>
            <w:tcW w:w="98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Sixth Amendment to Second Amended and Restated Senior Secured Revolving Credit Agreement, dated February 20, 2018, among TPG</w:t>
              </w:r>
            </w:hyperlink>
          </w:p>
        </w:tc>
        <w:tc>
          <w:tcPr>
            <w:tcW w:w="46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Specialty Lending, Inc., as Borrower, the Lenders party thereto and SunTrust Bank, as Administrative Agent (incorporated by reference to</w:t>
              </w:r>
            </w:hyperlink>
          </w:p>
        </w:tc>
        <w:tc>
          <w:tcPr>
            <w:tcW w:w="38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32"/>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Exhibit 10.16 to the Company’s Annual Report on Form 10-K filed on February 21, 2018).</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80" w:type="dxa"/>
            <w:vAlign w:val="bottom"/>
          </w:tcPr>
          <w:p>
            <w:pPr>
              <w:spacing w:after="0"/>
              <w:rPr>
                <w:sz w:val="24"/>
                <w:szCs w:val="24"/>
                <w:color w:val="auto"/>
              </w:rPr>
            </w:pPr>
          </w:p>
        </w:tc>
        <w:tc>
          <w:tcPr>
            <w:tcW w:w="101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Seventh Amendment to Second Amended and Restated Senior Secured Revolving Credit Agreement, dated as of November 5, 2018, among</w:t>
              </w:r>
            </w:hyperlink>
          </w:p>
        </w:tc>
        <w:tc>
          <w:tcPr>
            <w:tcW w:w="24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TPG Specialty Lending, Inc., as Borrower, the Lenders party thereto and SunTrust Bank, as Administrative Agent (incorporated by reference to</w:t>
              </w:r>
            </w:hyperlink>
          </w:p>
        </w:tc>
        <w:tc>
          <w:tcPr>
            <w:tcW w:w="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32"/>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Exhibit 10.1 to the Company's Quarterly Report on Form 10-Q filed on November 6, 2018).</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80" w:type="dxa"/>
            <w:vAlign w:val="bottom"/>
          </w:tcPr>
          <w:p>
            <w:pPr>
              <w:spacing w:after="0"/>
              <w:rPr>
                <w:sz w:val="24"/>
                <w:szCs w:val="24"/>
                <w:color w:val="auto"/>
              </w:rPr>
            </w:pPr>
          </w:p>
        </w:tc>
        <w:tc>
          <w:tcPr>
            <w:tcW w:w="99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130">
              <w:r>
                <w:rPr>
                  <w:rFonts w:ascii="Times New Roman" w:cs="Times New Roman" w:eastAsia="Times New Roman" w:hAnsi="Times New Roman"/>
                  <w:sz w:val="18"/>
                  <w:szCs w:val="18"/>
                  <w:color w:val="0000EE"/>
                  <w:w w:val="99"/>
                </w:rPr>
                <w:t>Eighth Amendment to Second Amended and Restated Senior Secured Revolving Credit Agreement, dated as of February 14, 2019, among</w:t>
              </w:r>
            </w:hyperlink>
          </w:p>
        </w:tc>
        <w:tc>
          <w:tcPr>
            <w:tcW w:w="36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32"/>
          </w:tcPr>
          <w:p>
            <w:pPr>
              <w:spacing w:after="0" w:line="196" w:lineRule="exact"/>
              <w:rPr>
                <w:rFonts w:ascii="Times New Roman" w:cs="Times New Roman" w:eastAsia="Times New Roman" w:hAnsi="Times New Roman"/>
                <w:sz w:val="18"/>
                <w:szCs w:val="18"/>
                <w:color w:val="0000EE"/>
              </w:rPr>
            </w:pPr>
            <w:hyperlink w:anchor="page130">
              <w:r>
                <w:rPr>
                  <w:rFonts w:ascii="Times New Roman" w:cs="Times New Roman" w:eastAsia="Times New Roman" w:hAnsi="Times New Roman"/>
                  <w:sz w:val="18"/>
                  <w:szCs w:val="18"/>
                  <w:color w:val="0000EE"/>
                </w:rPr>
                <w:t>TPG Specialty Lending, Inc., as Borrower, the Lenders party thereto and SunTrust Bank, as Administrative Agent.</w:t>
              </w:r>
            </w:hyperlink>
          </w:p>
        </w:tc>
        <w:tc>
          <w:tcPr>
            <w:tcW w:w="20" w:type="dxa"/>
            <w:vAlign w:val="bottom"/>
          </w:tcPr>
          <w:p>
            <w:pPr>
              <w:spacing w:after="0"/>
              <w:rPr>
                <w:sz w:val="17"/>
                <w:szCs w:val="17"/>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24"/>
                <w:szCs w:val="24"/>
                <w:color w:val="auto"/>
              </w:rPr>
            </w:pPr>
          </w:p>
        </w:tc>
        <w:tc>
          <w:tcPr>
            <w:tcW w:w="31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292">
              <w:r>
                <w:rPr>
                  <w:rFonts w:ascii="Times New Roman" w:cs="Times New Roman" w:eastAsia="Times New Roman" w:hAnsi="Times New Roman"/>
                  <w:sz w:val="18"/>
                  <w:szCs w:val="18"/>
                  <w:color w:val="0000EE"/>
                  <w:w w:val="99"/>
                </w:rPr>
                <w:t>Subsidiaries of TPG Specialty Lending, Inc.</w:t>
              </w:r>
            </w:hyperlink>
          </w:p>
        </w:tc>
        <w:tc>
          <w:tcPr>
            <w:tcW w:w="5060" w:type="dxa"/>
            <w:vAlign w:val="bottom"/>
            <w:tcBorders>
              <w:top w:val="single" w:sz="8" w:color="0000EE"/>
            </w:tcBorders>
            <w:gridSpan w:val="8"/>
          </w:tcPr>
          <w:p>
            <w:pPr>
              <w:spacing w:after="0"/>
              <w:rPr>
                <w:sz w:val="24"/>
                <w:szCs w:val="24"/>
                <w:color w:val="auto"/>
              </w:rPr>
            </w:pPr>
          </w:p>
        </w:tc>
        <w:tc>
          <w:tcPr>
            <w:tcW w:w="2100" w:type="dxa"/>
            <w:vAlign w:val="bottom"/>
            <w:gridSpan w:val="21"/>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40" w:type="dxa"/>
            <w:vAlign w:val="bottom"/>
            <w:gridSpan w:val="4"/>
          </w:tcPr>
          <w:p>
            <w:pPr>
              <w:ind w:left="4540"/>
              <w:spacing w:after="0"/>
              <w:rPr>
                <w:sz w:val="20"/>
                <w:szCs w:val="20"/>
                <w:color w:val="auto"/>
              </w:rPr>
            </w:pPr>
            <w:r>
              <w:rPr>
                <w:rFonts w:ascii="Times New Roman" w:cs="Times New Roman" w:eastAsia="Times New Roman" w:hAnsi="Times New Roman"/>
                <w:sz w:val="18"/>
                <w:szCs w:val="18"/>
                <w:color w:val="auto"/>
              </w:rPr>
              <w:t>85</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7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Description of Exhibits</w:t>
            </w:r>
          </w:p>
        </w:tc>
      </w:tr>
      <w:tr>
        <w:trPr>
          <w:trHeight w:val="291"/>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10340" w:type="dxa"/>
            <w:vAlign w:val="bottom"/>
            <w:tcBorders>
              <w:top w:val="single" w:sz="8" w:color="auto"/>
            </w:tcBorders>
            <w:gridSpan w:val="4"/>
          </w:tcPr>
          <w:p>
            <w:pPr>
              <w:spacing w:after="0"/>
              <w:rPr>
                <w:rFonts w:ascii="Times New Roman" w:cs="Times New Roman" w:eastAsia="Times New Roman" w:hAnsi="Times New Roman"/>
                <w:sz w:val="18"/>
                <w:szCs w:val="18"/>
                <w:color w:val="0000EE"/>
              </w:rPr>
            </w:pPr>
            <w:hyperlink w:anchor="page293">
              <w:r>
                <w:rPr>
                  <w:rFonts w:ascii="Times New Roman" w:cs="Times New Roman" w:eastAsia="Times New Roman" w:hAnsi="Times New Roman"/>
                  <w:sz w:val="18"/>
                  <w:szCs w:val="18"/>
                  <w:color w:val="0000EE"/>
                </w:rPr>
                <w:t>Certification of Chief Executive Officer Pursuant to 18 U.S.C. Section 1350, as Adopted Pursuant to Section 302 of the Sarbanes-Oxley Act of</w:t>
              </w:r>
            </w:hyperlink>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w:anchor="page293">
              <w:r>
                <w:rPr>
                  <w:rFonts w:ascii="Times New Roman" w:cs="Times New Roman" w:eastAsia="Times New Roman" w:hAnsi="Times New Roman"/>
                  <w:sz w:val="18"/>
                  <w:szCs w:val="18"/>
                  <w:color w:val="0000EE"/>
                  <w:w w:val="93"/>
                </w:rPr>
                <w:t>2002.</w:t>
              </w:r>
            </w:hyperlink>
          </w:p>
        </w:tc>
        <w:tc>
          <w:tcPr>
            <w:tcW w:w="98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10340" w:type="dxa"/>
            <w:vAlign w:val="bottom"/>
            <w:gridSpan w:val="4"/>
          </w:tcPr>
          <w:p>
            <w:pPr>
              <w:spacing w:after="0"/>
              <w:rPr>
                <w:rFonts w:ascii="Times New Roman" w:cs="Times New Roman" w:eastAsia="Times New Roman" w:hAnsi="Times New Roman"/>
                <w:sz w:val="18"/>
                <w:szCs w:val="18"/>
                <w:color w:val="0000EE"/>
              </w:rPr>
            </w:pPr>
            <w:hyperlink w:anchor="page294">
              <w:r>
                <w:rPr>
                  <w:rFonts w:ascii="Times New Roman" w:cs="Times New Roman" w:eastAsia="Times New Roman" w:hAnsi="Times New Roman"/>
                  <w:sz w:val="18"/>
                  <w:szCs w:val="18"/>
                  <w:color w:val="0000EE"/>
                </w:rPr>
                <w:t>Certification of Chief Financial Officer Pursuant to 18 U.S.C. Section 1350, as Adopted Pursuant to Section 302 of the Sarbanes-Oxley Act of</w:t>
              </w:r>
            </w:hyperlink>
          </w:p>
        </w:tc>
      </w:tr>
      <w:tr>
        <w:trPr>
          <w:trHeight w:val="196"/>
        </w:trPr>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w:anchor="page294">
              <w:r>
                <w:rPr>
                  <w:rFonts w:ascii="Times New Roman" w:cs="Times New Roman" w:eastAsia="Times New Roman" w:hAnsi="Times New Roman"/>
                  <w:sz w:val="18"/>
                  <w:szCs w:val="18"/>
                  <w:color w:val="0000EE"/>
                  <w:w w:val="93"/>
                </w:rPr>
                <w:t>2002.</w:t>
              </w:r>
            </w:hyperlink>
          </w:p>
        </w:tc>
        <w:tc>
          <w:tcPr>
            <w:tcW w:w="98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130" w:lineRule="exact"/>
        <w:rPr>
          <w:sz w:val="20"/>
          <w:szCs w:val="20"/>
          <w:color w:val="auto"/>
        </w:rPr>
      </w:pPr>
    </w:p>
    <w:p>
      <w:pPr>
        <w:ind w:left="1080" w:hanging="1072"/>
        <w:spacing w:after="0"/>
        <w:tabs>
          <w:tab w:leader="none" w:pos="1080" w:val="left"/>
        </w:tabs>
        <w:numPr>
          <w:ilvl w:val="0"/>
          <w:numId w:val="98"/>
        </w:numPr>
        <w:rPr>
          <w:rFonts w:ascii="Times New Roman" w:cs="Times New Roman" w:eastAsia="Times New Roman" w:hAnsi="Times New Roman"/>
          <w:sz w:val="18"/>
          <w:szCs w:val="18"/>
          <w:u w:val="single" w:color="auto"/>
          <w:color w:val="0000EE"/>
        </w:rPr>
      </w:pPr>
      <w:hyperlink w:anchor="page295">
        <w:r>
          <w:rPr>
            <w:rFonts w:ascii="Times New Roman" w:cs="Times New Roman" w:eastAsia="Times New Roman" w:hAnsi="Times New Roman"/>
            <w:sz w:val="18"/>
            <w:szCs w:val="18"/>
            <w:u w:val="single" w:color="auto"/>
            <w:color w:val="0000EE"/>
          </w:rPr>
          <w:t>Certification of CEO and CFO Pursuant to 18 U.S.C. Section 1350, as Adopted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9690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20, 2019</w:t>
      </w:r>
      <w:r>
        <w:rPr>
          <w:sz w:val="20"/>
          <w:szCs w:val="20"/>
          <w:color w:val="auto"/>
        </w:rPr>
        <w:tab/>
      </w:r>
      <w:r>
        <w:rPr>
          <w:rFonts w:ascii="Times New Roman" w:cs="Times New Roman" w:eastAsia="Times New Roman" w:hAnsi="Times New Roman"/>
          <w:sz w:val="17"/>
          <w:szCs w:val="17"/>
          <w:b w:val="1"/>
          <w:bCs w:val="1"/>
          <w:color w:val="auto"/>
        </w:rPr>
        <w:t>TPG SPECIALTY LENDING, INC.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-130810</wp:posOffset>
            </wp:positionV>
            <wp:extent cx="36703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160" w:lineRule="exact"/>
        <w:rPr>
          <w:sz w:val="20"/>
          <w:szCs w:val="20"/>
          <w:color w:val="auto"/>
        </w:rPr>
      </w:pPr>
    </w:p>
    <w:p>
      <w:pPr>
        <w:ind w:right="140" w:firstLine="259"/>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Michael Fishman, Joshua Easterly, Ian Simmonds, David Stiepleman and Jennifer Gordon, and each of them, such person’s true and lawful attorney-in-fact and agent, with full power of substitution and revocation, for such person and in such person’s name, place and stead, in any and all capacities, to sign one or more Annual Reports on Form 10-K for the fiscal year ended December 31, 2018,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spacing w:after="0" w:line="185" w:lineRule="exact"/>
        <w:rPr>
          <w:sz w:val="20"/>
          <w:szCs w:val="20"/>
          <w:color w:val="auto"/>
        </w:rPr>
      </w:pPr>
    </w:p>
    <w:p>
      <w:pPr>
        <w:ind w:right="720"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20, 2019.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5"/>
                <w:szCs w:val="15"/>
                <w:color w:val="auto"/>
              </w:rPr>
            </w:pPr>
          </w:p>
        </w:tc>
        <w:tc>
          <w:tcPr>
            <w:tcW w:w="6920" w:type="dxa"/>
            <w:vAlign w:val="bottom"/>
            <w:tcBorders>
              <w:bottom w:val="single" w:sz="8" w:color="auto"/>
            </w:tcBorders>
          </w:tcPr>
          <w:p>
            <w:pPr>
              <w:jc w:val="right"/>
              <w:ind w:right="3248"/>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99"/>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Easterly</w:t>
            </w:r>
          </w:p>
        </w:tc>
        <w:tc>
          <w:tcPr>
            <w:tcW w:w="7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Director and Chairman of the Board of Directors</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4"/>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c>
          <w:tcPr>
            <w:tcW w:w="7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Ian Simmonds</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4"/>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Graf</w:t>
            </w:r>
          </w:p>
        </w:tc>
        <w:tc>
          <w:tcPr>
            <w:tcW w:w="7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(Principal Accounting Officer)</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Michael Graf</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27"/>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Ross</w:t>
            </w:r>
          </w:p>
        </w:tc>
        <w:tc>
          <w:tcPr>
            <w:tcW w:w="7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and Chairman of the Audit Committee</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John A. Ross</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4"/>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Hurley Doddy</w:t>
            </w:r>
          </w:p>
        </w:tc>
        <w:tc>
          <w:tcPr>
            <w:tcW w:w="7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4"/>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Fishman</w:t>
            </w:r>
          </w:p>
        </w:tc>
        <w:tc>
          <w:tcPr>
            <w:tcW w:w="7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Michael Fishman</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4"/>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Gordon</w:t>
            </w:r>
          </w:p>
        </w:tc>
        <w:tc>
          <w:tcPr>
            <w:tcW w:w="7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Jennifer Gordon</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27"/>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 Higginbotham</w:t>
            </w:r>
          </w:p>
        </w:tc>
        <w:tc>
          <w:tcPr>
            <w:tcW w:w="7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Richard A. Higginbotham</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4"/>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Ronald K. Tanemura</w:t>
            </w:r>
          </w:p>
        </w:tc>
        <w:tc>
          <w:tcPr>
            <w:tcW w:w="7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Ronald K. Tanemura</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860"/>
        </w:trPr>
        <w:tc>
          <w:tcPr>
            <w:tcW w:w="4400" w:type="dxa"/>
            <w:vAlign w:val="bottom"/>
          </w:tcPr>
          <w:p>
            <w:pPr>
              <w:spacing w:after="0"/>
              <w:rPr>
                <w:sz w:val="24"/>
                <w:szCs w:val="24"/>
                <w:color w:val="auto"/>
              </w:rPr>
            </w:pPr>
          </w:p>
        </w:tc>
        <w:tc>
          <w:tcPr>
            <w:tcW w:w="7020" w:type="dxa"/>
            <w:vAlign w:val="bottom"/>
            <w:gridSpan w:val="2"/>
          </w:tcPr>
          <w:p>
            <w:pPr>
              <w:jc w:val="right"/>
              <w:ind w:right="5548"/>
              <w:spacing w:after="0"/>
              <w:rPr>
                <w:sz w:val="20"/>
                <w:szCs w:val="20"/>
                <w:color w:val="auto"/>
              </w:rPr>
            </w:pPr>
            <w:r>
              <w:rPr>
                <w:rFonts w:ascii="Times New Roman" w:cs="Times New Roman" w:eastAsia="Times New Roman" w:hAnsi="Times New Roman"/>
                <w:sz w:val="18"/>
                <w:szCs w:val="18"/>
                <w:color w:val="auto"/>
              </w:rPr>
              <w:t>87</w:t>
            </w:r>
          </w:p>
        </w:tc>
      </w:tr>
    </w:tbl>
    <w:p>
      <w:pPr>
        <w:sectPr>
          <w:pgSz w:w="11900" w:h="16838" w:orient="portrait"/>
          <w:cols w:equalWidth="0" w:num="1">
            <w:col w:w="11420"/>
          </w:cols>
          <w:pgMar w:left="240" w:top="333" w:right="2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2"/>
          <w:szCs w:val="22"/>
          <w:b w:val="1"/>
          <w:bCs w:val="1"/>
          <w:color w:val="auto"/>
        </w:rPr>
        <w:t>Exhibit 10.16</w:t>
      </w:r>
    </w:p>
    <w:p>
      <w:pPr>
        <w:spacing w:after="0" w:line="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EIGHTH AMENDMENT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SECOND AMENDED AND RESTATED SENIOR SECURED REVOLVING CREDIT AGREEMENT</w:t>
      </w:r>
    </w:p>
    <w:p>
      <w:pPr>
        <w:spacing w:after="0" w:line="182"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auto"/>
        </w:rPr>
        <w:t>THIS EIGHTH AMENDMENT TO SECOND AMENDED AND RESTATED SENIOR SECURED REVOLVING CREDIT AGREEMENT, dated as of February 14, 2019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to the Existing Credit Agreement (capitalized terms used herein and not otherwise defined shall have the meanings given to such terms in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is among TPG SPECIALTY LENDING,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party hereto and SUNTRUST BANK, as Administrative Agent.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p>
    <w:p>
      <w:pPr>
        <w:spacing w:after="0" w:line="206" w:lineRule="exact"/>
        <w:rPr>
          <w:sz w:val="20"/>
          <w:szCs w:val="20"/>
          <w:color w:val="auto"/>
        </w:rPr>
      </w:pPr>
    </w:p>
    <w:p>
      <w:pPr>
        <w:jc w:val="both"/>
        <w:ind w:firstLine="877"/>
        <w:spacing w:after="0" w:line="221" w:lineRule="auto"/>
        <w:rPr>
          <w:sz w:val="20"/>
          <w:szCs w:val="20"/>
          <w:color w:val="auto"/>
        </w:rPr>
      </w:pPr>
      <w:r>
        <w:rPr>
          <w:rFonts w:ascii="Times New Roman" w:cs="Times New Roman" w:eastAsia="Times New Roman" w:hAnsi="Times New Roman"/>
          <w:sz w:val="22"/>
          <w:szCs w:val="22"/>
          <w:color w:val="auto"/>
        </w:rPr>
        <w:t>WHEREAS, the Borrower, the Lenders party hereto (other than Sumitomo Mitsui Banking Corporation (“</w:t>
      </w:r>
      <w:r>
        <w:rPr>
          <w:rFonts w:ascii="Times New Roman" w:cs="Times New Roman" w:eastAsia="Times New Roman" w:hAnsi="Times New Roman"/>
          <w:sz w:val="22"/>
          <w:szCs w:val="22"/>
          <w:u w:val="single" w:color="auto"/>
          <w:color w:val="auto"/>
        </w:rPr>
        <w:t>SMBC</w:t>
      </w:r>
      <w:r>
        <w:rPr>
          <w:rFonts w:ascii="Times New Roman" w:cs="Times New Roman" w:eastAsia="Times New Roman" w:hAnsi="Times New Roman"/>
          <w:sz w:val="22"/>
          <w:szCs w:val="22"/>
          <w:color w:val="auto"/>
        </w:rPr>
        <w:t>”) and Industrial and Commercial Bank of China Limited (“</w:t>
      </w:r>
      <w:r>
        <w:rPr>
          <w:rFonts w:ascii="Times New Roman" w:cs="Times New Roman" w:eastAsia="Times New Roman" w:hAnsi="Times New Roman"/>
          <w:sz w:val="22"/>
          <w:szCs w:val="22"/>
          <w:u w:val="single" w:color="auto"/>
          <w:color w:val="auto"/>
        </w:rPr>
        <w:t>ICBC</w:t>
      </w:r>
      <w:r>
        <w:rPr>
          <w:rFonts w:ascii="Times New Roman" w:cs="Times New Roman" w:eastAsia="Times New Roman" w:hAnsi="Times New Roman"/>
          <w:sz w:val="22"/>
          <w:szCs w:val="22"/>
          <w:color w:val="auto"/>
        </w:rPr>
        <w:t>”)) and the Administrative Agent are parties to the Second Amended and Restated Senior Secured Revolving Credit Agreement, dated as of February 27, 2014 (as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and the Seventh Amendment to Second Amended and Restated Senior Secured Revolving Credit Agreement, dated as of November 5, 2018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and by this Amendment and as the same may be further amended, supplemented, amended and restated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WHEREAS, each of SMBC and ICBC desire to become a party to the Credit Agreement as Lenders; and</w:t>
      </w:r>
    </w:p>
    <w:p>
      <w:pPr>
        <w:spacing w:after="0" w:line="193"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color w:val="auto"/>
        </w:rPr>
        <w:t>WHEREAS, the Borrower has requested that the Lenders agree to amend the Existing Credit Agreement, and the Lenders party hereto are willing, on the terms and subject to the conditions hereinafter set forth, to agree to the amendment set forth below and the other terms hereof;</w:t>
      </w:r>
    </w:p>
    <w:p>
      <w:pPr>
        <w:spacing w:after="0" w:line="16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NOW, THEREFORE, the parties hereto hereby covenant and agree as follows: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206" w:lineRule="exact"/>
        <w:rPr>
          <w:sz w:val="20"/>
          <w:szCs w:val="20"/>
          <w:color w:val="auto"/>
        </w:rPr>
      </w:pPr>
    </w:p>
    <w:p>
      <w:pPr>
        <w:jc w:val="both"/>
        <w:ind w:firstLine="877"/>
        <w:spacing w:after="0" w:line="245"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The following terms when used in this Amendment shall have the following meanings (such meanings to be equally applicable to the singular and plural forms thereof):</w:t>
      </w:r>
    </w:p>
    <w:p>
      <w:pPr>
        <w:spacing w:after="0" w:line="1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731146884 11299570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0" w:name="page131"/>
    <w:bookmarkEnd w:id="130"/>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first recital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first recital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Eighth Amendment Effective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ICBC</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second recital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SMBC</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second recital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877"/>
        <w:spacing w:after="0" w:line="258"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Other Definitions</w:t>
      </w:r>
      <w:r>
        <w:rPr>
          <w:rFonts w:ascii="Times New Roman" w:cs="Times New Roman" w:eastAsia="Times New Roman" w:hAnsi="Times New Roman"/>
          <w:sz w:val="22"/>
          <w:szCs w:val="22"/>
          <w:color w:val="auto"/>
        </w:rPr>
        <w:t>. Capitalized terms for which meanings are provided in the Existing Credit Agreement are, unless otherwise defined herein or the context otherwise requires, used in this Amendment with such meanings.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JOINDER OF SMBC AND ICBC TO CREDIT AGREEMENT</w:t>
      </w:r>
    </w:p>
    <w:p>
      <w:pPr>
        <w:spacing w:after="0" w:line="206"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SMBC as a Lender</w:t>
      </w:r>
      <w:r>
        <w:rPr>
          <w:rFonts w:ascii="Times New Roman" w:cs="Times New Roman" w:eastAsia="Times New Roman" w:hAnsi="Times New Roman"/>
          <w:sz w:val="22"/>
          <w:szCs w:val="22"/>
          <w:color w:val="auto"/>
        </w:rPr>
        <w:t>. Subject to the occurrence of the Eighth Amendment Effective Date (as hereinafter defined), each of the parties hereto hereby agrees that SMBC will (and does hereby) become a “Lender” under and for all purposes of the Credit Agreement with a Multicurrency Commitment equal to $50,000,000 and a Dollar Commitment equal to $50,000,000 and SMBC hereby agrees to be bound by and comply with all of the terms and provisions of the Credit Agreement applicable to it as a “Lender” and “Extending Lender” thereunder and that it will perform all of the obligations which by the terms of the Credit Agreement are required to be performed by it as a Lender or Extending Lender, as applicable. SMBC represents and warrants that it has full power and authority, and has taken all action necessary, to execute this Amendment and to consummate the transactions contemplated hereby and to become a Lender under the Credit Agreement.</w:t>
      </w:r>
    </w:p>
    <w:p>
      <w:pPr>
        <w:spacing w:after="0" w:line="179"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ICBC as a Lender</w:t>
      </w:r>
      <w:r>
        <w:rPr>
          <w:rFonts w:ascii="Times New Roman" w:cs="Times New Roman" w:eastAsia="Times New Roman" w:hAnsi="Times New Roman"/>
          <w:sz w:val="22"/>
          <w:szCs w:val="22"/>
          <w:color w:val="auto"/>
        </w:rPr>
        <w:t>. Subject to the occurrence of the Eighth Amendment Effective Date, each of the parties hereto hereby agrees that ICBC will (and does hereby) become a “Lender” under and for all purposes of the Credit Agreement with a Multicurrency Commitment equal to $75,000,000 and ICBC hereby agrees to be bound by and comply with all of the terms and provisions of the Credit Agreement applicable to it as a “Lender” and “Extending Lender” thereunder and that it will perform all of the obligations which by the terms of the Credit Agreement are required to be performed by it as a Lender or Extending Lender, as applicable. ICBC represents and warrants that it has full power and authority, and has taken all action necessary, to execute this Amendment and to consummate the transactions contemplated hereby and to become a Lender under the Credit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731146884 11299570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TO EXISTING CREDIT AGREEMENT</w:t>
      </w:r>
    </w:p>
    <w:p>
      <w:pPr>
        <w:spacing w:after="0" w:line="206" w:lineRule="exact"/>
        <w:rPr>
          <w:sz w:val="20"/>
          <w:szCs w:val="20"/>
          <w:color w:val="auto"/>
        </w:rPr>
      </w:pPr>
    </w:p>
    <w:p>
      <w:pPr>
        <w:jc w:val="both"/>
        <w:ind w:right="20" w:firstLine="877"/>
        <w:spacing w:after="0" w:line="258" w:lineRule="auto"/>
        <w:rPr>
          <w:sz w:val="20"/>
          <w:szCs w:val="20"/>
          <w:color w:val="auto"/>
        </w:rPr>
      </w:pPr>
      <w:r>
        <w:rPr>
          <w:rFonts w:ascii="Times New Roman" w:cs="Times New Roman" w:eastAsia="Times New Roman" w:hAnsi="Times New Roman"/>
          <w:sz w:val="22"/>
          <w:szCs w:val="22"/>
          <w:color w:val="auto"/>
        </w:rPr>
        <w:t xml:space="preserve">Subject to the occurrence of the Eighth Amendment Effective Date, the Existing Credit Agreement is amended in accordance with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877"/>
        <w:spacing w:after="0" w:line="258"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Amendments to Credit Agreement</w:t>
      </w:r>
      <w:r>
        <w:rPr>
          <w:rFonts w:ascii="Times New Roman" w:cs="Times New Roman" w:eastAsia="Times New Roman" w:hAnsi="Times New Roman"/>
          <w:sz w:val="22"/>
          <w:szCs w:val="22"/>
          <w:color w:val="auto"/>
        </w:rPr>
        <w:t xml:space="preserve">. The Existing Credit Agreement is hereby amended in its entirety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8" w:lineRule="exact"/>
        <w:rPr>
          <w:sz w:val="20"/>
          <w:szCs w:val="20"/>
          <w:color w:val="auto"/>
        </w:rPr>
      </w:pPr>
    </w:p>
    <w:p>
      <w:pPr>
        <w:jc w:val="both"/>
        <w:ind w:right="20" w:firstLine="877"/>
        <w:spacing w:after="0" w:line="258"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Amendments to Schedule 1.01(b)</w:t>
      </w:r>
      <w:r>
        <w:rPr>
          <w:rFonts w:ascii="Times New Roman" w:cs="Times New Roman" w:eastAsia="Times New Roman" w:hAnsi="Times New Roman"/>
          <w:sz w:val="22"/>
          <w:szCs w:val="22"/>
          <w:color w:val="auto"/>
        </w:rPr>
        <w:t xml:space="preserve">. Schedule 1.01(b) to the Existing Credit Agreement is hereby amended in its entirety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TO EFFECTIVENESS</w:t>
      </w:r>
    </w:p>
    <w:p>
      <w:pPr>
        <w:spacing w:after="0" w:line="206" w:lineRule="exact"/>
        <w:rPr>
          <w:sz w:val="20"/>
          <w:szCs w:val="20"/>
          <w:color w:val="auto"/>
        </w:rPr>
      </w:pPr>
    </w:p>
    <w:p>
      <w:pPr>
        <w:jc w:val="both"/>
        <w:ind w:firstLine="877"/>
        <w:spacing w:after="0" w:line="245" w:lineRule="auto"/>
        <w:rPr>
          <w:sz w:val="20"/>
          <w:szCs w:val="20"/>
          <w:color w:val="auto"/>
        </w:rPr>
      </w:pPr>
      <w:r>
        <w:rPr>
          <w:rFonts w:ascii="Times New Roman" w:cs="Times New Roman" w:eastAsia="Times New Roman" w:hAnsi="Times New Roman"/>
          <w:sz w:val="21"/>
          <w:szCs w:val="21"/>
          <w:color w:val="auto"/>
        </w:rPr>
        <w:t xml:space="preserve">SECTION 4.1.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This Amendment shall become effective on the date (the “</w:t>
      </w:r>
      <w:r>
        <w:rPr>
          <w:rFonts w:ascii="Times New Roman" w:cs="Times New Roman" w:eastAsia="Times New Roman" w:hAnsi="Times New Roman"/>
          <w:sz w:val="21"/>
          <w:szCs w:val="21"/>
          <w:u w:val="single" w:color="auto"/>
          <w:color w:val="auto"/>
        </w:rPr>
        <w:t>Eighth Amendment 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when the Administrative Agent shall have received (a) counterparts of this Amendment duly executed and delivered on behalf of the Borrower and each of the Lenders party hereto, (b) a favorable written opinion (addressed to the Administrative Agent and the Lenders party hereto and dated as of the date hereof) of (i) Cleary Gottlieb Steen &amp; Hamilton LLP, New York counsel for the Borrower, and (ii) Young Conaway Stargatt &amp; Taylor, LLP, Delaware counsel for the Borrower, in each case, in form and substance reasonably acceptable to the Administrative Agent (and the Borrower hereby instructs such counsel to deliver such opinions to the Lenders party hereto and the Administrative Agent), (c) such documents and certificates as the Administrative Agent or its counsel may reasonably request relating to the organization, existence and good standing of the Borrower, the authorization of this Amendment and any other legal matters relating to the Borrower, this Amendment, all in form and substance satisfactory to the Administrative Agent and its counsel and (d) for the benefit of Administrative Agent and each of the Lenders party hereto, as applicable, fees and expenses owing by the Borrower in connection with this Amendment as of the date hereof.</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06"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The Borrower hereby represents and warrants that (i) this Amendment constitutes a legal, valid and binding obligation of it, enforceable against it in accordance with its terms, (ii)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731146884 11299570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32" w:name="page133"/>
    <w:bookmarkEnd w:id="132"/>
    <w:p>
      <w:pPr>
        <w:jc w:val="both"/>
        <w:spacing w:after="0" w:line="258" w:lineRule="auto"/>
        <w:rPr>
          <w:sz w:val="20"/>
          <w:szCs w:val="20"/>
          <w:color w:val="auto"/>
        </w:rPr>
      </w:pPr>
      <w:r>
        <w:rPr>
          <w:rFonts w:ascii="Times New Roman" w:cs="Times New Roman" w:eastAsia="Times New Roman" w:hAnsi="Times New Roman"/>
          <w:sz w:val="22"/>
          <w:szCs w:val="22"/>
          <w:color w:val="auto"/>
        </w:rPr>
        <w:t>warranties qualified by materiality or by reference to a material adverse effect, complete and correct in all respects) on and as of such previous day).</w:t>
      </w:r>
    </w:p>
    <w:p>
      <w:pPr>
        <w:spacing w:after="0" w:line="158" w:lineRule="exact"/>
        <w:rPr>
          <w:sz w:val="20"/>
          <w:szCs w:val="20"/>
          <w:color w:val="auto"/>
        </w:rPr>
      </w:pPr>
    </w:p>
    <w:p>
      <w:pPr>
        <w:jc w:val="both"/>
        <w:ind w:right="20" w:firstLine="877"/>
        <w:spacing w:after="0" w:line="258"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Cross-References</w:t>
      </w:r>
      <w:r>
        <w:rPr>
          <w:rFonts w:ascii="Times New Roman" w:cs="Times New Roman" w:eastAsia="Times New Roman" w:hAnsi="Times New Roman"/>
          <w:sz w:val="22"/>
          <w:szCs w:val="22"/>
          <w:color w:val="auto"/>
        </w:rPr>
        <w:t>. References in this Amendment to any Article or Section are, unless otherwise specified, to such Article or Section of this Amendment.</w:t>
      </w:r>
    </w:p>
    <w:p>
      <w:pPr>
        <w:spacing w:after="0" w:line="158"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Loan Document Pursuant to Existing Credit Agreement</w:t>
      </w:r>
      <w:r>
        <w:rPr>
          <w:rFonts w:ascii="Times New Roman" w:cs="Times New Roman" w:eastAsia="Times New Roman" w:hAnsi="Times New Roman"/>
          <w:sz w:val="22"/>
          <w:szCs w:val="22"/>
          <w:color w:val="auto"/>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spacing w:after="0" w:line="181" w:lineRule="exact"/>
        <w:rPr>
          <w:sz w:val="20"/>
          <w:szCs w:val="20"/>
          <w:color w:val="auto"/>
        </w:rPr>
      </w:pPr>
    </w:p>
    <w:p>
      <w:pPr>
        <w:jc w:val="both"/>
        <w:ind w:firstLine="877"/>
        <w:spacing w:after="0" w:line="258"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provisions of this Amendment shall be binding upon and inure to the benefit of the parties hereto and their respective successors and assigns.</w:t>
      </w:r>
    </w:p>
    <w:p>
      <w:pPr>
        <w:spacing w:after="0" w:line="158"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electronically (e.g. pdf) shall be effective as delivery of a manually executed counterpart of this Amendment.</w:t>
      </w:r>
    </w:p>
    <w:p>
      <w:pPr>
        <w:spacing w:after="0" w:line="181" w:lineRule="exact"/>
        <w:rPr>
          <w:sz w:val="20"/>
          <w:szCs w:val="20"/>
          <w:color w:val="auto"/>
        </w:rPr>
      </w:pPr>
    </w:p>
    <w:p>
      <w:pPr>
        <w:jc w:val="both"/>
        <w:ind w:firstLine="877"/>
        <w:spacing w:after="0" w:line="258"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shall be governed by and construed in accordance with the laws of the State of New York.</w:t>
      </w:r>
    </w:p>
    <w:p>
      <w:pPr>
        <w:spacing w:after="0" w:line="158"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Full Force and Effect; Limited Amendment</w:t>
      </w:r>
      <w:r>
        <w:rPr>
          <w:rFonts w:ascii="Times New Roman" w:cs="Times New Roman" w:eastAsia="Times New Roman" w:hAnsi="Times New Roman"/>
          <w:sz w:val="22"/>
          <w:szCs w:val="22"/>
          <w:color w:val="auto"/>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modified hereby.</w:t>
      </w:r>
    </w:p>
    <w:p>
      <w:pPr>
        <w:spacing w:after="0" w:line="180"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1"/>
          <w:szCs w:val="21"/>
          <w:color w:val="auto"/>
        </w:rPr>
        <w:t xml:space="preserve">SECTION 5.8. </w:t>
      </w:r>
      <w:r>
        <w:rPr>
          <w:rFonts w:ascii="Times New Roman" w:cs="Times New Roman" w:eastAsia="Times New Roman" w:hAnsi="Times New Roman"/>
          <w:sz w:val="21"/>
          <w:szCs w:val="21"/>
          <w:u w:val="single" w:color="auto"/>
          <w:color w:val="auto"/>
        </w:rPr>
        <w:t>Reaffirmation</w:t>
      </w:r>
      <w:r>
        <w:rPr>
          <w:rFonts w:ascii="Times New Roman" w:cs="Times New Roman" w:eastAsia="Times New Roman" w:hAnsi="Times New Roman"/>
          <w:sz w:val="21"/>
          <w:szCs w:val="21"/>
          <w:color w:val="auto"/>
        </w:rPr>
        <w:t>. Each of TSL MR, LLC, TC Lending, LLC and TPG SL SPV, LLC hereby consents to the terms of this Amendment, confirms that its Guarantee under the Guarantee and Security Agreement remains unaltered and in full force and effect and hereby reaffirms, ratifies and confirms the terms and conditions of the Guarantee and Security Agreement.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731146884 11299570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33" w:name="page134"/>
    <w:bookmarkEnd w:id="133"/>
    <w:p>
      <w:pPr>
        <w:ind w:left="1760"/>
        <w:spacing w:after="0"/>
        <w:rPr>
          <w:sz w:val="20"/>
          <w:szCs w:val="20"/>
          <w:color w:val="auto"/>
        </w:rPr>
      </w:pPr>
      <w:r>
        <w:rPr>
          <w:rFonts w:ascii="Times New Roman" w:cs="Times New Roman" w:eastAsia="Times New Roman" w:hAnsi="Times New Roman"/>
          <w:sz w:val="21"/>
          <w:szCs w:val="21"/>
          <w:color w:val="auto"/>
        </w:rPr>
        <w:t>IN WITNESS WHEREOF, the parties hereto have executed and delivered this Amendment as of the date first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above written.</w:t>
            </w:r>
          </w:p>
        </w:tc>
        <w:tc>
          <w:tcPr>
            <w:tcW w:w="284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383"/>
        </w:trPr>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BORROWER:</w:t>
            </w:r>
          </w:p>
        </w:tc>
        <w:tc>
          <w:tcPr>
            <w:tcW w:w="8060" w:type="dxa"/>
            <w:vAlign w:val="bottom"/>
            <w:gridSpan w:val="2"/>
          </w:tcPr>
          <w:p>
            <w:pPr>
              <w:ind w:left="2060"/>
              <w:spacing w:after="0"/>
              <w:rPr>
                <w:sz w:val="20"/>
                <w:szCs w:val="20"/>
                <w:color w:val="auto"/>
              </w:rPr>
            </w:pPr>
            <w:r>
              <w:rPr>
                <w:rFonts w:ascii="Times New Roman" w:cs="Times New Roman" w:eastAsia="Times New Roman" w:hAnsi="Times New Roman"/>
                <w:sz w:val="22"/>
                <w:szCs w:val="22"/>
                <w:b w:val="1"/>
                <w:bCs w:val="1"/>
                <w:color w:val="auto"/>
              </w:rPr>
              <w:t>TPG SPECIALTY LENDING, INC.</w:t>
            </w:r>
          </w:p>
        </w:tc>
      </w:tr>
      <w:tr>
        <w:trPr>
          <w:trHeight w:val="696"/>
        </w:trPr>
        <w:tc>
          <w:tcPr>
            <w:tcW w:w="1240" w:type="dxa"/>
            <w:vAlign w:val="bottom"/>
            <w:tcBorders>
              <w:top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2840" w:type="dxa"/>
            <w:vAlign w:val="bottom"/>
          </w:tcPr>
          <w:p>
            <w:pPr>
              <w:ind w:left="2060"/>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Ian Simmonds</w:t>
            </w:r>
          </w:p>
        </w:tc>
      </w:tr>
      <w:tr>
        <w:trPr>
          <w:trHeight w:val="209"/>
        </w:trPr>
        <w:tc>
          <w:tcPr>
            <w:tcW w:w="1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40" w:type="dxa"/>
            <w:vAlign w:val="bottom"/>
          </w:tcPr>
          <w:p>
            <w:pPr>
              <w:ind w:left="206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Ian Simmonds</w:t>
            </w:r>
          </w:p>
        </w:tc>
      </w:tr>
      <w:tr>
        <w:trPr>
          <w:trHeight w:val="283"/>
        </w:trPr>
        <w:tc>
          <w:tcPr>
            <w:tcW w:w="1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40" w:type="dxa"/>
            <w:vAlign w:val="bottom"/>
          </w:tcPr>
          <w:p>
            <w:pPr>
              <w:ind w:left="2060"/>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731146884 11299570</w:t>
      </w:r>
    </w:p>
    <w:p>
      <w:pPr>
        <w:spacing w:after="0" w:line="1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53"/>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LENDERS:</w:t>
            </w:r>
          </w:p>
        </w:tc>
        <w:tc>
          <w:tcPr>
            <w:tcW w:w="8080" w:type="dxa"/>
            <w:vAlign w:val="bottom"/>
            <w:gridSpan w:val="2"/>
          </w:tcPr>
          <w:p>
            <w:pPr>
              <w:ind w:left="2080"/>
              <w:spacing w:after="0"/>
              <w:rPr>
                <w:sz w:val="20"/>
                <w:szCs w:val="20"/>
                <w:color w:val="auto"/>
              </w:rPr>
            </w:pPr>
            <w:r>
              <w:rPr>
                <w:rFonts w:ascii="Times New Roman" w:cs="Times New Roman" w:eastAsia="Times New Roman" w:hAnsi="Times New Roman"/>
                <w:sz w:val="22"/>
                <w:szCs w:val="22"/>
                <w:b w:val="1"/>
                <w:bCs w:val="1"/>
                <w:color w:val="auto"/>
              </w:rPr>
              <w:t>SUNTRUST BANK</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980" w:type="dxa"/>
            <w:vAlign w:val="bottom"/>
            <w:tcBorders>
              <w:top w:val="single" w:sz="8" w:color="auto"/>
            </w:tcBorders>
          </w:tcPr>
          <w:p>
            <w:pPr>
              <w:spacing w:after="0"/>
              <w:rPr>
                <w:sz w:val="20"/>
                <w:szCs w:val="20"/>
                <w:color w:val="auto"/>
              </w:rPr>
            </w:pPr>
          </w:p>
        </w:tc>
        <w:tc>
          <w:tcPr>
            <w:tcW w:w="2360" w:type="dxa"/>
            <w:vAlign w:val="bottom"/>
          </w:tcPr>
          <w:p>
            <w:pPr>
              <w:spacing w:after="0"/>
              <w:rPr>
                <w:sz w:val="20"/>
                <w:szCs w:val="20"/>
                <w:color w:val="auto"/>
              </w:rPr>
            </w:pPr>
          </w:p>
        </w:tc>
        <w:tc>
          <w:tcPr>
            <w:tcW w:w="8080" w:type="dxa"/>
            <w:vAlign w:val="bottom"/>
            <w:gridSpan w:val="2"/>
          </w:tcPr>
          <w:p>
            <w:pPr>
              <w:ind w:left="2080"/>
              <w:spacing w:after="0" w:line="237" w:lineRule="exact"/>
              <w:rPr>
                <w:sz w:val="20"/>
                <w:szCs w:val="20"/>
                <w:color w:val="auto"/>
              </w:rPr>
            </w:pPr>
            <w:r>
              <w:rPr>
                <w:rFonts w:ascii="Times New Roman" w:cs="Times New Roman" w:eastAsia="Times New Roman" w:hAnsi="Times New Roman"/>
                <w:sz w:val="22"/>
                <w:szCs w:val="22"/>
                <w:color w:val="auto"/>
              </w:rPr>
              <w:t>as Administrative Agent, Swingline Lender, Issuing Bank and as 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60" w:type="dxa"/>
            <w:vAlign w:val="bottom"/>
          </w:tcPr>
          <w:p>
            <w:pPr>
              <w:ind w:left="2080"/>
              <w:spacing w:after="0"/>
              <w:rPr>
                <w:sz w:val="20"/>
                <w:szCs w:val="20"/>
                <w:color w:val="auto"/>
              </w:rPr>
            </w:pPr>
            <w:r>
              <w:rPr>
                <w:rFonts w:ascii="Times New Roman" w:cs="Times New Roman" w:eastAsia="Times New Roman" w:hAnsi="Times New Roman"/>
                <w:sz w:val="22"/>
                <w:szCs w:val="22"/>
                <w:color w:val="auto"/>
              </w:rPr>
              <w:t>Lender</w:t>
            </w: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60" w:type="dxa"/>
            <w:vAlign w:val="bottom"/>
          </w:tcPr>
          <w:p>
            <w:pPr>
              <w:ind w:left="2080"/>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Doug Kennedy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60" w:type="dxa"/>
            <w:vAlign w:val="bottom"/>
          </w:tcPr>
          <w:p>
            <w:pPr>
              <w:ind w:left="208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Doug Kennedy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60" w:type="dxa"/>
            <w:vAlign w:val="bottom"/>
          </w:tcPr>
          <w:p>
            <w:pPr>
              <w:ind w:left="2080"/>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Director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9"/>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731146884 11299570</w:t>
            </w:r>
          </w:p>
        </w:tc>
        <w:tc>
          <w:tcPr>
            <w:tcW w:w="2860" w:type="dxa"/>
            <w:vAlign w:val="bottom"/>
          </w:tcPr>
          <w:p>
            <w:pPr>
              <w:spacing w:after="0"/>
              <w:rPr>
                <w:sz w:val="24"/>
                <w:szCs w:val="24"/>
                <w:color w:val="auto"/>
              </w:rPr>
            </w:pPr>
          </w:p>
        </w:tc>
        <w:tc>
          <w:tcPr>
            <w:tcW w:w="5220" w:type="dxa"/>
            <w:vAlign w:val="bottom"/>
            <w:vMerge w:val="restart"/>
          </w:tcPr>
          <w:p>
            <w:pPr>
              <w:ind w:left="15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2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98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135" w:name="page136"/>
    <w:bookmarkEnd w:id="135"/>
    <w:p>
      <w:pPr>
        <w:ind w:left="542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1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as Issuing Bank and as a Lender</w:t>
      </w:r>
    </w:p>
    <w:p>
      <w:pPr>
        <w:spacing w:after="0" w:line="182" w:lineRule="exact"/>
        <w:rPr>
          <w:sz w:val="20"/>
          <w:szCs w:val="20"/>
          <w:color w:val="auto"/>
        </w:rPr>
      </w:pPr>
    </w:p>
    <w:tbl>
      <w:tblPr>
        <w:tblLayout w:type="fixed"/>
        <w:tblInd w:w="5420" w:type="dxa"/>
        <w:tblCellMar>
          <w:top w:w="0" w:type="dxa"/>
          <w:left w:w="0" w:type="dxa"/>
          <w:bottom w:w="0" w:type="dxa"/>
          <w:right w:w="0" w:type="dxa"/>
        </w:tblCellMar>
      </w:tblP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Matthew Griffith</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Matthew Griffith</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731146884 11299570</w:t>
      </w:r>
    </w:p>
    <w:p>
      <w:pPr>
        <w:spacing w:after="0" w:line="1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36" w:name="page137"/>
    <w:bookmarkEnd w:id="136"/>
    <w:p>
      <w:pPr>
        <w:ind w:left="4220"/>
        <w:spacing w:after="0"/>
        <w:rPr>
          <w:sz w:val="20"/>
          <w:szCs w:val="20"/>
          <w:color w:val="auto"/>
        </w:rPr>
      </w:pPr>
      <w:r>
        <w:rPr>
          <w:rFonts w:ascii="Times New Roman" w:cs="Times New Roman" w:eastAsia="Times New Roman" w:hAnsi="Times New Roman"/>
          <w:sz w:val="22"/>
          <w:szCs w:val="22"/>
          <w:color w:val="auto"/>
        </w:rPr>
        <w:t>Bank of America, N.A., as a Lender</w:t>
      </w:r>
    </w:p>
    <w:p>
      <w:pPr>
        <w:spacing w:after="0" w:line="200" w:lineRule="exact"/>
        <w:rPr>
          <w:sz w:val="20"/>
          <w:szCs w:val="20"/>
          <w:color w:val="auto"/>
        </w:rPr>
      </w:pPr>
    </w:p>
    <w:p>
      <w:pPr>
        <w:spacing w:after="0" w:line="222" w:lineRule="exact"/>
        <w:rPr>
          <w:sz w:val="20"/>
          <w:szCs w:val="20"/>
          <w:color w:val="auto"/>
        </w:rPr>
      </w:pPr>
    </w:p>
    <w:tbl>
      <w:tblPr>
        <w:tblLayout w:type="fixed"/>
        <w:tblInd w:w="4220" w:type="dxa"/>
        <w:tblCellMar>
          <w:top w:w="0" w:type="dxa"/>
          <w:left w:w="0" w:type="dxa"/>
          <w:bottom w:w="0" w:type="dxa"/>
          <w:right w:w="0" w:type="dxa"/>
        </w:tblCellMar>
      </w:tblP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Manisha Kumar</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Manisha Kumar</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37" w:name="page138"/>
    <w:bookmarkEnd w:id="137"/>
    <w:p>
      <w:pPr>
        <w:ind w:left="4220"/>
        <w:spacing w:after="0"/>
        <w:rPr>
          <w:sz w:val="20"/>
          <w:szCs w:val="20"/>
          <w:color w:val="auto"/>
        </w:rPr>
      </w:pPr>
      <w:r>
        <w:rPr>
          <w:rFonts w:ascii="Times New Roman" w:cs="Times New Roman" w:eastAsia="Times New Roman" w:hAnsi="Times New Roman"/>
          <w:sz w:val="22"/>
          <w:szCs w:val="22"/>
          <w:color w:val="auto"/>
        </w:rPr>
        <w:t>BankUnited, N.A., as a Lender</w:t>
      </w:r>
    </w:p>
    <w:p>
      <w:pPr>
        <w:spacing w:after="0" w:line="200" w:lineRule="exact"/>
        <w:rPr>
          <w:sz w:val="20"/>
          <w:szCs w:val="20"/>
          <w:color w:val="auto"/>
        </w:rPr>
      </w:pPr>
    </w:p>
    <w:p>
      <w:pPr>
        <w:spacing w:after="0" w:line="222" w:lineRule="exact"/>
        <w:rPr>
          <w:sz w:val="20"/>
          <w:szCs w:val="20"/>
          <w:color w:val="auto"/>
        </w:rPr>
      </w:pPr>
    </w:p>
    <w:tbl>
      <w:tblPr>
        <w:tblLayout w:type="fixed"/>
        <w:tblInd w:w="4220" w:type="dxa"/>
        <w:tblCellMar>
          <w:top w:w="0" w:type="dxa"/>
          <w:left w:w="0" w:type="dxa"/>
          <w:bottom w:w="0" w:type="dxa"/>
          <w:right w:w="0" w:type="dxa"/>
        </w:tblCellMar>
      </w:tblP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Paul Ferrara</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Paul Ferrara</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38" w:name="page139"/>
    <w:bookmarkEnd w:id="138"/>
    <w:p>
      <w:pPr>
        <w:ind w:left="4220"/>
        <w:spacing w:after="0"/>
        <w:rPr>
          <w:sz w:val="20"/>
          <w:szCs w:val="20"/>
          <w:color w:val="auto"/>
        </w:rPr>
      </w:pPr>
      <w:r>
        <w:rPr>
          <w:rFonts w:ascii="Times New Roman" w:cs="Times New Roman" w:eastAsia="Times New Roman" w:hAnsi="Times New Roman"/>
          <w:sz w:val="22"/>
          <w:szCs w:val="22"/>
          <w:color w:val="auto"/>
        </w:rPr>
        <w:t>CIT Finance LLC, as a Lender</w:t>
      </w:r>
    </w:p>
    <w:p>
      <w:pPr>
        <w:spacing w:after="0" w:line="200" w:lineRule="exact"/>
        <w:rPr>
          <w:sz w:val="20"/>
          <w:szCs w:val="20"/>
          <w:color w:val="auto"/>
        </w:rPr>
      </w:pPr>
    </w:p>
    <w:p>
      <w:pPr>
        <w:spacing w:after="0" w:line="222" w:lineRule="exact"/>
        <w:rPr>
          <w:sz w:val="20"/>
          <w:szCs w:val="20"/>
          <w:color w:val="auto"/>
        </w:rPr>
      </w:pPr>
    </w:p>
    <w:tbl>
      <w:tblPr>
        <w:tblLayout w:type="fixed"/>
        <w:tblInd w:w="4220" w:type="dxa"/>
        <w:tblCellMar>
          <w:top w:w="0" w:type="dxa"/>
          <w:left w:w="0" w:type="dxa"/>
          <w:bottom w:w="0" w:type="dxa"/>
          <w:right w:w="0" w:type="dxa"/>
        </w:tblCellMar>
      </w:tblP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Robert L. Klein</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Robert L. Klein</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39" w:name="page140"/>
    <w:bookmarkEnd w:id="139"/>
    <w:p>
      <w:pPr>
        <w:ind w:left="4220"/>
        <w:spacing w:after="0"/>
        <w:rPr>
          <w:sz w:val="20"/>
          <w:szCs w:val="20"/>
          <w:color w:val="auto"/>
        </w:rPr>
      </w:pPr>
      <w:r>
        <w:rPr>
          <w:rFonts w:ascii="Times New Roman" w:cs="Times New Roman" w:eastAsia="Times New Roman" w:hAnsi="Times New Roman"/>
          <w:sz w:val="22"/>
          <w:szCs w:val="22"/>
          <w:color w:val="auto"/>
        </w:rPr>
        <w:t>Citibank, N.A., as a Lender</w:t>
      </w:r>
    </w:p>
    <w:p>
      <w:pPr>
        <w:spacing w:after="0" w:line="200" w:lineRule="exact"/>
        <w:rPr>
          <w:sz w:val="20"/>
          <w:szCs w:val="20"/>
          <w:color w:val="auto"/>
        </w:rPr>
      </w:pPr>
    </w:p>
    <w:p>
      <w:pPr>
        <w:spacing w:after="0" w:line="222" w:lineRule="exact"/>
        <w:rPr>
          <w:sz w:val="20"/>
          <w:szCs w:val="20"/>
          <w:color w:val="auto"/>
        </w:rPr>
      </w:pPr>
    </w:p>
    <w:tbl>
      <w:tblPr>
        <w:tblLayout w:type="fixed"/>
        <w:tblInd w:w="4220" w:type="dxa"/>
        <w:tblCellMar>
          <w:top w:w="0" w:type="dxa"/>
          <w:left w:w="0" w:type="dxa"/>
          <w:bottom w:w="0" w:type="dxa"/>
          <w:right w:w="0" w:type="dxa"/>
        </w:tblCellMar>
      </w:tblP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Erik Andersen</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Erik Andersen</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40" w:name="page141"/>
    <w:bookmarkEnd w:id="140"/>
    <w:p>
      <w:pPr>
        <w:ind w:left="4220"/>
        <w:spacing w:after="0"/>
        <w:rPr>
          <w:sz w:val="20"/>
          <w:szCs w:val="20"/>
          <w:color w:val="auto"/>
        </w:rPr>
      </w:pPr>
      <w:r>
        <w:rPr>
          <w:rFonts w:ascii="Times New Roman" w:cs="Times New Roman" w:eastAsia="Times New Roman" w:hAnsi="Times New Roman"/>
          <w:sz w:val="22"/>
          <w:szCs w:val="22"/>
          <w:color w:val="auto"/>
        </w:rPr>
        <w:t>CITY NATIONAL BANK, as a Lender</w:t>
      </w:r>
    </w:p>
    <w:p>
      <w:pPr>
        <w:spacing w:after="0" w:line="200" w:lineRule="exact"/>
        <w:rPr>
          <w:sz w:val="20"/>
          <w:szCs w:val="20"/>
          <w:color w:val="auto"/>
        </w:rPr>
      </w:pPr>
    </w:p>
    <w:p>
      <w:pPr>
        <w:spacing w:after="0" w:line="222" w:lineRule="exact"/>
        <w:rPr>
          <w:sz w:val="20"/>
          <w:szCs w:val="20"/>
          <w:color w:val="auto"/>
        </w:rPr>
      </w:pPr>
    </w:p>
    <w:tbl>
      <w:tblPr>
        <w:tblLayout w:type="fixed"/>
        <w:tblInd w:w="4220" w:type="dxa"/>
        <w:tblCellMar>
          <w:top w:w="0" w:type="dxa"/>
          <w:left w:w="0" w:type="dxa"/>
          <w:bottom w:w="0" w:type="dxa"/>
          <w:right w:w="0" w:type="dxa"/>
        </w:tblCellMar>
      </w:tblP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Brandon Feitelson</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Brandon Feitelson</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41" w:name="page142"/>
    <w:bookmarkEnd w:id="141"/>
    <w:p>
      <w:pPr>
        <w:ind w:left="4220"/>
        <w:spacing w:after="0"/>
        <w:rPr>
          <w:sz w:val="20"/>
          <w:szCs w:val="20"/>
          <w:color w:val="auto"/>
        </w:rPr>
      </w:pPr>
      <w:r>
        <w:rPr>
          <w:rFonts w:ascii="Times New Roman" w:cs="Times New Roman" w:eastAsia="Times New Roman" w:hAnsi="Times New Roman"/>
          <w:sz w:val="22"/>
          <w:szCs w:val="22"/>
          <w:color w:val="auto"/>
        </w:rPr>
        <w:t>Comerica Bank, as a Lender</w:t>
      </w:r>
    </w:p>
    <w:p>
      <w:pPr>
        <w:spacing w:after="0" w:line="200" w:lineRule="exact"/>
        <w:rPr>
          <w:sz w:val="20"/>
          <w:szCs w:val="20"/>
          <w:color w:val="auto"/>
        </w:rPr>
      </w:pPr>
    </w:p>
    <w:p>
      <w:pPr>
        <w:spacing w:after="0" w:line="222" w:lineRule="exact"/>
        <w:rPr>
          <w:sz w:val="20"/>
          <w:szCs w:val="20"/>
          <w:color w:val="auto"/>
        </w:rPr>
      </w:pPr>
    </w:p>
    <w:tbl>
      <w:tblPr>
        <w:tblLayout w:type="fixed"/>
        <w:tblInd w:w="4220" w:type="dxa"/>
        <w:tblCellMar>
          <w:top w:w="0" w:type="dxa"/>
          <w:left w:w="0" w:type="dxa"/>
          <w:bottom w:w="0" w:type="dxa"/>
          <w:right w:w="0" w:type="dxa"/>
        </w:tblCellMar>
      </w:tblP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Collin Butler</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Collin Butler</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Portfolio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42" w:name="page143"/>
    <w:bookmarkEnd w:id="142"/>
    <w:p>
      <w:pPr>
        <w:ind w:left="4220"/>
        <w:spacing w:after="0"/>
        <w:rPr>
          <w:sz w:val="20"/>
          <w:szCs w:val="20"/>
          <w:color w:val="auto"/>
        </w:rPr>
      </w:pPr>
      <w:r>
        <w:rPr>
          <w:rFonts w:ascii="Times New Roman" w:cs="Times New Roman" w:eastAsia="Times New Roman" w:hAnsi="Times New Roman"/>
          <w:sz w:val="22"/>
          <w:szCs w:val="22"/>
          <w:color w:val="auto"/>
        </w:rPr>
        <w:t>GOLDMAN SACHS BANK USA, as a Lender</w:t>
      </w:r>
    </w:p>
    <w:p>
      <w:pPr>
        <w:spacing w:after="0" w:line="200" w:lineRule="exact"/>
        <w:rPr>
          <w:sz w:val="20"/>
          <w:szCs w:val="20"/>
          <w:color w:val="auto"/>
        </w:rPr>
      </w:pPr>
    </w:p>
    <w:p>
      <w:pPr>
        <w:spacing w:after="0" w:line="222" w:lineRule="exact"/>
        <w:rPr>
          <w:sz w:val="20"/>
          <w:szCs w:val="20"/>
          <w:color w:val="auto"/>
        </w:rPr>
      </w:pPr>
    </w:p>
    <w:tbl>
      <w:tblPr>
        <w:tblLayout w:type="fixed"/>
        <w:tblInd w:w="4220" w:type="dxa"/>
        <w:tblCellMar>
          <w:top w:w="0" w:type="dxa"/>
          <w:left w:w="0" w:type="dxa"/>
          <w:bottom w:w="0" w:type="dxa"/>
          <w:right w:w="0" w:type="dxa"/>
        </w:tblCellMar>
      </w:tblP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Ryan Durkin</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Ryan Durkin</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43" w:name="page144"/>
    <w:bookmarkEnd w:id="143"/>
    <w:p>
      <w:pPr>
        <w:ind w:left="4220"/>
        <w:spacing w:after="0"/>
        <w:rPr>
          <w:sz w:val="20"/>
          <w:szCs w:val="20"/>
          <w:color w:val="auto"/>
        </w:rPr>
      </w:pPr>
      <w:r>
        <w:rPr>
          <w:rFonts w:ascii="Times New Roman" w:cs="Times New Roman" w:eastAsia="Times New Roman" w:hAnsi="Times New Roman"/>
          <w:sz w:val="22"/>
          <w:szCs w:val="22"/>
          <w:color w:val="auto"/>
        </w:rPr>
        <w:t>HSBC BANK USA, N.A., as a Lender</w:t>
      </w:r>
    </w:p>
    <w:p>
      <w:pPr>
        <w:spacing w:after="0" w:line="200" w:lineRule="exact"/>
        <w:rPr>
          <w:sz w:val="20"/>
          <w:szCs w:val="20"/>
          <w:color w:val="auto"/>
        </w:rPr>
      </w:pPr>
    </w:p>
    <w:p>
      <w:pPr>
        <w:spacing w:after="0" w:line="222" w:lineRule="exact"/>
        <w:rPr>
          <w:sz w:val="20"/>
          <w:szCs w:val="20"/>
          <w:color w:val="auto"/>
        </w:rPr>
      </w:pPr>
    </w:p>
    <w:tbl>
      <w:tblPr>
        <w:tblLayout w:type="fixed"/>
        <w:tblInd w:w="4220" w:type="dxa"/>
        <w:tblCellMar>
          <w:top w:w="0" w:type="dxa"/>
          <w:left w:w="0" w:type="dxa"/>
          <w:bottom w:w="0" w:type="dxa"/>
          <w:right w:w="0" w:type="dxa"/>
        </w:tblCellMar>
      </w:tblP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Myles Bae</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Myles Bae</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44" w:name="page145"/>
    <w:bookmarkEnd w:id="144"/>
    <w:p>
      <w:pPr>
        <w:ind w:left="4220"/>
        <w:spacing w:after="0" w:line="258" w:lineRule="auto"/>
        <w:rPr>
          <w:sz w:val="20"/>
          <w:szCs w:val="20"/>
          <w:color w:val="auto"/>
        </w:rPr>
      </w:pPr>
      <w:r>
        <w:rPr>
          <w:rFonts w:ascii="Times New Roman" w:cs="Times New Roman" w:eastAsia="Times New Roman" w:hAnsi="Times New Roman"/>
          <w:sz w:val="22"/>
          <w:szCs w:val="22"/>
          <w:color w:val="auto"/>
        </w:rPr>
        <w:t>Industrial and Commercial Bank of China Limited, New York Branch, as a Lender</w:t>
      </w:r>
    </w:p>
    <w:p>
      <w:pPr>
        <w:spacing w:after="0" w:line="374" w:lineRule="exact"/>
        <w:rPr>
          <w:sz w:val="20"/>
          <w:szCs w:val="20"/>
          <w:color w:val="auto"/>
        </w:rPr>
      </w:pPr>
    </w:p>
    <w:tbl>
      <w:tblPr>
        <w:tblLayout w:type="fixed"/>
        <w:tblInd w:w="4220" w:type="dxa"/>
        <w:tblCellMar>
          <w:top w:w="0" w:type="dxa"/>
          <w:left w:w="0" w:type="dxa"/>
          <w:bottom w:w="0" w:type="dxa"/>
          <w:right w:w="0" w:type="dxa"/>
        </w:tblCellMar>
      </w:tblP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Arquelio Semidey</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Arquelio Semidey</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Director</w:t>
            </w:r>
          </w:p>
        </w:tc>
      </w:tr>
      <w:tr>
        <w:trPr>
          <w:trHeight w:val="44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Jeffrey Roth</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Jeffrey Roth</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45" w:name="page146"/>
    <w:bookmarkEnd w:id="145"/>
    <w:p>
      <w:pPr>
        <w:ind w:left="4220"/>
        <w:spacing w:after="0"/>
        <w:rPr>
          <w:sz w:val="20"/>
          <w:szCs w:val="20"/>
          <w:color w:val="auto"/>
        </w:rPr>
      </w:pPr>
      <w:r>
        <w:rPr>
          <w:rFonts w:ascii="Times New Roman" w:cs="Times New Roman" w:eastAsia="Times New Roman" w:hAnsi="Times New Roman"/>
          <w:sz w:val="22"/>
          <w:szCs w:val="22"/>
          <w:color w:val="auto"/>
        </w:rPr>
        <w:t>Mizuho Bank, Ltd., as a Lender</w:t>
      </w:r>
    </w:p>
    <w:p>
      <w:pPr>
        <w:spacing w:after="0" w:line="200" w:lineRule="exact"/>
        <w:rPr>
          <w:sz w:val="20"/>
          <w:szCs w:val="20"/>
          <w:color w:val="auto"/>
        </w:rPr>
      </w:pPr>
    </w:p>
    <w:p>
      <w:pPr>
        <w:spacing w:after="0" w:line="222" w:lineRule="exact"/>
        <w:rPr>
          <w:sz w:val="20"/>
          <w:szCs w:val="20"/>
          <w:color w:val="auto"/>
        </w:rPr>
      </w:pPr>
    </w:p>
    <w:tbl>
      <w:tblPr>
        <w:tblLayout w:type="fixed"/>
        <w:tblInd w:w="4220" w:type="dxa"/>
        <w:tblCellMar>
          <w:top w:w="0" w:type="dxa"/>
          <w:left w:w="0" w:type="dxa"/>
          <w:bottom w:w="0" w:type="dxa"/>
          <w:right w:w="0" w:type="dxa"/>
        </w:tblCellMar>
      </w:tblP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Raymond Ventura</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Raymond Ventura</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46" w:name="page147"/>
    <w:bookmarkEnd w:id="146"/>
    <w:p>
      <w:pPr>
        <w:ind w:left="4220"/>
        <w:spacing w:after="0"/>
        <w:rPr>
          <w:sz w:val="20"/>
          <w:szCs w:val="20"/>
          <w:color w:val="auto"/>
        </w:rPr>
      </w:pPr>
      <w:r>
        <w:rPr>
          <w:rFonts w:ascii="Times New Roman" w:cs="Times New Roman" w:eastAsia="Times New Roman" w:hAnsi="Times New Roman"/>
          <w:sz w:val="22"/>
          <w:szCs w:val="22"/>
          <w:color w:val="auto"/>
        </w:rPr>
        <w:t>Morgan Stanley Bank, N.A., as a Lender</w:t>
      </w:r>
    </w:p>
    <w:p>
      <w:pPr>
        <w:spacing w:after="0" w:line="200" w:lineRule="exact"/>
        <w:rPr>
          <w:sz w:val="20"/>
          <w:szCs w:val="20"/>
          <w:color w:val="auto"/>
        </w:rPr>
      </w:pPr>
    </w:p>
    <w:p>
      <w:pPr>
        <w:spacing w:after="0" w:line="222" w:lineRule="exact"/>
        <w:rPr>
          <w:sz w:val="20"/>
          <w:szCs w:val="20"/>
          <w:color w:val="auto"/>
        </w:rPr>
      </w:pPr>
    </w:p>
    <w:tbl>
      <w:tblPr>
        <w:tblLayout w:type="fixed"/>
        <w:tblInd w:w="4220" w:type="dxa"/>
        <w:tblCellMar>
          <w:top w:w="0" w:type="dxa"/>
          <w:left w:w="0" w:type="dxa"/>
          <w:bottom w:w="0" w:type="dxa"/>
          <w:right w:w="0" w:type="dxa"/>
        </w:tblCellMar>
      </w:tblP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Michael King</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Michael King</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47" w:name="page148"/>
    <w:bookmarkEnd w:id="147"/>
    <w:p>
      <w:pPr>
        <w:ind w:left="4220"/>
        <w:spacing w:after="0"/>
        <w:rPr>
          <w:sz w:val="20"/>
          <w:szCs w:val="20"/>
          <w:color w:val="auto"/>
        </w:rPr>
      </w:pPr>
      <w:r>
        <w:rPr>
          <w:rFonts w:ascii="Times New Roman" w:cs="Times New Roman" w:eastAsia="Times New Roman" w:hAnsi="Times New Roman"/>
          <w:sz w:val="22"/>
          <w:szCs w:val="22"/>
          <w:color w:val="auto"/>
        </w:rPr>
        <w:t>Santander Bank N.A., as a Lender</w:t>
      </w:r>
    </w:p>
    <w:p>
      <w:pPr>
        <w:spacing w:after="0" w:line="200" w:lineRule="exact"/>
        <w:rPr>
          <w:sz w:val="20"/>
          <w:szCs w:val="20"/>
          <w:color w:val="auto"/>
        </w:rPr>
      </w:pPr>
    </w:p>
    <w:p>
      <w:pPr>
        <w:spacing w:after="0" w:line="222" w:lineRule="exact"/>
        <w:rPr>
          <w:sz w:val="20"/>
          <w:szCs w:val="20"/>
          <w:color w:val="auto"/>
        </w:rPr>
      </w:pPr>
    </w:p>
    <w:tbl>
      <w:tblPr>
        <w:tblLayout w:type="fixed"/>
        <w:tblInd w:w="4220" w:type="dxa"/>
        <w:tblCellMar>
          <w:top w:w="0" w:type="dxa"/>
          <w:left w:w="0" w:type="dxa"/>
          <w:bottom w:w="0" w:type="dxa"/>
          <w:right w:w="0" w:type="dxa"/>
        </w:tblCellMar>
      </w:tblP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Mark Metsky</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Mark Metsky</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SVP</w:t>
            </w:r>
          </w:p>
        </w:tc>
      </w:tr>
      <w:tr>
        <w:trPr>
          <w:trHeight w:val="44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Jeffrey G. Millman</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Jeffrey G. Millman</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Regional Credit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48" w:name="page149"/>
    <w:bookmarkEnd w:id="148"/>
    <w:p>
      <w:pPr>
        <w:ind w:left="4220"/>
        <w:spacing w:after="0"/>
        <w:rPr>
          <w:sz w:val="20"/>
          <w:szCs w:val="20"/>
          <w:color w:val="auto"/>
        </w:rPr>
      </w:pPr>
      <w:r>
        <w:rPr>
          <w:rFonts w:ascii="Times New Roman" w:cs="Times New Roman" w:eastAsia="Times New Roman" w:hAnsi="Times New Roman"/>
          <w:sz w:val="22"/>
          <w:szCs w:val="22"/>
          <w:color w:val="auto"/>
        </w:rPr>
        <w:t>Signature Bank, as a Lender</w:t>
      </w:r>
    </w:p>
    <w:p>
      <w:pPr>
        <w:spacing w:after="0" w:line="200" w:lineRule="exact"/>
        <w:rPr>
          <w:sz w:val="20"/>
          <w:szCs w:val="20"/>
          <w:color w:val="auto"/>
        </w:rPr>
      </w:pPr>
    </w:p>
    <w:p>
      <w:pPr>
        <w:spacing w:after="0" w:line="222" w:lineRule="exact"/>
        <w:rPr>
          <w:sz w:val="20"/>
          <w:szCs w:val="20"/>
          <w:color w:val="auto"/>
        </w:rPr>
      </w:pPr>
    </w:p>
    <w:tbl>
      <w:tblPr>
        <w:tblLayout w:type="fixed"/>
        <w:tblInd w:w="4220" w:type="dxa"/>
        <w:tblCellMar>
          <w:top w:w="0" w:type="dxa"/>
          <w:left w:w="0" w:type="dxa"/>
          <w:bottom w:w="0" w:type="dxa"/>
          <w:right w:w="0" w:type="dxa"/>
        </w:tblCellMar>
      </w:tblP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Charles Owens</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Charles Owens</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49" w:name="page150"/>
    <w:bookmarkEnd w:id="149"/>
    <w:p>
      <w:pPr>
        <w:ind w:left="4220"/>
        <w:spacing w:after="0"/>
        <w:rPr>
          <w:sz w:val="20"/>
          <w:szCs w:val="20"/>
          <w:color w:val="auto"/>
        </w:rPr>
      </w:pPr>
      <w:r>
        <w:rPr>
          <w:rFonts w:ascii="Times New Roman" w:cs="Times New Roman" w:eastAsia="Times New Roman" w:hAnsi="Times New Roman"/>
          <w:sz w:val="22"/>
          <w:szCs w:val="22"/>
          <w:color w:val="auto"/>
        </w:rPr>
        <w:t>Sumitomo Mitsui Banking Corporation, as a Lender</w:t>
      </w:r>
    </w:p>
    <w:p>
      <w:pPr>
        <w:spacing w:after="0" w:line="200" w:lineRule="exact"/>
        <w:rPr>
          <w:sz w:val="20"/>
          <w:szCs w:val="20"/>
          <w:color w:val="auto"/>
        </w:rPr>
      </w:pPr>
    </w:p>
    <w:p>
      <w:pPr>
        <w:spacing w:after="0" w:line="222" w:lineRule="exact"/>
        <w:rPr>
          <w:sz w:val="20"/>
          <w:szCs w:val="20"/>
          <w:color w:val="auto"/>
        </w:rPr>
      </w:pPr>
    </w:p>
    <w:tbl>
      <w:tblPr>
        <w:tblLayout w:type="fixed"/>
        <w:tblInd w:w="4220" w:type="dxa"/>
        <w:tblCellMar>
          <w:top w:w="0" w:type="dxa"/>
          <w:left w:w="0" w:type="dxa"/>
          <w:bottom w:w="0" w:type="dxa"/>
          <w:right w:w="0" w:type="dxa"/>
        </w:tblCellMar>
      </w:tblP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Glenn Autorino</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Glenn Autorino</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50" w:name="page151"/>
    <w:bookmarkEnd w:id="150"/>
    <w:p>
      <w:pPr>
        <w:ind w:left="4220"/>
        <w:spacing w:after="0"/>
        <w:rPr>
          <w:sz w:val="20"/>
          <w:szCs w:val="20"/>
          <w:color w:val="auto"/>
        </w:rPr>
      </w:pPr>
      <w:r>
        <w:rPr>
          <w:rFonts w:ascii="Times New Roman" w:cs="Times New Roman" w:eastAsia="Times New Roman" w:hAnsi="Times New Roman"/>
          <w:sz w:val="22"/>
          <w:szCs w:val="22"/>
          <w:color w:val="auto"/>
        </w:rPr>
        <w:t>STATE STREET BANK AND TRUST COMPANY, as a Lender</w:t>
      </w:r>
    </w:p>
    <w:p>
      <w:pPr>
        <w:spacing w:after="0" w:line="200" w:lineRule="exact"/>
        <w:rPr>
          <w:sz w:val="20"/>
          <w:szCs w:val="20"/>
          <w:color w:val="auto"/>
        </w:rPr>
      </w:pPr>
    </w:p>
    <w:p>
      <w:pPr>
        <w:spacing w:after="0" w:line="222" w:lineRule="exact"/>
        <w:rPr>
          <w:sz w:val="20"/>
          <w:szCs w:val="20"/>
          <w:color w:val="auto"/>
        </w:rPr>
      </w:pPr>
    </w:p>
    <w:tbl>
      <w:tblPr>
        <w:tblLayout w:type="fixed"/>
        <w:tblInd w:w="4220" w:type="dxa"/>
        <w:tblCellMar>
          <w:top w:w="0" w:type="dxa"/>
          <w:left w:w="0" w:type="dxa"/>
          <w:bottom w:w="0" w:type="dxa"/>
          <w:right w:w="0" w:type="dxa"/>
        </w:tblCellMar>
      </w:tblP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Drew Piculell</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Drew Piculell</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51" w:name="page152"/>
    <w:bookmarkEnd w:id="151"/>
    <w:p>
      <w:pPr>
        <w:ind w:left="5420"/>
        <w:spacing w:after="0"/>
        <w:rPr>
          <w:sz w:val="20"/>
          <w:szCs w:val="20"/>
          <w:color w:val="auto"/>
        </w:rPr>
      </w:pPr>
      <w:r>
        <w:rPr>
          <w:rFonts w:ascii="Times New Roman" w:cs="Times New Roman" w:eastAsia="Times New Roman" w:hAnsi="Times New Roman"/>
          <w:sz w:val="22"/>
          <w:szCs w:val="22"/>
          <w:color w:val="auto"/>
        </w:rPr>
        <w:t>Stifel Bank &amp; Trust, as a Lender</w:t>
      </w:r>
    </w:p>
    <w:p>
      <w:pPr>
        <w:spacing w:after="0" w:line="200" w:lineRule="exact"/>
        <w:rPr>
          <w:sz w:val="20"/>
          <w:szCs w:val="20"/>
          <w:color w:val="auto"/>
        </w:rPr>
      </w:pPr>
    </w:p>
    <w:p>
      <w:pPr>
        <w:spacing w:after="0" w:line="222" w:lineRule="exact"/>
        <w:rPr>
          <w:sz w:val="20"/>
          <w:szCs w:val="20"/>
          <w:color w:val="auto"/>
        </w:rPr>
      </w:pPr>
    </w:p>
    <w:tbl>
      <w:tblPr>
        <w:tblLayout w:type="fixed"/>
        <w:tblInd w:w="5420" w:type="dxa"/>
        <w:tblCellMar>
          <w:top w:w="0" w:type="dxa"/>
          <w:left w:w="0" w:type="dxa"/>
          <w:bottom w:w="0" w:type="dxa"/>
          <w:right w:w="0" w:type="dxa"/>
        </w:tblCellMar>
      </w:tblP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Joseph L. Sooter, Jr.</w:t>
            </w:r>
          </w:p>
        </w:tc>
      </w:tr>
      <w:tr>
        <w:trPr>
          <w:trHeight w:val="209"/>
        </w:trPr>
        <w:tc>
          <w:tcPr>
            <w:tcW w:w="7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Joseph L. Sooter, Jr.</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731146884 11299570</w:t>
      </w:r>
    </w:p>
    <w:p>
      <w:pPr>
        <w:spacing w:after="0" w:line="1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52" w:name="page153"/>
    <w:bookmarkEnd w:id="152"/>
    <w:p>
      <w:pPr>
        <w:ind w:left="4080"/>
        <w:spacing w:after="0"/>
        <w:rPr>
          <w:sz w:val="20"/>
          <w:szCs w:val="20"/>
          <w:color w:val="auto"/>
        </w:rPr>
      </w:pPr>
      <w:r>
        <w:rPr>
          <w:rFonts w:ascii="Times New Roman" w:cs="Times New Roman" w:eastAsia="Times New Roman" w:hAnsi="Times New Roman"/>
          <w:sz w:val="22"/>
          <w:szCs w:val="22"/>
          <w:color w:val="auto"/>
        </w:rPr>
        <w:t xml:space="preserve">Agreed and acknowledged solely with respect to </w:t>
      </w:r>
      <w:r>
        <w:rPr>
          <w:rFonts w:ascii="Times New Roman" w:cs="Times New Roman" w:eastAsia="Times New Roman" w:hAnsi="Times New Roman"/>
          <w:sz w:val="22"/>
          <w:szCs w:val="22"/>
          <w:u w:val="single" w:color="auto"/>
          <w:color w:val="auto"/>
        </w:rPr>
        <w:t>Section 5.8</w:t>
      </w:r>
    </w:p>
    <w:p>
      <w:pPr>
        <w:spacing w:after="0" w:line="200" w:lineRule="exact"/>
        <w:rPr>
          <w:sz w:val="20"/>
          <w:szCs w:val="20"/>
          <w:color w:val="auto"/>
        </w:rPr>
      </w:pPr>
    </w:p>
    <w:p>
      <w:pPr>
        <w:spacing w:after="0" w:line="21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b w:val="1"/>
          <w:bCs w:val="1"/>
          <w:color w:val="auto"/>
        </w:rPr>
        <w:t>TC LENDING, LLC</w:t>
      </w:r>
    </w:p>
    <w:p>
      <w:pPr>
        <w:spacing w:after="0" w:line="222" w:lineRule="exact"/>
        <w:rPr>
          <w:sz w:val="20"/>
          <w:szCs w:val="20"/>
          <w:color w:val="auto"/>
        </w:rPr>
      </w:pPr>
    </w:p>
    <w:tbl>
      <w:tblPr>
        <w:tblLayout w:type="fixed"/>
        <w:tblInd w:w="4080" w:type="dxa"/>
        <w:tblCellMar>
          <w:top w:w="0" w:type="dxa"/>
          <w:left w:w="0" w:type="dxa"/>
          <w:bottom w:w="0" w:type="dxa"/>
          <w:right w:w="0" w:type="dxa"/>
        </w:tblCellMar>
      </w:tblPr>
      <w:tr>
        <w:trPr>
          <w:trHeight w:val="271"/>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Ian Simmonds</w:t>
            </w:r>
          </w:p>
        </w:tc>
      </w:tr>
      <w:tr>
        <w:trPr>
          <w:trHeight w:val="209"/>
        </w:trPr>
        <w:tc>
          <w:tcPr>
            <w:tcW w:w="9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1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Ian Simmonds</w:t>
            </w:r>
          </w:p>
        </w:tc>
      </w:tr>
      <w:tr>
        <w:trPr>
          <w:trHeight w:val="28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Chief Financial Officer</w:t>
            </w:r>
          </w:p>
        </w:tc>
      </w:tr>
      <w:tr>
        <w:trPr>
          <w:trHeight w:val="675"/>
        </w:trPr>
        <w:tc>
          <w:tcPr>
            <w:tcW w:w="61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TSL MR, LLC</w:t>
            </w:r>
          </w:p>
        </w:tc>
      </w:tr>
      <w:tr>
        <w:trPr>
          <w:trHeight w:val="447"/>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Ian Simmonds</w:t>
            </w:r>
          </w:p>
        </w:tc>
      </w:tr>
      <w:tr>
        <w:trPr>
          <w:trHeight w:val="209"/>
        </w:trPr>
        <w:tc>
          <w:tcPr>
            <w:tcW w:w="9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1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Ian Simmonds</w:t>
            </w:r>
          </w:p>
        </w:tc>
      </w:tr>
      <w:tr>
        <w:trPr>
          <w:trHeight w:val="28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Chief Financial Officer</w:t>
            </w:r>
          </w:p>
        </w:tc>
      </w:tr>
      <w:tr>
        <w:trPr>
          <w:trHeight w:val="675"/>
        </w:trPr>
        <w:tc>
          <w:tcPr>
            <w:tcW w:w="61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TPG SL SPV, LLC</w:t>
            </w:r>
          </w:p>
        </w:tc>
      </w:tr>
      <w:tr>
        <w:trPr>
          <w:trHeight w:val="447"/>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Ian Simmonds</w:t>
            </w:r>
          </w:p>
        </w:tc>
      </w:tr>
      <w:tr>
        <w:trPr>
          <w:trHeight w:val="209"/>
        </w:trPr>
        <w:tc>
          <w:tcPr>
            <w:tcW w:w="9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1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Ian Simmonds</w:t>
            </w:r>
          </w:p>
        </w:tc>
      </w:tr>
      <w:tr>
        <w:trPr>
          <w:trHeight w:val="28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EIGHTH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SECOND 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SENIOR SECURED</w:t>
      </w:r>
    </w:p>
    <w:p>
      <w:pPr>
        <w:jc w:val="center"/>
        <w:spacing w:after="0" w:line="230" w:lineRule="auto"/>
        <w:rPr>
          <w:sz w:val="20"/>
          <w:szCs w:val="20"/>
          <w:color w:val="auto"/>
        </w:rPr>
      </w:pPr>
      <w:r>
        <w:rPr>
          <w:rFonts w:ascii="Times New Roman" w:cs="Times New Roman" w:eastAsia="Times New Roman" w:hAnsi="Times New Roman"/>
          <w:sz w:val="22"/>
          <w:szCs w:val="22"/>
          <w:color w:val="auto"/>
        </w:rPr>
        <w:t>REVOLVING CREDIT 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February 27, 2014</w:t>
      </w:r>
    </w:p>
    <w:p>
      <w:pPr>
        <w:spacing w:after="0" w:line="206" w:lineRule="exact"/>
        <w:rPr>
          <w:sz w:val="20"/>
          <w:szCs w:val="20"/>
          <w:color w:val="auto"/>
        </w:rPr>
      </w:pPr>
    </w:p>
    <w:p>
      <w:pPr>
        <w:jc w:val="center"/>
        <w:ind w:left="260" w:right="20"/>
        <w:spacing w:after="0" w:line="245" w:lineRule="auto"/>
        <w:rPr>
          <w:sz w:val="20"/>
          <w:szCs w:val="20"/>
          <w:color w:val="auto"/>
        </w:rPr>
      </w:pPr>
      <w:r>
        <w:rPr>
          <w:rFonts w:ascii="Times New Roman" w:cs="Times New Roman" w:eastAsia="Times New Roman" w:hAnsi="Times New Roman"/>
          <w:sz w:val="21"/>
          <w:szCs w:val="21"/>
          <w:color w:val="auto"/>
        </w:rPr>
        <w:t>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w:t>
      </w:r>
    </w:p>
    <w:p>
      <w:pPr>
        <w:jc w:val="center"/>
        <w:ind w:left="260" w:right="240"/>
        <w:spacing w:after="0" w:line="237" w:lineRule="auto"/>
        <w:rPr>
          <w:sz w:val="20"/>
          <w:szCs w:val="20"/>
          <w:color w:val="auto"/>
        </w:rPr>
      </w:pPr>
      <w:r>
        <w:rPr>
          <w:rFonts w:ascii="Times New Roman" w:cs="Times New Roman" w:eastAsia="Times New Roman" w:hAnsi="Times New Roman"/>
          <w:sz w:val="22"/>
          <w:szCs w:val="22"/>
          <w:color w:val="auto"/>
        </w:rPr>
        <w:t>dated as of November 5, 2018 and the Eighth Amendment to Second Amended and Restated Senior Secured Revolving Credit Agreement dated as of February 14, 2019</w:t>
      </w:r>
    </w:p>
    <w:p>
      <w:pPr>
        <w:spacing w:after="0" w:line="17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among</w:t>
      </w:r>
    </w:p>
    <w:p>
      <w:pPr>
        <w:spacing w:after="0" w:line="20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TPG SPECIALTY LENDING, INC.</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as Borrower</w:t>
      </w:r>
    </w:p>
    <w:p>
      <w:pPr>
        <w:spacing w:after="0" w:line="18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0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SUNTRUST BANK</w:t>
      </w:r>
    </w:p>
    <w:p>
      <w:pPr>
        <w:spacing w:after="0" w:line="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18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Syndication Agent</w:t>
      </w:r>
    </w:p>
    <w:p>
      <w:pPr>
        <w:jc w:val="center"/>
        <w:spacing w:after="0" w:line="230" w:lineRule="auto"/>
        <w:rPr>
          <w:sz w:val="20"/>
          <w:szCs w:val="20"/>
          <w:color w:val="auto"/>
        </w:rPr>
      </w:pPr>
      <w:r>
        <w:rPr>
          <w:rFonts w:ascii="Times New Roman" w:cs="Times New Roman" w:eastAsia="Times New Roman" w:hAnsi="Times New Roman"/>
          <w:sz w:val="22"/>
          <w:szCs w:val="22"/>
          <w:color w:val="auto"/>
        </w:rPr>
        <w:t>$1,170,000,000</w:t>
      </w:r>
    </w:p>
    <w:p>
      <w:pPr>
        <w:spacing w:after="0" w:line="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SUNTRUST ROBINSON HUMPHREY,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JPMORGAN CHASE BANK, N.A.</w:t>
      </w:r>
    </w:p>
    <w:p>
      <w:pPr>
        <w:jc w:val="center"/>
        <w:spacing w:after="0"/>
        <w:rPr>
          <w:sz w:val="20"/>
          <w:szCs w:val="20"/>
          <w:color w:val="auto"/>
        </w:rPr>
      </w:pPr>
      <w:r>
        <w:rPr>
          <w:rFonts w:ascii="Times New Roman" w:cs="Times New Roman" w:eastAsia="Times New Roman" w:hAnsi="Times New Roman"/>
          <w:sz w:val="22"/>
          <w:szCs w:val="22"/>
          <w:color w:val="auto"/>
        </w:rPr>
        <w:t>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731105340 11299570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87"/>
        </w:trPr>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80" w:type="dxa"/>
            <w:vAlign w:val="bottom"/>
          </w:tcPr>
          <w:p>
            <w:pPr>
              <w:ind w:left="23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420" w:type="dxa"/>
            <w:vAlign w:val="bottom"/>
          </w:tcPr>
          <w:p>
            <w:pPr>
              <w:spacing w:after="0"/>
              <w:rPr>
                <w:sz w:val="24"/>
                <w:szCs w:val="24"/>
                <w:color w:val="auto"/>
              </w:rPr>
            </w:pPr>
          </w:p>
        </w:tc>
      </w:tr>
      <w:tr>
        <w:trPr>
          <w:trHeight w:val="702"/>
        </w:trPr>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65"/>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ARTICLE I</w:t>
            </w:r>
          </w:p>
        </w:tc>
        <w:tc>
          <w:tcPr>
            <w:tcW w:w="8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DEFINITIONS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325"/>
        </w:trPr>
        <w:tc>
          <w:tcPr>
            <w:tcW w:w="22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1.01.</w:t>
            </w:r>
          </w:p>
        </w:tc>
        <w:tc>
          <w:tcPr>
            <w:tcW w:w="77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Defined Terms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1.02.</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Classification of Loans and Borrowings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1.03.</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Terms Generally</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1.04.</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Accounting Terms; GAAP</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83"/>
        </w:trPr>
        <w:tc>
          <w:tcPr>
            <w:tcW w:w="22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1.05.</w:t>
            </w:r>
          </w:p>
        </w:tc>
        <w:tc>
          <w:tcPr>
            <w:tcW w:w="77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Currencies; Currency Equivalents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65"/>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ARTICLE II</w:t>
            </w:r>
          </w:p>
        </w:tc>
        <w:tc>
          <w:tcPr>
            <w:tcW w:w="8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CREDITS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25"/>
        </w:trPr>
        <w:tc>
          <w:tcPr>
            <w:tcW w:w="22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2.01.</w:t>
            </w:r>
          </w:p>
        </w:tc>
        <w:tc>
          <w:tcPr>
            <w:tcW w:w="77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The Commitments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2.02.</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Loans and Borrowings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2.03.</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Requests for Syndicated Borrowings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2.04.</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Swingline Loans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2.05.</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Letters of Credit</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2.06.</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Funding of Borrowings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2.07.</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Interest Elections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2.08.</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Termination, Reduction or Increase of the Commitments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2.09.</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Repayment of Loans; Evidence of Debt</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2.10.</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Prepayment of Loans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18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w w:val="95"/>
              </w:rPr>
              <w:t>SECTION 2.11.</w:t>
            </w:r>
          </w:p>
        </w:tc>
        <w:tc>
          <w:tcPr>
            <w:tcW w:w="360" w:type="dxa"/>
            <w:vAlign w:val="bottom"/>
          </w:tcPr>
          <w:p>
            <w:pPr>
              <w:spacing w:after="0"/>
              <w:rPr>
                <w:sz w:val="21"/>
                <w:szCs w:val="21"/>
                <w:color w:val="auto"/>
              </w:rPr>
            </w:pP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Fees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2.12.</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Interest</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2.13.</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Inability to Determine Interest Rates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2.14.</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Increased Costs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2.15.</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Break Funding Payments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2.16.</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2.17.</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Payments Generally; Pro Rata Treatment: Sharing of Set-offs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2.18.</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Mitigation Obligations; Replacement of Lenders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2.19.</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Defaulting Lenders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2.20.</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Reallocation Following a Non-Extended Commitment Termination Date</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r>
      <w:tr>
        <w:trPr>
          <w:trHeight w:val="283"/>
        </w:trPr>
        <w:tc>
          <w:tcPr>
            <w:tcW w:w="22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2.21.</w:t>
            </w:r>
          </w:p>
        </w:tc>
        <w:tc>
          <w:tcPr>
            <w:tcW w:w="77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Assignment and Reallocation of Existing Commitments and Existing Loans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365"/>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ARTICLE III</w:t>
            </w:r>
          </w:p>
        </w:tc>
        <w:tc>
          <w:tcPr>
            <w:tcW w:w="8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325"/>
        </w:trPr>
        <w:tc>
          <w:tcPr>
            <w:tcW w:w="22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3.01.</w:t>
            </w:r>
          </w:p>
        </w:tc>
        <w:tc>
          <w:tcPr>
            <w:tcW w:w="77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Organization; Powers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3.02.</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Authorization; Enforceability</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3.03.</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Governmental Approvals; No Conflicts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3.04.</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Financial Condition; No Material Adverse Change</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3.05.</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Litigation</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3.06.</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Compliance with Laws and Agreements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3.07.</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3.08.</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ERISA</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3.09.</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Disclosure</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224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3.10.</w:t>
            </w: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Investment Company Act; Margin Regulations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18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w w:val="95"/>
              </w:rPr>
              <w:t>SECTION 3.11.</w:t>
            </w:r>
          </w:p>
        </w:tc>
        <w:tc>
          <w:tcPr>
            <w:tcW w:w="360" w:type="dxa"/>
            <w:vAlign w:val="bottom"/>
          </w:tcPr>
          <w:p>
            <w:pPr>
              <w:spacing w:after="0"/>
              <w:rPr>
                <w:sz w:val="21"/>
                <w:szCs w:val="21"/>
                <w:color w:val="auto"/>
              </w:rPr>
            </w:pPr>
          </w:p>
        </w:tc>
        <w:tc>
          <w:tcPr>
            <w:tcW w:w="77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Material Agreements and Liens</w:t>
            </w:r>
          </w:p>
        </w:tc>
        <w:tc>
          <w:tcPr>
            <w:tcW w:w="1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83"/>
        </w:trPr>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80" w:type="dxa"/>
            <w:vAlign w:val="bottom"/>
          </w:tcPr>
          <w:p>
            <w:pPr>
              <w:ind w:left="3380"/>
              <w:spacing w:after="0"/>
              <w:rPr>
                <w:sz w:val="20"/>
                <w:szCs w:val="20"/>
                <w:color w:val="auto"/>
              </w:rPr>
            </w:pPr>
            <w:r>
              <w:rPr>
                <w:rFonts w:ascii="Times New Roman" w:cs="Times New Roman" w:eastAsia="Times New Roman" w:hAnsi="Times New Roman"/>
                <w:sz w:val="22"/>
                <w:szCs w:val="22"/>
                <w:color w:val="auto"/>
              </w:rPr>
              <w:t>-i-</w:t>
            </w:r>
          </w:p>
        </w:tc>
        <w:tc>
          <w:tcPr>
            <w:tcW w:w="1420" w:type="dxa"/>
            <w:vAlign w:val="bottom"/>
          </w:tcPr>
          <w:p>
            <w:pPr>
              <w:spacing w:after="0"/>
              <w:rPr>
                <w:sz w:val="24"/>
                <w:szCs w:val="24"/>
                <w:color w:val="auto"/>
              </w:rPr>
            </w:pPr>
          </w:p>
        </w:tc>
      </w:tr>
      <w:tr>
        <w:trPr>
          <w:trHeight w:val="343"/>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731105340 11299570</w:t>
            </w:r>
          </w:p>
        </w:tc>
        <w:tc>
          <w:tcPr>
            <w:tcW w:w="36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98"/>
        </w:trPr>
        <w:tc>
          <w:tcPr>
            <w:tcW w:w="18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7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3.12.</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Subsidiaries and Investments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3.13.</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Properties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3.14.</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Affiliate Agreements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3.15.</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Sanctions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3.16.</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Patriot Act</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3.17.</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Collateral Documents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83"/>
        </w:trPr>
        <w:tc>
          <w:tcPr>
            <w:tcW w:w="22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SECTION 3.18.</w:t>
            </w:r>
          </w:p>
        </w:tc>
        <w:tc>
          <w:tcPr>
            <w:tcW w:w="83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EEA Financial Institutions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365"/>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ARTICLE IV</w:t>
            </w:r>
          </w:p>
        </w:tc>
        <w:tc>
          <w:tcPr>
            <w:tcW w:w="90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CONDITIONS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325"/>
        </w:trPr>
        <w:tc>
          <w:tcPr>
            <w:tcW w:w="22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SECTION 4.01.</w:t>
            </w:r>
          </w:p>
        </w:tc>
        <w:tc>
          <w:tcPr>
            <w:tcW w:w="83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Effective Date</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283"/>
        </w:trPr>
        <w:tc>
          <w:tcPr>
            <w:tcW w:w="22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SECTION 4.02.</w:t>
            </w:r>
          </w:p>
        </w:tc>
        <w:tc>
          <w:tcPr>
            <w:tcW w:w="83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Each Credit Event</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365"/>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ARTICLE V</w:t>
            </w:r>
          </w:p>
        </w:tc>
        <w:tc>
          <w:tcPr>
            <w:tcW w:w="90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AFFIRMATIVE COVENANTS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325"/>
        </w:trPr>
        <w:tc>
          <w:tcPr>
            <w:tcW w:w="22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SECTION 5.01.</w:t>
            </w:r>
          </w:p>
        </w:tc>
        <w:tc>
          <w:tcPr>
            <w:tcW w:w="83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Financial Statements and Other Information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5.02.</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Notices of Material Events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5.03.</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Existence: Conduct of Business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5.04.</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Payment of Obligations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5.05.</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Maintenance of Properties; Insurance</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5.06.</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Books and Records; Inspection and Audit Rights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5.07.</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Compliance with Laws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5.08.</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Certain Obligations Respecting Subsidiaries; Further Assurances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5.09.</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Use of Proceeds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5.10.</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Status of RIC and BDC</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5.11.</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Investment Policies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5.12.</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Portfolio Valuation and Diversification Etc</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83"/>
        </w:trPr>
        <w:tc>
          <w:tcPr>
            <w:tcW w:w="22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SECTION 5.13.</w:t>
            </w:r>
          </w:p>
        </w:tc>
        <w:tc>
          <w:tcPr>
            <w:tcW w:w="83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Calculation of Borrowing Base</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365"/>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ARTICLE VI</w:t>
            </w:r>
          </w:p>
        </w:tc>
        <w:tc>
          <w:tcPr>
            <w:tcW w:w="90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NEGATIVE COVENANTS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325"/>
        </w:trPr>
        <w:tc>
          <w:tcPr>
            <w:tcW w:w="22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SECTION 6.01.</w:t>
            </w:r>
          </w:p>
        </w:tc>
        <w:tc>
          <w:tcPr>
            <w:tcW w:w="83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Indebtedness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6.02.</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Liens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6.03.</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Fundamental Changes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100</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6.04.</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Investments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6.05.</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Restricted Payments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6.06.</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Certain Restrictions on Subsidiaries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104</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6.07.</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Certain Financial Covenants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104</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6.08.</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Transactions with Affiliates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105</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6.09.</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Lines of Business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105</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6.10.</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No Further Negative Pledge</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105</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6.11.</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Modifications of Longer-Term Indebtedness Documents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105</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6.12.</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Payments of Longer-Term Indebtedness, 2019 Convertible Notes, the 2022 Convertible</w:t>
            </w:r>
          </w:p>
        </w:tc>
        <w:tc>
          <w:tcPr>
            <w:tcW w:w="860" w:type="dxa"/>
            <w:vAlign w:val="bottom"/>
          </w:tcPr>
          <w:p>
            <w:pPr>
              <w:spacing w:after="0"/>
              <w:rPr>
                <w:sz w:val="21"/>
                <w:szCs w:val="21"/>
                <w:color w:val="auto"/>
              </w:rPr>
            </w:pPr>
          </w:p>
        </w:tc>
      </w:tr>
      <w:tr>
        <w:trPr>
          <w:trHeight w:val="243"/>
        </w:trPr>
        <w:tc>
          <w:tcPr>
            <w:tcW w:w="1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Notes, and 2023 Notes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106</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6.13.</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Accounting Changes</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107</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6.14.</w:t>
            </w:r>
          </w:p>
        </w:tc>
        <w:tc>
          <w:tcPr>
            <w:tcW w:w="83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SBIC Guarantee</w:t>
            </w:r>
          </w:p>
        </w:tc>
        <w:tc>
          <w:tcPr>
            <w:tcW w:w="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107</w:t>
            </w:r>
          </w:p>
        </w:tc>
      </w:tr>
      <w:tr>
        <w:trPr>
          <w:trHeight w:val="283"/>
        </w:trPr>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300" w:type="dxa"/>
            <w:vAlign w:val="bottom"/>
          </w:tcPr>
          <w:p>
            <w:pPr>
              <w:ind w:left="3300"/>
              <w:spacing w:after="0"/>
              <w:rPr>
                <w:sz w:val="20"/>
                <w:szCs w:val="20"/>
                <w:color w:val="auto"/>
              </w:rPr>
            </w:pPr>
            <w:r>
              <w:rPr>
                <w:rFonts w:ascii="Times New Roman" w:cs="Times New Roman" w:eastAsia="Times New Roman" w:hAnsi="Times New Roman"/>
                <w:sz w:val="22"/>
                <w:szCs w:val="22"/>
                <w:color w:val="auto"/>
              </w:rPr>
              <w:t>-ii-</w:t>
            </w:r>
          </w:p>
        </w:tc>
        <w:tc>
          <w:tcPr>
            <w:tcW w:w="860" w:type="dxa"/>
            <w:vAlign w:val="bottom"/>
          </w:tcPr>
          <w:p>
            <w:pPr>
              <w:spacing w:after="0"/>
              <w:rPr>
                <w:sz w:val="24"/>
                <w:szCs w:val="24"/>
                <w:color w:val="auto"/>
              </w:rPr>
            </w:pPr>
          </w:p>
        </w:tc>
      </w:tr>
      <w:tr>
        <w:trPr>
          <w:trHeight w:val="343"/>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731105340 11299570</w:t>
            </w:r>
          </w:p>
        </w:tc>
        <w:tc>
          <w:tcPr>
            <w:tcW w:w="7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98"/>
        </w:trPr>
        <w:tc>
          <w:tcPr>
            <w:tcW w:w="15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3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(continued)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25"/>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ARTICLE VII</w:t>
            </w:r>
          </w:p>
        </w:tc>
        <w:tc>
          <w:tcPr>
            <w:tcW w:w="83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EVENTS OF DEFAULT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83"/>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ARTICLE VIII</w:t>
            </w:r>
          </w:p>
        </w:tc>
        <w:tc>
          <w:tcPr>
            <w:tcW w:w="83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THE ADMINISTRATIVE AGENT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325"/>
        </w:trPr>
        <w:tc>
          <w:tcPr>
            <w:tcW w:w="22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SECTION 8.01.</w:t>
            </w:r>
          </w:p>
        </w:tc>
        <w:tc>
          <w:tcPr>
            <w:tcW w:w="76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Appointment of the Administrative Agent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8.02.</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Capacity as Lender</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111</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8.03.</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Limitation of Duties; Exculpation</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111</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8.04.</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Reliance</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112</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8.05.</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Sub-Agents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112</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8.06.</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Resignation; Successor Administrative Agent</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112</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8.07.</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Reliance by Lenders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w:t>
            </w:r>
          </w:p>
        </w:tc>
      </w:tr>
      <w:tr>
        <w:trPr>
          <w:trHeight w:val="283"/>
        </w:trPr>
        <w:tc>
          <w:tcPr>
            <w:tcW w:w="22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SECTION 8.08.</w:t>
            </w:r>
          </w:p>
        </w:tc>
        <w:tc>
          <w:tcPr>
            <w:tcW w:w="76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Modifications to Loan Documents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365"/>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ARTICLE IX</w:t>
            </w:r>
          </w:p>
        </w:tc>
        <w:tc>
          <w:tcPr>
            <w:tcW w:w="83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MISCELLANEOUS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325"/>
        </w:trPr>
        <w:tc>
          <w:tcPr>
            <w:tcW w:w="22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SECTION 9.01.</w:t>
            </w:r>
          </w:p>
        </w:tc>
        <w:tc>
          <w:tcPr>
            <w:tcW w:w="76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Notices; Electronic Communications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9.02.</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Waivers; Amendments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117</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9.03.</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Expenses; Indemnity; Damage Waiver</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119</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9.04.</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Successors and Assigns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121</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9.05.</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Survival</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126</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9.06.</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Counterparts; Integration; Effectiveness; Electronic Execution</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126</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9.07.</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127</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9.08.</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Right of Setoff</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127</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9.09.</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Governing Law; Jurisdiction; Etc</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127</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9.10.</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WAIVER OF JURY TRIAL</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128</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9.11.</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Judgment Currency</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128</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9.12.</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Headings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129</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9.13.</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Treatment of Certain Information; No Fiduciary Duty; Confidentiality</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129</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9.14.</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USA PATRIOT Act</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130</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9.15.</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Effect of Amendment and Restatement of the Existing Credit Agreement</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131</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9.16.</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Reaffirmation of Guarantee and Security Agreement</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131</w:t>
            </w:r>
          </w:p>
        </w:tc>
      </w:tr>
      <w:tr>
        <w:trPr>
          <w:trHeight w:val="243"/>
        </w:trPr>
        <w:tc>
          <w:tcPr>
            <w:tcW w:w="228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SECTION 9.17.</w:t>
            </w:r>
          </w:p>
        </w:tc>
        <w:tc>
          <w:tcPr>
            <w:tcW w:w="76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Acknowledgement and Consent to Bail-In of EEA Financial Institutions</w:t>
            </w: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131</w:t>
            </w:r>
          </w:p>
        </w:tc>
      </w:tr>
      <w:tr>
        <w:trPr>
          <w:trHeight w:val="283"/>
        </w:trPr>
        <w:tc>
          <w:tcPr>
            <w:tcW w:w="22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SECTION 9.18.</w:t>
            </w:r>
          </w:p>
        </w:tc>
        <w:tc>
          <w:tcPr>
            <w:tcW w:w="76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Certain ERISA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w:t>
            </w:r>
          </w:p>
        </w:tc>
      </w:tr>
    </w:tbl>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731105340 11299570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53"/>
        </w:trPr>
        <w:tc>
          <w:tcPr>
            <w:tcW w:w="2240" w:type="dxa"/>
            <w:vAlign w:val="bottom"/>
          </w:tcPr>
          <w:p>
            <w:pPr>
              <w:spacing w:after="0"/>
              <w:rPr>
                <w:sz w:val="20"/>
                <w:szCs w:val="20"/>
                <w:color w:val="auto"/>
              </w:rPr>
            </w:pPr>
            <w:r>
              <w:rPr>
                <w:rFonts w:ascii="Times New Roman" w:cs="Times New Roman" w:eastAsia="Times New Roman" w:hAnsi="Times New Roman"/>
                <w:sz w:val="22"/>
                <w:szCs w:val="22"/>
                <w:color w:val="auto"/>
              </w:rPr>
              <w:t>SCHEDULE 1.01(a)</w:t>
            </w:r>
          </w:p>
        </w:tc>
        <w:tc>
          <w:tcPr>
            <w:tcW w:w="92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  Approved Dealers and Approved Pricing Services</w:t>
            </w:r>
          </w:p>
        </w:tc>
      </w:tr>
      <w:tr>
        <w:trPr>
          <w:trHeight w:val="243"/>
        </w:trPr>
        <w:tc>
          <w:tcPr>
            <w:tcW w:w="2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1.01(b)</w:t>
            </w:r>
          </w:p>
        </w:tc>
        <w:tc>
          <w:tcPr>
            <w:tcW w:w="5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Commitments</w:t>
            </w:r>
          </w:p>
        </w:tc>
      </w:tr>
      <w:tr>
        <w:trPr>
          <w:trHeight w:val="243"/>
        </w:trPr>
        <w:tc>
          <w:tcPr>
            <w:tcW w:w="2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1.01(c)</w:t>
            </w:r>
          </w:p>
        </w:tc>
        <w:tc>
          <w:tcPr>
            <w:tcW w:w="920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  Industry Classification Group List</w:t>
            </w:r>
          </w:p>
        </w:tc>
      </w:tr>
      <w:tr>
        <w:trPr>
          <w:trHeight w:val="243"/>
        </w:trPr>
        <w:tc>
          <w:tcPr>
            <w:tcW w:w="2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2.05</w:t>
            </w:r>
          </w:p>
        </w:tc>
        <w:tc>
          <w:tcPr>
            <w:tcW w:w="920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  Issuing Bank LC Exposure</w:t>
            </w:r>
          </w:p>
        </w:tc>
      </w:tr>
      <w:tr>
        <w:trPr>
          <w:trHeight w:val="243"/>
        </w:trPr>
        <w:tc>
          <w:tcPr>
            <w:tcW w:w="2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3.11</w:t>
            </w:r>
          </w:p>
        </w:tc>
        <w:tc>
          <w:tcPr>
            <w:tcW w:w="920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  Material Agreements and Liens</w:t>
            </w:r>
          </w:p>
        </w:tc>
      </w:tr>
      <w:tr>
        <w:trPr>
          <w:trHeight w:val="243"/>
        </w:trPr>
        <w:tc>
          <w:tcPr>
            <w:tcW w:w="2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3.12(a)</w:t>
            </w:r>
          </w:p>
        </w:tc>
        <w:tc>
          <w:tcPr>
            <w:tcW w:w="5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Subsidiaries</w:t>
            </w:r>
          </w:p>
        </w:tc>
      </w:tr>
      <w:tr>
        <w:trPr>
          <w:trHeight w:val="243"/>
        </w:trPr>
        <w:tc>
          <w:tcPr>
            <w:tcW w:w="2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3.12(b)</w:t>
            </w:r>
          </w:p>
        </w:tc>
        <w:tc>
          <w:tcPr>
            <w:tcW w:w="5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Investments</w:t>
            </w:r>
          </w:p>
        </w:tc>
      </w:tr>
      <w:tr>
        <w:trPr>
          <w:trHeight w:val="283"/>
        </w:trPr>
        <w:tc>
          <w:tcPr>
            <w:tcW w:w="2240" w:type="dxa"/>
            <w:vAlign w:val="bottom"/>
          </w:tcPr>
          <w:p>
            <w:pPr>
              <w:spacing w:after="0"/>
              <w:rPr>
                <w:sz w:val="20"/>
                <w:szCs w:val="20"/>
                <w:color w:val="auto"/>
              </w:rPr>
            </w:pPr>
            <w:r>
              <w:rPr>
                <w:rFonts w:ascii="Times New Roman" w:cs="Times New Roman" w:eastAsia="Times New Roman" w:hAnsi="Times New Roman"/>
                <w:sz w:val="22"/>
                <w:szCs w:val="22"/>
                <w:color w:val="auto"/>
              </w:rPr>
              <w:t>SCHEDULE 6.08</w:t>
            </w:r>
          </w:p>
        </w:tc>
        <w:tc>
          <w:tcPr>
            <w:tcW w:w="5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w:t>
            </w:r>
          </w:p>
        </w:tc>
        <w:tc>
          <w:tcPr>
            <w:tcW w:w="86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Transactions with Affiliates</w:t>
            </w:r>
          </w:p>
        </w:tc>
      </w:tr>
      <w:tr>
        <w:trPr>
          <w:trHeight w:val="636"/>
        </w:trPr>
        <w:tc>
          <w:tcPr>
            <w:tcW w:w="224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92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  Form of Assignment and Assumption</w:t>
            </w:r>
          </w:p>
        </w:tc>
      </w:tr>
      <w:tr>
        <w:trPr>
          <w:trHeight w:val="243"/>
        </w:trPr>
        <w:tc>
          <w:tcPr>
            <w:tcW w:w="2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920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rPr>
              <w:t>-  Form of Borrowing Base Certificate</w:t>
            </w:r>
          </w:p>
        </w:tc>
      </w:tr>
      <w:tr>
        <w:trPr>
          <w:trHeight w:val="283"/>
        </w:trPr>
        <w:tc>
          <w:tcPr>
            <w:tcW w:w="2240" w:type="dxa"/>
            <w:vAlign w:val="bottom"/>
          </w:tcPr>
          <w:p>
            <w:pPr>
              <w:spacing w:after="0"/>
              <w:rPr>
                <w:sz w:val="20"/>
                <w:szCs w:val="20"/>
                <w:color w:val="auto"/>
              </w:rPr>
            </w:pPr>
            <w:r>
              <w:rPr>
                <w:rFonts w:ascii="Times New Roman" w:cs="Times New Roman" w:eastAsia="Times New Roman" w:hAnsi="Times New Roman"/>
                <w:sz w:val="22"/>
                <w:szCs w:val="22"/>
                <w:color w:val="auto"/>
              </w:rPr>
              <w:t>EXHIBIT C</w:t>
            </w:r>
          </w:p>
        </w:tc>
        <w:tc>
          <w:tcPr>
            <w:tcW w:w="92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  Form of Borrowing Request</w:t>
            </w:r>
          </w:p>
        </w:tc>
      </w:tr>
      <w:tr>
        <w:trPr>
          <w:trHeight w:val="802"/>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731105340 11299570</w:t>
            </w:r>
          </w:p>
        </w:tc>
        <w:tc>
          <w:tcPr>
            <w:tcW w:w="580" w:type="dxa"/>
            <w:vAlign w:val="bottom"/>
          </w:tcPr>
          <w:p>
            <w:pPr>
              <w:spacing w:after="0"/>
              <w:rPr>
                <w:sz w:val="24"/>
                <w:szCs w:val="24"/>
                <w:color w:val="auto"/>
              </w:rPr>
            </w:pPr>
          </w:p>
        </w:tc>
        <w:tc>
          <w:tcPr>
            <w:tcW w:w="8620" w:type="dxa"/>
            <w:vAlign w:val="bottom"/>
          </w:tcPr>
          <w:p>
            <w:pPr>
              <w:spacing w:after="0"/>
              <w:rPr>
                <w:sz w:val="24"/>
                <w:szCs w:val="24"/>
                <w:color w:val="auto"/>
              </w:rPr>
            </w:pPr>
          </w:p>
        </w:tc>
      </w:tr>
      <w:tr>
        <w:trPr>
          <w:trHeight w:val="98"/>
        </w:trPr>
        <w:tc>
          <w:tcPr>
            <w:tcW w:w="22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1" w:right="219" w:bottom="1440" w:gutter="0" w:footer="0" w:header="0"/>
        </w:sectPr>
      </w:pPr>
    </w:p>
    <w:bookmarkStart w:id="158" w:name="page159"/>
    <w:bookmarkEnd w:id="158"/>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SECOND AMENDED AND RESTATED SENIOR SECURED REVOLVING CREDIT AGREEMENT dated as of February 27, 2014, as amended as of June 3, 2014, as of June 27, 2014, as of October 17, 2014, as of October 2, 2015, as of December 22, 2016, as of February 20, 2018, as of November 5, 2018 and as of February 14, 2019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TPG SPECIALTY LENDING,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party hereto, and SUNTRUST BANK, as Administrative Agent.</w:t>
      </w:r>
    </w:p>
    <w:p>
      <w:pPr>
        <w:spacing w:after="0" w:line="177"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The original Senior Secured Revolving Credit Agreement was dated as of August 23, 2012 and was amended and restated pursuant to the Amended and Restated Senior Secured Revolving Credit Agreement dated as of July 2, 2013 (as amended, supplemented or otherwise modified prior to the Effective Date,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among the Borrower, the lenders party thereto (collectively, the “</w:t>
      </w:r>
      <w:r>
        <w:rPr>
          <w:rFonts w:ascii="Times New Roman" w:cs="Times New Roman" w:eastAsia="Times New Roman" w:hAnsi="Times New Roman"/>
          <w:sz w:val="22"/>
          <w:szCs w:val="22"/>
          <w:u w:val="single" w:color="auto"/>
          <w:color w:val="auto"/>
        </w:rPr>
        <w:t>Existing Lenders</w:t>
      </w:r>
      <w:r>
        <w:rPr>
          <w:rFonts w:ascii="Times New Roman" w:cs="Times New Roman" w:eastAsia="Times New Roman" w:hAnsi="Times New Roman"/>
          <w:sz w:val="22"/>
          <w:szCs w:val="22"/>
          <w:color w:val="auto"/>
        </w:rPr>
        <w:t>”) and the Administrative Agent, the Existing Lenders agreed to make extensions of credit to the Borrower on the terms and conditions set forth therein, including making loans (the “</w:t>
      </w:r>
      <w:r>
        <w:rPr>
          <w:rFonts w:ascii="Times New Roman" w:cs="Times New Roman" w:eastAsia="Times New Roman" w:hAnsi="Times New Roman"/>
          <w:sz w:val="22"/>
          <w:szCs w:val="22"/>
          <w:u w:val="single" w:color="auto"/>
          <w:color w:val="auto"/>
        </w:rPr>
        <w:t>Existing Loans</w:t>
      </w:r>
      <w:r>
        <w:rPr>
          <w:rFonts w:ascii="Times New Roman" w:cs="Times New Roman" w:eastAsia="Times New Roman" w:hAnsi="Times New Roman"/>
          <w:sz w:val="22"/>
          <w:szCs w:val="22"/>
          <w:color w:val="auto"/>
        </w:rPr>
        <w:t>”) to the Borrower.</w:t>
      </w:r>
    </w:p>
    <w:p>
      <w:pPr>
        <w:spacing w:after="0" w:line="182" w:lineRule="exact"/>
        <w:rPr>
          <w:sz w:val="20"/>
          <w:szCs w:val="20"/>
          <w:color w:val="auto"/>
        </w:rPr>
      </w:pPr>
    </w:p>
    <w:p>
      <w:pPr>
        <w:jc w:val="both"/>
        <w:ind w:firstLine="1755"/>
        <w:spacing w:after="0" w:line="233" w:lineRule="auto"/>
        <w:rPr>
          <w:sz w:val="20"/>
          <w:szCs w:val="20"/>
          <w:color w:val="auto"/>
        </w:rPr>
      </w:pPr>
      <w:r>
        <w:rPr>
          <w:rFonts w:ascii="Times New Roman" w:cs="Times New Roman" w:eastAsia="Times New Roman" w:hAnsi="Times New Roman"/>
          <w:sz w:val="22"/>
          <w:szCs w:val="22"/>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18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The parties hereto hereby agree to amend and restate the Existing Credit Agreement, and the Existing Credit Agreement is hereby amended and restated in its entirety as follows:</w:t>
      </w:r>
    </w:p>
    <w:p>
      <w:pPr>
        <w:spacing w:after="0" w:line="1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ARTICLE I</w:t>
      </w:r>
    </w:p>
    <w:p>
      <w:pPr>
        <w:spacing w:after="0" w:line="20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in this Agreement, the following terms have the meanings specified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82"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2019 Convertible Notes</w:t>
      </w:r>
      <w:r>
        <w:rPr>
          <w:rFonts w:ascii="Times New Roman" w:cs="Times New Roman" w:eastAsia="Times New Roman" w:hAnsi="Times New Roman"/>
          <w:sz w:val="22"/>
          <w:szCs w:val="22"/>
          <w:color w:val="auto"/>
        </w:rPr>
        <w:t>” means the Borrower’s $115,000,000 aggregate principal amount convertible notes due December 2019 issued in June 2014.</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2022 Convertible Notes</w:t>
      </w:r>
      <w:r>
        <w:rPr>
          <w:rFonts w:ascii="Times New Roman" w:cs="Times New Roman" w:eastAsia="Times New Roman" w:hAnsi="Times New Roman"/>
          <w:sz w:val="22"/>
          <w:szCs w:val="22"/>
          <w:color w:val="auto"/>
        </w:rPr>
        <w:t>” means the Borrower’s $172,500,000 aggregate principal amount convertible notes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due August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377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377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1" w:lineRule="exact"/>
        <w:rPr>
          <w:sz w:val="20"/>
          <w:szCs w:val="20"/>
          <w:color w:val="auto"/>
        </w:rPr>
      </w:pPr>
    </w:p>
    <w:p>
      <w:pPr>
        <w:spacing w:after="0"/>
        <w:tabs>
          <w:tab w:leader="none" w:pos="564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2</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9" w:name="page160"/>
    <w:bookmarkEnd w:id="159"/>
    <w:p>
      <w:pPr>
        <w:ind w:left="1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2023 Notes</w:t>
      </w:r>
      <w:r>
        <w:rPr>
          <w:rFonts w:ascii="Times New Roman" w:cs="Times New Roman" w:eastAsia="Times New Roman" w:hAnsi="Times New Roman"/>
          <w:sz w:val="21"/>
          <w:szCs w:val="21"/>
          <w:color w:val="auto"/>
        </w:rPr>
        <w:t>” means the Borrower’s $150,000,000 aggregate principal amount notes due January 2023 issued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January 2018.</w:t>
      </w:r>
    </w:p>
    <w:p>
      <w:pPr>
        <w:spacing w:after="0" w:line="182"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when used in reference to any Loan or Borrowing, refers to whether such Loan, or the Loans constituting such Borrowing, are denominated in Dollars and bearing interest at a rate determined by reference to the Alternate Base Rate.</w:t>
      </w:r>
    </w:p>
    <w:p>
      <w:pPr>
        <w:spacing w:after="0" w:line="174"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Borrowing Base</w:t>
      </w:r>
      <w:r>
        <w:rPr>
          <w:rFonts w:ascii="Times New Roman" w:cs="Times New Roman" w:eastAsia="Times New Roman" w:hAnsi="Times New Roman"/>
          <w:sz w:val="22"/>
          <w:szCs w:val="22"/>
          <w:color w:val="auto"/>
        </w:rPr>
        <w:t xml:space="preserve">” means the Borrowing Base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74"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Covered Debt Balance</w:t>
      </w:r>
      <w:r>
        <w:rPr>
          <w:rFonts w:ascii="Times New Roman" w:cs="Times New Roman" w:eastAsia="Times New Roman" w:hAnsi="Times New Roman"/>
          <w:sz w:val="22"/>
          <w:szCs w:val="22"/>
          <w:color w:val="auto"/>
        </w:rPr>
        <w:t xml:space="preserve">” means, on any date, the aggregate Covered Debt Amount on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74"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LIBO Rate</w:t>
      </w:r>
      <w:r>
        <w:rPr>
          <w:rFonts w:ascii="Times New Roman" w:cs="Times New Roman" w:eastAsia="Times New Roman" w:hAnsi="Times New Roman"/>
          <w:sz w:val="22"/>
          <w:szCs w:val="22"/>
          <w:color w:val="auto"/>
        </w:rPr>
        <w:t xml:space="preserve">” means (a) for the Interest Period for any Eurocurrency Borrowing denominated in a LIBO Quoted Currency, an interest rate per annum (rounded upwards, if necessary, to the next 1/16 of 1%) equal to (i) the LIBO Rate for such Interest Period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(ii) the Statutory Reserve Rate for such Interest Period and (b) for the Interest Period for any Eurocurrency Borrowing denominated in a Non-LIBO Quoted Currency an interest rate per annum (rounded upwards, if necessary, to the next 1/16 of 1%) equal to the LIBO Rate for such Interest Period.</w:t>
      </w:r>
    </w:p>
    <w:p>
      <w:pPr>
        <w:spacing w:after="0" w:line="1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SunTrust, in its capacity as administrative agent for the Lenders hereunder.</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Agent Appraisal Testing Period</w:t>
      </w:r>
      <w:r>
        <w:rPr>
          <w:rFonts w:ascii="Times New Roman" w:cs="Times New Roman" w:eastAsia="Times New Roman" w:hAnsi="Times New Roman"/>
          <w:sz w:val="21"/>
          <w:szCs w:val="21"/>
          <w:color w:val="auto"/>
        </w:rPr>
        <w:t xml:space="preserve">” has the meaning assigned to such term in </w:t>
      </w:r>
      <w:r>
        <w:rPr>
          <w:rFonts w:ascii="Times New Roman" w:cs="Times New Roman" w:eastAsia="Times New Roman" w:hAnsi="Times New Roman"/>
          <w:sz w:val="21"/>
          <w:szCs w:val="21"/>
          <w:u w:val="single" w:color="auto"/>
          <w:color w:val="auto"/>
        </w:rPr>
        <w:t>Section 5.12(b)(ii)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(E)(y)</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Account</w:t>
      </w:r>
      <w:r>
        <w:rPr>
          <w:rFonts w:ascii="Times New Roman" w:cs="Times New Roman" w:eastAsia="Times New Roman" w:hAnsi="Times New Roman"/>
          <w:sz w:val="22"/>
          <w:szCs w:val="22"/>
          <w:color w:val="auto"/>
        </w:rPr>
        <w:t>” means, for each Currency, an account in respect of such Currency designated by the Administrative Agent in a notice to the Borrower and the Lenders.</w:t>
      </w:r>
    </w:p>
    <w:p>
      <w:pPr>
        <w:spacing w:after="0" w:line="158"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an administrative questionnaire in a form supplied by the Administrative Agent.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Rate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Currency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377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23773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11" w:lineRule="exact"/>
        <w:rPr>
          <w:sz w:val="20"/>
          <w:szCs w:val="20"/>
          <w:color w:val="auto"/>
        </w:rPr>
      </w:pPr>
    </w:p>
    <w:p>
      <w:pPr>
        <w:spacing w:after="0"/>
        <w:tabs>
          <w:tab w:leader="none" w:pos="564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3</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60" w:name="page161"/>
    <w:bookmarkEnd w:id="160"/>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 Agreements</w:t>
      </w:r>
      <w:r>
        <w:rPr>
          <w:rFonts w:ascii="Times New Roman" w:cs="Times New Roman" w:eastAsia="Times New Roman" w:hAnsi="Times New Roman"/>
          <w:sz w:val="22"/>
          <w:szCs w:val="22"/>
          <w:color w:val="auto"/>
        </w:rPr>
        <w:t>” means collectively, (a) the Administration Agreement dated as of March 15, 2011 between the Borrower and the External Manager, (b) the Amended and Restated Investment Advisory and Management Agreement dated as of December 12, 2011 between the Borrower and the External Manager and (c) the License Agreement dated as of March 14, 2011 between the Borrower and Tarrant Capital IP, LLC.</w:t>
      </w:r>
    </w:p>
    <w:p>
      <w:pPr>
        <w:spacing w:after="0" w:line="181"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Foreign Currency</w:t>
      </w:r>
      <w:r>
        <w:rPr>
          <w:rFonts w:ascii="Times New Roman" w:cs="Times New Roman" w:eastAsia="Times New Roman" w:hAnsi="Times New Roman"/>
          <w:sz w:val="22"/>
          <w:szCs w:val="22"/>
          <w:color w:val="auto"/>
        </w:rPr>
        <w:t>” means, at any time, (i) any of Canadian Dollars, English Pounds Sterling, Euros, Japanese Yen, Australian Dollars, Swiss Franc, Swedish Krona and New Zealand Dollars, and (ii)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or the relevant local market, if applicable, and (c)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8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has the meaning assigned to such term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to this Agreement</w:t>
      </w:r>
    </w:p>
    <w:p>
      <w:pPr>
        <w:spacing w:after="0" w:line="206"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Base Rate</w:t>
      </w:r>
      <w:r>
        <w:rPr>
          <w:rFonts w:ascii="Times New Roman" w:cs="Times New Roman" w:eastAsia="Times New Roman" w:hAnsi="Times New Roman"/>
          <w:sz w:val="22"/>
          <w:szCs w:val="22"/>
          <w:color w:val="auto"/>
        </w:rPr>
        <w:t xml:space="preserve">” means, for any day, a rate per annum equal to the greatest of (a) zero, (b) the Prime Rate in effect on such day, (c) the Federal Funds Effective Rate for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1/2 of 1% and (d) the rate per annum equal to 1%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rate as displayed in the Bloomberg Financial Markets System (or on any successor or substitute page of such service, or any successor to such service, providing rate quotations comparable to those currently provided on such page of such service, as determined by the Administrative Agent in its reasonable discretion from time to time for purposes of providing quotations of interest rates applicable to Dollar deposits in the London interbank market) at approximately 11:00 a.m., London time, on such day (or, if such day is not a Business Day, the immediately preceding Business Day), for Dollar deposits with a term of one month. Any change in the Alternate Base Rate due to a change in the Prime Rate, the Federal Funds Effective Rate or the rate as displayed in the Bloomberg Financial Markets System (or successor therefor) as set forth above shall be effective from and including the effective date of such change in the Prime Rate, the Federal Funds Effective Rate or such rate as displayed in the Bloomberg Financial Markets System (or successor therefor), respectively.</w:t>
      </w:r>
    </w:p>
    <w:p>
      <w:pPr>
        <w:spacing w:after="0" w:line="177"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Dollar Percentage</w:t>
      </w:r>
      <w:r>
        <w:rPr>
          <w:rFonts w:ascii="Times New Roman" w:cs="Times New Roman" w:eastAsia="Times New Roman" w:hAnsi="Times New Roman"/>
          <w:sz w:val="22"/>
          <w:szCs w:val="22"/>
          <w:color w:val="auto"/>
        </w:rPr>
        <w:t xml:space="preserve">”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on and after the Non-Extended Commitment Termination Date for any Non-Extending Lender, the Applicable Dollar Percentage of such Non-Extending Lender that is a Dollar Lender shall be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377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377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6" w:lineRule="exact"/>
        <w:rPr>
          <w:sz w:val="20"/>
          <w:szCs w:val="20"/>
          <w:color w:val="auto"/>
        </w:rPr>
      </w:pPr>
    </w:p>
    <w:p>
      <w:pPr>
        <w:spacing w:after="0"/>
        <w:tabs>
          <w:tab w:leader="none" w:pos="564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4</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61" w:name="page162"/>
    <w:bookmarkEnd w:id="161"/>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Financial Statements</w:t>
      </w:r>
      <w:r>
        <w:rPr>
          <w:rFonts w:ascii="Times New Roman" w:cs="Times New Roman" w:eastAsia="Times New Roman" w:hAnsi="Times New Roman"/>
          <w:sz w:val="22"/>
          <w:szCs w:val="22"/>
          <w:color w:val="auto"/>
        </w:rPr>
        <w:t xml:space="preserve">” means, as at any date, the most-recent audited financial statements of the Borrower delivered to the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immediately prior to the delivery to the Lenders of new audited financial statements of the Borrower a Material Adverse Change (the “</w:t>
      </w:r>
      <w:r>
        <w:rPr>
          <w:rFonts w:ascii="Times New Roman" w:cs="Times New Roman" w:eastAsia="Times New Roman" w:hAnsi="Times New Roman"/>
          <w:sz w:val="22"/>
          <w:szCs w:val="22"/>
          <w:u w:val="single" w:color="auto"/>
          <w:color w:val="auto"/>
        </w:rPr>
        <w:t>Pre-existing MAC</w:t>
      </w:r>
      <w:r>
        <w:rPr>
          <w:rFonts w:ascii="Times New Roman" w:cs="Times New Roman" w:eastAsia="Times New Roman" w:hAnsi="Times New Roman"/>
          <w:sz w:val="22"/>
          <w:szCs w:val="22"/>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77"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Multicurrency Percentage</w:t>
      </w:r>
      <w:r>
        <w:rPr>
          <w:rFonts w:ascii="Times New Roman" w:cs="Times New Roman" w:eastAsia="Times New Roman" w:hAnsi="Times New Roman"/>
          <w:sz w:val="22"/>
          <w:szCs w:val="22"/>
          <w:color w:val="auto"/>
        </w:rPr>
        <w:t xml:space="preserve">”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on and after the Non-Extended Commitment Termination Date for any Non-Extending Lender, the Applicable Multicurrency Percentage of such Non-Extending Lender that is a Multicurrency Lender shall be 0%.</w:t>
      </w:r>
    </w:p>
    <w:p>
      <w:pPr>
        <w:spacing w:after="0" w:line="182"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xml:space="preserve">”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on and after the Non-Extended Commitment Termination Date for any Non-Extending Lender, the Applicable Percentage of such Non-Extending Lender shall be 0%.</w:t>
      </w:r>
    </w:p>
    <w:p>
      <w:pPr>
        <w:spacing w:after="0" w:line="177"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Dealer</w:t>
      </w:r>
      <w:r>
        <w:rPr>
          <w:rFonts w:ascii="Times New Roman" w:cs="Times New Roman" w:eastAsia="Times New Roman" w:hAnsi="Times New Roman"/>
          <w:sz w:val="22"/>
          <w:szCs w:val="22"/>
          <w:color w:val="auto"/>
        </w:rPr>
        <w:t xml:space="preserve">” means (a) in the case of any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as set forth on </w:t>
      </w:r>
      <w:r>
        <w:rPr>
          <w:rFonts w:ascii="Times New Roman" w:cs="Times New Roman" w:eastAsia="Times New Roman" w:hAnsi="Times New Roman"/>
          <w:sz w:val="22"/>
          <w:szCs w:val="22"/>
          <w:u w:val="single" w:color="auto"/>
          <w:color w:val="auto"/>
        </w:rPr>
        <w:t>Schedule 1.01(a)</w:t>
      </w:r>
      <w:r>
        <w:rPr>
          <w:rFonts w:ascii="Times New Roman" w:cs="Times New Roman" w:eastAsia="Times New Roman" w:hAnsi="Times New Roman"/>
          <w:sz w:val="22"/>
          <w:szCs w:val="22"/>
          <w:color w:val="auto"/>
        </w:rPr>
        <w:t xml:space="preserve"> or any other bank or broker-dealer acceptable to the Administrative Agent in its reasonable determination.</w:t>
      </w:r>
    </w:p>
    <w:p>
      <w:pPr>
        <w:spacing w:after="0" w:line="182"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Pricing Service</w:t>
      </w:r>
      <w:r>
        <w:rPr>
          <w:rFonts w:ascii="Times New Roman" w:cs="Times New Roman" w:eastAsia="Times New Roman" w:hAnsi="Times New Roman"/>
          <w:sz w:val="22"/>
          <w:szCs w:val="22"/>
          <w:color w:val="auto"/>
        </w:rPr>
        <w:t xml:space="preserve">” means a pricing or quotation service as set forth in </w:t>
      </w:r>
      <w:r>
        <w:rPr>
          <w:rFonts w:ascii="Times New Roman" w:cs="Times New Roman" w:eastAsia="Times New Roman" w:hAnsi="Times New Roman"/>
          <w:sz w:val="22"/>
          <w:szCs w:val="22"/>
          <w:u w:val="single" w:color="auto"/>
          <w:color w:val="auto"/>
        </w:rPr>
        <w:t>Schedule 1.01(a)</w:t>
      </w:r>
      <w:r>
        <w:rPr>
          <w:rFonts w:ascii="Times New Roman" w:cs="Times New Roman" w:eastAsia="Times New Roman" w:hAnsi="Times New Roman"/>
          <w:sz w:val="22"/>
          <w:szCs w:val="22"/>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81"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Third-Party Appraiser</w:t>
      </w:r>
      <w:r>
        <w:rPr>
          <w:rFonts w:ascii="Times New Roman" w:cs="Times New Roman" w:eastAsia="Times New Roman" w:hAnsi="Times New Roman"/>
          <w:sz w:val="22"/>
          <w:szCs w:val="22"/>
          <w:color w:val="auto"/>
        </w:rPr>
        <w:t>”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Duff &amp; Phelps LLC, Murray, Devine and Company, Lincoln International LLC (formerly known as Lincoln Partners LLC) and Valuation Research Corporation are acceptable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377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377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3" w:lineRule="exact"/>
        <w:rPr>
          <w:sz w:val="20"/>
          <w:szCs w:val="20"/>
          <w:color w:val="auto"/>
        </w:rPr>
      </w:pPr>
    </w:p>
    <w:p>
      <w:pPr>
        <w:spacing w:after="0"/>
        <w:tabs>
          <w:tab w:leader="none" w:pos="564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5</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62" w:name="page163"/>
    <w:bookmarkEnd w:id="162"/>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Administrative Agent. As used in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81"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and accepted by the Administrative Agent,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(with adjustments thereto to reflect the Classes of Commitments and/or Loans being assigned or outstanding at the time of the respective assignment) or any other form approved by the Administrative Agent.</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Assuming Lender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2.08(e)(i)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Availability Period</w:t>
      </w:r>
      <w:r>
        <w:rPr>
          <w:rFonts w:ascii="Times New Roman" w:cs="Times New Roman" w:eastAsia="Times New Roman" w:hAnsi="Times New Roman"/>
          <w:sz w:val="21"/>
          <w:szCs w:val="21"/>
          <w:color w:val="auto"/>
        </w:rPr>
        <w:t>” means (a) in the case of any Extending Lender (with respect to such Extending Lender’s Extended Loans), the Extended Availability Period or (b) in the case of any Non-Extending Lender (with respect to such Non-Extending Lender’s Non-Extended Loans), the Non-Extended Availability Period for such Non-Extending Lender, as applicable.</w:t>
      </w:r>
    </w:p>
    <w:p>
      <w:pPr>
        <w:spacing w:after="0" w:line="155"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EEA Resolution Authority in respect of any liability of an EEA Financial Institution.</w:t>
      </w:r>
    </w:p>
    <w:p>
      <w:pPr>
        <w:spacing w:after="0" w:line="158"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4"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Governors of the Federal Reserve System of the United States of America.</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assigned to such term in the preamble to this Agreement.</w:t>
      </w:r>
    </w:p>
    <w:p>
      <w:pPr>
        <w:spacing w:after="0" w:line="206"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Asset Coverage Ratio</w:t>
      </w:r>
      <w:r>
        <w:rPr>
          <w:rFonts w:ascii="Times New Roman" w:cs="Times New Roman" w:eastAsia="Times New Roman" w:hAnsi="Times New Roman"/>
          <w:sz w:val="22"/>
          <w:szCs w:val="22"/>
          <w:color w:val="auto"/>
        </w:rPr>
        <w:t>” means the ratio, determined on a consolidated basis for the Obligors, without duplication, of (a) (i) Total Assets minus (ii) Total Assets Concentration Limitation to (b) (i) Total Secured Debt plus (ii) the aggregate amount of senior securities representing unsecured indebtedness of the Obligors as of such date of determination with a maturity date that is within 90 days of such date of determination.</w:t>
      </w:r>
    </w:p>
    <w:p>
      <w:pPr>
        <w:spacing w:after="0" w:line="177" w:lineRule="exact"/>
        <w:rPr>
          <w:sz w:val="20"/>
          <w:szCs w:val="20"/>
          <w:color w:val="auto"/>
        </w:rPr>
      </w:pPr>
    </w:p>
    <w:p>
      <w:pPr>
        <w:jc w:val="both"/>
        <w:ind w:firstLine="1755"/>
        <w:spacing w:after="0" w:line="262" w:lineRule="auto"/>
        <w:rPr>
          <w:sz w:val="20"/>
          <w:szCs w:val="20"/>
          <w:color w:val="auto"/>
        </w:rPr>
      </w:pPr>
      <w:r>
        <w:rPr>
          <w:rFonts w:ascii="Times New Roman" w:cs="Times New Roman" w:eastAsia="Times New Roman" w:hAnsi="Times New Roman"/>
          <w:sz w:val="22"/>
          <w:szCs w:val="22"/>
          <w:u w:val="single" w:color="auto"/>
          <w:color w:val="auto"/>
        </w:rPr>
        <w:t>“Borrower Net Worth</w:t>
      </w:r>
      <w:r>
        <w:rPr>
          <w:rFonts w:ascii="Times New Roman" w:cs="Times New Roman" w:eastAsia="Times New Roman" w:hAnsi="Times New Roman"/>
          <w:sz w:val="22"/>
          <w:szCs w:val="22"/>
          <w:color w:val="auto"/>
        </w:rPr>
        <w:t xml:space="preserve">” means, as of any date of determination, (a) Total Assets as of such date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sum of (i) Total Assets Concentration Limitation as of such date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Total Secured Debt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377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3" w:lineRule="exact"/>
        <w:rPr>
          <w:sz w:val="20"/>
          <w:szCs w:val="20"/>
          <w:color w:val="auto"/>
        </w:rPr>
      </w:pPr>
    </w:p>
    <w:p>
      <w:pPr>
        <w:spacing w:after="0"/>
        <w:tabs>
          <w:tab w:leader="none" w:pos="564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6</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63" w:name="page164"/>
    <w:bookmarkEnd w:id="163"/>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xml:space="preserve"> ” means (a) all Syndicated ABR Loans of the same Class made, converted or continued on the same date, (b) all Eurocurrency Loans of the same Class denominated in the same Currency that have the same Interest Period or (c) a Swingline Loan.</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Certificate</w:t>
      </w:r>
      <w:r>
        <w:rPr>
          <w:rFonts w:ascii="Times New Roman" w:cs="Times New Roman" w:eastAsia="Times New Roman" w:hAnsi="Times New Roman"/>
          <w:sz w:val="22"/>
          <w:szCs w:val="22"/>
          <w:color w:val="auto"/>
        </w:rPr>
        <w:t xml:space="preserve">” means a certificate of a Financial Officer of the Borrower,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appropriately completed.</w:t>
      </w:r>
    </w:p>
    <w:p>
      <w:pPr>
        <w:spacing w:after="0" w:line="158" w:lineRule="exact"/>
        <w:rPr>
          <w:sz w:val="20"/>
          <w:szCs w:val="20"/>
          <w:color w:val="auto"/>
        </w:rPr>
      </w:pPr>
    </w:p>
    <w:p>
      <w:pPr>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Deficiency</w:t>
      </w:r>
      <w:r>
        <w:rPr>
          <w:rFonts w:ascii="Times New Roman" w:cs="Times New Roman" w:eastAsia="Times New Roman" w:hAnsi="Times New Roman"/>
          <w:sz w:val="22"/>
          <w:szCs w:val="22"/>
          <w:color w:val="auto"/>
        </w:rPr>
        <w:t>” means, at any date on which the same is determined, the amount, if any, that (a) the aggregate Covered Debt Amount as of such date exceeds (b) the Borrowing Base as of such date.</w:t>
      </w:r>
    </w:p>
    <w:p>
      <w:pPr>
        <w:spacing w:after="0" w:line="158"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Request</w:t>
      </w:r>
      <w:r>
        <w:rPr>
          <w:rFonts w:ascii="Times New Roman" w:cs="Times New Roman" w:eastAsia="Times New Roman" w:hAnsi="Times New Roman"/>
          <w:sz w:val="22"/>
          <w:szCs w:val="22"/>
          <w:color w:val="auto"/>
        </w:rPr>
        <w:t xml:space="preserve">” means a request by the Borrower for a Syndicated Borrowing in accordance with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which, if in writing, shall be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(a) that is not a Saturday, Sunday or other day on which commercial banks in Atlanta, Georgia are authorized or required by law to remain closed, (b) if such day relates to a borrowing of, a payment or prepayment of principal of or interest on, a continuation or conversion of or into, or the Interest Period for, a Eurocurrency Borrowing denominated in Dollars, or to a notice by the Borrower with respect to any such borrowing, payment, prepayment, continuation, conversion, or Interest Period, that is also a day on which dealings in deposits denominated in Dollars are carried out in the London interbank market and (c) if such day relates to a borrowing or continuation of, a payment or prepayment of principal of or interest on, or the Interest Period for, any Borrowing denominated in any Foreign Currency, or to a notice by the Borrower with respect to any such borrowing, continuation, payment, prepayment or Interest Period, that is also a day on which commercial banks and the London foreign exchange market settle payments in the Principal Financial Center for such Foreign Currency.</w:t>
      </w:r>
    </w:p>
    <w:p>
      <w:pPr>
        <w:spacing w:after="0" w:line="176"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Calculation Amount</w:t>
      </w:r>
      <w:r>
        <w:rPr>
          <w:rFonts w:ascii="Times New Roman" w:cs="Times New Roman" w:eastAsia="Times New Roman" w:hAnsi="Times New Roman"/>
          <w:sz w:val="22"/>
          <w:szCs w:val="22"/>
          <w:color w:val="auto"/>
        </w:rPr>
        <w:t xml:space="preserve">” shall mean, as of the end of any Testing Period, an amount equal to the greater of: (a) (i) 125% of the Adjusted Covered Debt Balance (as of the end of such Testing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aggregate Value of all Quoted Investments included in the Borrowing Base (as of the end of such Testing Period) and (b) 10% of the aggregate Value of all Unquoted Investments included in the Borrowing Base (as of the end of such Testing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more than 25% (or, if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applies, 10%, or as near thereto as reasonably practicable) of the aggregate Value of the Unquoted Investments in the Borrowing Base be tested in respect of any applicable Testing Period.</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CAM Exchange</w:t>
      </w:r>
      <w:r>
        <w:rPr>
          <w:rFonts w:ascii="Times New Roman" w:cs="Times New Roman" w:eastAsia="Times New Roman" w:hAnsi="Times New Roman"/>
          <w:sz w:val="22"/>
          <w:szCs w:val="22"/>
          <w:color w:val="auto"/>
        </w:rPr>
        <w:t xml:space="preserve">” means the exchange of the Lenders’ interests provided for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CAM Exchange Date</w:t>
      </w:r>
      <w:r>
        <w:rPr>
          <w:rFonts w:ascii="Times New Roman" w:cs="Times New Roman" w:eastAsia="Times New Roman" w:hAnsi="Times New Roman"/>
          <w:sz w:val="22"/>
          <w:szCs w:val="22"/>
          <w:color w:val="auto"/>
        </w:rPr>
        <w:t xml:space="preserve">” means the date on which any Event of Default referred to in </w:t>
      </w:r>
      <w:r>
        <w:rPr>
          <w:rFonts w:ascii="Times New Roman" w:cs="Times New Roman" w:eastAsia="Times New Roman" w:hAnsi="Times New Roman"/>
          <w:sz w:val="22"/>
          <w:szCs w:val="22"/>
          <w:u w:val="single" w:color="auto"/>
          <w:color w:val="auto"/>
        </w:rPr>
        <w:t>clause (j)</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occur or the date on which the Borrower receives written notice from the Administrative Agent that any Event of Default referred to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has occurred.</w:t>
      </w:r>
    </w:p>
    <w:p>
      <w:pPr>
        <w:spacing w:after="0" w:line="174"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CAM Percentage</w:t>
      </w:r>
      <w:r>
        <w:rPr>
          <w:rFonts w:ascii="Times New Roman" w:cs="Times New Roman" w:eastAsia="Times New Roman" w:hAnsi="Times New Roman"/>
          <w:sz w:val="22"/>
          <w:szCs w:val="22"/>
          <w:color w:val="auto"/>
        </w:rPr>
        <w:t>” means, as to each Lender, a fraction, expressed as a decimal, of which (a) the numerator shall be the aggregate Dollar Equivalent of the Designated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377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3773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7" w:lineRule="exact"/>
        <w:rPr>
          <w:sz w:val="20"/>
          <w:szCs w:val="20"/>
          <w:color w:val="auto"/>
        </w:rPr>
      </w:pPr>
    </w:p>
    <w:p>
      <w:pPr>
        <w:spacing w:after="0"/>
        <w:tabs>
          <w:tab w:leader="none" w:pos="564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7</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64" w:name="page165"/>
    <w:bookmarkEnd w:id="164"/>
    <w:p>
      <w:pPr>
        <w:jc w:val="both"/>
        <w:spacing w:after="0" w:line="244" w:lineRule="auto"/>
        <w:rPr>
          <w:sz w:val="20"/>
          <w:szCs w:val="20"/>
          <w:color w:val="auto"/>
        </w:rPr>
      </w:pPr>
      <w:r>
        <w:rPr>
          <w:rFonts w:ascii="Times New Roman" w:cs="Times New Roman" w:eastAsia="Times New Roman" w:hAnsi="Times New Roman"/>
          <w:sz w:val="22"/>
          <w:szCs w:val="22"/>
          <w:color w:val="auto"/>
        </w:rPr>
        <w:t>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174"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 Obligations</w:t>
      </w:r>
      <w:r>
        <w:rPr>
          <w:rFonts w:ascii="Times New Roman" w:cs="Times New Roman" w:eastAsia="Times New Roman" w:hAnsi="Times New Roman"/>
          <w:sz w:val="22"/>
          <w:szCs w:val="22"/>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81"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means any immediately available funds in Dollars or in any currency other than Dollars (measured in terms of the Dollar Equivalent thereof) which is a freely convertible currency.</w:t>
      </w:r>
    </w:p>
    <w:p>
      <w:pPr>
        <w:spacing w:after="0" w:line="158" w:lineRule="exact"/>
        <w:rPr>
          <w:sz w:val="20"/>
          <w:szCs w:val="20"/>
          <w:color w:val="auto"/>
        </w:rPr>
      </w:pPr>
    </w:p>
    <w:p>
      <w:pPr>
        <w:jc w:val="both"/>
        <w:ind w:right="20"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xml:space="preserve">” means, in respect of a Letter of Credit or any obligation hereunder, to provide and pledge cash collateral pursuant to </w:t>
      </w:r>
      <w:r>
        <w:rPr>
          <w:rFonts w:ascii="Times New Roman" w:cs="Times New Roman" w:eastAsia="Times New Roman" w:hAnsi="Times New Roman"/>
          <w:sz w:val="22"/>
          <w:szCs w:val="22"/>
          <w:u w:val="single" w:color="auto"/>
          <w:color w:val="auto"/>
        </w:rPr>
        <w:t>Section 2.05(k)</w:t>
      </w:r>
      <w:r>
        <w:rPr>
          <w:rFonts w:ascii="Times New Roman" w:cs="Times New Roman" w:eastAsia="Times New Roman" w:hAnsi="Times New Roman"/>
          <w:sz w:val="22"/>
          <w:szCs w:val="22"/>
          <w:color w:val="auto"/>
        </w:rPr>
        <w:t>, at a location and pursuant to documentation in form and substance reasonably satisfactory to Administrative Agent and each Issuing Bank. “</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shall have a meaning correlative to the foregoing and shall include the proceeds of such cash collateral and other credit support.</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 investments (other than Cash) that are one or more of the following obligations:</w:t>
      </w:r>
    </w:p>
    <w:p>
      <w:pPr>
        <w:spacing w:after="0" w:line="206" w:lineRule="exact"/>
        <w:rPr>
          <w:sz w:val="20"/>
          <w:szCs w:val="20"/>
          <w:color w:val="auto"/>
        </w:rPr>
      </w:pPr>
    </w:p>
    <w:p>
      <w:pPr>
        <w:ind w:left="2660" w:hanging="897"/>
        <w:spacing w:after="0"/>
        <w:tabs>
          <w:tab w:leader="none" w:pos="26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Government Securities, in each case maturing within one year from the date of acquisition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thereof;</w:t>
      </w:r>
    </w:p>
    <w:p>
      <w:pPr>
        <w:spacing w:after="0" w:line="182" w:lineRule="exact"/>
        <w:rPr>
          <w:sz w:val="20"/>
          <w:szCs w:val="20"/>
          <w:color w:val="auto"/>
        </w:rPr>
      </w:pPr>
    </w:p>
    <w:p>
      <w:pPr>
        <w:jc w:val="both"/>
        <w:ind w:firstLine="1763"/>
        <w:spacing w:after="0" w:line="261" w:lineRule="exact"/>
        <w:tabs>
          <w:tab w:leader="none" w:pos="265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within 270 days from the date of acquisition thereof and having, at such date of acquisition, a credit rating of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S&amp;P and at least 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Moody’s (or if only one of S&amp;P or Moody’s provides such rating, such investment shall also have an equivalent credit rating from any other rating agency);</w:t>
      </w:r>
    </w:p>
    <w:p>
      <w:pPr>
        <w:spacing w:after="0" w:line="177" w:lineRule="exact"/>
        <w:rPr>
          <w:rFonts w:ascii="Times New Roman" w:cs="Times New Roman" w:eastAsia="Times New Roman" w:hAnsi="Times New Roman"/>
          <w:sz w:val="22"/>
          <w:szCs w:val="22"/>
          <w:color w:val="auto"/>
        </w:rPr>
      </w:pPr>
    </w:p>
    <w:p>
      <w:pPr>
        <w:jc w:val="both"/>
        <w:ind w:firstLine="1763"/>
        <w:spacing w:after="0" w:line="249" w:lineRule="exact"/>
        <w:tabs>
          <w:tab w:leader="none" w:pos="264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S&amp;P and at least 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Moody’s (or if only one of S&amp;P or Moody’s provides such rating, such investment shall also have an equivalent credit rating from any other rating agency);</w:t>
      </w:r>
    </w:p>
    <w:p>
      <w:pPr>
        <w:spacing w:after="0" w:line="184" w:lineRule="exact"/>
        <w:rPr>
          <w:rFonts w:ascii="Times New Roman" w:cs="Times New Roman" w:eastAsia="Times New Roman" w:hAnsi="Times New Roman"/>
          <w:sz w:val="22"/>
          <w:szCs w:val="22"/>
          <w:color w:val="auto"/>
        </w:rPr>
      </w:pPr>
    </w:p>
    <w:p>
      <w:pPr>
        <w:jc w:val="both"/>
        <w:ind w:firstLine="1763"/>
        <w:spacing w:after="0" w:line="239" w:lineRule="auto"/>
        <w:tabs>
          <w:tab w:leader="none" w:pos="265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fully collateralized repurchase agreements with a term of not more than 30 days from the date of acquisition thereof for U.S. Government Securities and entered into with (i) a financial institution satisfying the criteria described in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of this definition or (ii) an Approved Dealer having (or being a member of a consolidated group having) at such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0" w:lineRule="exact"/>
        <w:rPr>
          <w:sz w:val="20"/>
          <w:szCs w:val="20"/>
          <w:color w:val="auto"/>
        </w:rPr>
      </w:pPr>
    </w:p>
    <w:p>
      <w:pPr>
        <w:spacing w:after="0"/>
        <w:tabs>
          <w:tab w:leader="none" w:pos="564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8</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65" w:name="page166"/>
    <w:bookmarkEnd w:id="165"/>
    <w:p>
      <w:pPr>
        <w:spacing w:after="0" w:line="280" w:lineRule="exact"/>
        <w:rPr>
          <w:sz w:val="20"/>
          <w:szCs w:val="20"/>
          <w:color w:val="auto"/>
        </w:rPr>
      </w:pPr>
      <w:r>
        <w:rPr>
          <w:rFonts w:ascii="Times New Roman" w:cs="Times New Roman" w:eastAsia="Times New Roman" w:hAnsi="Times New Roman"/>
          <w:sz w:val="22"/>
          <w:szCs w:val="22"/>
          <w:color w:val="auto"/>
        </w:rPr>
        <w:t>acquisition, a credit rating of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S&amp;P and at least 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Moody’s (or if only one of S&amp;P or Moody’s provides such rating, such investment shall also have an equivalent credit rating from any other rating agency); and</w:t>
      </w:r>
    </w:p>
    <w:p>
      <w:pPr>
        <w:spacing w:after="0" w:line="178" w:lineRule="exact"/>
        <w:rPr>
          <w:sz w:val="20"/>
          <w:szCs w:val="20"/>
          <w:color w:val="auto"/>
        </w:rPr>
      </w:pPr>
    </w:p>
    <w:p>
      <w:pPr>
        <w:jc w:val="both"/>
        <w:ind w:firstLine="1763"/>
        <w:spacing w:after="0" w:line="244" w:lineRule="auto"/>
        <w:tabs>
          <w:tab w:leader="none" w:pos="264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money market funds that invest solely, and which are restricted by their respective charters to invest solely, in investments of the type described in the immediately preceding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(including as to credit quality and maturity).</w:t>
      </w:r>
    </w:p>
    <w:p>
      <w:pPr>
        <w:spacing w:after="0" w:line="1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w:t>
      </w:r>
    </w:p>
    <w:p>
      <w:pPr>
        <w:spacing w:after="0" w:line="1" w:lineRule="exact"/>
        <w:rPr>
          <w:sz w:val="20"/>
          <w:szCs w:val="20"/>
          <w:color w:val="auto"/>
        </w:rPr>
      </w:pPr>
    </w:p>
    <w:p>
      <w:pPr>
        <w:jc w:val="both"/>
        <w:ind w:firstLine="8"/>
        <w:spacing w:after="0" w:line="234" w:lineRule="auto"/>
        <w:tabs>
          <w:tab w:leader="none" w:pos="40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Equivalents (other than U.S. Government Securities, repurchase agreements or the money market funds described in clause (e)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78"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u w:val="single" w:color="auto"/>
          <w:color w:val="auto"/>
        </w:rPr>
        <w:t>“CDOR Rate” means, the rate per annum, equal to the average of the annual yield rates applicable to Canadian Dollar banker’s acceptances at or about 10:00a.m. (Toronto, Ontario time) on the first day of such Interest Period (or if such day is not a Business Day, then on the immediately preceding Business Day) as reported on the “CDOR Page” (or any display substituted therefor)</w:t>
      </w:r>
      <w:r>
        <w:rPr>
          <w:rFonts w:ascii="Times New Roman" w:cs="Times New Roman" w:eastAsia="Times New Roman" w:hAnsi="Times New Roman"/>
          <w:sz w:val="22"/>
          <w:szCs w:val="22"/>
          <w:color w:val="auto"/>
        </w:rPr>
        <w:t xml:space="preserve"> of Reuters Monitor Money Rates Service (or such other page or commercially available source displaying Canadian interbank bid rates for Canadian Dollar bankers’ acceptances as may be designated by the Administrative Agent from time to time) for a term equivalent to such Interest Period (or if such Interest Period is not equal to a number of months, for a term equivalent to the number of months closest to such Interest Period).</w:t>
      </w:r>
    </w:p>
    <w:p>
      <w:pPr>
        <w:spacing w:after="0" w:line="184"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other than TSSP Management Holdings, L.P or any of its Affiliates that are in the business of managing and advising clients,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(c) the acquisition of direct or indirect Control of the Borrower by any Person or group other than TSSP Management Holdings, L.P or any of its Affiliates that are in the business of managing and advising clients; or (d) the External Manager ceases to be Controlled by TSSP Management Holdings, L.P.</w:t>
      </w:r>
    </w:p>
    <w:p>
      <w:pPr>
        <w:spacing w:after="0" w:line="180"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means the occurrence, after the date of this Agreement,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but excluding proposals thereof, or any determination of a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0" w:lineRule="exact"/>
        <w:rPr>
          <w:sz w:val="20"/>
          <w:szCs w:val="20"/>
          <w:color w:val="auto"/>
        </w:rPr>
      </w:pPr>
    </w:p>
    <w:p>
      <w:pPr>
        <w:spacing w:after="0"/>
        <w:tabs>
          <w:tab w:leader="none" w:pos="564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9</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66" w:name="page167"/>
    <w:bookmarkEnd w:id="166"/>
    <w:p>
      <w:pPr>
        <w:jc w:val="both"/>
        <w:spacing w:after="0" w:line="234" w:lineRule="auto"/>
        <w:rPr>
          <w:sz w:val="20"/>
          <w:szCs w:val="20"/>
          <w:color w:val="auto"/>
        </w:rPr>
      </w:pPr>
      <w:r>
        <w:rPr>
          <w:rFonts w:ascii="Times New Roman" w:cs="Times New Roman" w:eastAsia="Times New Roman" w:hAnsi="Times New Roman"/>
          <w:sz w:val="22"/>
          <w:szCs w:val="22"/>
          <w:color w:val="auto"/>
        </w:rPr>
        <w:t>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by any Governmental Authority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77"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when used in reference to any Loan or Borrowing, refers to whether such Loan, or the Loans constituting such Borrowing, are Syndicated Dollar Loans, Syndicated Multicurrency Loans or Swingline Loans; when used in reference to any Lender’s (i) Class of Commitment, refers to whether such Lender is a Dollar Lender or a Multicurrency Lender and (ii) Class of Final Maturity Date, refers to whether such Lender is an Extending Lender or a Non-Extending Lender; and, when used in reference to any Commitment, refers to whether such Commitment is a Dollar Commitment or a Multicurrency Commitment. The “</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of a Letter of Credit refers to whether such Letter of Credit is a Dollar Letter of Credit or a Multicurrency Letter of Credit.</w:t>
      </w:r>
    </w:p>
    <w:p>
      <w:pPr>
        <w:spacing w:after="0" w:line="18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has the meaning assigned to such term in the Guarantee and Security Agreement.</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means SunTrust in its capacity as Collateral Agent under the Guarantee and Security Agreement, and includes any successor Collateral Agent thereunder.</w:t>
      </w:r>
    </w:p>
    <w:p>
      <w:pPr>
        <w:spacing w:after="0" w:line="158" w:lineRule="exact"/>
        <w:rPr>
          <w:sz w:val="20"/>
          <w:szCs w:val="20"/>
          <w:color w:val="auto"/>
        </w:rPr>
      </w:pPr>
    </w:p>
    <w:p>
      <w:pPr>
        <w:jc w:val="both"/>
        <w:ind w:firstLine="1755"/>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Collateral Pool</w:t>
      </w:r>
      <w:r>
        <w:rPr>
          <w:rFonts w:ascii="Times New Roman" w:cs="Times New Roman" w:eastAsia="Times New Roman" w:hAnsi="Times New Roman"/>
          <w:sz w:val="21"/>
          <w:szCs w:val="21"/>
          <w:color w:val="auto"/>
        </w:rPr>
        <w:t xml:space="preserve">” means, at any time, each Portfolio Investment that has been Delivered (as defined in the Guarantee and Security Agreement) to the Collateral Agent and is subject to the Lien of the Guaranty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hereof); provided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7 days of such inclusion.</w:t>
      </w:r>
    </w:p>
    <w:p>
      <w:pPr>
        <w:spacing w:after="0" w:line="173"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Combined Debt Amount</w:t>
      </w:r>
      <w:r>
        <w:rPr>
          <w:rFonts w:ascii="Times New Roman" w:cs="Times New Roman" w:eastAsia="Times New Roman" w:hAnsi="Times New Roman"/>
          <w:sz w:val="22"/>
          <w:szCs w:val="22"/>
          <w:color w:val="auto"/>
        </w:rPr>
        <w:t>” means, as of any date, (i) the aggregate amount of Commitments as of such date (or, if greater, the Revolving Credit Exposures of all Lenders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3773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3773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7"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10</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67" w:name="page168"/>
    <w:bookmarkEnd w:id="167"/>
    <w:p>
      <w:pPr>
        <w:jc w:val="both"/>
        <w:spacing w:after="0" w:line="244" w:lineRule="auto"/>
        <w:rPr>
          <w:sz w:val="20"/>
          <w:szCs w:val="20"/>
          <w:color w:val="auto"/>
        </w:rPr>
      </w:pPr>
      <w:r>
        <w:rPr>
          <w:rFonts w:ascii="Times New Roman" w:cs="Times New Roman" w:eastAsia="Times New Roman" w:hAnsi="Times New Roman"/>
          <w:sz w:val="22"/>
          <w:szCs w:val="22"/>
          <w:color w:val="auto"/>
        </w:rPr>
        <w:t>such date) plus (ii)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means, collectively, the Dollar Commitments and the Multicurrency Commitments.</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Increase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2.08(e)(i)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Increase Date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2.08(e)(i)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Termination Date</w:t>
      </w:r>
      <w:r>
        <w:rPr>
          <w:rFonts w:ascii="Times New Roman" w:cs="Times New Roman" w:eastAsia="Times New Roman" w:hAnsi="Times New Roman"/>
          <w:sz w:val="22"/>
          <w:szCs w:val="22"/>
          <w:color w:val="auto"/>
        </w:rPr>
        <w:t>” means the Extended Commitment Termination Date or the relevant Non-Extended Commitment Termination Date, as applicable.</w:t>
      </w:r>
    </w:p>
    <w:p>
      <w:pPr>
        <w:spacing w:after="0" w:line="158"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Asset Coverage Ratio</w:t>
      </w:r>
      <w:r>
        <w:rPr>
          <w:rFonts w:ascii="Times New Roman" w:cs="Times New Roman" w:eastAsia="Times New Roman" w:hAnsi="Times New Roman"/>
          <w:sz w:val="22"/>
          <w:szCs w:val="22"/>
          <w:color w:val="auto"/>
        </w:rPr>
        <w:t>” means the ratio, determined on a consolidated basis for Borrower and its Subsidiaries, without duplication, (a) the value of total assets of the Borrower and its Subsidiaries, less all liabilities and indebtedness not represented by senior securities to (b) the aggregate amount of senior securities representing indebtedness of Borrower and its Subsidiaries (including this Agreement),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Group</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xml:space="preserve">” have meanings correlative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“Control” shall not include “negative” control or “blocking” rights whereby action cannot be taken without the vote or consent of any Person.</w:t>
      </w:r>
    </w:p>
    <w:p>
      <w:pPr>
        <w:spacing w:after="0" w:line="181" w:lineRule="exact"/>
        <w:rPr>
          <w:sz w:val="20"/>
          <w:szCs w:val="20"/>
          <w:color w:val="auto"/>
        </w:rPr>
      </w:pPr>
    </w:p>
    <w:p>
      <w:pPr>
        <w:jc w:val="both"/>
        <w:ind w:firstLine="1755"/>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Debt Amount</w:t>
      </w:r>
      <w:r>
        <w:rPr>
          <w:rFonts w:ascii="Times New Roman" w:cs="Times New Roman" w:eastAsia="Times New Roman" w:hAnsi="Times New Roman"/>
          <w:sz w:val="21"/>
          <w:szCs w:val="21"/>
          <w:color w:val="auto"/>
        </w:rPr>
        <w:t xml:space="preserve">” means, on any date, the sum of (x) all of the Revolving Credit Exposures of all Lenders on such date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(y) the aggregate amount of Other Covered Indebtedness, the 2019 Convertible Notes, the 2022 Convertible Notes, the 2023 Notes, Special Unsecured Indebtedness and Unsecured Longer Term Indebtedness on such date </w:t>
      </w:r>
      <w:r>
        <w:rPr>
          <w:rFonts w:ascii="Times New Roman" w:cs="Times New Roman" w:eastAsia="Times New Roman" w:hAnsi="Times New Roman"/>
          <w:sz w:val="21"/>
          <w:szCs w:val="21"/>
          <w:u w:val="single" w:color="auto"/>
          <w:color w:val="auto"/>
        </w:rPr>
        <w:t>minus</w:t>
      </w:r>
    </w:p>
    <w:p>
      <w:pPr>
        <w:spacing w:after="0" w:line="2" w:lineRule="exact"/>
        <w:rPr>
          <w:sz w:val="20"/>
          <w:szCs w:val="20"/>
          <w:color w:val="auto"/>
        </w:rPr>
      </w:pPr>
    </w:p>
    <w:p>
      <w:pPr>
        <w:jc w:val="both"/>
        <w:ind w:firstLine="8"/>
        <w:spacing w:after="0" w:line="232" w:lineRule="auto"/>
        <w:tabs>
          <w:tab w:leader="none" w:pos="30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LC Exposures fully Cash Collateralized on such date pursuant to </w:t>
      </w:r>
      <w:r>
        <w:rPr>
          <w:rFonts w:ascii="Times New Roman" w:cs="Times New Roman" w:eastAsia="Times New Roman" w:hAnsi="Times New Roman"/>
          <w:sz w:val="22"/>
          <w:szCs w:val="22"/>
          <w:u w:val="single" w:color="auto"/>
          <w:color w:val="auto"/>
        </w:rPr>
        <w:t>Section 2.05(k)</w:t>
      </w:r>
      <w:r>
        <w:rPr>
          <w:rFonts w:ascii="Times New Roman" w:cs="Times New Roman" w:eastAsia="Times New Roman" w:hAnsi="Times New Roman"/>
          <w:sz w:val="22"/>
          <w:szCs w:val="22"/>
          <w:color w:val="auto"/>
        </w:rPr>
        <w:t xml:space="preserve"> and the last paragraph of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2019 Convertible Notes, the 2022 Convertible Notes, the 2023 Notes, Special Unsecured Indebtedness and Unsecured Longer-Term Indebtedness shall be excluded from the calculation of the Covered Debt Amount, in each case, until the date that is nine (9) months prior to the scheduled maturity date of the 2019 Convertible Notes, the 2022 Convertible Notes, the 2023 Notes, Special Unsecured Indebtedness or such Unsecured Longer-Term Indebtedness, as applicable (provided that, to the extent, but only to the extent, any portion of the 2019 Convertible Notes, the 2022 Convertible Notes, the 2023 Notes, Special Unsecured Indebtedness or Unsecured Longer-Term Indebtedness is subject to a contractually scheduled amortization payment or other principal payment or mandatory redemption (other than in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9"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11</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68" w:name="page169"/>
    <w:bookmarkEnd w:id="168"/>
    <w:p>
      <w:pPr>
        <w:jc w:val="both"/>
        <w:spacing w:after="0" w:line="248" w:lineRule="auto"/>
        <w:rPr>
          <w:sz w:val="20"/>
          <w:szCs w:val="20"/>
          <w:color w:val="auto"/>
        </w:rPr>
      </w:pPr>
      <w:r>
        <w:rPr>
          <w:rFonts w:ascii="Times New Roman" w:cs="Times New Roman" w:eastAsia="Times New Roman" w:hAnsi="Times New Roman"/>
          <w:sz w:val="21"/>
          <w:szCs w:val="21"/>
          <w:color w:val="auto"/>
        </w:rPr>
        <w:t>stock of the Borrower) earlier than six (6) months after the Final Maturity Date (in the case of the 2019 Convertible Notes, the 2022 Convertible Notes, the 2023 Notes and Unsecured Longer-Term Indebtedness) or earlier than the original final maturity date of such Indebtedness (in the case of Special Unsecured Indebtedness), such portion of such Indebtedness, to the extent then outstanding, shall be included in the calculation of the Covered Debt Amount beginning upon the date that is the later of (i) nine (9) months prior to such scheduled amortization payment or other principal payment or mandatory redemption and (ii) the date the Borrower becomes aware that such Indebtedness is required to be paid or redeemed). For the avoidance of doubt, for purposes of calculating the Covered Debt Amount, any convertible securities will be included at the then outstanding principal balance thereof.</w:t>
      </w:r>
    </w:p>
    <w:p>
      <w:pPr>
        <w:spacing w:after="0" w:line="17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means Dollars or any Foreign Currency.</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which constitutes an Event of Default or which upon notice, lapse of time or both would, unless cured or waived, become an Event of Default.</w:t>
      </w:r>
    </w:p>
    <w:p>
      <w:pPr>
        <w:spacing w:after="0" w:line="158" w:lineRule="exact"/>
        <w:rPr>
          <w:sz w:val="20"/>
          <w:szCs w:val="20"/>
          <w:color w:val="auto"/>
        </w:rPr>
      </w:pPr>
    </w:p>
    <w:p>
      <w:pPr>
        <w:jc w:val="both"/>
        <w:ind w:firstLine="1755"/>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2.19(b)</w:t>
      </w:r>
      <w:r>
        <w:rPr>
          <w:rFonts w:ascii="Times New Roman" w:cs="Times New Roman" w:eastAsia="Times New Roman" w:hAnsi="Times New Roman"/>
          <w:sz w:val="21"/>
          <w:szCs w:val="21"/>
          <w:color w:val="auto"/>
        </w:rPr>
        <w:t xml:space="preserve">, any Lender that, during such Lender’s Availability Period, (a) has failed to (i) fund all or any portion of its Loans or 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(ii) pay to the Administrative Agent, any Issuing Bank, any Swingline Lender or any Lender any other amount required to be paid by it hereunder (including in respect of its participation in Letters of Credit or Swingline Loans) within two Business Days of the date when due, (b) has notified the Borrower, the Administrative Agent, any Issuing Bank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w:t>
      </w:r>
    </w:p>
    <w:p>
      <w:pPr>
        <w:spacing w:after="0" w:line="17" w:lineRule="exact"/>
        <w:rPr>
          <w:sz w:val="20"/>
          <w:szCs w:val="20"/>
          <w:color w:val="auto"/>
        </w:rPr>
      </w:pPr>
    </w:p>
    <w:p>
      <w:pPr>
        <w:jc w:val="both"/>
        <w:ind w:firstLine="8"/>
        <w:spacing w:after="0" w:line="233" w:lineRule="auto"/>
        <w:tabs>
          <w:tab w:leader="none" w:pos="34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shall not be a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3773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3773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8"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12</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69" w:name="page170"/>
    <w:bookmarkEnd w:id="169"/>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22"/>
          <w:szCs w:val="22"/>
          <w:u w:val="single" w:color="auto"/>
          <w:color w:val="auto"/>
        </w:rPr>
        <w:t>Section 2.19(b)</w:t>
      </w:r>
      <w:r>
        <w:rPr>
          <w:rFonts w:ascii="Times New Roman" w:cs="Times New Roman" w:eastAsia="Times New Roman" w:hAnsi="Times New Roman"/>
          <w:sz w:val="22"/>
          <w:szCs w:val="22"/>
          <w:color w:val="auto"/>
        </w:rPr>
        <w:t>) upon such determination (and the Administrative Agent shall deliver written notice of such determination to the Borrower, each Issuing Bank and each Lender and each Swingline Lender).</w:t>
      </w:r>
    </w:p>
    <w:p>
      <w:pPr>
        <w:spacing w:after="0" w:line="184"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Obligations</w:t>
      </w:r>
      <w:r>
        <w:rPr>
          <w:rFonts w:ascii="Times New Roman" w:cs="Times New Roman" w:eastAsia="Times New Roman" w:hAnsi="Times New Roman"/>
          <w:sz w:val="22"/>
          <w:szCs w:val="22"/>
          <w:color w:val="auto"/>
        </w:rPr>
        <w:t>” means all obligations of the Borrower with respect to (a) principal of and interest on the Loans and (b) accrued and unpaid fees under the Loan Documents.</w:t>
      </w:r>
    </w:p>
    <w:p>
      <w:pPr>
        <w:spacing w:after="0" w:line="158"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“Disposition” or “Dispose” shall not include the disposition of Investments originated by the Borrower and immediately transferred to a Financing Subsidiary pursuant to a transaction not prohibited hereunder.</w:t>
      </w:r>
    </w:p>
    <w:p>
      <w:pPr>
        <w:spacing w:after="0" w:line="182"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Commitment</w:t>
      </w:r>
      <w:r>
        <w:rPr>
          <w:rFonts w:ascii="Times New Roman" w:cs="Times New Roman" w:eastAsia="Times New Roman" w:hAnsi="Times New Roman"/>
          <w:sz w:val="22"/>
          <w:szCs w:val="22"/>
          <w:color w:val="auto"/>
        </w:rPr>
        <w:t xml:space="preserve">” means, with respect to each Dollar Lender during such Dollar Lender’s Availability Period,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or increased from time to time pursuant to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and (b) reduced or increased from time to time pursuant to assignments by or to such Lender pursuant to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The amount of each Lender’s Dollar Commitment as of the Eighth Amendment Effective Date is set forth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or in the Assignment and Assumption pursuant to which such Lender shall have assumed its Dollar Commitment, as applicable. The aggregate amount of the Lenders’ Dollar Commitments as of the Eighth Amendment Effective Date is $195,000,000.</w:t>
      </w:r>
    </w:p>
    <w:p>
      <w:pPr>
        <w:spacing w:after="0" w:line="184"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Equivalent</w:t>
      </w:r>
      <w:r>
        <w:rPr>
          <w:rFonts w:ascii="Times New Roman" w:cs="Times New Roman" w:eastAsia="Times New Roman" w:hAnsi="Times New Roman"/>
          <w:sz w:val="22"/>
          <w:szCs w:val="22"/>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177"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LC Exposure</w:t>
      </w:r>
      <w:r>
        <w:rPr>
          <w:rFonts w:ascii="Times New Roman" w:cs="Times New Roman" w:eastAsia="Times New Roman" w:hAnsi="Times New Roman"/>
          <w:sz w:val="22"/>
          <w:szCs w:val="22"/>
          <w:color w:val="auto"/>
        </w:rPr>
        <w:t xml:space="preserve">” means, at any time, the sum of (a) the aggregate undrawn amount of all outstanding Dollar Letters of Credit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0"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13</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70" w:name="page171"/>
    <w:bookmarkEnd w:id="170"/>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Lender</w:t>
      </w:r>
      <w:r>
        <w:rPr>
          <w:rFonts w:ascii="Times New Roman" w:cs="Times New Roman" w:eastAsia="Times New Roman" w:hAnsi="Times New Roman"/>
          <w:sz w:val="22"/>
          <w:szCs w:val="22"/>
          <w:color w:val="auto"/>
        </w:rPr>
        <w:t xml:space="preserve">” means the Persons listed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xml:space="preserve">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Letters of Credit</w:t>
      </w:r>
      <w:r>
        <w:rPr>
          <w:rFonts w:ascii="Times New Roman" w:cs="Times New Roman" w:eastAsia="Times New Roman" w:hAnsi="Times New Roman"/>
          <w:sz w:val="22"/>
          <w:szCs w:val="22"/>
          <w:color w:val="auto"/>
        </w:rPr>
        <w:t>” means Letters of Credit that utilize the Dollar Commitments.</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Loan</w:t>
      </w:r>
      <w:r>
        <w:rPr>
          <w:rFonts w:ascii="Times New Roman" w:cs="Times New Roman" w:eastAsia="Times New Roman" w:hAnsi="Times New Roman"/>
          <w:sz w:val="22"/>
          <w:szCs w:val="22"/>
          <w:color w:val="auto"/>
        </w:rPr>
        <w:t>” means a Loan denominated in Dollars.</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refers to lawful money of the United States of America.</w:t>
      </w:r>
    </w:p>
    <w:p>
      <w:pPr>
        <w:spacing w:after="0" w:line="206"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182"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4"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means the date on which the conditions specified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are satisfied (or waived in accordance with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which date is February 27, 2014.</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Eighth Amendment Effective Date</w:t>
      </w:r>
      <w:r>
        <w:rPr>
          <w:rFonts w:ascii="Times New Roman" w:cs="Times New Roman" w:eastAsia="Times New Roman" w:hAnsi="Times New Roman"/>
          <w:sz w:val="22"/>
          <w:szCs w:val="22"/>
          <w:color w:val="auto"/>
        </w:rPr>
        <w:t>” means February 14, 2019.</w:t>
      </w:r>
    </w:p>
    <w:p>
      <w:pPr>
        <w:spacing w:after="0" w:line="206"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74"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any “reportable event”, as defined in Section 4043 of ERISA or the regulations issued thereunder with respect to a Plan (other than an event for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377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3773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7"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14</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71" w:name="page172"/>
    <w:bookmarkEnd w:id="171"/>
    <w:p>
      <w:pPr>
        <w:jc w:val="both"/>
        <w:spacing w:after="0" w:line="246" w:lineRule="auto"/>
        <w:rPr>
          <w:sz w:val="20"/>
          <w:szCs w:val="20"/>
          <w:color w:val="auto"/>
        </w:rPr>
      </w:pPr>
      <w:r>
        <w:rPr>
          <w:rFonts w:ascii="Times New Roman" w:cs="Times New Roman" w:eastAsia="Times New Roman" w:hAnsi="Times New Roman"/>
          <w:sz w:val="21"/>
          <w:szCs w:val="21"/>
          <w:color w:val="auto"/>
        </w:rPr>
        <w:t>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72"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w:t>
      </w:r>
      <w:r>
        <w:rPr>
          <w:rFonts w:ascii="Times New Roman" w:cs="Times New Roman" w:eastAsia="Times New Roman" w:hAnsi="Times New Roman"/>
          <w:sz w:val="22"/>
          <w:szCs w:val="22"/>
          <w:color w:val="auto"/>
        </w:rPr>
        <w:t>” means a single currency of the Participating Member States.</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Eurocurrency</w:t>
      </w:r>
      <w:r>
        <w:rPr>
          <w:rFonts w:ascii="Times New Roman" w:cs="Times New Roman" w:eastAsia="Times New Roman" w:hAnsi="Times New Roman"/>
          <w:sz w:val="22"/>
          <w:szCs w:val="22"/>
          <w:color w:val="auto"/>
        </w:rPr>
        <w:t>”, when used in reference to any Loan or Borrowing, refers to whether such Loan, or the Loans constituting such Borrowing, are bearing interest at a rate determined by reference to the Adjusted LIBO Rate.</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xml:space="preserve">” means, with respect to the Administrative Agent, any Lender, any Issuing Bank or any other recipient of any payment to be made by or on account of any obligation of the Borrower hereunder, (a) Taxes imposed on (or measured by) its net income (however denominated), net profits, franchise Taxes and branch profits or any similar Taxes, in each case, (i) imposed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or (ii) any Taxes imposed by any jurisdiction by reason of the recipient having any present or former connection with such jurisdiction (other than a connection arising solely from entering into, receiving any payment under or enforcing its rights under this Agreement or any other Loan Document or selling or assigning an interest in any Loan or Loan Document), (b) in the case of a Lender, any Taxes that are U.S. withholding taxes imposed on amounts payable to such Lender (i) at the time such Lender (other than an assignee pursuant to a request by the Borrower under </w:t>
      </w:r>
      <w:r>
        <w:rPr>
          <w:rFonts w:ascii="Times New Roman" w:cs="Times New Roman" w:eastAsia="Times New Roman" w:hAnsi="Times New Roman"/>
          <w:sz w:val="21"/>
          <w:szCs w:val="21"/>
          <w:u w:val="single" w:color="auto"/>
          <w:color w:val="auto"/>
        </w:rPr>
        <w:t>Section 2.18(b)</w:t>
      </w:r>
      <w:r>
        <w:rPr>
          <w:rFonts w:ascii="Times New Roman" w:cs="Times New Roman" w:eastAsia="Times New Roman" w:hAnsi="Times New Roman"/>
          <w:sz w:val="21"/>
          <w:szCs w:val="21"/>
          <w:color w:val="auto"/>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at the time of such assignment or designation (other than to the extent such withholding is as a result of a CAM Exchange), or (ii) that is attributable to such Lender’s failure or inability (other than as a result of a Change in Law occurring after the date such Lender becomes a party to this Agreement) to comply with </w:t>
      </w:r>
      <w:r>
        <w:rPr>
          <w:rFonts w:ascii="Times New Roman" w:cs="Times New Roman" w:eastAsia="Times New Roman" w:hAnsi="Times New Roman"/>
          <w:sz w:val="21"/>
          <w:szCs w:val="21"/>
          <w:u w:val="single" w:color="auto"/>
          <w:color w:val="auto"/>
        </w:rPr>
        <w:t>Section 2.16(f)</w:t>
      </w:r>
      <w:r>
        <w:rPr>
          <w:rFonts w:ascii="Times New Roman" w:cs="Times New Roman" w:eastAsia="Times New Roman" w:hAnsi="Times New Roman"/>
          <w:sz w:val="21"/>
          <w:szCs w:val="21"/>
          <w:color w:val="auto"/>
        </w:rPr>
        <w:t>, (d) any U.S. federal, state or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3773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377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9"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15</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72" w:name="page173"/>
    <w:bookmarkEnd w:id="172"/>
    <w:p>
      <w:pPr>
        <w:ind w:right="20"/>
        <w:spacing w:after="0" w:line="258" w:lineRule="auto"/>
        <w:rPr>
          <w:sz w:val="20"/>
          <w:szCs w:val="20"/>
          <w:color w:val="auto"/>
        </w:rPr>
      </w:pPr>
      <w:r>
        <w:rPr>
          <w:rFonts w:ascii="Times New Roman" w:cs="Times New Roman" w:eastAsia="Times New Roman" w:hAnsi="Times New Roman"/>
          <w:sz w:val="22"/>
          <w:szCs w:val="22"/>
          <w:color w:val="auto"/>
        </w:rPr>
        <w:t>backup withholding Taxes imposed on payments made under any Loan Document, and (e) any Taxes that are imposed under FATCA.</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xml:space="preserve">” has the meaning assigned to such term in the </w:t>
      </w: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 xml:space="preserve"> to this Agreement.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Lenders</w:t>
      </w:r>
      <w:r>
        <w:rPr>
          <w:rFonts w:ascii="Times New Roman" w:cs="Times New Roman" w:eastAsia="Times New Roman" w:hAnsi="Times New Roman"/>
          <w:sz w:val="22"/>
          <w:szCs w:val="22"/>
          <w:color w:val="auto"/>
        </w:rPr>
        <w:t xml:space="preserve">” has the meaning assigned to such term in the </w:t>
      </w: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 xml:space="preserve"> to this Agreement.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Loans</w:t>
      </w:r>
      <w:r>
        <w:rPr>
          <w:rFonts w:ascii="Times New Roman" w:cs="Times New Roman" w:eastAsia="Times New Roman" w:hAnsi="Times New Roman"/>
          <w:sz w:val="22"/>
          <w:szCs w:val="22"/>
          <w:color w:val="auto"/>
        </w:rPr>
        <w:t xml:space="preserve">” has the meaning assigned to such term in the </w:t>
      </w: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 xml:space="preserve"> to this Agreement.</w:t>
      </w:r>
    </w:p>
    <w:p>
      <w:pPr>
        <w:spacing w:after="0" w:line="206" w:lineRule="exact"/>
        <w:rPr>
          <w:sz w:val="20"/>
          <w:szCs w:val="20"/>
          <w:color w:val="auto"/>
        </w:rPr>
      </w:pPr>
    </w:p>
    <w:p>
      <w:pPr>
        <w:jc w:val="both"/>
        <w:ind w:firstLine="1755"/>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Extended Applicable Margin</w:t>
      </w:r>
      <w:r>
        <w:rPr>
          <w:rFonts w:ascii="Times New Roman" w:cs="Times New Roman" w:eastAsia="Times New Roman" w:hAnsi="Times New Roman"/>
          <w:sz w:val="21"/>
          <w:szCs w:val="21"/>
          <w:color w:val="auto"/>
        </w:rPr>
        <w:t>” means, with respect to any Extending Lender: (a) if the Borrowing Base (as of the most recently delivered Borrowing Base Certificate) is equal to or greater than 1.85 times the Combined Debt Amount, (i) with respect to any ABR Loan, 0.75% per annum; and (ii) with respect to any Eurocurrency Loan, 1.75% per annum and (b) if the Borrowing Base (as of the most recently delivered Borrowing Base Certificate) is less than 1.85 times the Combined Debt Amount</w:t>
      </w:r>
    </w:p>
    <w:p>
      <w:pPr>
        <w:spacing w:after="0" w:line="2" w:lineRule="exact"/>
        <w:rPr>
          <w:sz w:val="20"/>
          <w:szCs w:val="20"/>
          <w:color w:val="auto"/>
        </w:rPr>
      </w:pPr>
    </w:p>
    <w:p>
      <w:pPr>
        <w:jc w:val="both"/>
        <w:ind w:firstLine="8"/>
        <w:spacing w:after="0" w:line="232" w:lineRule="auto"/>
        <w:tabs>
          <w:tab w:leader="none" w:pos="27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ABR Loan, 0.875% per annum; and (ii) with respect to any Eurocurrency Loan, 1.875% per annum. Any change in the Extended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Borrowing Base Certificate has not been delivered in accordance with </w:t>
      </w:r>
      <w:r>
        <w:rPr>
          <w:rFonts w:ascii="Times New Roman" w:cs="Times New Roman" w:eastAsia="Times New Roman" w:hAnsi="Times New Roman"/>
          <w:sz w:val="22"/>
          <w:szCs w:val="22"/>
          <w:u w:val="single" w:color="auto"/>
          <w:color w:val="auto"/>
        </w:rPr>
        <w:t>Section 5.01(d)</w:t>
      </w:r>
      <w:r>
        <w:rPr>
          <w:rFonts w:ascii="Times New Roman" w:cs="Times New Roman" w:eastAsia="Times New Roman" w:hAnsi="Times New Roman"/>
          <w:sz w:val="22"/>
          <w:szCs w:val="22"/>
          <w:color w:val="auto"/>
        </w:rPr>
        <w:t xml:space="preserve">, then from and including the day immediately succeeding the date on which such Borrowing Base Certificate was required to be delivered, the Extended Applicable Margin shall be the Extended Applicable Margin set forth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to and including the date on which the required Borrowing Base Certificate is delivered.</w:t>
      </w:r>
    </w:p>
    <w:p>
      <w:pPr>
        <w:spacing w:after="0" w:line="182"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Availability Period</w:t>
      </w:r>
      <w:r>
        <w:rPr>
          <w:rFonts w:ascii="Times New Roman" w:cs="Times New Roman" w:eastAsia="Times New Roman" w:hAnsi="Times New Roman"/>
          <w:sz w:val="22"/>
          <w:szCs w:val="22"/>
          <w:color w:val="auto"/>
        </w:rPr>
        <w:t>” means, with respect to any Extending Lender, the period from and including the Effective Date to but excluding the earlier of the Extended Commitment Termination Date and the date of termination of the Commitments.</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Extended Commitment Termination Date</w:t>
      </w:r>
      <w:r>
        <w:rPr>
          <w:rFonts w:ascii="Times New Roman" w:cs="Times New Roman" w:eastAsia="Times New Roman" w:hAnsi="Times New Roman"/>
          <w:sz w:val="21"/>
          <w:szCs w:val="21"/>
          <w:color w:val="auto"/>
        </w:rPr>
        <w:t>” means, with respect to each Extending Lender, February 14, 2023.</w:t>
      </w:r>
    </w:p>
    <w:p>
      <w:pPr>
        <w:spacing w:after="0" w:line="21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Final Maturity Date</w:t>
      </w:r>
      <w:r>
        <w:rPr>
          <w:rFonts w:ascii="Times New Roman" w:cs="Times New Roman" w:eastAsia="Times New Roman" w:hAnsi="Times New Roman"/>
          <w:sz w:val="22"/>
          <w:szCs w:val="22"/>
          <w:color w:val="auto"/>
        </w:rPr>
        <w:t>” means, with respect to each Extending Lender, February 14, 2024.</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Loans</w:t>
      </w:r>
      <w:r>
        <w:rPr>
          <w:rFonts w:ascii="Times New Roman" w:cs="Times New Roman" w:eastAsia="Times New Roman" w:hAnsi="Times New Roman"/>
          <w:sz w:val="22"/>
          <w:szCs w:val="22"/>
          <w:color w:val="auto"/>
        </w:rPr>
        <w:t>” means Loans or Borrowings of any Extending Lender maturing on the Extended Final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Maturity Date.</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Extending Lender</w:t>
      </w:r>
      <w:r>
        <w:rPr>
          <w:rFonts w:ascii="Times New Roman" w:cs="Times New Roman" w:eastAsia="Times New Roman" w:hAnsi="Times New Roman"/>
          <w:sz w:val="22"/>
          <w:szCs w:val="22"/>
          <w:color w:val="auto"/>
        </w:rPr>
        <w:t xml:space="preserve">” means each Lender designated as an “Extending Lender”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External Manager</w:t>
      </w:r>
      <w:r>
        <w:rPr>
          <w:rFonts w:ascii="Times New Roman" w:cs="Times New Roman" w:eastAsia="Times New Roman" w:hAnsi="Times New Roman"/>
          <w:sz w:val="22"/>
          <w:szCs w:val="22"/>
          <w:color w:val="auto"/>
        </w:rPr>
        <w:t>” means TSL Advisers, LLC.</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Extraordinary Receipts</w:t>
      </w:r>
      <w:r>
        <w:rPr>
          <w:rFonts w:ascii="Times New Roman" w:cs="Times New Roman" w:eastAsia="Times New Roman" w:hAnsi="Times New Roman"/>
          <w:sz w:val="22"/>
          <w:szCs w:val="22"/>
          <w:color w:val="auto"/>
        </w:rPr>
        <w:t>” means any cash received by or paid to any Obligor on account of any foreign, United States, state or local tax refunds, pension plan reversions,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3773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377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7"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16</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73" w:name="page174"/>
    <w:bookmarkEnd w:id="173"/>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Extraordinary Receipts shall not include any (x) amounts that the Borrower receives from the Administrative Agent or any Lender pursuant to </w:t>
      </w:r>
      <w:r>
        <w:rPr>
          <w:rFonts w:ascii="Times New Roman" w:cs="Times New Roman" w:eastAsia="Times New Roman" w:hAnsi="Times New Roman"/>
          <w:sz w:val="21"/>
          <w:szCs w:val="21"/>
          <w:u w:val="single" w:color="auto"/>
          <w:color w:val="auto"/>
        </w:rPr>
        <w:t>Section 2.16(f)</w:t>
      </w:r>
      <w:r>
        <w:rPr>
          <w:rFonts w:ascii="Times New Roman" w:cs="Times New Roman" w:eastAsia="Times New Roman" w:hAnsi="Times New Roman"/>
          <w:sz w:val="21"/>
          <w:szCs w:val="21"/>
          <w:color w:val="auto"/>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72" w:lineRule="exact"/>
        <w:rPr>
          <w:sz w:val="20"/>
          <w:szCs w:val="20"/>
          <w:color w:val="auto"/>
        </w:rPr>
      </w:pPr>
    </w:p>
    <w:p>
      <w:pPr>
        <w:jc w:val="both"/>
        <w:ind w:firstLine="1755"/>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FATCA</w:t>
      </w:r>
      <w:r>
        <w:rPr>
          <w:rFonts w:ascii="Times New Roman" w:cs="Times New Roman" w:eastAsia="Times New Roman" w:hAnsi="Times New Roman"/>
          <w:sz w:val="21"/>
          <w:szCs w:val="21"/>
          <w:color w:val="auto"/>
        </w:rPr>
        <w:t>” means Sections 1471 through 1474 of the Code, as of the date of this Agreement (or any amended or successor version that is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1471(b)(1) of the Code.</w:t>
      </w:r>
    </w:p>
    <w:p>
      <w:pPr>
        <w:spacing w:after="0" w:line="162" w:lineRule="exact"/>
        <w:rPr>
          <w:sz w:val="20"/>
          <w:szCs w:val="20"/>
          <w:color w:val="auto"/>
        </w:rPr>
      </w:pPr>
    </w:p>
    <w:p>
      <w:pPr>
        <w:jc w:val="both"/>
        <w:ind w:firstLine="1755"/>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Funds Effective Rate</w:t>
      </w:r>
      <w:r>
        <w:rPr>
          <w:rFonts w:ascii="Times New Roman" w:cs="Times New Roman" w:eastAsia="Times New Roman" w:hAnsi="Times New Roman"/>
          <w:sz w:val="21"/>
          <w:szCs w:val="21"/>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69" w:lineRule="exact"/>
        <w:rPr>
          <w:sz w:val="20"/>
          <w:szCs w:val="20"/>
          <w:color w:val="auto"/>
        </w:rPr>
      </w:pPr>
    </w:p>
    <w:p>
      <w:pPr>
        <w:jc w:val="both"/>
        <w:ind w:firstLine="1755"/>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Final Maturity Date</w:t>
      </w:r>
      <w:r>
        <w:rPr>
          <w:rFonts w:ascii="Times New Roman" w:cs="Times New Roman" w:eastAsia="Times New Roman" w:hAnsi="Times New Roman"/>
          <w:sz w:val="21"/>
          <w:szCs w:val="21"/>
          <w:color w:val="auto"/>
        </w:rPr>
        <w:t>” means (i) in the case of any Extending Lender (with respect to such Extending Lender’s Extended Loans), the Extended Final Maturity Date or (ii) in the case of any Non-Extending Lender (with respect to such Non-Extending Lender’s Non-Extended Loans), such Non-Extending Lender’s Non-Extended Final Maturity Date, as applicable.</w:t>
      </w:r>
    </w:p>
    <w:p>
      <w:pPr>
        <w:spacing w:after="0" w:line="15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Officer</w:t>
      </w:r>
      <w:r>
        <w:rPr>
          <w:rFonts w:ascii="Times New Roman" w:cs="Times New Roman" w:eastAsia="Times New Roman" w:hAnsi="Times New Roman"/>
          <w:sz w:val="21"/>
          <w:szCs w:val="21"/>
          <w:color w:val="auto"/>
        </w:rPr>
        <w:t>” means the chief financial officer, principal accounting officer, treasurer or controller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Borrower.</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Subsidiary</w:t>
      </w:r>
      <w:r>
        <w:rPr>
          <w:rFonts w:ascii="Times New Roman" w:cs="Times New Roman" w:eastAsia="Times New Roman" w:hAnsi="Times New Roman"/>
          <w:sz w:val="22"/>
          <w:szCs w:val="22"/>
          <w:color w:val="auto"/>
        </w:rPr>
        <w:t>” means an SPE Subsidiary or an SBIC Subsidiary.</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w:t>
      </w:r>
      <w:r>
        <w:rPr>
          <w:rFonts w:ascii="Times New Roman" w:cs="Times New Roman" w:eastAsia="Times New Roman" w:hAnsi="Times New Roman"/>
          <w:sz w:val="22"/>
          <w:szCs w:val="22"/>
          <w:color w:val="auto"/>
        </w:rPr>
        <w:t>” means at any time any Currency other than Dollars.</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 Equivalent</w:t>
      </w:r>
      <w:r>
        <w:rPr>
          <w:rFonts w:ascii="Times New Roman" w:cs="Times New Roman" w:eastAsia="Times New Roman" w:hAnsi="Times New Roman"/>
          <w:sz w:val="22"/>
          <w:szCs w:val="22"/>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Lender</w:t>
      </w:r>
      <w:r>
        <w:rPr>
          <w:rFonts w:ascii="Times New Roman" w:cs="Times New Roman" w:eastAsia="Times New Roman" w:hAnsi="Times New Roman"/>
          <w:sz w:val="21"/>
          <w:szCs w:val="21"/>
          <w:color w:val="auto"/>
        </w:rPr>
        <w:t>” means any Lender that is not a “United States person” as defined under Section 7701(a)(30)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377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377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1"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17</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74" w:name="page175"/>
    <w:bookmarkEnd w:id="174"/>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82"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Fronting Exposure</w:t>
      </w:r>
      <w:r>
        <w:rPr>
          <w:rFonts w:ascii="Times New Roman" w:cs="Times New Roman" w:eastAsia="Times New Roman" w:hAnsi="Times New Roman"/>
          <w:sz w:val="22"/>
          <w:szCs w:val="22"/>
          <w:color w:val="auto"/>
        </w:rPr>
        <w:t>” 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of America.</w:t>
      </w:r>
    </w:p>
    <w:p>
      <w:pPr>
        <w:spacing w:after="0" w:line="206"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of America, or of any other nation, or any political subdivision thereof, whether state or local, and any agency, authority, instrumentality, regulatory body, court, central bank, supranational authority or other entity exercising executive, legislative, judicial, taxing, regulatory or administrative powers or functions of or pertaining to government.</w:t>
      </w:r>
    </w:p>
    <w:p>
      <w:pPr>
        <w:spacing w:after="0" w:line="181" w:lineRule="exact"/>
        <w:rPr>
          <w:sz w:val="20"/>
          <w:szCs w:val="20"/>
          <w:color w:val="auto"/>
        </w:rPr>
      </w:pPr>
    </w:p>
    <w:p>
      <w:pPr>
        <w:jc w:val="both"/>
        <w:ind w:firstLine="1755"/>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of or by any Person (the “</w:t>
      </w:r>
      <w:r>
        <w:rPr>
          <w:rFonts w:ascii="Times New Roman" w:cs="Times New Roman" w:eastAsia="Times New Roman" w:hAnsi="Times New Roman"/>
          <w:sz w:val="21"/>
          <w:szCs w:val="21"/>
          <w:u w:val="single" w:color="auto"/>
          <w:color w:val="auto"/>
        </w:rPr>
        <w:t>guarantor</w:t>
      </w:r>
      <w:r>
        <w:rPr>
          <w:rFonts w:ascii="Times New Roman" w:cs="Times New Roman" w:eastAsia="Times New Roman" w:hAnsi="Times New Roman"/>
          <w:sz w:val="21"/>
          <w:szCs w:val="21"/>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1"/>
          <w:szCs w:val="21"/>
          <w:u w:val="single" w:color="auto"/>
          <w:color w:val="auto"/>
        </w:rPr>
        <w:t>primary obligor</w:t>
      </w:r>
      <w:r>
        <w:rPr>
          <w:rFonts w:ascii="Times New Roman" w:cs="Times New Roman" w:eastAsia="Times New Roman" w:hAnsi="Times New Roman"/>
          <w:sz w:val="21"/>
          <w:szCs w:val="21"/>
          <w:color w:val="auto"/>
        </w:rPr>
        <w:t>”) in any manner, whether directly or indirectly, and including any obligation of the guarantor, direct or indirect,</w:t>
      </w:r>
    </w:p>
    <w:p>
      <w:pPr>
        <w:spacing w:after="0" w:line="2" w:lineRule="exact"/>
        <w:rPr>
          <w:sz w:val="20"/>
          <w:szCs w:val="20"/>
          <w:color w:val="auto"/>
        </w:rPr>
      </w:pPr>
    </w:p>
    <w:p>
      <w:pPr>
        <w:jc w:val="both"/>
        <w:ind w:firstLine="8"/>
        <w:spacing w:after="0" w:line="232" w:lineRule="auto"/>
        <w:tabs>
          <w:tab w:leader="none" w:pos="31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78"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 and Security Agreement</w:t>
      </w:r>
      <w:r>
        <w:rPr>
          <w:rFonts w:ascii="Times New Roman" w:cs="Times New Roman" w:eastAsia="Times New Roman" w:hAnsi="Times New Roman"/>
          <w:sz w:val="22"/>
          <w:szCs w:val="22"/>
          <w:color w:val="auto"/>
        </w:rPr>
        <w:t>” means that certain Amended and Restated Guarantee and Security Agreement dated as of July 2, 2013 among the Borrower, the Administrative Agent, each Subsidiary of the Borrower from time to time party thereto, each holder (or a representative or trustee therefor) from time to time of any Secured Longer-Term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377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3773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18</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75" w:name="page176"/>
    <w:bookmarkEnd w:id="175"/>
    <w:p>
      <w:pPr>
        <w:jc w:val="both"/>
        <w:spacing w:after="0" w:line="258" w:lineRule="auto"/>
        <w:rPr>
          <w:sz w:val="20"/>
          <w:szCs w:val="20"/>
          <w:color w:val="auto"/>
        </w:rPr>
      </w:pPr>
      <w:r>
        <w:rPr>
          <w:rFonts w:ascii="Times New Roman" w:cs="Times New Roman" w:eastAsia="Times New Roman" w:hAnsi="Times New Roman"/>
          <w:sz w:val="22"/>
          <w:szCs w:val="22"/>
          <w:color w:val="auto"/>
        </w:rPr>
        <w:t>Indebtedness or Secured Shorter-Term Indebtedness, and the Collateral Agent, as the same shall be modified and supplemented and in effect from time to time.</w:t>
      </w:r>
    </w:p>
    <w:p>
      <w:pPr>
        <w:spacing w:after="0" w:line="158"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 Assumption Agreement</w:t>
      </w:r>
      <w:r>
        <w:rPr>
          <w:rFonts w:ascii="Times New Roman" w:cs="Times New Roman" w:eastAsia="Times New Roman" w:hAnsi="Times New Roman"/>
          <w:sz w:val="22"/>
          <w:szCs w:val="22"/>
          <w:color w:val="auto"/>
        </w:rPr>
        <w:t xml:space="preserve">” means a Guarantee Assumption Agreement substantially in the form of Exhibit B to the Guarantee and Security Agreement between the Collateral Agent and an entity that pursuant to </w:t>
      </w:r>
      <w:r>
        <w:rPr>
          <w:rFonts w:ascii="Times New Roman" w:cs="Times New Roman" w:eastAsia="Times New Roman" w:hAnsi="Times New Roman"/>
          <w:sz w:val="22"/>
          <w:szCs w:val="22"/>
          <w:u w:val="single" w:color="auto"/>
          <w:color w:val="auto"/>
        </w:rPr>
        <w:t>Section 5.08</w:t>
      </w:r>
      <w:r>
        <w:rPr>
          <w:rFonts w:ascii="Times New Roman" w:cs="Times New Roman" w:eastAsia="Times New Roman" w:hAnsi="Times New Roman"/>
          <w:sz w:val="22"/>
          <w:szCs w:val="22"/>
          <w:color w:val="auto"/>
        </w:rPr>
        <w:t xml:space="preserve"> is required to become a “Subsidiary Guarantor” under the Guarantee and Security Agreement (with such changes as the Administrative Agent shall request consistent with the requirements of </w:t>
      </w:r>
      <w:r>
        <w:rPr>
          <w:rFonts w:ascii="Times New Roman" w:cs="Times New Roman" w:eastAsia="Times New Roman" w:hAnsi="Times New Roman"/>
          <w:sz w:val="22"/>
          <w:szCs w:val="22"/>
          <w:u w:val="single" w:color="auto"/>
          <w:color w:val="auto"/>
        </w:rPr>
        <w:t>Section 5.08</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means any interest rate protection agreement, foreign currency exchange protection agreement, commodity price protection agreement or other interest or currency exchange rate or commodity price hedging arrangement.</w:t>
      </w:r>
    </w:p>
    <w:p>
      <w:pPr>
        <w:spacing w:after="0" w:line="174"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Immaterial Subsidiaries</w:t>
      </w:r>
      <w:r>
        <w:rPr>
          <w:rFonts w:ascii="Times New Roman" w:cs="Times New Roman" w:eastAsia="Times New Roman" w:hAnsi="Times New Roman"/>
          <w:sz w:val="22"/>
          <w:szCs w:val="22"/>
          <w:color w:val="auto"/>
        </w:rPr>
        <w:t xml:space="preserve">” means those Subsidiaries of the Borrower that are “designated” as Immaterial Subsidiaries by the Borrower from time to time (it being understood that the Borrower may at any time change any such designation);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designated Immaterial Subsidiaries shall collectively meet all of the following criteria as of the date of the most recent balance sheet required to be delivered pursuant to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7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Increasing Lender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2.08(e)(i)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Indebtedness being the lower of the outstanding amount of such Indebtedness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purchase price holdbacks arising in the ordinary course of business in respect of a portion of the purchase price of an asset or Investment to satisfy unperformed obligations of the seller of such asset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3773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2377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42"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19</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2"/>
          <w:szCs w:val="22"/>
          <w:color w:val="auto"/>
        </w:rPr>
        <w:t>Investment or (y) a commitment arising in the ordinary course of business to make a future Portfolio Investment.</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Taxes, other than Excluded Taxes, imposed on or with respect to any payment made by or on account of any obligation of the Borrower under this Agreement.</w:t>
      </w:r>
    </w:p>
    <w:p>
      <w:pPr>
        <w:spacing w:after="0" w:line="158"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w:t>
      </w:r>
      <w:r>
        <w:rPr>
          <w:rFonts w:ascii="Times New Roman" w:cs="Times New Roman" w:eastAsia="Times New Roman" w:hAnsi="Times New Roman"/>
          <w:sz w:val="22"/>
          <w:szCs w:val="22"/>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77" w:lineRule="exact"/>
        <w:rPr>
          <w:sz w:val="20"/>
          <w:szCs w:val="20"/>
          <w:color w:val="auto"/>
        </w:rPr>
      </w:pPr>
    </w:p>
    <w:p>
      <w:pPr>
        <w:jc w:val="both"/>
        <w:ind w:firstLine="1755"/>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Industry Classification Group</w:t>
      </w:r>
      <w:r>
        <w:rPr>
          <w:rFonts w:ascii="Times New Roman" w:cs="Times New Roman" w:eastAsia="Times New Roman" w:hAnsi="Times New Roman"/>
          <w:sz w:val="21"/>
          <w:szCs w:val="21"/>
          <w:color w:val="auto"/>
        </w:rPr>
        <w:t xml:space="preserve">” means (a) any of the classification groups set forth in </w:t>
      </w:r>
      <w:r>
        <w:rPr>
          <w:rFonts w:ascii="Times New Roman" w:cs="Times New Roman" w:eastAsia="Times New Roman" w:hAnsi="Times New Roman"/>
          <w:sz w:val="21"/>
          <w:szCs w:val="21"/>
          <w:u w:val="single" w:color="auto"/>
          <w:color w:val="auto"/>
        </w:rPr>
        <w:t>Schedule 1.01(c)</w:t>
      </w:r>
      <w:r>
        <w:rPr>
          <w:rFonts w:ascii="Times New Roman" w:cs="Times New Roman" w:eastAsia="Times New Roman" w:hAnsi="Times New Roman"/>
          <w:sz w:val="21"/>
          <w:szCs w:val="21"/>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Election Request</w:t>
      </w:r>
      <w:r>
        <w:rPr>
          <w:rFonts w:ascii="Times New Roman" w:cs="Times New Roman" w:eastAsia="Times New Roman" w:hAnsi="Times New Roman"/>
          <w:sz w:val="22"/>
          <w:szCs w:val="22"/>
          <w:color w:val="auto"/>
        </w:rPr>
        <w:t xml:space="preserve">” means a request by the Borrower to convert or continue a Syndicated Borrowing in accordance with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means (a) with respect to any Syndicated ABR Loan, each Quarterly Date, (b) with respect to any Eurocurrency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81" w:lineRule="exact"/>
        <w:rPr>
          <w:sz w:val="20"/>
          <w:szCs w:val="20"/>
          <w:color w:val="auto"/>
        </w:rPr>
      </w:pPr>
    </w:p>
    <w:p>
      <w:pPr>
        <w:jc w:val="both"/>
        <w:ind w:firstLine="1755"/>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for any Eurocurrency Loan or Borrowing, the period commencing on the date of such Loan or Borrowing and ending on the numerically corresponding day in the calendar month that is one, two, three or six months thereafter or, with respect to such portion of any Eurocurrency Loan or Borrowing denominated in a Foreign Currency that is scheduled to be repaid on the applicable Final Maturity Date, a period of less than one month’s duration commencing on the date of such Loan or Borrowing and ending on the applicable Final Maturity Date, as specified in the applicable Borrowing Request or Interest Election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(other than an Interest Period pertaining to a Eurocurrency Borrowing denominated in a Foreign Currency that ends on the applicable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0"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20</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77" w:name="page178"/>
    <w:bookmarkEnd w:id="177"/>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and the date of a Syndicated Borrowing comprising Loans that have been converted or continued shall be the effective date of the most recent conversion or continuation of such Loans.</w:t>
      </w:r>
    </w:p>
    <w:p>
      <w:pPr>
        <w:spacing w:after="0" w:line="158"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means the Investment Company Act of 1940, as amended from time to time.</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Policies</w:t>
      </w:r>
      <w:r>
        <w:rPr>
          <w:rFonts w:ascii="Times New Roman" w:cs="Times New Roman" w:eastAsia="Times New Roman" w:hAnsi="Times New Roman"/>
          <w:sz w:val="22"/>
          <w:szCs w:val="22"/>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06"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Bank</w:t>
      </w:r>
      <w:r>
        <w:rPr>
          <w:rFonts w:ascii="Times New Roman" w:cs="Times New Roman" w:eastAsia="Times New Roman" w:hAnsi="Times New Roman"/>
          <w:sz w:val="22"/>
          <w:szCs w:val="22"/>
          <w:color w:val="auto"/>
        </w:rPr>
        <w:t xml:space="preserve">” means SunTrust, JPMorgan Chase Bank, N.A., and any other Issuing Bank designated pursuant to </w:t>
      </w:r>
      <w:r>
        <w:rPr>
          <w:rFonts w:ascii="Times New Roman" w:cs="Times New Roman" w:eastAsia="Times New Roman" w:hAnsi="Times New Roman"/>
          <w:sz w:val="22"/>
          <w:szCs w:val="22"/>
          <w:u w:val="single" w:color="auto"/>
          <w:color w:val="auto"/>
        </w:rPr>
        <w:t>Section 2.05(l)</w:t>
      </w:r>
      <w:r>
        <w:rPr>
          <w:rFonts w:ascii="Times New Roman" w:cs="Times New Roman" w:eastAsia="Times New Roman" w:hAnsi="Times New Roman"/>
          <w:sz w:val="22"/>
          <w:szCs w:val="22"/>
          <w:color w:val="auto"/>
        </w:rPr>
        <w:t xml:space="preserve">, in their capacity as the issuers of Letters of Credit hereunder, and their respective successors in such capacity as provided in </w:t>
      </w:r>
      <w:r>
        <w:rPr>
          <w:rFonts w:ascii="Times New Roman" w:cs="Times New Roman" w:eastAsia="Times New Roman" w:hAnsi="Times New Roman"/>
          <w:sz w:val="22"/>
          <w:szCs w:val="22"/>
          <w:u w:val="single" w:color="auto"/>
          <w:color w:val="auto"/>
        </w:rPr>
        <w:t>Section 2.05(j)</w:t>
      </w:r>
      <w:r>
        <w:rPr>
          <w:rFonts w:ascii="Times New Roman" w:cs="Times New Roman" w:eastAsia="Times New Roman" w:hAnsi="Times New Roman"/>
          <w:sz w:val="22"/>
          <w:szCs w:val="22"/>
          <w:color w:val="auto"/>
        </w:rPr>
        <w:t>. In the case of any Letter of Credit to be issued in an Agreed Foreign Currency, SunTrust and JPMorgan Chase Bank, N.A., respectively, may designate any of their respective affiliates as the “Issuing Bank” for purposes of such Letter of Credit.</w:t>
      </w:r>
    </w:p>
    <w:p>
      <w:pPr>
        <w:spacing w:after="0" w:line="1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Lead Arrangers</w:t>
      </w:r>
      <w:r>
        <w:rPr>
          <w:rFonts w:ascii="Times New Roman" w:cs="Times New Roman" w:eastAsia="Times New Roman" w:hAnsi="Times New Roman"/>
          <w:sz w:val="22"/>
          <w:szCs w:val="22"/>
          <w:color w:val="auto"/>
        </w:rPr>
        <w:t>” means SunTrust Robinson Humphrey, Inc. and JPMorgan Chase Bank, N.A.</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Disbursement</w:t>
      </w:r>
      <w:r>
        <w:rPr>
          <w:rFonts w:ascii="Times New Roman" w:cs="Times New Roman" w:eastAsia="Times New Roman" w:hAnsi="Times New Roman"/>
          <w:sz w:val="22"/>
          <w:szCs w:val="22"/>
          <w:color w:val="auto"/>
        </w:rPr>
        <w:t>” means a payment made by any Issuing Bank pursuant to a Letter of Credit.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Exposure</w:t>
      </w:r>
      <w:r>
        <w:rPr>
          <w:rFonts w:ascii="Times New Roman" w:cs="Times New Roman" w:eastAsia="Times New Roman" w:hAnsi="Times New Roman"/>
          <w:sz w:val="22"/>
          <w:szCs w:val="22"/>
          <w:color w:val="auto"/>
        </w:rPr>
        <w:t>” means, at any time, the sum of the Dollar LC Exposure and the Multicurrency LC Exposure.</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collectively, the Dollar Lenders and the Multicurrency Lenders. Unless the context otherwise requires, the term “Lenders” includes each Swingline Lender.</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any letter of credit issued pursuant to this Agreement.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Collateral Account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2.05(k)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Documents</w:t>
      </w:r>
      <w:r>
        <w:rPr>
          <w:rFonts w:ascii="Times New Roman" w:cs="Times New Roman" w:eastAsia="Times New Roman" w:hAnsi="Times New Roman"/>
          <w:sz w:val="22"/>
          <w:szCs w:val="22"/>
          <w:color w:val="auto"/>
        </w:rPr>
        <w:t>” means, with respect to any Letter of Credit, collectively, any application therefor and any other agreements, instruments, guarantees or other documents (whether general in application or applicable only to such Letter of Credit) governing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3773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377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21</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78" w:name="page179"/>
    <w:bookmarkEnd w:id="178"/>
    <w:p>
      <w:pPr>
        <w:jc w:val="both"/>
        <w:spacing w:after="0" w:line="282" w:lineRule="auto"/>
        <w:rPr>
          <w:sz w:val="20"/>
          <w:szCs w:val="20"/>
          <w:color w:val="auto"/>
        </w:rPr>
      </w:pPr>
      <w:r>
        <w:rPr>
          <w:rFonts w:ascii="Times New Roman" w:cs="Times New Roman" w:eastAsia="Times New Roman" w:hAnsi="Times New Roman"/>
          <w:sz w:val="21"/>
          <w:szCs w:val="21"/>
          <w:color w:val="auto"/>
        </w:rPr>
        <w:t>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35" w:lineRule="exact"/>
        <w:rPr>
          <w:sz w:val="20"/>
          <w:szCs w:val="20"/>
          <w:color w:val="auto"/>
        </w:rPr>
      </w:pPr>
    </w:p>
    <w:p>
      <w:pPr>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LIBO Quoted Currency</w:t>
      </w:r>
      <w:r>
        <w:rPr>
          <w:rFonts w:ascii="Times New Roman" w:cs="Times New Roman" w:eastAsia="Times New Roman" w:hAnsi="Times New Roman"/>
          <w:sz w:val="22"/>
          <w:szCs w:val="22"/>
          <w:color w:val="auto"/>
        </w:rPr>
        <w:t>” means each of the following currencies: Dollars; Euro; English Pounds Sterling; Japanese Yen; and Swiss Franc; in each case as long as there is a published LIBO rate with respect thereto.</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LIBO Rate</w:t>
      </w:r>
      <w:r>
        <w:rPr>
          <w:rFonts w:ascii="Times New Roman" w:cs="Times New Roman" w:eastAsia="Times New Roman" w:hAnsi="Times New Roman"/>
          <w:sz w:val="22"/>
          <w:szCs w:val="22"/>
          <w:color w:val="auto"/>
        </w:rPr>
        <w:t>” means, for any Interest Period:</w:t>
      </w:r>
    </w:p>
    <w:p>
      <w:pPr>
        <w:spacing w:after="0" w:line="206" w:lineRule="exact"/>
        <w:rPr>
          <w:sz w:val="20"/>
          <w:szCs w:val="20"/>
          <w:color w:val="auto"/>
        </w:rPr>
      </w:pPr>
    </w:p>
    <w:p>
      <w:pPr>
        <w:jc w:val="both"/>
        <w:ind w:firstLine="1763"/>
        <w:spacing w:after="0" w:line="233" w:lineRule="auto"/>
        <w:tabs>
          <w:tab w:leader="none" w:pos="264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Eurocurrency Borrowings denominated in a LIBO Quoted Currency, the ICE Benchmark Administration Limited London interbank offered rate per annum for deposits in the relevant Currency for a period equal to the Interest Period as displayed in the Bloomberg Financial Markets System (or such other page on that service or such other service designated by the ICE Benchmark Administration Limited for the display of such Administration’s London interbank offered rate for deposits in the relevant Currency) as of 11:00 a.m., London time on the day that is two Business Days prior to the first day of the Interest Period (or, solely with respect to Eurocurrency Borrowings in Pounds Sterling, on the first day of the Interest Period) (the “</w:t>
      </w:r>
      <w:r>
        <w:rPr>
          <w:rFonts w:ascii="Times New Roman" w:cs="Times New Roman" w:eastAsia="Times New Roman" w:hAnsi="Times New Roman"/>
          <w:sz w:val="22"/>
          <w:szCs w:val="22"/>
          <w:u w:val="single" w:color="auto"/>
          <w:color w:val="auto"/>
        </w:rPr>
        <w:t>Screen Rate</w:t>
      </w:r>
      <w:r>
        <w:rPr>
          <w:rFonts w:ascii="Times New Roman" w:cs="Times New Roman" w:eastAsia="Times New Roman" w:hAnsi="Times New Roman"/>
          <w:sz w:val="22"/>
          <w:szCs w:val="22"/>
          <w:color w:val="auto"/>
        </w:rPr>
        <w:t>”); provided that if the Administrative Agent determines that the relevant foregoing sources are unavailable for the relevant Interest Period, LIBO Rate shall mean for any LIBO Quoted Currency, the rate of interest determined by the Administrative Agent to be the average (rounded upward, if necessary, to the nearest 1/100th of 1%) of the rate per annum at which the Administrative Agent could borrow funds if it were to do so by asking for and then accepting interbank offers two (2) business days’ preceding the first day of such Interest Period (or, solely with respect to Eurocurrency Borrowings denominated in Pounds Sterling, on the first day of such Interest Period) in the London interbank market for the relevant Currency as of 11:00 a.m. for delivery on the first day of such Interest Period, for the number of days comprised therein and in an amount comparable to the amount of the Administrative Agent’s portion of the relevant Eurocurrency Borrowing;</w:t>
      </w:r>
    </w:p>
    <w:p>
      <w:pPr>
        <w:spacing w:after="0" w:line="181"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Eurocurrency Borrowings denominated in Canadian Dollars, the CDOR Rate per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annum;</w:t>
      </w:r>
    </w:p>
    <w:p>
      <w:pPr>
        <w:spacing w:after="0" w:line="182" w:lineRule="exact"/>
        <w:rPr>
          <w:rFonts w:ascii="Times New Roman" w:cs="Times New Roman" w:eastAsia="Times New Roman" w:hAnsi="Times New Roman"/>
          <w:sz w:val="22"/>
          <w:szCs w:val="22"/>
          <w:color w:val="auto"/>
        </w:rPr>
      </w:pPr>
    </w:p>
    <w:p>
      <w:pPr>
        <w:jc w:val="both"/>
        <w:ind w:firstLine="1763"/>
        <w:spacing w:after="0" w:line="236" w:lineRule="auto"/>
        <w:tabs>
          <w:tab w:leader="none" w:pos="264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Eurocurrency Borrowings denominated in Australian Dollars, the rate per annum equal to the Bank Bill Swap Reference Bid rate or a successor thereto approved by the Administrative Agent (“BBSY”) as published by Reuters (or such other page or commercially available source providing BBSY (Bid) quotations as may be designated by the Administrative Agent from time to time) at or about 10:30 a.m. (Melbourne, Australia time) on the day that is two Business Days prior to the first day of the Interest Period (or if such day is not a Business Day, then on the immediately preceding Business Day) with a term equivalent to such Interest Period;</w:t>
      </w:r>
    </w:p>
    <w:p>
      <w:pPr>
        <w:spacing w:after="0" w:line="182" w:lineRule="exact"/>
        <w:rPr>
          <w:rFonts w:ascii="Times New Roman" w:cs="Times New Roman" w:eastAsia="Times New Roman" w:hAnsi="Times New Roman"/>
          <w:sz w:val="22"/>
          <w:szCs w:val="22"/>
          <w:color w:val="auto"/>
        </w:rPr>
      </w:pPr>
    </w:p>
    <w:p>
      <w:pPr>
        <w:jc w:val="both"/>
        <w:ind w:firstLine="1763"/>
        <w:spacing w:after="0" w:line="239" w:lineRule="auto"/>
        <w:tabs>
          <w:tab w:leader="none" w:pos="265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Eurocurrency Borrowings denominated in New Zealand Dollars, the rate per annum equal to the Bank Bill Reference Bid Rate or a successor thereto approved by the Administrative Agent (“BKBM”) as published by Reuters (or such other page or commercially available source providing BKBM (Bid) quotations as may be designated by the Administrative Agent from time to time) at or about 10:45 a.m. (Auckland, New Zealand time)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0"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22</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79" w:name="page180"/>
    <w:bookmarkEnd w:id="179"/>
    <w:p>
      <w:pPr>
        <w:spacing w:after="0" w:line="258" w:lineRule="auto"/>
        <w:rPr>
          <w:sz w:val="20"/>
          <w:szCs w:val="20"/>
          <w:color w:val="auto"/>
        </w:rPr>
      </w:pPr>
      <w:r>
        <w:rPr>
          <w:rFonts w:ascii="Times New Roman" w:cs="Times New Roman" w:eastAsia="Times New Roman" w:hAnsi="Times New Roman"/>
          <w:sz w:val="22"/>
          <w:szCs w:val="22"/>
          <w:color w:val="auto"/>
        </w:rPr>
        <w:t>the day that is two Business Days prior to the first day of the Interest Period (or if such day is not a Business Day, then on the immediately preceding Business Day) with a term equivalent to such Interest Period;</w:t>
      </w:r>
    </w:p>
    <w:p>
      <w:pPr>
        <w:spacing w:after="0" w:line="158" w:lineRule="exact"/>
        <w:rPr>
          <w:sz w:val="20"/>
          <w:szCs w:val="20"/>
          <w:color w:val="auto"/>
        </w:rPr>
      </w:pPr>
    </w:p>
    <w:p>
      <w:pPr>
        <w:jc w:val="both"/>
        <w:ind w:firstLine="1763"/>
        <w:spacing w:after="0" w:line="236" w:lineRule="auto"/>
        <w:tabs>
          <w:tab w:leader="none" w:pos="264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Eurocurrency Borrowings denominated in Swedish Krona, the rate per annum equal to the Stockholm Interbank Offered Rate or a successor thereto approved by the Administrative Agent (“STIBOR”) as published by Reuters (or such other page or commercially available source providing STIBOR quotations as may be designated by the Administrative Agent from time to time) at or about 11:00 a.m. (Stockholm, Sweden time) on the day that is two Business Days prior to the first day of the Interest Period (or if such day is not a Business Day, then on the immediately preceding Business Day) with a term equivalent to such Interest Period; and</w:t>
      </w:r>
    </w:p>
    <w:p>
      <w:pPr>
        <w:spacing w:after="0" w:line="182" w:lineRule="exact"/>
        <w:rPr>
          <w:rFonts w:ascii="Times New Roman" w:cs="Times New Roman" w:eastAsia="Times New Roman" w:hAnsi="Times New Roman"/>
          <w:sz w:val="22"/>
          <w:szCs w:val="22"/>
          <w:color w:val="auto"/>
        </w:rPr>
      </w:pPr>
    </w:p>
    <w:p>
      <w:pPr>
        <w:ind w:firstLine="1763"/>
        <w:spacing w:after="0" w:line="282" w:lineRule="auto"/>
        <w:tabs>
          <w:tab w:leader="none" w:pos="2619"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all Non-LIBO Quoted Currencies (other than Canadian Dollars, Australian Dollars, New Zealand Dollars or Swedish Krona), the calculation of the applicable reference rate shall be determined in accordance with market practice;</w:t>
      </w:r>
    </w:p>
    <w:p>
      <w:pPr>
        <w:spacing w:after="0" w:line="13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in each case, if such rate is less than zero, such rate shall be deemed to be zero for purposes of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spacing w:after="0" w:line="182"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collectively, this Agreement, the Letter of Credit Documents, the Security Documents and the First Amendment to this Agreement dated as of June 3, 2014, the Second Amendment to this Agreement dated as of June 27, 2014, the Third Amendment to this Agreement dated as of October 17, 2014, the Fourth Amendment to this Agreement dated as of October 2, 2015, the Fifth Amendment to this Agreement dated as of December 22, 2016, the Sixth Amendment to this Agreement dated as of February 20, 2018, the Seventh Amendment to this Agreement dated as of November 5, 2018 and the Eighth Amendment to this Agreement dated as of February 14, 2019.</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loans made by the Lenders to the Borrower pursuant to this Agreement.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means “margin stock” within the meaning of Regulations T, U and X.</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3.04(b)</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377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3773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55"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23</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0" w:name="page181"/>
    <w:bookmarkEnd w:id="180"/>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Administrative Agent and the Lenders thereunder.</w:t>
      </w:r>
    </w:p>
    <w:p>
      <w:pPr>
        <w:spacing w:after="0" w:line="177" w:lineRule="exact"/>
        <w:rPr>
          <w:sz w:val="20"/>
          <w:szCs w:val="20"/>
          <w:color w:val="auto"/>
        </w:rPr>
      </w:pPr>
    </w:p>
    <w:p>
      <w:pPr>
        <w:jc w:val="both"/>
        <w:ind w:firstLine="1755"/>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Indebtedness</w:t>
      </w:r>
      <w:r>
        <w:rPr>
          <w:rFonts w:ascii="Times New Roman" w:cs="Times New Roman" w:eastAsia="Times New Roman" w:hAnsi="Times New Roman"/>
          <w:sz w:val="21"/>
          <w:szCs w:val="21"/>
          <w:color w:val="auto"/>
        </w:rPr>
        <w:t>” means (a) Indebtedness (other than the Loans, Letters of Credit and Hedging Agreements), of any one or more of the Borrower and its Subsidiaries in an aggregate principal amount exceeding $25,000,000 and</w:t>
      </w:r>
    </w:p>
    <w:p>
      <w:pPr>
        <w:spacing w:after="0" w:line="1" w:lineRule="exact"/>
        <w:rPr>
          <w:sz w:val="20"/>
          <w:szCs w:val="20"/>
          <w:color w:val="auto"/>
        </w:rPr>
      </w:pPr>
    </w:p>
    <w:p>
      <w:pPr>
        <w:jc w:val="both"/>
        <w:ind w:firstLine="8"/>
        <w:spacing w:after="0" w:line="235" w:lineRule="auto"/>
        <w:tabs>
          <w:tab w:leader="none" w:pos="31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in respect of one or more Hedging Agreements under which the maximum aggregate amount (giving effect to any netting agreements) that the Borrower and its Subsidiaries would be required to pay if such Hedging Agreement(s) were terminated at such time would exceed $25,000,000.</w:t>
      </w:r>
    </w:p>
    <w:p>
      <w:pPr>
        <w:spacing w:after="0" w:line="178"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Collateral Amount</w:t>
      </w:r>
      <w:r>
        <w:rPr>
          <w:rFonts w:ascii="Times New Roman" w:cs="Times New Roman" w:eastAsia="Times New Roman" w:hAnsi="Times New Roman"/>
          <w:sz w:val="22"/>
          <w:szCs w:val="22"/>
          <w:color w:val="auto"/>
        </w:rPr>
        <w:t>” means, at any time, with respect to Cash Collateral consisting of Cash or deposit account balances, an amount equal to 100% of the Fronting Exposure of each Issuing Bank with respect to Letters of Credit issued and outstanding at such time.</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or any successor thereto.</w:t>
      </w:r>
    </w:p>
    <w:p>
      <w:pPr>
        <w:spacing w:after="0" w:line="206"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Multicurrency Commitment</w:t>
      </w:r>
      <w:r>
        <w:rPr>
          <w:rFonts w:ascii="Times New Roman" w:cs="Times New Roman" w:eastAsia="Times New Roman" w:hAnsi="Times New Roman"/>
          <w:sz w:val="22"/>
          <w:szCs w:val="22"/>
          <w:color w:val="auto"/>
        </w:rPr>
        <w:t xml:space="preserve">” means, with respect to each Multicurrency Lender during such Multicurrency Lender’s Availability Period, the commitment of such Multicurrency Lender to make Syndicated Loans, and to acquire participations in Letters of Credit and Swingline Loans, denominated in Dollars and in Agreed Foreign Currencies hereunder, during such Multicurrency Lender’s Availability Period, expressed as an amount representing the maximum aggregate amount of such Lender’s Revolving Multicurrency Credit Exposure hereunder, as such commitment may be (a) reduced from time to time pursuant to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and (b) reduced or increased from time to time pursuant to assignments by or to such Lender pursuant to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The amount of each Lender’s Multicurrency Commitment as of the Eighth Amendment Effective Date is set forth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or in the Assignment and Assumption pursuant to which such Lender shall have assumed its Multicurrency commitment, as applicable. The aggregate amount of the Lenders’ Multicurrency Commitments as of the Eighth Amendment Effective Date is $975,000,000.</w:t>
      </w:r>
    </w:p>
    <w:p>
      <w:pPr>
        <w:spacing w:after="0" w:line="180" w:lineRule="exact"/>
        <w:rPr>
          <w:sz w:val="20"/>
          <w:szCs w:val="20"/>
          <w:color w:val="auto"/>
        </w:rPr>
      </w:pPr>
    </w:p>
    <w:p>
      <w:pPr>
        <w:jc w:val="both"/>
        <w:ind w:firstLine="1755"/>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Multicurrency LC Exposure</w:t>
      </w:r>
      <w:r>
        <w:rPr>
          <w:rFonts w:ascii="Times New Roman" w:cs="Times New Roman" w:eastAsia="Times New Roman" w:hAnsi="Times New Roman"/>
          <w:sz w:val="21"/>
          <w:szCs w:val="21"/>
          <w:color w:val="auto"/>
        </w:rPr>
        <w:t xml:space="preserve">” means, at any time, the sum of (a) the aggregate undrawn amount of all outstanding Multicurrency Letters of Credit at such time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62"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Multicurrency Lender</w:t>
      </w:r>
      <w:r>
        <w:rPr>
          <w:rFonts w:ascii="Times New Roman" w:cs="Times New Roman" w:eastAsia="Times New Roman" w:hAnsi="Times New Roman"/>
          <w:sz w:val="22"/>
          <w:szCs w:val="22"/>
          <w:color w:val="auto"/>
        </w:rPr>
        <w:t xml:space="preserve">” means the Persons listed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0"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24</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1" w:name="page182"/>
    <w:bookmarkEnd w:id="181"/>
    <w:p>
      <w:pPr>
        <w:ind w:left="1760" w:right="740"/>
        <w:spacing w:after="0" w:line="4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Multicurrency Letters of Credit</w:t>
      </w:r>
      <w:r>
        <w:rPr>
          <w:rFonts w:ascii="Times New Roman" w:cs="Times New Roman" w:eastAsia="Times New Roman" w:hAnsi="Times New Roman"/>
          <w:sz w:val="22"/>
          <w:szCs w:val="22"/>
          <w:color w:val="auto"/>
        </w:rPr>
        <w:t>” means Letters of Credit that utilize the Multicurrency Commitments. “</w:t>
      </w:r>
      <w:r>
        <w:rPr>
          <w:rFonts w:ascii="Times New Roman" w:cs="Times New Roman" w:eastAsia="Times New Roman" w:hAnsi="Times New Roman"/>
          <w:sz w:val="22"/>
          <w:szCs w:val="22"/>
          <w:u w:val="single" w:color="auto"/>
          <w:color w:val="auto"/>
        </w:rPr>
        <w:t>Multicurrency Loan</w:t>
      </w:r>
      <w:r>
        <w:rPr>
          <w:rFonts w:ascii="Times New Roman" w:cs="Times New Roman" w:eastAsia="Times New Roman" w:hAnsi="Times New Roman"/>
          <w:sz w:val="22"/>
          <w:szCs w:val="22"/>
          <w:color w:val="auto"/>
        </w:rPr>
        <w:t>” means a Loan denominated in Dollars or an Agreed Foreign Currency. “</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 “</w:t>
      </w:r>
      <w:r>
        <w:rPr>
          <w:rFonts w:ascii="Times New Roman" w:cs="Times New Roman" w:eastAsia="Times New Roman" w:hAnsi="Times New Roman"/>
          <w:sz w:val="22"/>
          <w:szCs w:val="22"/>
          <w:u w:val="single" w:color="auto"/>
          <w:color w:val="auto"/>
        </w:rPr>
        <w:t>National Currency</w:t>
      </w:r>
      <w:r>
        <w:rPr>
          <w:rFonts w:ascii="Times New Roman" w:cs="Times New Roman" w:eastAsia="Times New Roman" w:hAnsi="Times New Roman"/>
          <w:sz w:val="22"/>
          <w:szCs w:val="22"/>
          <w:color w:val="auto"/>
        </w:rPr>
        <w:t>” means the currency, other than the Euro, of a Participating Member State. “</w:t>
      </w:r>
      <w:r>
        <w:rPr>
          <w:rFonts w:ascii="Times New Roman" w:cs="Times New Roman" w:eastAsia="Times New Roman" w:hAnsi="Times New Roman"/>
          <w:sz w:val="22"/>
          <w:szCs w:val="22"/>
          <w:u w:val="single" w:color="auto"/>
          <w:color w:val="auto"/>
        </w:rPr>
        <w:t>Net Cash Proceeds</w:t>
      </w:r>
      <w:r>
        <w:rPr>
          <w:rFonts w:ascii="Times New Roman" w:cs="Times New Roman" w:eastAsia="Times New Roman" w:hAnsi="Times New Roman"/>
          <w:sz w:val="22"/>
          <w:szCs w:val="22"/>
          <w:color w:val="auto"/>
        </w:rPr>
        <w:t>” means:</w:t>
      </w:r>
    </w:p>
    <w:p>
      <w:pPr>
        <w:spacing w:after="0" w:line="3" w:lineRule="exact"/>
        <w:rPr>
          <w:sz w:val="20"/>
          <w:szCs w:val="20"/>
          <w:color w:val="auto"/>
        </w:rPr>
      </w:pPr>
    </w:p>
    <w:p>
      <w:pPr>
        <w:jc w:val="both"/>
        <w:ind w:firstLine="1763"/>
        <w:spacing w:after="0" w:line="233" w:lineRule="auto"/>
        <w:tabs>
          <w:tab w:leader="none" w:pos="264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amount of any estimated taxes pursuant to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spacing w:after="0" w:line="183" w:lineRule="exact"/>
        <w:rPr>
          <w:rFonts w:ascii="Times New Roman" w:cs="Times New Roman" w:eastAsia="Times New Roman" w:hAnsi="Times New Roman"/>
          <w:sz w:val="22"/>
          <w:szCs w:val="22"/>
          <w:color w:val="auto"/>
        </w:rPr>
      </w:pPr>
    </w:p>
    <w:p>
      <w:pPr>
        <w:jc w:val="both"/>
        <w:ind w:firstLine="1763"/>
        <w:spacing w:after="0" w:line="234" w:lineRule="auto"/>
        <w:tabs>
          <w:tab w:leader="none" w:pos="265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an amount equal to (i) the sum of the cash and Cash Equivalents received in connection with such transaction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sum of (1) reasonable out-of-pocket fees, costs and expenses, incurred by the Borrower or such Subsidiary in connection therewith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any reasonable costs, fees, commissions, premiums, expenses, or underwriting discounts or commissions incurred by the Borrower or any of its Subsidiaries in connection with such sale 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9"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25</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2" w:name="page183"/>
    <w:bookmarkEnd w:id="182"/>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at any time, a Lender that is not a Defaulting Lender at such time.</w:t>
      </w:r>
    </w:p>
    <w:p>
      <w:pPr>
        <w:spacing w:after="0" w:line="206" w:lineRule="exact"/>
        <w:rPr>
          <w:sz w:val="20"/>
          <w:szCs w:val="20"/>
          <w:color w:val="auto"/>
        </w:rPr>
      </w:pPr>
    </w:p>
    <w:p>
      <w:pPr>
        <w:jc w:val="both"/>
        <w:ind w:firstLine="1755"/>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Non-Extended Applicable Margin</w:t>
      </w:r>
      <w:r>
        <w:rPr>
          <w:rFonts w:ascii="Times New Roman" w:cs="Times New Roman" w:eastAsia="Times New Roman" w:hAnsi="Times New Roman"/>
          <w:sz w:val="21"/>
          <w:szCs w:val="21"/>
          <w:color w:val="auto"/>
        </w:rPr>
        <w:t xml:space="preserve">” means, with respect to any Non-Extending Lender: (a) if the Borrowing Base (as of the most recently delivered Borrowing Base Certificate) is equal to or greater than 1.85 times the Combined Debt Amount, (i) with respect to any ABR Loan, 0.75% per annum; and (ii) with respect to any Eurocurrency Loan, 1.75% per annum and (b) if the Borrowing Base (as of the most recently delivered Borrowing Base Certificate) is less than 1.85 times the Combined Debt Amount (i) with respect to any ABR Loan, 1.00% per annum; and (ii) with respect to any Eurocurrency Loan, 2.00% per annum. Any change in the Non-Extended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any Borrowing Base Certificate has not been delivered in accordance with </w:t>
      </w:r>
      <w:r>
        <w:rPr>
          <w:rFonts w:ascii="Times New Roman" w:cs="Times New Roman" w:eastAsia="Times New Roman" w:hAnsi="Times New Roman"/>
          <w:sz w:val="21"/>
          <w:szCs w:val="21"/>
          <w:u w:val="single" w:color="auto"/>
          <w:color w:val="auto"/>
        </w:rPr>
        <w:t>Section 5.01(d)</w:t>
      </w:r>
      <w:r>
        <w:rPr>
          <w:rFonts w:ascii="Times New Roman" w:cs="Times New Roman" w:eastAsia="Times New Roman" w:hAnsi="Times New Roman"/>
          <w:sz w:val="21"/>
          <w:szCs w:val="21"/>
          <w:color w:val="auto"/>
        </w:rPr>
        <w:t xml:space="preserve">, then from and including the day immediately succeeding the date on which such Borrowing Base Certificate was required to be delivered, the Non-Extended Applicable Margin shall be the Non-Extended Applicable Margin set forth in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above to and including the date on which the required Borrowing Base Certificate is delivered.</w:t>
      </w:r>
    </w:p>
    <w:p>
      <w:pPr>
        <w:spacing w:after="0" w:line="178"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Non-Extended Availability Period</w:t>
      </w:r>
      <w:r>
        <w:rPr>
          <w:rFonts w:ascii="Times New Roman" w:cs="Times New Roman" w:eastAsia="Times New Roman" w:hAnsi="Times New Roman"/>
          <w:sz w:val="22"/>
          <w:szCs w:val="22"/>
          <w:color w:val="auto"/>
        </w:rPr>
        <w:t>” means, with respect to any Non-Extending Lender, the period from and including the Effective Date to but excluding the earlier of the Non-Extended Commitment Termination Date for such Non-Extending Lender and the date of termination of the Commitments.</w:t>
      </w:r>
    </w:p>
    <w:p>
      <w:pPr>
        <w:spacing w:after="0" w:line="174"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Non-Extended Commitment Termination Date</w:t>
      </w:r>
      <w:r>
        <w:rPr>
          <w:rFonts w:ascii="Times New Roman" w:cs="Times New Roman" w:eastAsia="Times New Roman" w:hAnsi="Times New Roman"/>
          <w:sz w:val="22"/>
          <w:szCs w:val="22"/>
          <w:color w:val="auto"/>
        </w:rPr>
        <w:t xml:space="preserve">” means, with respect to each Non-Extending Lender, the “Non-Extended Commitment Termination Date” set forth next to such Non-Extending Lender’s name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Non-Extended Final Maturity Date</w:t>
      </w:r>
      <w:r>
        <w:rPr>
          <w:rFonts w:ascii="Times New Roman" w:cs="Times New Roman" w:eastAsia="Times New Roman" w:hAnsi="Times New Roman"/>
          <w:sz w:val="22"/>
          <w:szCs w:val="22"/>
          <w:color w:val="auto"/>
        </w:rPr>
        <w:t xml:space="preserve">” means, with respect to each Non-Extending Lender, the “Non-Extended Final Maturity Date” set forth next to such Non-Extending Lender’s name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Non-Extended Loans</w:t>
      </w:r>
      <w:r>
        <w:rPr>
          <w:rFonts w:ascii="Times New Roman" w:cs="Times New Roman" w:eastAsia="Times New Roman" w:hAnsi="Times New Roman"/>
          <w:sz w:val="22"/>
          <w:szCs w:val="22"/>
          <w:color w:val="auto"/>
        </w:rPr>
        <w:t>” means Loans or Borrowings of any Non-Extending Lender maturing on the Non-Extended Final Maturity Date for such Non-Extending Lender.</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Non-Extending Lender</w:t>
      </w:r>
      <w:r>
        <w:rPr>
          <w:rFonts w:ascii="Times New Roman" w:cs="Times New Roman" w:eastAsia="Times New Roman" w:hAnsi="Times New Roman"/>
          <w:sz w:val="22"/>
          <w:szCs w:val="22"/>
          <w:color w:val="auto"/>
        </w:rPr>
        <w:t xml:space="preserve">” means each Lender designated as a “Non-Extending Lender”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Non-LIBO Quoted Currency</w:t>
      </w:r>
      <w:r>
        <w:rPr>
          <w:rFonts w:ascii="Times New Roman" w:cs="Times New Roman" w:eastAsia="Times New Roman" w:hAnsi="Times New Roman"/>
          <w:sz w:val="22"/>
          <w:szCs w:val="22"/>
          <w:color w:val="auto"/>
        </w:rPr>
        <w:t>” means any currency other than a LIBO Quoted Currency.</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means material non-public information (within the meaning of United States federal, state or other applicable securities laws) with respect to Borrower or its Affiliates or their Securities.</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means, collectively, the Borrower and the Subsidiary Guarantors.</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Currency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3773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3773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55"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26</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3" w:name="page184"/>
    <w:bookmarkEnd w:id="183"/>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Effective Date</w:t>
      </w:r>
      <w:r>
        <w:rPr>
          <w:rFonts w:ascii="Times New Roman" w:cs="Times New Roman" w:eastAsia="Times New Roman" w:hAnsi="Times New Roman"/>
          <w:sz w:val="22"/>
          <w:szCs w:val="22"/>
          <w:color w:val="auto"/>
        </w:rPr>
        <w:t>” means July 3, 2013.</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Covered Indebtedness</w:t>
      </w:r>
      <w:r>
        <w:rPr>
          <w:rFonts w:ascii="Times New Roman" w:cs="Times New Roman" w:eastAsia="Times New Roman" w:hAnsi="Times New Roman"/>
          <w:sz w:val="22"/>
          <w:szCs w:val="22"/>
          <w:color w:val="auto"/>
        </w:rPr>
        <w:t xml:space="preserve">” means, collectively, Secured Longer-Term Indebtedness, Secured Shorter-Term Indebtedness and Unsecured Shorter-Term Indebtedness; provided that “Other Covered Indebtedness” shall not include any Indebtedness secured by a Lien on Portfolio Investments permitted under </w:t>
      </w:r>
      <w:r>
        <w:rPr>
          <w:rFonts w:ascii="Times New Roman" w:cs="Times New Roman" w:eastAsia="Times New Roman" w:hAnsi="Times New Roman"/>
          <w:sz w:val="22"/>
          <w:szCs w:val="22"/>
          <w:u w:val="single" w:color="auto"/>
          <w:color w:val="auto"/>
        </w:rPr>
        <w:t>Section 6.02(e)</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Permitted Indebtedness</w:t>
      </w:r>
      <w:r>
        <w:rPr>
          <w:rFonts w:ascii="Times New Roman" w:cs="Times New Roman" w:eastAsia="Times New Roman" w:hAnsi="Times New Roman"/>
          <w:sz w:val="22"/>
          <w:szCs w:val="22"/>
          <w:color w:val="auto"/>
        </w:rPr>
        <w:t xml:space="preserve">”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securities transactions,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Times New Roman" w:cs="Times New Roman" w:eastAsia="Times New Roman" w:hAnsi="Times New Roman"/>
          <w:sz w:val="22"/>
          <w:szCs w:val="22"/>
          <w:u w:val="single" w:color="auto"/>
          <w:color w:val="auto"/>
        </w:rPr>
        <w:t>clause (l)</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xml:space="preserve">” 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(i) any such taxes, charges or similar levies resulting from an assignment by any Lender in accordance with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hereof (unless such assignment is made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2.18(b)</w:t>
      </w:r>
      <w:r>
        <w:rPr>
          <w:rFonts w:ascii="Times New Roman" w:cs="Times New Roman" w:eastAsia="Times New Roman" w:hAnsi="Times New Roman"/>
          <w:sz w:val="22"/>
          <w:szCs w:val="22"/>
          <w:color w:val="auto"/>
        </w:rPr>
        <w:t xml:space="preserve"> ) or (ii) 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spacing w:after="0" w:line="18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9.04(f)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9.04(f)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Participating Member State</w:t>
      </w:r>
      <w:r>
        <w:rPr>
          <w:rFonts w:ascii="Times New Roman" w:cs="Times New Roman" w:eastAsia="Times New Roman" w:hAnsi="Times New Roman"/>
          <w:sz w:val="21"/>
          <w:szCs w:val="21"/>
          <w:color w:val="auto"/>
        </w:rPr>
        <w:t>” means any member state of the European Community that adopts or has adopted the Euro as its lawful currency in accordance with the legislation of the European Union relating to the European Monetary Union.</w:t>
      </w:r>
    </w:p>
    <w:p>
      <w:pPr>
        <w:spacing w:after="0" w:line="135"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referred to and defined in ERISA and any successor entity performing similar functions.</w:t>
      </w:r>
    </w:p>
    <w:p>
      <w:pPr>
        <w:spacing w:after="0" w:line="158"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Equity Interests</w:t>
      </w:r>
      <w:r>
        <w:rPr>
          <w:rFonts w:ascii="Times New Roman" w:cs="Times New Roman" w:eastAsia="Times New Roman" w:hAnsi="Times New Roman"/>
          <w:sz w:val="22"/>
          <w:szCs w:val="22"/>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74"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(a) Liens imposed by any Governmental Authority for taxes, assessments or charges not yet due or that are being contested in good faith and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3773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3773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7"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27</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4" w:name="page185"/>
    <w:bookmarkEnd w:id="184"/>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Times New Roman" w:cs="Times New Roman" w:eastAsia="Times New Roman" w:hAnsi="Times New Roman"/>
          <w:sz w:val="22"/>
          <w:szCs w:val="22"/>
          <w:u w:val="single" w:color="auto"/>
          <w:color w:val="auto"/>
        </w:rPr>
        <w:t>clause (l)</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(i) deposits of money securing leases to which Borrower is a party as lessee made in the ordinary course of business; (j) easements, rights of way, zoning restrictions and similar encumbrances on real property and minor irregularities in the title thereto that do not (i) secure obligations for the payment of money or (ii) materially impair the value of such property or its use by any Obligor or any of its Subsidiaries in the normal conduct of such Person’s business; and (k) Liens in favor of any escrow agent solely on and in respect of any cash earnest money deposits made by any Obligor in connection with any letter of intent or purchase agreement (to the extent that the acquisition or disposition with respect thereto is otherwise permitted hereunder).</w:t>
      </w:r>
    </w:p>
    <w:p>
      <w:pPr>
        <w:spacing w:after="0" w:line="177" w:lineRule="exact"/>
        <w:rPr>
          <w:sz w:val="20"/>
          <w:szCs w:val="20"/>
          <w:color w:val="auto"/>
        </w:rPr>
      </w:pPr>
    </w:p>
    <w:p>
      <w:pPr>
        <w:jc w:val="both"/>
        <w:ind w:firstLine="1755"/>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Policy Amendment</w:t>
      </w:r>
      <w:r>
        <w:rPr>
          <w:rFonts w:ascii="Times New Roman" w:cs="Times New Roman" w:eastAsia="Times New Roman" w:hAnsi="Times New Roman"/>
          <w:sz w:val="21"/>
          <w:szCs w:val="21"/>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materially adverse to the rights, remedies or interests of the Lenders in the reasonable discretion of the Administrative Agent (for the avoidance of doubt, no change, alteration, expansion, amendment, modification, termination or restatement of the Investment Policies shall be deemed “material” if investment size proportionately increases as the size of the Borrower’s capital base changes.</w:t>
      </w:r>
    </w:p>
    <w:p>
      <w:pPr>
        <w:spacing w:after="0" w:line="171"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SBIC Guarantee</w:t>
      </w:r>
      <w:r>
        <w:rPr>
          <w:rFonts w:ascii="Times New Roman" w:cs="Times New Roman" w:eastAsia="Times New Roman" w:hAnsi="Times New Roman"/>
          <w:sz w:val="22"/>
          <w:szCs w:val="22"/>
          <w:color w:val="auto"/>
        </w:rPr>
        <w:t>” means a guarantee by the Borrower of Indebtedness of an SBIC Subsidiary on the SBA’s then applicable form, provided that the recourse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3773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3773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7"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28</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5" w:name="page186"/>
    <w:bookmarkEnd w:id="185"/>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Borrower thereunder is expressly limited only to periods after the occurrence of an event or condition that is an impermissible change in the control of such SBIC Subsidiary (it being understood that, as provided in </w:t>
      </w:r>
      <w:r>
        <w:rPr>
          <w:rFonts w:ascii="Times New Roman" w:cs="Times New Roman" w:eastAsia="Times New Roman" w:hAnsi="Times New Roman"/>
          <w:sz w:val="22"/>
          <w:szCs w:val="22"/>
          <w:u w:val="single" w:color="auto"/>
          <w:color w:val="auto"/>
        </w:rPr>
        <w:t>clause (s)</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it shall be an Event of Default hereunder if any such event or condition giving rise to such recourse occurs).</w:t>
      </w:r>
    </w:p>
    <w:p>
      <w:pPr>
        <w:spacing w:after="0" w:line="174"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58"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means has the meaning set forth in </w:t>
      </w:r>
      <w:r>
        <w:rPr>
          <w:rFonts w:ascii="Times New Roman" w:cs="Times New Roman" w:eastAsia="Times New Roman" w:hAnsi="Times New Roman"/>
          <w:sz w:val="22"/>
          <w:szCs w:val="22"/>
          <w:u w:val="single" w:color="auto"/>
          <w:color w:val="auto"/>
        </w:rPr>
        <w:t>Section 5.01(i)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Investment</w:t>
      </w:r>
      <w:r>
        <w:rPr>
          <w:rFonts w:ascii="Times New Roman" w:cs="Times New Roman" w:eastAsia="Times New Roman" w:hAnsi="Times New Roman"/>
          <w:sz w:val="22"/>
          <w:szCs w:val="22"/>
          <w:color w:val="auto"/>
        </w:rPr>
        <w:t>” means any Investment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 (d) any Investment, which if debt, is an obligation (other than a revolving loan or delayed draw term loan) pursuant to which any future advances or payments to the Obligor may be required to be made by the Borrower; (e) any Investment which is made to a bankrupt entity (other than a debtor-in-possession financing and current pay obligations); and (f) any Investment, Cash or account in which a Financing Subsidiary has an interest.</w:t>
      </w:r>
    </w:p>
    <w:p>
      <w:pPr>
        <w:spacing w:after="0" w:line="180" w:lineRule="exact"/>
        <w:rPr>
          <w:sz w:val="20"/>
          <w:szCs w:val="20"/>
          <w:color w:val="auto"/>
        </w:rPr>
      </w:pPr>
    </w:p>
    <w:p>
      <w:pPr>
        <w:ind w:right="410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xml:space="preserve">” means the rate which is quoted as the “prime rate” in the print edition of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Money Rates Section.</w:t>
      </w:r>
    </w:p>
    <w:p>
      <w:pPr>
        <w:spacing w:after="0" w:line="158" w:lineRule="exact"/>
        <w:rPr>
          <w:sz w:val="20"/>
          <w:szCs w:val="20"/>
          <w:color w:val="auto"/>
        </w:rPr>
      </w:pPr>
    </w:p>
    <w:p>
      <w:pPr>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Financial Center</w:t>
      </w:r>
      <w:r>
        <w:rPr>
          <w:rFonts w:ascii="Times New Roman" w:cs="Times New Roman" w:eastAsia="Times New Roman" w:hAnsi="Times New Roman"/>
          <w:sz w:val="22"/>
          <w:szCs w:val="22"/>
          <w:color w:val="auto"/>
        </w:rPr>
        <w:t>” means, in the case of any Currency, the principal financial center where such Currency is cleared and settled, as determined by the Administrative Agent.</w:t>
      </w:r>
    </w:p>
    <w:p>
      <w:pPr>
        <w:spacing w:after="0" w:line="158" w:lineRule="exact"/>
        <w:rPr>
          <w:sz w:val="20"/>
          <w:szCs w:val="20"/>
          <w:color w:val="auto"/>
        </w:rPr>
      </w:pPr>
    </w:p>
    <w:p>
      <w:pPr>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58" w:lineRule="exact"/>
        <w:rPr>
          <w:sz w:val="20"/>
          <w:szCs w:val="20"/>
          <w:color w:val="auto"/>
        </w:rPr>
      </w:pPr>
    </w:p>
    <w:p>
      <w:pPr>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means Lenders that do not wish to receive Non-Public Information with respect to the Borrower or any of its Subsidiaries or their Securities.</w:t>
      </w:r>
    </w:p>
    <w:p>
      <w:pPr>
        <w:spacing w:after="0" w:line="158" w:lineRule="exact"/>
        <w:rPr>
          <w:sz w:val="20"/>
          <w:szCs w:val="20"/>
          <w:color w:val="auto"/>
        </w:rPr>
      </w:pPr>
    </w:p>
    <w:p>
      <w:pPr>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Dates</w:t>
      </w:r>
      <w:r>
        <w:rPr>
          <w:rFonts w:ascii="Times New Roman" w:cs="Times New Roman" w:eastAsia="Times New Roman" w:hAnsi="Times New Roman"/>
          <w:sz w:val="22"/>
          <w:szCs w:val="22"/>
          <w:color w:val="auto"/>
        </w:rPr>
        <w:t>” means the last Business Day of March, June, September and December in each year, commencing on September 30, 2013.</w:t>
      </w:r>
    </w:p>
    <w:p>
      <w:pPr>
        <w:spacing w:after="0" w:line="158" w:lineRule="exact"/>
        <w:rPr>
          <w:sz w:val="20"/>
          <w:szCs w:val="20"/>
          <w:color w:val="auto"/>
        </w:rPr>
      </w:pPr>
    </w:p>
    <w:p>
      <w:pPr>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Quoted Investments</w:t>
      </w:r>
      <w:r>
        <w:rPr>
          <w:rFonts w:ascii="Times New Roman" w:cs="Times New Roman" w:eastAsia="Times New Roman" w:hAnsi="Times New Roman"/>
          <w:sz w:val="22"/>
          <w:szCs w:val="22"/>
          <w:color w:val="auto"/>
        </w:rPr>
        <w:t xml:space="preserve">” means a Portfolio Investment with a value assigned by the Borrower pursuant to </w:t>
      </w:r>
      <w:r>
        <w:rPr>
          <w:rFonts w:ascii="Times New Roman" w:cs="Times New Roman" w:eastAsia="Times New Roman" w:hAnsi="Times New Roman"/>
          <w:sz w:val="22"/>
          <w:szCs w:val="22"/>
          <w:u w:val="single" w:color="auto"/>
          <w:color w:val="auto"/>
        </w:rPr>
        <w:t>Section 5.12(b)(ii)(A)</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3773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3773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7"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29</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6" w:name="page187"/>
    <w:bookmarkEnd w:id="186"/>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9.04(c)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the Registration Statement filed by the Borrower with the Securities and Exchange Commission on March 14, 2011.</w:t>
      </w:r>
    </w:p>
    <w:p>
      <w:pPr>
        <w:spacing w:after="0" w:line="158"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Regulations D, T, U and X</w:t>
      </w:r>
      <w:r>
        <w:rPr>
          <w:rFonts w:ascii="Times New Roman" w:cs="Times New Roman" w:eastAsia="Times New Roman" w:hAnsi="Times New Roman"/>
          <w:sz w:val="22"/>
          <w:szCs w:val="22"/>
          <w:color w:val="auto"/>
        </w:rPr>
        <w:t>” means, respectively, Regulations D, T, U and X of the Board of Governors of the Federal Reserve System (or any successor), as the same may be modified and supplemented and in effect from time to time.</w:t>
      </w:r>
    </w:p>
    <w:p>
      <w:pPr>
        <w:spacing w:after="0" w:line="158"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specified Person, such Person’s Affiliates and the respective partners, directors, officers, employees, agents and advisors of such Person and such Person’s Affiliates.</w:t>
      </w:r>
    </w:p>
    <w:p>
      <w:pPr>
        <w:spacing w:after="0" w:line="154" w:lineRule="exact"/>
        <w:rPr>
          <w:sz w:val="20"/>
          <w:szCs w:val="20"/>
          <w:color w:val="auto"/>
        </w:rPr>
      </w:pPr>
    </w:p>
    <w:p>
      <w:pPr>
        <w:jc w:val="both"/>
        <w:ind w:right="20" w:firstLine="1755"/>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u w:val="single" w:color="auto"/>
          <w:color w:val="auto"/>
        </w:rPr>
        <w:t>Relevant Available Funds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means the sum (without duplication) of (a) the aggregate undrawn capital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commitments of the Borrower’s equity holders to the Borrower,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available to be drawn under any committed facilities, including, for the avoidance of doubt, this Agreement, for which all applicable conditions to availability could be satisfied at such time.</w:t>
      </w:r>
    </w:p>
    <w:p>
      <w:pPr>
        <w:spacing w:after="0" w:line="176"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means, at any time, Lenders having Revolving Credit Exposures and unused Commitments representing more than 50% of the sum of the total Revolving Credit Exposures and unused Commitments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Lenders having Revolving Credit Exposures and unused Commitments of such Class representing more than 50% of the sum of the total Revolving Credit Exposures and unused Commitments of such Class at such time. Notwithstanding the foregoing, the Revolving Credit Exposure and unused Commitments of any Defaulting Lender shall be disregarded in the determination of Required Lenders or Required Lenders of a Class.</w:t>
      </w:r>
    </w:p>
    <w:p>
      <w:pPr>
        <w:spacing w:after="0" w:line="179"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the chief executive officer, president, chief financial officer, treasurer, assistant treasurer or controller of an Obligor.</w:t>
      </w:r>
    </w:p>
    <w:p>
      <w:pPr>
        <w:spacing w:after="0" w:line="158"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 shall constitute a Restricted Payment hereunder).</w:t>
      </w:r>
    </w:p>
    <w:p>
      <w:pPr>
        <w:spacing w:after="0" w:line="184"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Return of Capital</w:t>
      </w:r>
      <w:r>
        <w:rPr>
          <w:rFonts w:ascii="Times New Roman" w:cs="Times New Roman" w:eastAsia="Times New Roman" w:hAnsi="Times New Roman"/>
          <w:sz w:val="22"/>
          <w:szCs w:val="22"/>
          <w:color w:val="auto"/>
        </w:rPr>
        <w:t xml:space="preserve">” means (a) any net cash amount received by any Obligor in respect of the outstanding principal of any Portfolio Investment (whether at stated maturity, by acceleration or otherwise), (b) without duplication of amounts received under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any net cash proceeds received by any Obligor from the sale of any property or assets pledged as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9">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0"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30</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7" w:name="page188"/>
    <w:bookmarkEnd w:id="187"/>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net of any fees, costs, expenses and taxes payable with respect thereto).</w:t>
      </w:r>
    </w:p>
    <w:p>
      <w:pPr>
        <w:spacing w:after="0" w:line="184" w:lineRule="exact"/>
        <w:rPr>
          <w:sz w:val="20"/>
          <w:szCs w:val="20"/>
          <w:color w:val="auto"/>
        </w:rPr>
      </w:pPr>
    </w:p>
    <w:p>
      <w:pPr>
        <w:jc w:val="both"/>
        <w:ind w:firstLine="1755"/>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Exposure</w:t>
      </w:r>
      <w:r>
        <w:rPr>
          <w:rFonts w:ascii="Times New Roman" w:cs="Times New Roman" w:eastAsia="Times New Roman" w:hAnsi="Times New Roman"/>
          <w:sz w:val="21"/>
          <w:szCs w:val="21"/>
          <w:color w:val="auto"/>
        </w:rPr>
        <w:t>” means, with respect to any Lender at any time, the sum of the outstanding principal amount of such Lender’s Revolving Dollar Credit Exposure and Revolving Multicurrency Credit Exposure at such time.</w:t>
      </w:r>
    </w:p>
    <w:p>
      <w:pPr>
        <w:spacing w:after="0" w:line="135"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Dollar Credit Exposure</w:t>
      </w:r>
      <w:r>
        <w:rPr>
          <w:rFonts w:ascii="Times New Roman" w:cs="Times New Roman" w:eastAsia="Times New Roman" w:hAnsi="Times New Roman"/>
          <w:sz w:val="22"/>
          <w:szCs w:val="22"/>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174"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Multicurrency Credit Exposure</w:t>
      </w:r>
      <w:r>
        <w:rPr>
          <w:rFonts w:ascii="Times New Roman" w:cs="Times New Roman" w:eastAsia="Times New Roman" w:hAnsi="Times New Roman"/>
          <w:sz w:val="22"/>
          <w:szCs w:val="22"/>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74"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Percentage</w:t>
      </w:r>
      <w:r>
        <w:rPr>
          <w:rFonts w:ascii="Times New Roman" w:cs="Times New Roman" w:eastAsia="Times New Roman" w:hAnsi="Times New Roman"/>
          <w:sz w:val="22"/>
          <w:szCs w:val="22"/>
          <w:color w:val="auto"/>
        </w:rPr>
        <w:t>” means, as of any date of determination, the result, expressed as a percentage, of the Revolving Credit Exposure on such date divided by the aggregate outstanding Covered Debt Amount on such date.</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RIC</w:t>
      </w:r>
      <w:r>
        <w:rPr>
          <w:rFonts w:ascii="Times New Roman" w:cs="Times New Roman" w:eastAsia="Times New Roman" w:hAnsi="Times New Roman"/>
          <w:sz w:val="22"/>
          <w:szCs w:val="22"/>
          <w:color w:val="auto"/>
        </w:rPr>
        <w:t>” means a person qualifying for treatment as a “regulated investment company” under the Code.</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S&amp;P Global Ratings or any successor thereto.</w:t>
      </w:r>
    </w:p>
    <w:p>
      <w:pPr>
        <w:spacing w:after="0" w:line="206" w:lineRule="exact"/>
        <w:rPr>
          <w:sz w:val="20"/>
          <w:szCs w:val="20"/>
          <w:color w:val="auto"/>
        </w:rPr>
      </w:pPr>
    </w:p>
    <w:p>
      <w:pPr>
        <w:jc w:val="both"/>
        <w:ind w:right="20"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territory or region that is the subject or the target of country-wide or territory-wide Sanctions broadly prohibiting dealings with such country, territory or region (currently, Cuba, Crimea and Sevastopol, Iran, North Korea and Syria).</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3.15(a)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SBA</w:t>
      </w:r>
      <w:r>
        <w:rPr>
          <w:rFonts w:ascii="Times New Roman" w:cs="Times New Roman" w:eastAsia="Times New Roman" w:hAnsi="Times New Roman"/>
          <w:sz w:val="22"/>
          <w:szCs w:val="22"/>
          <w:color w:val="auto"/>
        </w:rPr>
        <w:t>” means the United States Small Business Administration.</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SBIC Equity Commitment</w:t>
      </w:r>
      <w:r>
        <w:rPr>
          <w:rFonts w:ascii="Times New Roman" w:cs="Times New Roman" w:eastAsia="Times New Roman" w:hAnsi="Times New Roman"/>
          <w:sz w:val="22"/>
          <w:szCs w:val="22"/>
          <w:color w:val="auto"/>
        </w:rPr>
        <w:t>” means a commitment by the Borrower to make one or more capital contributions to an SBIC Subsidiary.</w:t>
      </w:r>
    </w:p>
    <w:p>
      <w:pPr>
        <w:spacing w:after="0" w:line="158"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SBIC Subsidiary</w:t>
      </w:r>
      <w:r>
        <w:rPr>
          <w:rFonts w:ascii="Times New Roman" w:cs="Times New Roman" w:eastAsia="Times New Roman" w:hAnsi="Times New Roman"/>
          <w:sz w:val="22"/>
          <w:szCs w:val="22"/>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3773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3773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31</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8" w:name="page189"/>
    <w:bookmarkEnd w:id="188"/>
    <w:p>
      <w:pPr>
        <w:jc w:val="both"/>
        <w:spacing w:after="0" w:line="234" w:lineRule="auto"/>
        <w:rPr>
          <w:sz w:val="20"/>
          <w:szCs w:val="20"/>
          <w:color w:val="auto"/>
        </w:rPr>
      </w:pPr>
      <w:r>
        <w:rPr>
          <w:rFonts w:ascii="Times New Roman" w:cs="Times New Roman" w:eastAsia="Times New Roman" w:hAnsi="Times New Roman"/>
          <w:sz w:val="22"/>
          <w:szCs w:val="22"/>
          <w:color w:val="auto"/>
        </w:rPr>
        <w:t>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80"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Debt Amount</w:t>
      </w:r>
      <w:r>
        <w:rPr>
          <w:rFonts w:ascii="Times New Roman" w:cs="Times New Roman" w:eastAsia="Times New Roman" w:hAnsi="Times New Roman"/>
          <w:sz w:val="22"/>
          <w:szCs w:val="22"/>
          <w:color w:val="auto"/>
        </w:rPr>
        <w:t>” means, on any date, the aggregate amount of all Secured Longer-Term Indebtedness and Secured Shorter-Term Indebtedness on such date (other than the obligations owed under the Loan Documents, including the Revolving Credit Exposure.</w:t>
      </w:r>
    </w:p>
    <w:p>
      <w:pPr>
        <w:spacing w:after="0" w:line="174" w:lineRule="exact"/>
        <w:rPr>
          <w:sz w:val="20"/>
          <w:szCs w:val="20"/>
          <w:color w:val="auto"/>
        </w:rPr>
      </w:pPr>
    </w:p>
    <w:p>
      <w:pPr>
        <w:jc w:val="both"/>
        <w:ind w:firstLine="1755"/>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Longer-Term Indebtedness</w:t>
      </w:r>
      <w:r>
        <w:rPr>
          <w:rFonts w:ascii="Times New Roman" w:cs="Times New Roman" w:eastAsia="Times New Roman" w:hAnsi="Times New Roman"/>
          <w:sz w:val="22"/>
          <w:szCs w:val="22"/>
          <w:color w:val="auto"/>
        </w:rPr>
        <w:t xml:space="preserve">” means, as at any date, Indebtedness (other than Indebtedness hereunder) of an Obligor (which may be Guaranteed by Subsidiary Guarantors) that (a) has no scheduled amortization prior to, and a final maturity date not earlier than, six months after the Extended Final Maturity Date (it being understood that none of: (w) the conversion features under convertible notes; (x) the triggering and/or settlement thereof; or (y) any cash payment made in respect thereof , shall constitute “amortization” for purposes of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Longer-Term Indebtedness shall have become a party to the Guarantee and Security Agreement and assumed the obligations of a Financing Agent or Designated Indebtedness Holder (in each case, as defined in the Guarantee and Security Agreement).</w:t>
      </w:r>
    </w:p>
    <w:p>
      <w:pPr>
        <w:spacing w:after="0" w:line="186"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Shorter-Term Indebtedness</w:t>
      </w:r>
      <w:r>
        <w:rPr>
          <w:rFonts w:ascii="Times New Roman" w:cs="Times New Roman" w:eastAsia="Times New Roman" w:hAnsi="Times New Roman"/>
          <w:sz w:val="22"/>
          <w:szCs w:val="22"/>
          <w:color w:val="auto"/>
        </w:rPr>
        <w:t xml:space="preserve">” 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Times New Roman" w:cs="Times New Roman" w:eastAsia="Times New Roman" w:hAnsi="Times New Roman"/>
          <w:sz w:val="22"/>
          <w:szCs w:val="22"/>
          <w:u w:val="single" w:color="auto"/>
          <w:color w:val="auto"/>
        </w:rPr>
        <w:t>Section 6.11(a)</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3773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3773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8"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32</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9" w:name="page190"/>
    <w:bookmarkEnd w:id="189"/>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82"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Shareholders’ Equity</w:t>
      </w:r>
      <w:r>
        <w:rPr>
          <w:rFonts w:ascii="Times New Roman" w:cs="Times New Roman" w:eastAsia="Times New Roman" w:hAnsi="Times New Roman"/>
          <w:sz w:val="22"/>
          <w:szCs w:val="22"/>
          <w:color w:val="auto"/>
        </w:rPr>
        <w:t>” means, at any date, the amount determined on a consolidated basis, without duplication, in accordance with GAAP, of shareholders equity for the Borrower and its Subsidiaries at such date.</w:t>
      </w:r>
    </w:p>
    <w:p>
      <w:pPr>
        <w:spacing w:after="0" w:line="158"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 Subsidiary</w:t>
      </w:r>
      <w:r>
        <w:rPr>
          <w:rFonts w:ascii="Times New Roman" w:cs="Times New Roman" w:eastAsia="Times New Roman" w:hAnsi="Times New Roman"/>
          <w:sz w:val="22"/>
          <w:szCs w:val="22"/>
          <w:color w:val="auto"/>
        </w:rPr>
        <w:t>” 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spacing w:after="0" w:line="181" w:lineRule="exact"/>
        <w:rPr>
          <w:sz w:val="20"/>
          <w:szCs w:val="20"/>
          <w:color w:val="auto"/>
        </w:rPr>
      </w:pPr>
    </w:p>
    <w:p>
      <w:pPr>
        <w:jc w:val="both"/>
        <w:ind w:firstLine="1763"/>
        <w:spacing w:after="0" w:line="238" w:lineRule="auto"/>
        <w:tabs>
          <w:tab w:leader="none" w:pos="264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77" w:lineRule="exact"/>
        <w:rPr>
          <w:rFonts w:ascii="Times New Roman" w:cs="Times New Roman" w:eastAsia="Times New Roman" w:hAnsi="Times New Roman"/>
          <w:sz w:val="22"/>
          <w:szCs w:val="22"/>
          <w:color w:val="auto"/>
        </w:rPr>
      </w:pPr>
    </w:p>
    <w:p>
      <w:pPr>
        <w:jc w:val="both"/>
        <w:ind w:firstLine="1763"/>
        <w:spacing w:after="0" w:line="239" w:lineRule="auto"/>
        <w:tabs>
          <w:tab w:leader="none" w:pos="2655"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spacing w:after="0" w:line="180" w:lineRule="exact"/>
        <w:rPr>
          <w:rFonts w:ascii="Times New Roman" w:cs="Times New Roman" w:eastAsia="Times New Roman" w:hAnsi="Times New Roman"/>
          <w:sz w:val="22"/>
          <w:szCs w:val="22"/>
          <w:color w:val="auto"/>
        </w:rPr>
      </w:pPr>
    </w:p>
    <w:p>
      <w:pPr>
        <w:ind w:firstLine="1763"/>
        <w:spacing w:after="0" w:line="258" w:lineRule="auto"/>
        <w:tabs>
          <w:tab w:leader="none" w:pos="264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which no Obligor has any obligation to maintain or preserve such entity’s financial condition or cause such entity to achieve certain levels of operating results.</w:t>
      </w:r>
    </w:p>
    <w:p>
      <w:pPr>
        <w:spacing w:after="0" w:line="158"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81"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Equity Interest</w:t>
      </w:r>
      <w:r>
        <w:rPr>
          <w:rFonts w:ascii="Times New Roman" w:cs="Times New Roman" w:eastAsia="Times New Roman" w:hAnsi="Times New Roman"/>
          <w:sz w:val="22"/>
          <w:szCs w:val="22"/>
          <w:color w:val="auto"/>
        </w:rPr>
        <w:t xml:space="preserve">” means any Equity Interest that is subject to a Lien in favor of creditors of the issuer of such Equity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Lien was created to secure Indebtedness owing by such issuer to such creditors, (b) such Indebtedness was (i) in existence at the time the Obligors acquired such Equity Interest, (ii) incurred or assumed by such issuer substantially contemporaneously with such acquisition or (iii) already subject to a Lien granted to such creditors and (c) unless such Equity Interest is not intended to be included in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3773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3773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6"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33</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2"/>
          <w:szCs w:val="22"/>
          <w:color w:val="auto"/>
        </w:rPr>
        <w:t>the documentation creating or governing such Lien does not prohibit the inclusion of such Equity Interest in the Collateral.</w:t>
      </w:r>
    </w:p>
    <w:p>
      <w:pPr>
        <w:spacing w:after="0" w:line="206"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Unsecured Indebtedness</w:t>
      </w:r>
      <w:r>
        <w:rPr>
          <w:rFonts w:ascii="Times New Roman" w:cs="Times New Roman" w:eastAsia="Times New Roman" w:hAnsi="Times New Roman"/>
          <w:sz w:val="22"/>
          <w:szCs w:val="22"/>
          <w:color w:val="auto"/>
        </w:rPr>
        <w:t xml:space="preserve">” means Indebtedness of an Obligor issued after the Eighth Amendment Effective Date (which may be Guaranteed by Subsidiary Guarantors) that (a) has no amortization prior to, and a final maturity date not earlier than, five years from the date such Indebtedness is issued (it being understood that none of: (w) the conversion features under convertible notes; (x) the triggering and/or settlement thereof or (y) any cash payment made in respect thereof, shall constitute “amortization” for purposes of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(b) is incurred pursuant to documentation containing (i) covenants and events of default that are not materially more burdensome on the Borrower than those set forth in the Loan Documents or (ii) terms substantially comparable to market terms for substantially similar debt of other similarly situated borrowers as determined by the Borrower in its reasonable judgment and (c) is not secured by any assets of any Obligor;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Special Unsecured Indebtedness shall not include any Indebtedness permitted pursuant to </w:t>
      </w:r>
      <w:r>
        <w:rPr>
          <w:rFonts w:ascii="Times New Roman" w:cs="Times New Roman" w:eastAsia="Times New Roman" w:hAnsi="Times New Roman"/>
          <w:sz w:val="22"/>
          <w:szCs w:val="22"/>
          <w:u w:val="single" w:color="auto"/>
          <w:color w:val="auto"/>
        </w:rPr>
        <w:t>Section 6.01(l)</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Securitization Undertakings</w:t>
      </w:r>
      <w:r>
        <w:rPr>
          <w:rFonts w:ascii="Times New Roman" w:cs="Times New Roman" w:eastAsia="Times New Roman" w:hAnsi="Times New Roman"/>
          <w:sz w:val="22"/>
          <w:szCs w:val="22"/>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82"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Statutory Reserve Rate</w:t>
      </w:r>
      <w:r>
        <w:rPr>
          <w:rFonts w:ascii="Times New Roman" w:cs="Times New Roman" w:eastAsia="Times New Roman" w:hAnsi="Times New Roman"/>
          <w:sz w:val="21"/>
          <w:szCs w:val="21"/>
          <w:color w:val="auto"/>
        </w:rPr>
        <w:t xml:space="preserve">” means, for the Interest Period for any Eurocurrency Borrowing, a fraction (expressed as a decimal), the numerator of which is the number one and the denominator of which is the number one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the arithmetic mean, taken over each day in such Interest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76"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3773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1">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3773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8"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34</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1" w:name="page192"/>
    <w:bookmarkEnd w:id="191"/>
    <w:p>
      <w:pPr>
        <w:jc w:val="both"/>
        <w:spacing w:after="0" w:line="244" w:lineRule="auto"/>
        <w:rPr>
          <w:sz w:val="20"/>
          <w:szCs w:val="20"/>
          <w:color w:val="auto"/>
        </w:rPr>
      </w:pPr>
      <w:r>
        <w:rPr>
          <w:rFonts w:ascii="Times New Roman" w:cs="Times New Roman" w:eastAsia="Times New Roman" w:hAnsi="Times New Roman"/>
          <w:sz w:val="22"/>
          <w:szCs w:val="22"/>
          <w:color w:val="auto"/>
        </w:rPr>
        <w:t>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74"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Guarantor</w:t>
      </w:r>
      <w:r>
        <w:rPr>
          <w:rFonts w:ascii="Times New Roman" w:cs="Times New Roman" w:eastAsia="Times New Roman" w:hAnsi="Times New Roman"/>
          <w:sz w:val="22"/>
          <w:szCs w:val="22"/>
          <w:color w:val="auto"/>
        </w:rPr>
        <w:t>” means any Subsidiary that is a Guarantor under the Guarantee and Security Agreement. It is understood and agreed that no Financing Subsidiary, Immaterial Subsidiary or Foreign Subsidiary shall be a Subsidiary Guarantor.</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SunTrust</w:t>
      </w:r>
      <w:r>
        <w:rPr>
          <w:rFonts w:ascii="Times New Roman" w:cs="Times New Roman" w:eastAsia="Times New Roman" w:hAnsi="Times New Roman"/>
          <w:sz w:val="22"/>
          <w:szCs w:val="22"/>
          <w:color w:val="auto"/>
        </w:rPr>
        <w:t>” means SunTrust Bank.</w:t>
      </w:r>
    </w:p>
    <w:p>
      <w:pPr>
        <w:spacing w:after="0" w:line="206"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Exposure</w:t>
      </w:r>
      <w:r>
        <w:rPr>
          <w:rFonts w:ascii="Times New Roman" w:cs="Times New Roman" w:eastAsia="Times New Roman" w:hAnsi="Times New Roman"/>
          <w:sz w:val="22"/>
          <w:szCs w:val="22"/>
          <w:color w:val="auto"/>
        </w:rPr>
        <w:t>” means, at any time, the aggregate principal amount of all Swingline Loans outstanding at such time. The Swingline Exposure of any Lender at any time shall be the sum of (i) its Applicable Dollar Percentage of the total Swingline Exposure incurred under the Dollar Commitments and (ii) its Applicable Multicurrency Percentage of the total Swingline Exposure at such time incurred under the Multicurrency Commitments.</w:t>
      </w:r>
    </w:p>
    <w:p>
      <w:pPr>
        <w:spacing w:after="0" w:line="181"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Lender</w:t>
      </w:r>
      <w:r>
        <w:rPr>
          <w:rFonts w:ascii="Times New Roman" w:cs="Times New Roman" w:eastAsia="Times New Roman" w:hAnsi="Times New Roman"/>
          <w:sz w:val="22"/>
          <w:szCs w:val="22"/>
          <w:color w:val="auto"/>
        </w:rPr>
        <w:t xml:space="preserve">” means any of SunTrust or JPMorgan Chase Bank, N.A., in its capacity as lender of Swingline Loans hereunder, and its successors in such capacity as provided in </w:t>
      </w:r>
      <w:r>
        <w:rPr>
          <w:rFonts w:ascii="Times New Roman" w:cs="Times New Roman" w:eastAsia="Times New Roman" w:hAnsi="Times New Roman"/>
          <w:sz w:val="22"/>
          <w:szCs w:val="22"/>
          <w:u w:val="single" w:color="auto"/>
          <w:color w:val="auto"/>
        </w:rPr>
        <w:t>Section 2.04(d)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Loan</w:t>
      </w:r>
      <w:r>
        <w:rPr>
          <w:rFonts w:ascii="Times New Roman" w:cs="Times New Roman" w:eastAsia="Times New Roman" w:hAnsi="Times New Roman"/>
          <w:sz w:val="22"/>
          <w:szCs w:val="22"/>
          <w:color w:val="auto"/>
        </w:rPr>
        <w:t xml:space="preserve">” means a Loan made pursuant to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Syndicated</w:t>
      </w:r>
      <w:r>
        <w:rPr>
          <w:rFonts w:ascii="Times New Roman" w:cs="Times New Roman" w:eastAsia="Times New Roman" w:hAnsi="Times New Roman"/>
          <w:sz w:val="22"/>
          <w:szCs w:val="22"/>
          <w:color w:val="auto"/>
        </w:rPr>
        <w:t xml:space="preserve">”, when used in reference to any Loan or Borrowing, refers to whether such Loan, or the Loans constituting such Borrowing, are made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jc w:val="both"/>
        <w:ind w:right="20"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means the earliest to occur of (i) the Extended Final Maturity Date, (ii) the date of the termination of the Commitments in full pursuant to </w:t>
      </w:r>
      <w:r>
        <w:rPr>
          <w:rFonts w:ascii="Times New Roman" w:cs="Times New Roman" w:eastAsia="Times New Roman" w:hAnsi="Times New Roman"/>
          <w:sz w:val="22"/>
          <w:szCs w:val="22"/>
          <w:u w:val="single" w:color="auto"/>
          <w:color w:val="auto"/>
        </w:rPr>
        <w:t>Section 2.08(c)</w:t>
      </w:r>
      <w:r>
        <w:rPr>
          <w:rFonts w:ascii="Times New Roman" w:cs="Times New Roman" w:eastAsia="Times New Roman" w:hAnsi="Times New Roman"/>
          <w:sz w:val="22"/>
          <w:szCs w:val="22"/>
          <w:color w:val="auto"/>
        </w:rPr>
        <w:t xml:space="preserve">, or (iii) the date on which the Commitments are terminated pursuant to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Testing Period</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5.12(b)(ii)(E)(x)</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Testing Quarter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5.12(b)(ii)(B)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Assets</w:t>
      </w:r>
      <w:r>
        <w:rPr>
          <w:rFonts w:ascii="Times New Roman" w:cs="Times New Roman" w:eastAsia="Times New Roman" w:hAnsi="Times New Roman"/>
          <w:sz w:val="22"/>
          <w:szCs w:val="22"/>
          <w:color w:val="auto"/>
        </w:rPr>
        <w:t>” means, as of any date of determination, the value of the total assets of the Obligors on a consolidated basis, less all liabilities and indebtedness not represented by senior securities, in each case, as of such date of determination.</w:t>
      </w:r>
    </w:p>
    <w:p>
      <w:pPr>
        <w:spacing w:after="0" w:line="174"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Assets Concentration Limitation</w:t>
      </w:r>
      <w:r>
        <w:rPr>
          <w:rFonts w:ascii="Times New Roman" w:cs="Times New Roman" w:eastAsia="Times New Roman" w:hAnsi="Times New Roman"/>
          <w:sz w:val="22"/>
          <w:szCs w:val="22"/>
          <w:color w:val="auto"/>
        </w:rPr>
        <w:t>” means, as of any date of determination, the amount by which the aggregate value of Equity Interests in Financing Subsidiaries held by the Obligors as of such date of determination exceeds 10% of the Total Assets as of such 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3773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3773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35</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2" w:name="page193"/>
    <w:bookmarkEnd w:id="192"/>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Secured Debt</w:t>
      </w:r>
      <w:r>
        <w:rPr>
          <w:rFonts w:ascii="Times New Roman" w:cs="Times New Roman" w:eastAsia="Times New Roman" w:hAnsi="Times New Roman"/>
          <w:sz w:val="22"/>
          <w:szCs w:val="22"/>
          <w:color w:val="auto"/>
        </w:rPr>
        <w:t>” means, as of any date of determination, the aggregate amount of senior securities representing secured indebtedness of the Obligors as of such date of determination.</w:t>
      </w:r>
    </w:p>
    <w:p>
      <w:pPr>
        <w:spacing w:after="0" w:line="158"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execution, delivery and performance by the Borrower of this Agreement and the other Loan Documents, the borrowing of Loans, the use of the proceeds thereof and the issuance of Letters of Credit hereunder.</w:t>
      </w:r>
    </w:p>
    <w:p>
      <w:pPr>
        <w:spacing w:after="0" w:line="158" w:lineRule="exact"/>
        <w:rPr>
          <w:sz w:val="20"/>
          <w:szCs w:val="20"/>
          <w:color w:val="auto"/>
        </w:rPr>
      </w:pPr>
    </w:p>
    <w:p>
      <w:pPr>
        <w:jc w:val="both"/>
        <w:ind w:firstLine="1755"/>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Type</w:t>
      </w:r>
      <w:r>
        <w:rPr>
          <w:rFonts w:ascii="Times New Roman" w:cs="Times New Roman" w:eastAsia="Times New Roman" w:hAnsi="Times New Roman"/>
          <w:sz w:val="21"/>
          <w:szCs w:val="21"/>
          <w:color w:val="auto"/>
        </w:rPr>
        <w:t>”, when used in reference to any Loan or Borrowing, refers to whether the rate of interest on such Loan, or on the Loans constituting such Borrowing, is determined by reference to the Adjusted LIBO Rate or the Alternate Base Rate.</w:t>
      </w:r>
    </w:p>
    <w:p>
      <w:pPr>
        <w:spacing w:after="0" w:line="135"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Undisclosed Administration</w:t>
      </w:r>
      <w:r>
        <w:rPr>
          <w:rFonts w:ascii="Times New Roman" w:cs="Times New Roman" w:eastAsia="Times New Roman" w:hAnsi="Times New Roman"/>
          <w:sz w:val="22"/>
          <w:szCs w:val="22"/>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Uniform Commercial Code</w:t>
      </w:r>
      <w:r>
        <w:rPr>
          <w:rFonts w:ascii="Times New Roman" w:cs="Times New Roman" w:eastAsia="Times New Roman" w:hAnsi="Times New Roman"/>
          <w:sz w:val="21"/>
          <w:szCs w:val="21"/>
          <w:color w:val="auto"/>
        </w:rPr>
        <w:t>” means the Uniform Commercial Code as in effect from time to time in the State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New York.</w:t>
      </w:r>
    </w:p>
    <w:p>
      <w:pPr>
        <w:spacing w:after="0" w:line="182" w:lineRule="exact"/>
        <w:rPr>
          <w:sz w:val="20"/>
          <w:szCs w:val="20"/>
          <w:color w:val="auto"/>
        </w:rPr>
      </w:pPr>
    </w:p>
    <w:p>
      <w:pPr>
        <w:jc w:val="both"/>
        <w:ind w:firstLine="1755"/>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Unsecured Longer-Term Indebtedness</w:t>
      </w:r>
      <w:r>
        <w:rPr>
          <w:rFonts w:ascii="Times New Roman" w:cs="Times New Roman" w:eastAsia="Times New Roman" w:hAnsi="Times New Roman"/>
          <w:sz w:val="21"/>
          <w:szCs w:val="21"/>
          <w:color w:val="auto"/>
        </w:rPr>
        <w:t xml:space="preserve">” means any Indebtedness of an Obligor (which may be Guaranteed by Subsidiary Guarantors) that (a) has no amortization prior to, and a final maturity date not earlier than, six months after the Extended Final Maturity Date (it being understood that none of : (w) the conversion features under convertible notes; (x) the triggering and/or settlement thereof or (y) any cash payment made in respect thereof, shall constitute “amortization” for purposes of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8"/>
        <w:spacing w:after="0" w:line="235" w:lineRule="auto"/>
        <w:tabs>
          <w:tab w:leader="none" w:pos="32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spacing w:after="0" w:line="178"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Unsecured Shorter-Term Indebtedness</w:t>
      </w:r>
      <w:r>
        <w:rPr>
          <w:rFonts w:ascii="Times New Roman" w:cs="Times New Roman" w:eastAsia="Times New Roman" w:hAnsi="Times New Roman"/>
          <w:sz w:val="22"/>
          <w:szCs w:val="22"/>
          <w:color w:val="auto"/>
        </w:rPr>
        <w:t xml:space="preserve">” 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Times New Roman" w:cs="Times New Roman" w:eastAsia="Times New Roman" w:hAnsi="Times New Roman"/>
          <w:sz w:val="22"/>
          <w:szCs w:val="22"/>
          <w:u w:val="single" w:color="auto"/>
          <w:color w:val="auto"/>
        </w:rPr>
        <w:t>Section 6.11(a)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Unsecured Shorter-Term Indebtedness shall not include any Indebtedness permitted pursuant to </w:t>
      </w:r>
      <w:r>
        <w:rPr>
          <w:rFonts w:ascii="Times New Roman" w:cs="Times New Roman" w:eastAsia="Times New Roman" w:hAnsi="Times New Roman"/>
          <w:sz w:val="22"/>
          <w:szCs w:val="22"/>
          <w:u w:val="single" w:color="auto"/>
          <w:color w:val="auto"/>
        </w:rPr>
        <w:t>Section 6.01(l)</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Unquoted Investments</w:t>
      </w:r>
      <w:r>
        <w:rPr>
          <w:rFonts w:ascii="Times New Roman" w:cs="Times New Roman" w:eastAsia="Times New Roman" w:hAnsi="Times New Roman"/>
          <w:sz w:val="22"/>
          <w:szCs w:val="22"/>
          <w:color w:val="auto"/>
        </w:rPr>
        <w:t xml:space="preserve">” means a Portfolio Investment with a value assigned by the Borrower pursuant to </w:t>
      </w:r>
      <w:r>
        <w:rPr>
          <w:rFonts w:ascii="Times New Roman" w:cs="Times New Roman" w:eastAsia="Times New Roman" w:hAnsi="Times New Roman"/>
          <w:sz w:val="22"/>
          <w:szCs w:val="22"/>
          <w:u w:val="single" w:color="auto"/>
          <w:color w:val="auto"/>
        </w:rPr>
        <w:t>Section 5.12(b)(ii)(B)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w:t>
      </w:r>
      <w:r>
        <w:rPr>
          <w:rFonts w:ascii="Times New Roman" w:cs="Times New Roman" w:eastAsia="Times New Roman" w:hAnsi="Times New Roman"/>
          <w:sz w:val="22"/>
          <w:szCs w:val="22"/>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any Person that is a “United States Person” as defined in Section 7701(a)(30)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3773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3773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1"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36</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3" w:name="page194"/>
    <w:bookmarkEnd w:id="193"/>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I of Subtitle E of Title IV of ERISA.</w:t>
      </w:r>
    </w:p>
    <w:p>
      <w:pPr>
        <w:spacing w:after="0" w:line="158" w:lineRule="exact"/>
        <w:rPr>
          <w:sz w:val="20"/>
          <w:szCs w:val="20"/>
          <w:color w:val="auto"/>
        </w:rPr>
      </w:pPr>
    </w:p>
    <w:p>
      <w:pPr>
        <w:jc w:val="both"/>
        <w:ind w:firstLine="1755"/>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Write-Down and Conversion Powers</w:t>
      </w:r>
      <w:r>
        <w:rPr>
          <w:rFonts w:ascii="Times New Roman" w:cs="Times New Roman" w:eastAsia="Times New Roman" w:hAnsi="Times New Roman"/>
          <w:sz w:val="21"/>
          <w:szCs w:val="21"/>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55"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Classification of Loans and Borrowings</w:t>
      </w:r>
      <w:r>
        <w:rPr>
          <w:rFonts w:ascii="Times New Roman" w:cs="Times New Roman" w:eastAsia="Times New Roman" w:hAnsi="Times New Roman"/>
          <w:sz w:val="22"/>
          <w:szCs w:val="22"/>
          <w:color w:val="auto"/>
        </w:rPr>
        <w:t>. For purposes of this Agreement, Loans may be classified and referred to by Class (e.g., a “Syndicated Dollar Loan” or “Syndicated Multicurrency Loan”), by Type (e.g., an “ABR Loan”) or by Class and Type (e.g., a “Syndicated Multicurrency LIBOR Loan”). Borrowings also may be classified and referred to by Class (e.g., a “Dollar Borrowing”, “Multicurrency Borrowing” or “Syndicated Borrowing”), by Type (e.g., an “ABR Borrowing”) or by Class and Type (e.g., a “Syndicated ABR Borrowing” or “Syndicated Multicurrency LIBOR Borrowing”). Loans and Borrowings may also be identified by Currency.</w:t>
      </w:r>
    </w:p>
    <w:p>
      <w:pPr>
        <w:spacing w:after="0" w:line="182"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u w:val="single" w:color="auto"/>
          <w:color w:val="auto"/>
        </w:rPr>
        <w:t>Terms Generally</w:t>
      </w:r>
      <w:r>
        <w:rPr>
          <w:rFonts w:ascii="Times New Roman" w:cs="Times New Roman" w:eastAsia="Times New Roman" w:hAnsi="Times New Roman"/>
          <w:sz w:val="21"/>
          <w:szCs w:val="21"/>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w:t>
      </w:r>
    </w:p>
    <w:p>
      <w:pPr>
        <w:spacing w:after="0" w:line="2" w:lineRule="exact"/>
        <w:rPr>
          <w:sz w:val="20"/>
          <w:szCs w:val="20"/>
          <w:color w:val="auto"/>
        </w:rPr>
      </w:pPr>
    </w:p>
    <w:p>
      <w:pPr>
        <w:jc w:val="both"/>
        <w:ind w:firstLine="8"/>
        <w:spacing w:after="0" w:line="234" w:lineRule="auto"/>
        <w:tabs>
          <w:tab w:leader="none" w:pos="32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78"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Accounting Terms; GAAP</w:t>
      </w:r>
      <w:r>
        <w:rPr>
          <w:rFonts w:ascii="Times New Roman" w:cs="Times New Roman" w:eastAsia="Times New Roman" w:hAnsi="Times New Roman"/>
          <w:sz w:val="22"/>
          <w:szCs w:val="22"/>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3773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3773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3"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37</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4" w:name="page195"/>
    <w:bookmarkEnd w:id="194"/>
    <w:p>
      <w:pPr>
        <w:jc w:val="both"/>
        <w:spacing w:after="0" w:line="245" w:lineRule="auto"/>
        <w:rPr>
          <w:sz w:val="20"/>
          <w:szCs w:val="20"/>
          <w:color w:val="auto"/>
        </w:rPr>
      </w:pPr>
      <w:r>
        <w:rPr>
          <w:rFonts w:ascii="Times New Roman" w:cs="Times New Roman" w:eastAsia="Times New Roman" w:hAnsi="Times New Roman"/>
          <w:sz w:val="21"/>
          <w:szCs w:val="21"/>
          <w:color w:val="auto"/>
        </w:rPr>
        <w:t>applied immediately before such change shall have become effective until such notice shall have been withdrawn or such provision amended in accordance herewith and (b) all leases that are or would have been treated as operating leases for purposes of GAAP prior to the issuance on February 25, 2016 of the Accounting Standards Update (the “</w:t>
      </w:r>
      <w:r>
        <w:rPr>
          <w:rFonts w:ascii="Times New Roman" w:cs="Times New Roman" w:eastAsia="Times New Roman" w:hAnsi="Times New Roman"/>
          <w:sz w:val="21"/>
          <w:szCs w:val="21"/>
          <w:u w:val="single" w:color="auto"/>
          <w:color w:val="auto"/>
        </w:rPr>
        <w:t>ASU</w:t>
      </w:r>
      <w:r>
        <w:rPr>
          <w:rFonts w:ascii="Times New Roman" w:cs="Times New Roman" w:eastAsia="Times New Roman" w:hAnsi="Times New Roman"/>
          <w:sz w:val="21"/>
          <w:szCs w:val="21"/>
          <w:color w:val="auto"/>
        </w:rPr>
        <w:t>”)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17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Currencies; Currency Equivalents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2" w:lineRule="auto"/>
        <w:tabs>
          <w:tab w:leader="none" w:pos="264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Currencies Generally</w:t>
      </w:r>
      <w:r>
        <w:rPr>
          <w:rFonts w:ascii="Times New Roman" w:cs="Times New Roman" w:eastAsia="Times New Roman" w:hAnsi="Times New Roman"/>
          <w:sz w:val="22"/>
          <w:szCs w:val="22"/>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and the last sentence of </w:t>
      </w:r>
      <w:r>
        <w:rPr>
          <w:rFonts w:ascii="Times New Roman" w:cs="Times New Roman" w:eastAsia="Times New Roman" w:hAnsi="Times New Roman"/>
          <w:sz w:val="22"/>
          <w:szCs w:val="22"/>
          <w:u w:val="single" w:color="auto"/>
          <w:color w:val="auto"/>
        </w:rPr>
        <w:t>Section 2.17(a)</w:t>
      </w:r>
      <w:r>
        <w:rPr>
          <w:rFonts w:ascii="Times New Roman" w:cs="Times New Roman" w:eastAsia="Times New Roman" w:hAnsi="Times New Roman"/>
          <w:sz w:val="22"/>
          <w:szCs w:val="22"/>
          <w:color w:val="auto"/>
        </w:rPr>
        <w:t xml:space="preserve">,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Notwithstanding the foregoing, for purposes of determining compliance with any basket in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6.03(g)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6.04(f)</w:t>
      </w:r>
      <w:r>
        <w:rPr>
          <w:rFonts w:ascii="Times New Roman" w:cs="Times New Roman" w:eastAsia="Times New Roman" w:hAnsi="Times New Roman"/>
          <w:sz w:val="22"/>
          <w:szCs w:val="22"/>
          <w:color w:val="auto"/>
        </w:rPr>
        <w:t>, in no event shall the Borrower or any Obligor be deemed to not be in compliance with any such basket solely as a result of a change in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3773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3773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7"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38</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5" w:name="page196"/>
    <w:bookmarkEnd w:id="195"/>
    <w:p>
      <w:pPr>
        <w:jc w:val="both"/>
        <w:ind w:firstLine="1763"/>
        <w:spacing w:after="0" w:line="233" w:lineRule="auto"/>
        <w:tabs>
          <w:tab w:leader="none" w:pos="2655"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Provisions Relating to Euro</w:t>
      </w:r>
      <w:r>
        <w:rPr>
          <w:rFonts w:ascii="Times New Roman" w:cs="Times New Roman" w:eastAsia="Times New Roman" w:hAnsi="Times New Roman"/>
          <w:sz w:val="22"/>
          <w:szCs w:val="22"/>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Borrowing denominated in such currency that is outstanding immediately prior to such date, such replacement shall take effect at the end of the Interest Period therefor.</w:t>
      </w:r>
    </w:p>
    <w:p>
      <w:pPr>
        <w:spacing w:after="0" w:line="184"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CREDITS</w:t>
      </w:r>
    </w:p>
    <w:p>
      <w:pPr>
        <w:spacing w:after="0" w:line="20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The Commitments</w:t>
      </w:r>
      <w:r>
        <w:rPr>
          <w:rFonts w:ascii="Times New Roman" w:cs="Times New Roman" w:eastAsia="Times New Roman" w:hAnsi="Times New Roman"/>
          <w:sz w:val="22"/>
          <w:szCs w:val="22"/>
          <w:color w:val="auto"/>
        </w:rPr>
        <w:t>. Subject to the terms and conditions set forth herein:</w:t>
      </w:r>
    </w:p>
    <w:p>
      <w:pPr>
        <w:spacing w:after="0" w:line="206" w:lineRule="exact"/>
        <w:rPr>
          <w:sz w:val="20"/>
          <w:szCs w:val="20"/>
          <w:color w:val="auto"/>
        </w:rPr>
      </w:pPr>
    </w:p>
    <w:p>
      <w:pPr>
        <w:jc w:val="both"/>
        <w:ind w:firstLine="1763"/>
        <w:spacing w:after="0" w:line="238" w:lineRule="auto"/>
        <w:tabs>
          <w:tab w:leader="none" w:pos="264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Dollar Lender severally agrees to make Syndicated Loans in Dollars to the Borrower from time to time during such Dollar Lender’s Availability Period in an aggregate principal amount that will not result in (i) such Lender’s Revolving Dollar Credit Exposure exceeding such Lender’s Dollar Commitment, (ii) the aggregate Revolving Dollar Credit Exposure of all of the Dollar Lenders with Dollar Commitments then in effect exceeding the aggregate Dollar Commitments at such time or (iii) the total Covered Debt Amount exceeding the Borrowing Base then in effect; and</w:t>
      </w:r>
    </w:p>
    <w:p>
      <w:pPr>
        <w:spacing w:after="0" w:line="177"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5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Multicurrency Lender severally agrees to make Syndicated Loans in Dollars and in Agreed Foreign Currencies to the Borrower from time to time during such Multicurrency Lender’s Availability Period in an aggregate principal amount that will not result in (i) such Lender’s Revolving Multicurrency Credit Exposure exceeding such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3773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3773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39</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6" w:name="page197"/>
    <w:bookmarkEnd w:id="196"/>
    <w:p>
      <w:pPr>
        <w:jc w:val="both"/>
        <w:spacing w:after="0" w:line="244" w:lineRule="auto"/>
        <w:rPr>
          <w:sz w:val="20"/>
          <w:szCs w:val="20"/>
          <w:color w:val="auto"/>
        </w:rPr>
      </w:pPr>
      <w:r>
        <w:rPr>
          <w:rFonts w:ascii="Times New Roman" w:cs="Times New Roman" w:eastAsia="Times New Roman" w:hAnsi="Times New Roman"/>
          <w:sz w:val="22"/>
          <w:szCs w:val="22"/>
          <w:color w:val="auto"/>
        </w:rPr>
        <w:t>Multicurrency Commitment, (ii) the aggregate Revolving Multicurrency Credit Exposure of all of the Multicurrency Lenders with Multicurrency Commitments then in effect exceeding the aggregate Multicurrency Commitments at such time or (iii) the total Covered Debt Amount exceeding the Borrowing Base then in effect.</w:t>
      </w:r>
    </w:p>
    <w:p>
      <w:pPr>
        <w:spacing w:after="0" w:line="174"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Within the foregoing limits and subject to the terms and conditions set forth herein, the Borrower may borrow, prepay and reborrow Syndicated Loans.</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Loans and Borrowings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6" w:lineRule="auto"/>
        <w:tabs>
          <w:tab w:leader="none" w:pos="264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of Lenders</w:t>
      </w:r>
      <w:r>
        <w:rPr>
          <w:rFonts w:ascii="Times New Roman" w:cs="Times New Roman" w:eastAsia="Times New Roman" w:hAnsi="Times New Roman"/>
          <w:sz w:val="22"/>
          <w:szCs w:val="22"/>
          <w:color w:val="auto"/>
        </w:rPr>
        <w:t xml:space="preserve">. Each Syndicated Loan shall be made as part of a Borrowing consisting of Loans of the same Class of Commitments (other than with respect to any Syndicated Loan requested pursuant to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Commitments of the Lenders are several and no Lender shall be responsible for any other Lender’s failure to make Loans as required.</w:t>
      </w:r>
    </w:p>
    <w:p>
      <w:pPr>
        <w:spacing w:after="0" w:line="182" w:lineRule="exact"/>
        <w:rPr>
          <w:rFonts w:ascii="Times New Roman" w:cs="Times New Roman" w:eastAsia="Times New Roman" w:hAnsi="Times New Roman"/>
          <w:sz w:val="22"/>
          <w:szCs w:val="22"/>
          <w:color w:val="auto"/>
        </w:rPr>
      </w:pPr>
    </w:p>
    <w:p>
      <w:pPr>
        <w:jc w:val="both"/>
        <w:ind w:firstLine="1763"/>
        <w:spacing w:after="0" w:line="238" w:lineRule="auto"/>
        <w:tabs>
          <w:tab w:leader="none" w:pos="265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Type of Loans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each Syndicated Borrowing of a Class shall be constituted entirely of ABR Loans or of Eurocurrency Loans of such Class denominated in a single Currency as the Borrower may request in accordance herewith. Each ABR Loan shall be denominated in Dollars. Each Lender at its option may make any Eurocurrency Loan by causing any domestic or foreign branch or Affiliate of such Lender to make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in accordance with the terms of this Agreement.</w:t>
      </w:r>
    </w:p>
    <w:p>
      <w:pPr>
        <w:spacing w:after="0" w:line="177" w:lineRule="exact"/>
        <w:rPr>
          <w:rFonts w:ascii="Times New Roman" w:cs="Times New Roman" w:eastAsia="Times New Roman" w:hAnsi="Times New Roman"/>
          <w:sz w:val="22"/>
          <w:szCs w:val="22"/>
          <w:color w:val="auto"/>
        </w:rPr>
      </w:pPr>
    </w:p>
    <w:p>
      <w:pPr>
        <w:jc w:val="both"/>
        <w:ind w:firstLine="1763"/>
        <w:spacing w:after="0" w:line="236" w:lineRule="auto"/>
        <w:tabs>
          <w:tab w:leader="none" w:pos="264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 xml:space="preserve">. Each Eurocurrency Borrowing shall be in an aggregate amount of $1,000,000 or a larger multiple of $1,000,000, and each ABR Borrowing (whether Syndicated or Swingline) shall be in an aggregate amount of $1,000,000 or a larger multiple of $100,000;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Times New Roman" w:cs="Times New Roman" w:eastAsia="Times New Roman" w:hAnsi="Times New Roman"/>
          <w:sz w:val="22"/>
          <w:szCs w:val="22"/>
          <w:u w:val="single" w:color="auto"/>
          <w:color w:val="auto"/>
        </w:rPr>
        <w:t>Section 2.05(f)</w:t>
      </w:r>
      <w:r>
        <w:rPr>
          <w:rFonts w:ascii="Times New Roman" w:cs="Times New Roman" w:eastAsia="Times New Roman" w:hAnsi="Times New Roman"/>
          <w:sz w:val="22"/>
          <w:szCs w:val="22"/>
          <w:color w:val="auto"/>
        </w:rPr>
        <w:t>. Borrowings of more than one Class, Currency and Type may be outstanding at the same time.</w:t>
      </w:r>
    </w:p>
    <w:p>
      <w:pPr>
        <w:spacing w:after="0" w:line="182"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5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Interest Periods</w:t>
      </w:r>
      <w:r>
        <w:rPr>
          <w:rFonts w:ascii="Times New Roman" w:cs="Times New Roman" w:eastAsia="Times New Roman" w:hAnsi="Times New Roman"/>
          <w:sz w:val="22"/>
          <w:szCs w:val="22"/>
          <w:color w:val="auto"/>
        </w:rPr>
        <w:t>. Notwithstanding any other provision of this Agreement, the Borrower shall not be entitled to request (or to elect to convert to or continue as a Eurocurrency Borrowing) any Borrowing if the Interest Period requested therefor would end after the Final Maturity Date with respect to such Borrowing.</w:t>
      </w:r>
    </w:p>
    <w:p>
      <w:pPr>
        <w:spacing w:after="0" w:line="173" w:lineRule="exact"/>
        <w:rPr>
          <w:rFonts w:ascii="Times New Roman" w:cs="Times New Roman" w:eastAsia="Times New Roman" w:hAnsi="Times New Roman"/>
          <w:sz w:val="22"/>
          <w:szCs w:val="22"/>
          <w:color w:val="auto"/>
        </w:rPr>
      </w:pPr>
    </w:p>
    <w:p>
      <w:pPr>
        <w:jc w:val="both"/>
        <w:ind w:firstLine="1763"/>
        <w:spacing w:after="0" w:line="251" w:lineRule="auto"/>
        <w:tabs>
          <w:tab w:leader="none" w:pos="2643"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Classes</w:t>
      </w:r>
      <w:r>
        <w:rPr>
          <w:rFonts w:ascii="Times New Roman" w:cs="Times New Roman" w:eastAsia="Times New Roman" w:hAnsi="Times New Roman"/>
          <w:sz w:val="21"/>
          <w:szCs w:val="21"/>
          <w:color w:val="auto"/>
        </w:rPr>
        <w:t>. Notwithstanding anything to the contrary contained herein, with respect to each Syndicated Loan, Swingline Loan or Letter of Credit designated in Dollars (including any Loan requested pursuant to Section 2.20),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3773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23773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18"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40</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7" w:name="page198"/>
    <w:bookmarkEnd w:id="197"/>
    <w:p>
      <w:pPr>
        <w:ind w:left="1760"/>
        <w:spacing w:after="0"/>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Requests for Syndicated Borrowings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5" w:lineRule="auto"/>
        <w:tabs>
          <w:tab w:leader="none" w:pos="2643"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by the Borrower</w:t>
      </w:r>
      <w:r>
        <w:rPr>
          <w:rFonts w:ascii="Times New Roman" w:cs="Times New Roman" w:eastAsia="Times New Roman" w:hAnsi="Times New Roman"/>
          <w:sz w:val="22"/>
          <w:szCs w:val="22"/>
          <w:color w:val="auto"/>
        </w:rPr>
        <w:t>. To request a Syndicated Borrowing, the Borrower shall notify the Administrative Agent of such request by telephone (i) in the case of a Eurocurrency Borrowing denominated in Dollars, not later than 11:00 a.m., Atlanta, Georgia time, three Business Days before the date of the proposed Borrowing, (ii) in the case of a Eurocurrency Borrowing denominated in a Foreign Currency, not later than 11:00 a.m., Atlanta, Georgia time, four Business Days before the date of the proposed Borrowing or (iii) in the case of a Syndicated ABR Borrowing, not later than 11:00 a.m., Atlanta, Georgia time, on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179" w:lineRule="exact"/>
        <w:rPr>
          <w:rFonts w:ascii="Times New Roman" w:cs="Times New Roman" w:eastAsia="Times New Roman" w:hAnsi="Times New Roman"/>
          <w:sz w:val="22"/>
          <w:szCs w:val="22"/>
          <w:color w:val="auto"/>
        </w:rPr>
      </w:pPr>
    </w:p>
    <w:p>
      <w:pPr>
        <w:ind w:firstLine="1763"/>
        <w:spacing w:after="0" w:line="258" w:lineRule="auto"/>
        <w:tabs>
          <w:tab w:leader="none" w:pos="2655"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Content of Borrowing Requests</w:t>
      </w:r>
      <w:r>
        <w:rPr>
          <w:rFonts w:ascii="Times New Roman" w:cs="Times New Roman" w:eastAsia="Times New Roman" w:hAnsi="Times New Roman"/>
          <w:sz w:val="22"/>
          <w:szCs w:val="22"/>
          <w:color w:val="auto"/>
        </w:rPr>
        <w:t xml:space="preserve">. Each telephonic and written Borrowing Request shall specify the following information in compliance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2540" w:hanging="844"/>
        <w:spacing w:after="0"/>
        <w:tabs>
          <w:tab w:leader="none" w:pos="25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Borrowing is to be made under the Dollar Commitments or the Multicurrency</w:t>
      </w:r>
    </w:p>
    <w:p>
      <w:pPr>
        <w:spacing w:after="0" w:line="14" w:lineRule="exact"/>
        <w:rPr>
          <w:rFonts w:ascii="Times New Roman" w:cs="Times New Roman" w:eastAsia="Times New Roman" w:hAnsi="Times New Roman"/>
          <w:sz w:val="22"/>
          <w:szCs w:val="22"/>
          <w:color w:val="auto"/>
        </w:rPr>
      </w:pPr>
    </w:p>
    <w:p>
      <w:pPr>
        <w:ind w:left="8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Commitments;</w:t>
      </w:r>
    </w:p>
    <w:p>
      <w:pPr>
        <w:spacing w:after="0" w:line="182" w:lineRule="exact"/>
        <w:rPr>
          <w:rFonts w:ascii="Times New Roman" w:cs="Times New Roman" w:eastAsia="Times New Roman" w:hAnsi="Times New Roman"/>
          <w:sz w:val="22"/>
          <w:szCs w:val="22"/>
          <w:color w:val="auto"/>
        </w:rPr>
      </w:pPr>
    </w:p>
    <w:p>
      <w:pPr>
        <w:ind w:left="2600" w:hanging="904"/>
        <w:spacing w:after="0"/>
        <w:tabs>
          <w:tab w:leader="none" w:pos="26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and Currency of the requested Borrowing;</w:t>
      </w:r>
    </w:p>
    <w:p>
      <w:pPr>
        <w:spacing w:after="0" w:line="206" w:lineRule="exact"/>
        <w:rPr>
          <w:rFonts w:ascii="Times New Roman" w:cs="Times New Roman" w:eastAsia="Times New Roman" w:hAnsi="Times New Roman"/>
          <w:sz w:val="22"/>
          <w:szCs w:val="22"/>
          <w:color w:val="auto"/>
        </w:rPr>
      </w:pPr>
    </w:p>
    <w:p>
      <w:pPr>
        <w:ind w:left="2660" w:hanging="964"/>
        <w:spacing w:after="0"/>
        <w:tabs>
          <w:tab w:leader="none" w:pos="26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such Borrowing, which shall be a Business Day;</w:t>
      </w:r>
    </w:p>
    <w:p>
      <w:pPr>
        <w:spacing w:after="0" w:line="206" w:lineRule="exact"/>
        <w:rPr>
          <w:rFonts w:ascii="Times New Roman" w:cs="Times New Roman" w:eastAsia="Times New Roman" w:hAnsi="Times New Roman"/>
          <w:sz w:val="22"/>
          <w:szCs w:val="22"/>
          <w:color w:val="auto"/>
        </w:rPr>
      </w:pPr>
    </w:p>
    <w:p>
      <w:pPr>
        <w:ind w:left="880" w:right="20" w:firstLine="816"/>
        <w:spacing w:after="0" w:line="258" w:lineRule="auto"/>
        <w:tabs>
          <w:tab w:leader="none" w:pos="265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Syndicated Borrowing denominated in Dollars, whether such Borrowing is to be an ABR Borrowing or a Eurocurrency Borrowing;</w:t>
      </w:r>
    </w:p>
    <w:p>
      <w:pPr>
        <w:spacing w:after="0" w:line="158" w:lineRule="exact"/>
        <w:rPr>
          <w:rFonts w:ascii="Times New Roman" w:cs="Times New Roman" w:eastAsia="Times New Roman" w:hAnsi="Times New Roman"/>
          <w:sz w:val="22"/>
          <w:szCs w:val="22"/>
          <w:color w:val="auto"/>
        </w:rPr>
      </w:pPr>
    </w:p>
    <w:p>
      <w:pPr>
        <w:ind w:left="880" w:firstLine="816"/>
        <w:spacing w:after="0" w:line="258" w:lineRule="auto"/>
        <w:tabs>
          <w:tab w:leader="none" w:pos="259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Eurocurrency Borrowing, the Interest Period therefor, which shall be a period contemplated by the definition of the term “Interest Period” and permitted under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color w:val="auto"/>
        </w:rPr>
      </w:pPr>
    </w:p>
    <w:p>
      <w:pPr>
        <w:ind w:left="2660" w:hanging="964"/>
        <w:spacing w:after="0"/>
        <w:tabs>
          <w:tab w:leader="none" w:pos="26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location and number of the Borrower’s account to which funds are to be disbursed.</w:t>
      </w:r>
    </w:p>
    <w:p>
      <w:pPr>
        <w:spacing w:after="0" w:line="206"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43"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by the Administrative Agent to the Lenders</w:t>
      </w:r>
      <w:r>
        <w:rPr>
          <w:rFonts w:ascii="Times New Roman" w:cs="Times New Roman" w:eastAsia="Times New Roman" w:hAnsi="Times New Roman"/>
          <w:sz w:val="22"/>
          <w:szCs w:val="22"/>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73" w:lineRule="exact"/>
        <w:rPr>
          <w:rFonts w:ascii="Times New Roman" w:cs="Times New Roman" w:eastAsia="Times New Roman" w:hAnsi="Times New Roman"/>
          <w:sz w:val="22"/>
          <w:szCs w:val="22"/>
          <w:color w:val="auto"/>
        </w:rPr>
      </w:pPr>
    </w:p>
    <w:p>
      <w:pPr>
        <w:jc w:val="both"/>
        <w:ind w:firstLine="1763"/>
        <w:spacing w:after="0" w:line="235" w:lineRule="auto"/>
        <w:tabs>
          <w:tab w:leader="none" w:pos="2655"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Elect</w:t>
      </w:r>
      <w:r>
        <w:rPr>
          <w:rFonts w:ascii="Times New Roman" w:cs="Times New Roman" w:eastAsia="Times New Roman" w:hAnsi="Times New Roman"/>
          <w:sz w:val="22"/>
          <w:szCs w:val="22"/>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Eurocurrency Borrowing having an Interest Period of one month and, if an Agreed Foreign Currency has been specified, the requested Syndicated Borrowing shall be a Eurocurrency Borrowing denominated in such Agreed Foreign Currency and having an Interest Period of one month. If a Eurocurrency Borrowing is requested but no Interest Period is specified, (i) if the Currency specified for such Borrowing is Dollars (or if no Currency has been so specified), the requested Borrowing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3773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3773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8"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41</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8" w:name="page199"/>
    <w:bookmarkEnd w:id="198"/>
    <w:p>
      <w:pPr>
        <w:jc w:val="both"/>
        <w:spacing w:after="0" w:line="244" w:lineRule="auto"/>
        <w:rPr>
          <w:sz w:val="20"/>
          <w:szCs w:val="20"/>
          <w:color w:val="auto"/>
        </w:rPr>
      </w:pPr>
      <w:r>
        <w:rPr>
          <w:rFonts w:ascii="Times New Roman" w:cs="Times New Roman" w:eastAsia="Times New Roman" w:hAnsi="Times New Roman"/>
          <w:sz w:val="22"/>
          <w:szCs w:val="22"/>
          <w:color w:val="auto"/>
        </w:rPr>
        <w:t>a Eurocurrency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Swingline Loans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3" w:lineRule="auto"/>
        <w:tabs>
          <w:tab w:leader="none" w:pos="264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Make Swingline Loans</w:t>
      </w:r>
      <w:r>
        <w:rPr>
          <w:rFonts w:ascii="Times New Roman" w:cs="Times New Roman" w:eastAsia="Times New Roman" w:hAnsi="Times New Roman"/>
          <w:sz w:val="22"/>
          <w:szCs w:val="22"/>
          <w:color w:val="auto"/>
        </w:rPr>
        <w:t xml:space="preserve">. Subject to the terms and conditions set forth herein, each Swingline Lender severally agrees to make Swingline Loans under each Commitment to the Borrower from time to time during the Extended Availability Period in Dollars, in an aggregate principal amount at any time outstanding that will not result in (i) the aggregate principal amount of outstanding Swingline Loans of both Classes of Commitments exceeding $100,000,000 or the aggregate principal amount of outstanding Swingline Loans of any Swingline Lender exceeding $50,000,000, (ii) the sum of any Swingline Lender’s outstanding Multicurrency Loans, its LC Exposure, its outstanding Swingline Loans and (without duplication) its other Swingline Exposure exceeding its Multicurrency Commitment; (iii) the total Revolving Dollar Credit Exposures exceeding the aggregate Dollar Commitments at such time, (iv) the total Revolving Multicurrency Credit Exposures exceeding the aggregate Multicurrency Commitments at such time or (v) the total Covered Debt Amount exceeding the Borrowing Base then in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Swingline Lender shall be required to make a Swingline Loan to refinance an outstanding Swingline Loan. Within the foregoing limits and subject to the terms and conditions set forth herein, the Borrower may borrow, prepay and reborrow Swingline Loans.</w:t>
      </w:r>
    </w:p>
    <w:p>
      <w:pPr>
        <w:spacing w:after="0" w:line="186" w:lineRule="exact"/>
        <w:rPr>
          <w:rFonts w:ascii="Times New Roman" w:cs="Times New Roman" w:eastAsia="Times New Roman" w:hAnsi="Times New Roman"/>
          <w:sz w:val="22"/>
          <w:szCs w:val="22"/>
          <w:color w:val="auto"/>
        </w:rPr>
      </w:pPr>
    </w:p>
    <w:p>
      <w:pPr>
        <w:jc w:val="both"/>
        <w:ind w:firstLine="1763"/>
        <w:spacing w:after="0" w:line="234" w:lineRule="auto"/>
        <w:tabs>
          <w:tab w:leader="none" w:pos="2655"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Swingline Loans by the Borrower</w:t>
      </w:r>
      <w:r>
        <w:rPr>
          <w:rFonts w:ascii="Times New Roman" w:cs="Times New Roman" w:eastAsia="Times New Roman" w:hAnsi="Times New Roman"/>
          <w:sz w:val="22"/>
          <w:szCs w:val="22"/>
          <w:color w:val="auto"/>
        </w:rPr>
        <w:t xml:space="preserve">. To request a Swingline Loan, the Borrower shall notify the Administrative Agent of such request by telephone (confirmed by telecopy) not later than 2:00 p.m., Atlanta, Georgia time, on the day of such proposed Swingline Loan. Each such notice shall be irrevocable and shall specify the Swingline Lender from which such Swingline Loan shall be made, the requested date (which shall be a Business Day) and the amount of the requested Swingline Loan. The Administrative Agent will promptly advise the applicable Swingline Lender of any such notice received from the Borrower. Each Swingline Lender shall make each applicable Swingline Loan available to the Borrower by means of a credit to the general deposit account of the Borrower with such Swingline Lender (or, in the case of a Swingline Loan made to finance the reimbursement of an LC Disbursement as provided in </w:t>
      </w:r>
      <w:r>
        <w:rPr>
          <w:rFonts w:ascii="Times New Roman" w:cs="Times New Roman" w:eastAsia="Times New Roman" w:hAnsi="Times New Roman"/>
          <w:sz w:val="22"/>
          <w:szCs w:val="22"/>
          <w:u w:val="single" w:color="auto"/>
          <w:color w:val="auto"/>
        </w:rPr>
        <w:t>Section 2.05(f)</w:t>
      </w:r>
      <w:r>
        <w:rPr>
          <w:rFonts w:ascii="Times New Roman" w:cs="Times New Roman" w:eastAsia="Times New Roman" w:hAnsi="Times New Roman"/>
          <w:sz w:val="22"/>
          <w:szCs w:val="22"/>
          <w:color w:val="auto"/>
        </w:rPr>
        <w:t>, by remittance to the applicable Issuing Bank) by 3:00 p.m., Atlanta, Georgia time, on the requested date of such Swingline Loan.</w:t>
      </w:r>
    </w:p>
    <w:p>
      <w:pPr>
        <w:spacing w:after="0" w:line="184" w:lineRule="exact"/>
        <w:rPr>
          <w:rFonts w:ascii="Times New Roman" w:cs="Times New Roman" w:eastAsia="Times New Roman" w:hAnsi="Times New Roman"/>
          <w:sz w:val="22"/>
          <w:szCs w:val="22"/>
          <w:color w:val="auto"/>
        </w:rPr>
      </w:pPr>
    </w:p>
    <w:p>
      <w:pPr>
        <w:jc w:val="both"/>
        <w:ind w:firstLine="1763"/>
        <w:spacing w:after="0" w:line="234" w:lineRule="auto"/>
        <w:tabs>
          <w:tab w:leader="none" w:pos="264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 by Lenders in Swingline Loans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any Swingline Lender may by written notice given to the Administrative Agent not later than 10:00 a.m., Atlanta, Georgia time on any Business Day, require the Lenders of the applicable Class of Commitments to acquire participations on such Business Day in all or a portion of the outstanding Swingline Loans of such Class made by such Swingline Lender.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applicable Swingline Lender, such Lender’s Applicable Percentage of such Swingline Loan or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be required to purchase a participation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9"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42</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9" w:name="page200"/>
    <w:bookmarkEnd w:id="199"/>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a Swingline Loan pursuant to this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xml:space="preserve"> if (x)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would not be satisfied in respect of a Borrowing at the time such Swingline Loan was made and (y) the Required Lenders of the respective Class shall have so notified the applicable Swingline Lender in writing and shall not have subsequently determined that the circumstances giving rise to such conditions not being satisfied no longer exist. Unless a Swingline Lender has received the written notice referred to in the previous sentence prior to the time such Swingline Loan was made, then, subject to the terms and conditions hereof, such Swingline Lender shall be entitled to assume all such conditions are satisfied.</w:t>
      </w:r>
    </w:p>
    <w:p>
      <w:pPr>
        <w:spacing w:after="0" w:line="182"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1"/>
          <w:szCs w:val="21"/>
          <w:color w:val="auto"/>
        </w:rPr>
        <w:t xml:space="preserve">Subject to the foregoing and </w:t>
      </w:r>
      <w:r>
        <w:rPr>
          <w:rFonts w:ascii="Times New Roman" w:cs="Times New Roman" w:eastAsia="Times New Roman" w:hAnsi="Times New Roman"/>
          <w:sz w:val="21"/>
          <w:szCs w:val="21"/>
          <w:u w:val="single" w:color="auto"/>
          <w:color w:val="auto"/>
        </w:rPr>
        <w:t>Section 2.20</w:t>
      </w:r>
      <w:r>
        <w:rPr>
          <w:rFonts w:ascii="Times New Roman" w:cs="Times New Roman" w:eastAsia="Times New Roman" w:hAnsi="Times New Roman"/>
          <w:sz w:val="21"/>
          <w:szCs w:val="21"/>
          <w:color w:val="auto"/>
        </w:rPr>
        <w:t xml:space="preserve">, each Lender acknowledges and agrees that its obligation to acquire participations in Swingline Loans pursuant to this </w:t>
      </w:r>
      <w:r>
        <w:rPr>
          <w:rFonts w:ascii="Times New Roman" w:cs="Times New Roman" w:eastAsia="Times New Roman" w:hAnsi="Times New Roman"/>
          <w:sz w:val="21"/>
          <w:szCs w:val="21"/>
          <w:u w:val="single" w:color="auto"/>
          <w:color w:val="auto"/>
        </w:rPr>
        <w:t>paragraph (c)</w:t>
      </w:r>
      <w:r>
        <w:rPr>
          <w:rFonts w:ascii="Times New Roman" w:cs="Times New Roman" w:eastAsia="Times New Roman" w:hAnsi="Times New Roman"/>
          <w:sz w:val="21"/>
          <w:szCs w:val="21"/>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with respect to Loans made by such Lender (and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shall apply, </w:t>
      </w:r>
      <w:r>
        <w:rPr>
          <w:rFonts w:ascii="Times New Roman" w:cs="Times New Roman" w:eastAsia="Times New Roman" w:hAnsi="Times New Roman"/>
          <w:sz w:val="21"/>
          <w:szCs w:val="21"/>
          <w:u w:val="single" w:color="auto"/>
          <w:color w:val="auto"/>
        </w:rPr>
        <w:t>mutatis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mutandis</w:t>
      </w:r>
      <w:r>
        <w:rPr>
          <w:rFonts w:ascii="Times New Roman" w:cs="Times New Roman" w:eastAsia="Times New Roman" w:hAnsi="Times New Roman"/>
          <w:sz w:val="21"/>
          <w:szCs w:val="21"/>
          <w:color w:val="auto"/>
        </w:rPr>
        <w:t>, to the payment obligations of the Lenders), and the Administrative Agent shall promptly pay to the applicable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relevant Swingline Lender.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applicable Swingline Lender, as their interests may appear. The purchase of participations in a Swingline Loan pursuant to this paragraph shall not relieve the Borrower of any default in the payment thereof.</w:t>
      </w:r>
    </w:p>
    <w:p>
      <w:pPr>
        <w:spacing w:after="0" w:line="180" w:lineRule="exact"/>
        <w:rPr>
          <w:sz w:val="20"/>
          <w:szCs w:val="20"/>
          <w:color w:val="auto"/>
        </w:rPr>
      </w:pPr>
    </w:p>
    <w:p>
      <w:pPr>
        <w:jc w:val="both"/>
        <w:ind w:firstLine="1763"/>
        <w:spacing w:after="0" w:line="245" w:lineRule="auto"/>
        <w:tabs>
          <w:tab w:leader="none" w:pos="2655"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and Replacement of Swingline Lender</w:t>
      </w:r>
      <w:r>
        <w:rPr>
          <w:rFonts w:ascii="Times New Roman" w:cs="Times New Roman" w:eastAsia="Times New Roman" w:hAnsi="Times New Roman"/>
          <w:sz w:val="21"/>
          <w:szCs w:val="21"/>
          <w:color w:val="auto"/>
        </w:rPr>
        <w:t xml:space="preserve">. Any Swingline Lender may resign and be replaced at any time by written agreement among the Borrower, the Administrative Agent, the resigning Swingline Lender and a successor Swingline Lender. The Administrative Agent shall notify the Lenders of any such resignation and replacement of any Swingline Lender. In addition to the foregoing, if a Lender becomes, and during the period it remains, a Defaulting Lender, and if any Default has arisen from a failure of the Borrower to comply with </w:t>
      </w:r>
      <w:r>
        <w:rPr>
          <w:rFonts w:ascii="Times New Roman" w:cs="Times New Roman" w:eastAsia="Times New Roman" w:hAnsi="Times New Roman"/>
          <w:sz w:val="21"/>
          <w:szCs w:val="21"/>
          <w:u w:val="single" w:color="auto"/>
          <w:color w:val="auto"/>
        </w:rPr>
        <w:t>Section 2.19(a)</w:t>
      </w:r>
      <w:r>
        <w:rPr>
          <w:rFonts w:ascii="Times New Roman" w:cs="Times New Roman" w:eastAsia="Times New Roman" w:hAnsi="Times New Roman"/>
          <w:sz w:val="21"/>
          <w:szCs w:val="21"/>
          <w:color w:val="auto"/>
        </w:rPr>
        <w:t>, then each Swingline Lender may, upon prior written notice to the Borrower and the Administrative Agent, resign as a Swingline Lender, effective at the close of business Atlanta, Georgia time on a date specified in such notice (which date may not be less than five (5) Business Days after the date of such notice). On or after the effective date of any such resignation, the Borrower and the Administrative Agent may, by written agreement, appoint one or more successor Swingline Lenders. The Administrative Agent shall notify the Lenders of any such appointment of a successor Swingline Lender. Upon the effectiveness of any resignation of any Swingline Lender, the Borrower shall repay in full all outstanding Swingline Loans made by such Swingline Lender together with all accrued interest thereon. From and after the effective date of the appointment of a successor Swingline Lender, (i) such successor Swingline Lender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3773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3773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4"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43</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00" w:name="page201"/>
    <w:bookmarkEnd w:id="200"/>
    <w:p>
      <w:pPr>
        <w:jc w:val="both"/>
        <w:spacing w:after="0" w:line="236" w:lineRule="auto"/>
        <w:rPr>
          <w:sz w:val="20"/>
          <w:szCs w:val="20"/>
          <w:color w:val="auto"/>
        </w:rPr>
      </w:pPr>
      <w:r>
        <w:rPr>
          <w:rFonts w:ascii="Times New Roman" w:cs="Times New Roman" w:eastAsia="Times New Roman" w:hAnsi="Times New Roman"/>
          <w:sz w:val="22"/>
          <w:szCs w:val="22"/>
          <w:color w:val="auto"/>
        </w:rPr>
        <w:t>have all the rights and obligations of the replaced Swingline Lender under this Agreement with respect to Swingline Loans to be made by such successor Swingline Lender thereafter and (ii) references herein to the term “Swingline Lender” and/or “Swingline Lenders” shall be deemed to refer to such successor or successors (and the other current Swingline Lenders, if applicable) or to any previous Swingline Lender, or to such successor or successors (and all current Swingline Lenders) and all previous Swingline Lenders, as the context shall require. After the replacement of the Swingline Lender hereunder, the replaced Swingline Lender shall have no obligation to make additional Swingline Loans.</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4" w:lineRule="auto"/>
        <w:tabs>
          <w:tab w:leader="none" w:pos="264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Subject to the terms and conditions set forth herein, in addition to the Loans provided for in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the Borrower may request each Issuing Bank to issue, at any time and from time to time during the Extended Availability Period and under either the Dollar Commitments or Multicurrency Commitments, Letters of Credit denominated in Dollars or (in the case of Letters of Credit under the Multicurrency Commitments) in any Agreed Foreign Currency for its own account or the account of its designee (provided that the Obligors shall remain primarily liable to the Lenders hereunder for payment and reimbursement of all amounts payable in respect of the Letters of Credit hereunder) in such form as is acceptable to such Issuing Bank in its reasonable determination. Letters of Credit issued hereunder shall constitute utilization of the Commitments up to the aggregate amount available to be drawn thereunder. Without limiting any rights of an Issuing Bank under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no Issuing Bank shall be obligated to issue, amend, renew or extend any Letter of Credit denominated in any Foreign Currency if at the time of such issuance, such Issuing Bank, in its capacity as a Lender, would not be required to make Loans in such Foreign Currency hereunder.</w:t>
      </w:r>
    </w:p>
    <w:p>
      <w:pPr>
        <w:spacing w:after="0" w:line="176" w:lineRule="exact"/>
        <w:rPr>
          <w:rFonts w:ascii="Times New Roman" w:cs="Times New Roman" w:eastAsia="Times New Roman" w:hAnsi="Times New Roman"/>
          <w:sz w:val="22"/>
          <w:szCs w:val="22"/>
          <w:color w:val="auto"/>
        </w:rPr>
      </w:pPr>
    </w:p>
    <w:p>
      <w:pPr>
        <w:jc w:val="both"/>
        <w:ind w:firstLine="1763"/>
        <w:spacing w:after="0" w:line="233" w:lineRule="auto"/>
        <w:tabs>
          <w:tab w:leader="none" w:pos="265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Issuance, Amendment, Renewal or Extension</w:t>
      </w:r>
      <w:r>
        <w:rPr>
          <w:rFonts w:ascii="Times New Roman" w:cs="Times New Roman" w:eastAsia="Times New Roman" w:hAnsi="Times New Roman"/>
          <w:sz w:val="22"/>
          <w:szCs w:val="22"/>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such Issuing Bank) to any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22"/>
          <w:szCs w:val="22"/>
          <w:u w:val="single" w:color="auto"/>
          <w:color w:val="auto"/>
        </w:rPr>
        <w:t>paragraph (d)</w:t>
      </w:r>
      <w:r>
        <w:rPr>
          <w:rFonts w:ascii="Times New Roman" w:cs="Times New Roman" w:eastAsia="Times New Roman" w:hAnsi="Times New Roman"/>
          <w:sz w:val="22"/>
          <w:szCs w:val="22"/>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w:t>
      </w:r>
    </w:p>
    <w:p>
      <w:pPr>
        <w:spacing w:after="0" w:line="181" w:lineRule="exact"/>
        <w:rPr>
          <w:rFonts w:ascii="Times New Roman" w:cs="Times New Roman" w:eastAsia="Times New Roman" w:hAnsi="Times New Roman"/>
          <w:sz w:val="22"/>
          <w:szCs w:val="22"/>
          <w:color w:val="auto"/>
        </w:rPr>
      </w:pPr>
    </w:p>
    <w:p>
      <w:pPr>
        <w:ind w:firstLine="1763"/>
        <w:spacing w:after="0" w:line="258" w:lineRule="auto"/>
        <w:tabs>
          <w:tab w:leader="none" w:pos="264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Amounts</w:t>
      </w:r>
      <w:r>
        <w:rPr>
          <w:rFonts w:ascii="Times New Roman" w:cs="Times New Roman" w:eastAsia="Times New Roman" w:hAnsi="Times New Roman"/>
          <w:sz w:val="22"/>
          <w:szCs w:val="22"/>
          <w:color w:val="auto"/>
        </w:rPr>
        <w:t>. A Letter of Credit shall be issued, amended, renewed or extended only if (and upon issuance, amendment, renewal or extension of each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3773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3773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7"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44</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01" w:name="page202"/>
    <w:bookmarkEnd w:id="201"/>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of Credit the Borrower shall be deemed to represent and warrant that), after giving effect to such issuance, amendment, renewal or extension (i) the aggregate LC Exposure of the applicable Issuing Bank requested to issue such Letter of Credit (determined for these purposes without giving effect to the participations therein of the Lenders pursuant to </w:t>
      </w:r>
      <w:r>
        <w:rPr>
          <w:rFonts w:ascii="Times New Roman" w:cs="Times New Roman" w:eastAsia="Times New Roman" w:hAnsi="Times New Roman"/>
          <w:sz w:val="22"/>
          <w:szCs w:val="22"/>
          <w:u w:val="single" w:color="auto"/>
          <w:color w:val="auto"/>
        </w:rPr>
        <w:t>paragraph (e)</w:t>
      </w:r>
      <w:r>
        <w:rPr>
          <w:rFonts w:ascii="Times New Roman" w:cs="Times New Roman" w:eastAsia="Times New Roman" w:hAnsi="Times New Roman"/>
          <w:sz w:val="22"/>
          <w:szCs w:val="22"/>
          <w:color w:val="auto"/>
        </w:rPr>
        <w:t xml:space="preserve"> of this Section) shall not exceed the amount set forth opposite the name of such Issuing Bank on </w:t>
      </w:r>
      <w:r>
        <w:rPr>
          <w:rFonts w:ascii="Times New Roman" w:cs="Times New Roman" w:eastAsia="Times New Roman" w:hAnsi="Times New Roman"/>
          <w:sz w:val="22"/>
          <w:szCs w:val="22"/>
          <w:u w:val="single" w:color="auto"/>
          <w:color w:val="auto"/>
        </w:rPr>
        <w:t>Schedule 2.05</w:t>
      </w:r>
      <w:r>
        <w:rPr>
          <w:rFonts w:ascii="Times New Roman" w:cs="Times New Roman" w:eastAsia="Times New Roman" w:hAnsi="Times New Roman"/>
          <w:sz w:val="22"/>
          <w:szCs w:val="22"/>
          <w:color w:val="auto"/>
        </w:rPr>
        <w:t xml:space="preserve"> (or such greater amount as such Issuing Bank may agree in its sole discretion); (ii) the total Revolving Dollar Credit Exposures of Dollar Lenders with Dollar Commitments then in effect shall not exceed the aggregate Dollar Commitments at such time; (iii) the total Revolving Multicurrency Credit Exposures of Multicurrency Lenders with Multicurrency Commitments then in effect shall not exceed the aggregate Multicurrency Commitments at such time; (iv) with respect to each Issuing Bank that is a Swingline Lender, the sum of such Swingline Lender’s outstanding Multicurrency Loans, its LC Exposure, its outstanding Swingline Loans and (without duplication) its other Swingline Exposure shall not exceed its Multicurrency Commitment then in effect; and (v) the total Covered Debt Amount shall not exceed the Borrowing Base then in effect.</w:t>
      </w:r>
    </w:p>
    <w:p>
      <w:pPr>
        <w:spacing w:after="0" w:line="177" w:lineRule="exact"/>
        <w:rPr>
          <w:sz w:val="20"/>
          <w:szCs w:val="20"/>
          <w:color w:val="auto"/>
        </w:rPr>
      </w:pPr>
    </w:p>
    <w:p>
      <w:pPr>
        <w:jc w:val="both"/>
        <w:ind w:firstLine="1763"/>
        <w:spacing w:after="0" w:line="234" w:lineRule="auto"/>
        <w:tabs>
          <w:tab w:leader="none" w:pos="265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Letter of Credit with a one-year term may provide for the renewal thereof for additional one-year periods. No Letter of Credit may be renewed following the earlier to occur of the Extended Commitment Termination Date and the Termination Date, except to the extent that the relevant Letter of Credit is Cash Collateralized no later than five (5) Business Days prior to the Extended Commitment Termination Date or Termination Date, as applicable, or supported by another letter of credit, in each case pursuant to arrangements reasonably satisfactory to the applicable Issuing Bank and the Administrative Agent.</w:t>
      </w:r>
    </w:p>
    <w:p>
      <w:pPr>
        <w:spacing w:after="0" w:line="184"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43"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2.20</w:t>
      </w:r>
      <w:r>
        <w:rPr>
          <w:rFonts w:ascii="Times New Roman" w:cs="Times New Roman" w:eastAsia="Times New Roman" w:hAnsi="Times New Roman"/>
          <w:sz w:val="21"/>
          <w:szCs w:val="21"/>
          <w:color w:val="auto"/>
        </w:rPr>
        <w:t xml:space="preserve">, by the issuance of a Letter of Credit of a Class of Commitment (or an amendment to a Letter of Credit increasing the amount thereof) by an Issuing Bank, and without any further action on the part of such Issuing Bank or the Lenders, the Issuing Bank hereby grants to each Lender of such Class, and each Lender of such Class hereby acquires from such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Lender shall be required to purchase a participation in a Letter of Credit pursuant to this </w:t>
      </w:r>
      <w:r>
        <w:rPr>
          <w:rFonts w:ascii="Times New Roman" w:cs="Times New Roman" w:eastAsia="Times New Roman" w:hAnsi="Times New Roman"/>
          <w:sz w:val="21"/>
          <w:szCs w:val="21"/>
          <w:u w:val="single" w:color="auto"/>
          <w:color w:val="auto"/>
        </w:rPr>
        <w:t>Section 2.05(e)</w:t>
      </w:r>
      <w:r>
        <w:rPr>
          <w:rFonts w:ascii="Times New Roman" w:cs="Times New Roman" w:eastAsia="Times New Roman" w:hAnsi="Times New Roman"/>
          <w:sz w:val="21"/>
          <w:szCs w:val="21"/>
          <w:color w:val="auto"/>
        </w:rPr>
        <w:t xml:space="preserve"> if (x)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would not be satisfied in respect of a Borrowing at the time such Letter of Credit was issued and (y) the Administrative Agent or any Lender shall have so notified such Issuing Bank in writing at least two Business Days prior to the requested date of issuance of such Letter of Credit and shall not have subsequently determined that the circumstances giving rise to such conditions not being satisfied no longer exist. Unless an Issuing Bank has received written notice from any Lender, the Administrative Agent or the Borrower, at least two Business Days prior to the requested date of issuance of the applicable Letter of Credit, that one or more applicable conditions contained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3773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3773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9"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45</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02" w:name="page203"/>
    <w:bookmarkEnd w:id="202"/>
    <w:p>
      <w:pPr>
        <w:jc w:val="both"/>
        <w:spacing w:after="0" w:line="258" w:lineRule="auto"/>
        <w:rPr>
          <w:sz w:val="20"/>
          <w:szCs w:val="20"/>
          <w:color w:val="auto"/>
        </w:rPr>
      </w:pPr>
      <w:r>
        <w:rPr>
          <w:rFonts w:ascii="Times New Roman" w:cs="Times New Roman" w:eastAsia="Times New Roman" w:hAnsi="Times New Roman"/>
          <w:sz w:val="22"/>
          <w:szCs w:val="22"/>
          <w:color w:val="auto"/>
        </w:rPr>
        <w:t>Section 4.02 shall not then be satisfied, then, subject to the terms and conditions hereof, such Issuing Bank shall be entitled to assume all such conditions are satisfied.</w:t>
      </w:r>
    </w:p>
    <w:p>
      <w:pPr>
        <w:spacing w:after="0" w:line="158" w:lineRule="exact"/>
        <w:rPr>
          <w:sz w:val="20"/>
          <w:szCs w:val="20"/>
          <w:color w:val="auto"/>
        </w:rPr>
      </w:pPr>
    </w:p>
    <w:p>
      <w:pPr>
        <w:jc w:val="both"/>
        <w:ind w:firstLine="1755"/>
        <w:spacing w:after="0" w:line="233"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in consideration and in furtherance of the foregoing, each Lender of a Class of Commitment hereby absolutely and unconditionally agrees to pay to the Administrative Agent, for account of each Issuing Bank, such Lender’s Applicable Dollar Percentage or Applicable Multicurrency Percentage, as the case may be, of each LC Disbursement made by such Issuing Bank in respect of Letters of Credit of such Class promptly upon the request of such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with respect to Loans made by such Lender (and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shall apply,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the next following paragraph, the Administrative Agent shall distribute such payment to the applicable Issuing Bank or, to the extent that the Lenders have made payments pursuant to this paragraph to reimburse such Issuing Bank, then to such Lenders and such Issuing Bank as their interests may appear. Any payment made by a Lender pursuant to this paragraph to reimburse an Issuing Bank for any LC Disbursement shall not constitute a Loan and shall not relieve the Borrower of its obligation to reimburse such LC Disbursement.</w:t>
      </w:r>
    </w:p>
    <w:p>
      <w:pPr>
        <w:spacing w:after="0" w:line="179" w:lineRule="exact"/>
        <w:rPr>
          <w:sz w:val="20"/>
          <w:szCs w:val="20"/>
          <w:color w:val="auto"/>
        </w:rPr>
      </w:pPr>
    </w:p>
    <w:p>
      <w:pPr>
        <w:jc w:val="both"/>
        <w:ind w:firstLine="1763"/>
        <w:spacing w:after="0" w:line="234" w:lineRule="auto"/>
        <w:tabs>
          <w:tab w:leader="none" w:pos="261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w:t>
      </w:r>
      <w:r>
        <w:rPr>
          <w:rFonts w:ascii="Times New Roman" w:cs="Times New Roman" w:eastAsia="Times New Roman" w:hAnsi="Times New Roman"/>
          <w:sz w:val="22"/>
          <w:szCs w:val="22"/>
          <w:color w:val="auto"/>
        </w:rPr>
        <w:t xml:space="preserve">. If an Issuing Bank shall make any LC Disbursement in respect of a Letter of Credit, the Borrower shall reimburse such Issuing Bank in respect of such LC Disbursement by paying to the Administrative Agent an amount equal to such LC Disbursement not later than 11:00 a.m., Atlanta, Georgia time, on (i) the Business Day that the Borrower receives notice of such LC Disbursement, if such notice is received prior to 10:00 a.m., Atlanta, Georgia time, or (ii) the Business Day immediately following the day that the Borrower receives such notice, if such notice is not received prior to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LC Disbursement is not less than $1,000,000 and is denominated in Dollars, the Borrower may, subject to the conditions to borrowing set forth herein, request in accordance with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2.04</w:t>
      </w:r>
      <w:r>
        <w:rPr>
          <w:rFonts w:ascii="Times New Roman" w:cs="Times New Roman" w:eastAsia="Times New Roman" w:hAnsi="Times New Roman"/>
          <w:sz w:val="22"/>
          <w:szCs w:val="22"/>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80"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If the Borrower fails to make such payment when due, the Administrative Agent shall notify each applicable Lender with a Commitment then in effect of the applicable LC Disbursement, the payment then due from the Borrower in respect thereof and such Lender’s Applicable Dollar Percentage or Applicable Multicurrency Percentage, as the case may be, thereof.</w:t>
      </w:r>
    </w:p>
    <w:p>
      <w:pPr>
        <w:spacing w:after="0" w:line="174" w:lineRule="exact"/>
        <w:rPr>
          <w:sz w:val="20"/>
          <w:szCs w:val="20"/>
          <w:color w:val="auto"/>
        </w:rPr>
      </w:pPr>
    </w:p>
    <w:p>
      <w:pPr>
        <w:jc w:val="both"/>
        <w:ind w:firstLine="1763"/>
        <w:spacing w:after="0" w:line="239" w:lineRule="auto"/>
        <w:tabs>
          <w:tab w:leader="none" w:pos="2655"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Absolute</w:t>
      </w:r>
      <w:r>
        <w:rPr>
          <w:rFonts w:ascii="Times New Roman" w:cs="Times New Roman" w:eastAsia="Times New Roman" w:hAnsi="Times New Roman"/>
          <w:sz w:val="22"/>
          <w:szCs w:val="22"/>
          <w:color w:val="auto"/>
        </w:rPr>
        <w:t xml:space="preserve">. The Borrower’s obligation to reimburse LC Disbursements as provided in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0"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46</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03" w:name="page204"/>
    <w:bookmarkEnd w:id="203"/>
    <w:p>
      <w:pPr>
        <w:jc w:val="both"/>
        <w:spacing w:after="0" w:line="238" w:lineRule="auto"/>
        <w:rPr>
          <w:sz w:val="20"/>
          <w:szCs w:val="20"/>
          <w:color w:val="auto"/>
        </w:rPr>
      </w:pPr>
      <w:r>
        <w:rPr>
          <w:rFonts w:ascii="Times New Roman" w:cs="Times New Roman" w:eastAsia="Times New Roman" w:hAnsi="Times New Roman"/>
          <w:sz w:val="22"/>
          <w:szCs w:val="22"/>
          <w:color w:val="auto"/>
        </w:rPr>
        <w:t>under a Letter of Credit proving to be forged, fraudulent or invalid in any respect or any statement therein being untrue or inaccurate in any respect, (iii) payment by an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77"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color w:val="auto"/>
        </w:rPr>
        <w:t xml:space="preserve">Neither the Administrative Agent, the Lenders nor any Issuing Bank, nor any of their Related Parties, shall have any liability or responsibility by reason of or in connection with the issuance or transfer of any Letter of Credit by such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be construed to excuse any Issuing Bank from liability to the Borrower to the extent of any direct damages (as opposed to consequential damages, claims in respect of which are hereby waived by the Borrower to the extent permitted by applicable law) suffered by the Borrower that are caused by such Issuing Bank’s fraud, gross negligence or willful misconduct when determining whether drafts and other documents presented under a Letter of Credit comply with the terms thereof. The parties hereto expressly agree that:</w:t>
      </w:r>
    </w:p>
    <w:p>
      <w:pPr>
        <w:spacing w:after="0" w:line="177" w:lineRule="exact"/>
        <w:rPr>
          <w:sz w:val="20"/>
          <w:szCs w:val="20"/>
          <w:color w:val="auto"/>
        </w:rPr>
      </w:pPr>
    </w:p>
    <w:p>
      <w:pPr>
        <w:jc w:val="both"/>
        <w:ind w:left="880" w:firstLine="816"/>
        <w:spacing w:after="0" w:line="239" w:lineRule="auto"/>
        <w:tabs>
          <w:tab w:leader="none" w:pos="254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Issuing Banks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180" w:lineRule="exact"/>
        <w:rPr>
          <w:rFonts w:ascii="Times New Roman" w:cs="Times New Roman" w:eastAsia="Times New Roman" w:hAnsi="Times New Roman"/>
          <w:sz w:val="22"/>
          <w:szCs w:val="22"/>
          <w:color w:val="auto"/>
        </w:rPr>
      </w:pPr>
    </w:p>
    <w:p>
      <w:pPr>
        <w:ind w:left="880" w:firstLine="816"/>
        <w:spacing w:after="0" w:line="258" w:lineRule="auto"/>
        <w:tabs>
          <w:tab w:leader="none" w:pos="260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Issuing Banks shall have the right, in their sole discretion, to decline to accept such documents and to make such payment if such documents are not in strict compliance with the terms of such Letter of Credit; and</w:t>
      </w:r>
    </w:p>
    <w:p>
      <w:pPr>
        <w:spacing w:after="0" w:line="158" w:lineRule="exact"/>
        <w:rPr>
          <w:rFonts w:ascii="Times New Roman" w:cs="Times New Roman" w:eastAsia="Times New Roman" w:hAnsi="Times New Roman"/>
          <w:sz w:val="22"/>
          <w:szCs w:val="22"/>
          <w:color w:val="auto"/>
        </w:rPr>
      </w:pPr>
    </w:p>
    <w:p>
      <w:pPr>
        <w:jc w:val="both"/>
        <w:ind w:left="880" w:firstLine="816"/>
        <w:spacing w:after="0" w:line="239" w:lineRule="auto"/>
        <w:tabs>
          <w:tab w:leader="none" w:pos="266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sentence shall establish the standard of care to be exercised by the Issuing Banks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80" w:lineRule="exact"/>
        <w:rPr>
          <w:rFonts w:ascii="Times New Roman" w:cs="Times New Roman" w:eastAsia="Times New Roman" w:hAnsi="Times New Roman"/>
          <w:sz w:val="22"/>
          <w:szCs w:val="22"/>
          <w:color w:val="auto"/>
        </w:rPr>
      </w:pPr>
    </w:p>
    <w:p>
      <w:pPr>
        <w:jc w:val="both"/>
        <w:ind w:firstLine="1763"/>
        <w:spacing w:after="0" w:line="236" w:lineRule="auto"/>
        <w:tabs>
          <w:tab w:leader="none" w:pos="2655"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 Procedures</w:t>
      </w:r>
      <w:r>
        <w:rPr>
          <w:rFonts w:ascii="Times New Roman" w:cs="Times New Roman" w:eastAsia="Times New Roman" w:hAnsi="Times New Roman"/>
          <w:sz w:val="22"/>
          <w:szCs w:val="22"/>
          <w:color w:val="auto"/>
        </w:rPr>
        <w:t xml:space="preserve">. Each Issuing Bank shall, within a reasonable time following its receipt thereof, examine all documents purporting to represent a demand for payment under a Letter of Credit issued by such Issuing Bank. The applicable Issuing Bank shall promptly after such examination notify the Administrative Agent and the Borrower by telephone (confirmed by telecopy) of such demand for payment and whether such Issuing Bank has made or will make an LC Disbursement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Borrower of its obligation to reimburse such Issuing Bank and the applicable Lenders with respect to any such LC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3773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3773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1"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47</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04" w:name="page205"/>
    <w:bookmarkEnd w:id="204"/>
    <w:p>
      <w:pPr>
        <w:jc w:val="both"/>
        <w:ind w:firstLine="1763"/>
        <w:spacing w:after="0" w:line="235" w:lineRule="auto"/>
        <w:tabs>
          <w:tab w:leader="none" w:pos="260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Interim Interest</w:t>
      </w:r>
      <w:r>
        <w:rPr>
          <w:rFonts w:ascii="Times New Roman" w:cs="Times New Roman" w:eastAsia="Times New Roman" w:hAnsi="Times New Roman"/>
          <w:sz w:val="22"/>
          <w:szCs w:val="22"/>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fails to reimburse such LC Disbursement within two Business Days following the date when due pursuant to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of this Section, then the provisions of </w:t>
      </w:r>
      <w:r>
        <w:rPr>
          <w:rFonts w:ascii="Times New Roman" w:cs="Times New Roman" w:eastAsia="Times New Roman" w:hAnsi="Times New Roman"/>
          <w:sz w:val="22"/>
          <w:szCs w:val="22"/>
          <w:u w:val="single" w:color="auto"/>
          <w:color w:val="auto"/>
        </w:rPr>
        <w:t>Section 2.12(c)</w:t>
      </w:r>
      <w:r>
        <w:rPr>
          <w:rFonts w:ascii="Times New Roman" w:cs="Times New Roman" w:eastAsia="Times New Roman" w:hAnsi="Times New Roman"/>
          <w:sz w:val="22"/>
          <w:szCs w:val="22"/>
          <w:color w:val="auto"/>
        </w:rPr>
        <w:t xml:space="preserve"> shall apply. Interest accrued pursuant to this paragraph shall be for account of the applicable Issuing Bank, except that interest accrued on and after the date of payment by any Lender pursuant to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of this Section to reimburse such Issuing Bank shall be for account of such Lender to the extent of such payment.</w:t>
      </w:r>
    </w:p>
    <w:p>
      <w:pPr>
        <w:spacing w:after="0" w:line="179"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07"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and/or Replacement of an Issuing Bank</w:t>
      </w:r>
      <w:r>
        <w:rPr>
          <w:rFonts w:ascii="Times New Roman" w:cs="Times New Roman" w:eastAsia="Times New Roman" w:hAnsi="Times New Roman"/>
          <w:sz w:val="21"/>
          <w:szCs w:val="21"/>
          <w:color w:val="auto"/>
        </w:rPr>
        <w:t xml:space="preserve">. An Issuing Bank may resign and be replaced at any time by written agreement among the Borrower, the Administrative Agent, the resigning Issuing Bank and the successor Issuing Bank. In addition, if any Issuing Bank, in its capacity as a Lender, assigns all of its Loans and Commitments in accordance with the terms of this Agreement, such Issuing Bank may, with the prior written consent of the Borrower (such consent not to be unreasonably withheld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consent of the Borrower shall be required if an Event of Default has occurred and is continuing), resign as an Issuing Bank hereunder upon not less than three Business Days prior written notice to the Administrative Agent and 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in determining whether to give any such consent, the Borrower may consider, among other factors, the sufficiency of availability of Letters of Credit hereunder. The Administrative Agent shall notify the Lenders of any such resignation and replacement of an Issuing Bank. Upon the effectiveness of any resignation or replacement of an Issuing Bank, the Borrower shall pay all unpaid fees accrued for account of the resigning or replaced Issuing Bank pursuant to </w:t>
      </w:r>
      <w:r>
        <w:rPr>
          <w:rFonts w:ascii="Times New Roman" w:cs="Times New Roman" w:eastAsia="Times New Roman" w:hAnsi="Times New Roman"/>
          <w:sz w:val="21"/>
          <w:szCs w:val="21"/>
          <w:u w:val="single" w:color="auto"/>
          <w:color w:val="auto"/>
        </w:rPr>
        <w:t>Section 2.11(b)</w:t>
      </w:r>
      <w:r>
        <w:rPr>
          <w:rFonts w:ascii="Times New Roman" w:cs="Times New Roman" w:eastAsia="Times New Roman" w:hAnsi="Times New Roman"/>
          <w:sz w:val="21"/>
          <w:szCs w:val="21"/>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and/or “Issuing Banks” shall be deemed to refer to such successor or successors (and other current Issuing Banks, if applicable) or to any previous Issuing Bank, or to such successor or successors (and all other current Issuing Banks)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an Issuing Bank under this Agreement with respect to Letters of Credit issued by it prior to such resignation or replacement, but shall not be required to issue additional Letters of Credit.</w:t>
      </w:r>
    </w:p>
    <w:p>
      <w:pPr>
        <w:spacing w:after="0" w:line="172" w:lineRule="exact"/>
        <w:rPr>
          <w:rFonts w:ascii="Times New Roman" w:cs="Times New Roman" w:eastAsia="Times New Roman" w:hAnsi="Times New Roman"/>
          <w:sz w:val="21"/>
          <w:szCs w:val="21"/>
          <w:color w:val="auto"/>
        </w:rPr>
      </w:pPr>
    </w:p>
    <w:p>
      <w:pPr>
        <w:jc w:val="both"/>
        <w:ind w:firstLine="1763"/>
        <w:spacing w:after="0" w:line="235" w:lineRule="auto"/>
        <w:tabs>
          <w:tab w:leader="none" w:pos="2655"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Collateralization</w:t>
      </w:r>
      <w:r>
        <w:rPr>
          <w:rFonts w:ascii="Times New Roman" w:cs="Times New Roman" w:eastAsia="Times New Roman" w:hAnsi="Times New Roman"/>
          <w:sz w:val="22"/>
          <w:szCs w:val="22"/>
          <w:color w:val="auto"/>
        </w:rPr>
        <w:t xml:space="preserve">. If the Borrower shall be required to provide Cash Collateral for LC Exposure pursuant to </w:t>
      </w:r>
      <w:r>
        <w:rPr>
          <w:rFonts w:ascii="Times New Roman" w:cs="Times New Roman" w:eastAsia="Times New Roman" w:hAnsi="Times New Roman"/>
          <w:sz w:val="22"/>
          <w:szCs w:val="22"/>
          <w:u w:val="single" w:color="auto"/>
          <w:color w:val="auto"/>
        </w:rPr>
        <w:t>Section 2.05(d)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or the last paragraph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the Borrower shall immediately deposit into a segregated collateral account or accounts (herein, collectively, the “</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Collateral Account</w:t>
      </w:r>
      <w:r>
        <w:rPr>
          <w:rFonts w:ascii="Times New Roman" w:cs="Times New Roman" w:eastAsia="Times New Roman" w:hAnsi="Times New Roman"/>
          <w:sz w:val="22"/>
          <w:szCs w:val="22"/>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or the last paragraph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as applicable. Such deposit shall be held by the Administrative Agent as collateral in the first instance for the LC Exposure under this Agreement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3773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3773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3"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48</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05" w:name="page206"/>
    <w:bookmarkEnd w:id="205"/>
    <w:p>
      <w:pPr>
        <w:jc w:val="both"/>
        <w:spacing w:after="0" w:line="262" w:lineRule="auto"/>
        <w:rPr>
          <w:sz w:val="20"/>
          <w:szCs w:val="20"/>
          <w:color w:val="auto"/>
        </w:rPr>
      </w:pPr>
      <w:r>
        <w:rPr>
          <w:rFonts w:ascii="Times New Roman" w:cs="Times New Roman" w:eastAsia="Times New Roman" w:hAnsi="Times New Roman"/>
          <w:sz w:val="21"/>
          <w:szCs w:val="21"/>
          <w:color w:val="auto"/>
        </w:rPr>
        <w:t>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55" w:lineRule="exact"/>
        <w:rPr>
          <w:sz w:val="20"/>
          <w:szCs w:val="20"/>
          <w:color w:val="auto"/>
        </w:rPr>
      </w:pPr>
    </w:p>
    <w:p>
      <w:pPr>
        <w:jc w:val="both"/>
        <w:ind w:firstLine="1763"/>
        <w:spacing w:after="0" w:line="235" w:lineRule="auto"/>
        <w:tabs>
          <w:tab w:leader="none" w:pos="260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Issuing Banks</w:t>
      </w:r>
      <w:r>
        <w:rPr>
          <w:rFonts w:ascii="Times New Roman" w:cs="Times New Roman" w:eastAsia="Times New Roman" w:hAnsi="Times New Roman"/>
          <w:sz w:val="22"/>
          <w:szCs w:val="22"/>
          <w:color w:val="auto"/>
        </w:rPr>
        <w:t xml:space="preserve">. From time to time, the Borrower may, by notice to the Administrative Agent, designate additional Extending Lenders as an Issuing Bank, each of which agrees (in its sole discretion) to act in such capacity and is reasonably satisfactory to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such notice shall include an updated Schedule 2.05;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Borrower shall not update Schedule 2.05 to increase any Issuing Bank’s maximum LC Exposure without such Issuing Bank’s consent. Each such additional Issuing Bank shall execute a counterpart of this Agreement upon the approval of the Administrative Agent (which approval shall not be unreasonably withheld) and shall thereafter be an Issuing Bank hereunder for all purposes.</w:t>
      </w:r>
    </w:p>
    <w:p>
      <w:pPr>
        <w:spacing w:after="0" w:line="18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Funding of Borrowings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4" w:lineRule="auto"/>
        <w:tabs>
          <w:tab w:leader="none" w:pos="2643"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Funding by Lenders</w:t>
      </w:r>
      <w:r>
        <w:rPr>
          <w:rFonts w:ascii="Times New Roman" w:cs="Times New Roman" w:eastAsia="Times New Roman" w:hAnsi="Times New Roman"/>
          <w:sz w:val="22"/>
          <w:szCs w:val="22"/>
          <w:color w:val="auto"/>
        </w:rPr>
        <w:t xml:space="preserve">. Each Lender shall make each Loan to be made by it hereunder on the proposed date thereof by wire transfer of immediately available funds by (i) in the case of any Loan (other than a Syndicated ABR Borrowing), 11:00 a.m. Atlanta, Georgia time, and (ii) in the case of any Loan that is a Syndicated ABR Borrowing, 1:00 p.m. Atlanta, Georgia time, in each case, to the account of the Administrative Agent most recently designated by it for such purpose by notice to the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Swingline Loans shall be made as provided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Syndicated ABR Borrowings made to finance the reimbursement of an LC Disbursement as provided in </w:t>
      </w:r>
      <w:r>
        <w:rPr>
          <w:rFonts w:ascii="Times New Roman" w:cs="Times New Roman" w:eastAsia="Times New Roman" w:hAnsi="Times New Roman"/>
          <w:sz w:val="22"/>
          <w:szCs w:val="22"/>
          <w:u w:val="single" w:color="auto"/>
          <w:color w:val="auto"/>
        </w:rPr>
        <w:t>Section 2.05(f)</w:t>
      </w:r>
      <w:r>
        <w:rPr>
          <w:rFonts w:ascii="Times New Roman" w:cs="Times New Roman" w:eastAsia="Times New Roman" w:hAnsi="Times New Roman"/>
          <w:sz w:val="22"/>
          <w:szCs w:val="22"/>
          <w:color w:val="auto"/>
        </w:rPr>
        <w:t xml:space="preserve"> shall be remitted by the Administrative Agent to the applicable Issuing Bank.</w:t>
      </w:r>
    </w:p>
    <w:p>
      <w:pPr>
        <w:spacing w:after="0" w:line="184" w:lineRule="exact"/>
        <w:rPr>
          <w:rFonts w:ascii="Times New Roman" w:cs="Times New Roman" w:eastAsia="Times New Roman" w:hAnsi="Times New Roman"/>
          <w:sz w:val="22"/>
          <w:szCs w:val="22"/>
          <w:color w:val="auto"/>
        </w:rPr>
      </w:pPr>
    </w:p>
    <w:p>
      <w:pPr>
        <w:jc w:val="both"/>
        <w:ind w:firstLine="1763"/>
        <w:spacing w:after="0" w:line="233" w:lineRule="auto"/>
        <w:tabs>
          <w:tab w:leader="none" w:pos="2655"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Presumption by the Administrative Agent</w:t>
      </w:r>
      <w:r>
        <w:rPr>
          <w:rFonts w:ascii="Times New Roman" w:cs="Times New Roman" w:eastAsia="Times New Roman" w:hAnsi="Times New Roman"/>
          <w:sz w:val="22"/>
          <w:szCs w:val="22"/>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3773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6">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3773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2"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49</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06" w:name="page207"/>
    <w:bookmarkEnd w:id="206"/>
    <w:p>
      <w:pPr>
        <w:ind w:left="1760"/>
        <w:spacing w:after="0"/>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Interest Elections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3" w:lineRule="auto"/>
        <w:tabs>
          <w:tab w:leader="none" w:pos="2643"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Elections by the Borrower for Syndicated Borrowings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 xml:space="preserve">, the Loans constituting each Syndicated Borrowing initially shall be of the Type specified in the applicable Borrowing Request and, in the case of a Eurocurrency Borrowing, shall have the Interest Period specified in such Borrowing Request. Thereafter, the Borrower may elect to convert such Borrowing to a Borrowing of a different Type or to continue such Borrowing as a Borrowing of the same Type and, in the case of a Eurocurrency Borrowing, may elect the Interest Period therefor, all as provided in 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a Syndicated Borrowing of a Class may only be continued or converted into a Syndicated Borrowing of the same Class, (ii) a Syndicated Borrowing denominated in one Currency may not be continued as, or converted to, a Syndicated Borrowing in a different Currency, (iii) no Eurocurrency Borrowing denominated in a Foreign Currency may be continued if, after giving effect thereto, the aggregate Revolving Multicurrency Credit Exposures would exceed the aggregate Multicurrency Commitments, and (iv) a Eurocurrency Borrowing denominated in a Foreign Currency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Borrowings, which may not be converted or continued.</w:t>
      </w:r>
    </w:p>
    <w:p>
      <w:pPr>
        <w:spacing w:after="0" w:line="181" w:lineRule="exact"/>
        <w:rPr>
          <w:rFonts w:ascii="Times New Roman" w:cs="Times New Roman" w:eastAsia="Times New Roman" w:hAnsi="Times New Roman"/>
          <w:sz w:val="22"/>
          <w:szCs w:val="22"/>
          <w:color w:val="auto"/>
        </w:rPr>
      </w:pPr>
    </w:p>
    <w:p>
      <w:pPr>
        <w:jc w:val="both"/>
        <w:ind w:firstLine="1763"/>
        <w:spacing w:after="0" w:line="236" w:lineRule="auto"/>
        <w:tabs>
          <w:tab w:leader="none" w:pos="2655"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Elections</w:t>
      </w:r>
      <w:r>
        <w:rPr>
          <w:rFonts w:ascii="Times New Roman" w:cs="Times New Roman" w:eastAsia="Times New Roman" w:hAnsi="Times New Roman"/>
          <w:sz w:val="22"/>
          <w:szCs w:val="22"/>
          <w:color w:val="auto"/>
        </w:rPr>
        <w:t xml:space="preserve">. To make an election pursuant to this Section, the Borrower shall notify the Administrative Agent of such election by telephone by the time that a Borrowing Request would be required under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182" w:lineRule="exact"/>
        <w:rPr>
          <w:rFonts w:ascii="Times New Roman" w:cs="Times New Roman" w:eastAsia="Times New Roman" w:hAnsi="Times New Roman"/>
          <w:sz w:val="22"/>
          <w:szCs w:val="22"/>
          <w:color w:val="auto"/>
        </w:rPr>
      </w:pPr>
    </w:p>
    <w:p>
      <w:pPr>
        <w:ind w:firstLine="1763"/>
        <w:spacing w:after="0" w:line="258" w:lineRule="auto"/>
        <w:tabs>
          <w:tab w:leader="none" w:pos="2643"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Content of Interest Election Requests</w:t>
      </w:r>
      <w:r>
        <w:rPr>
          <w:rFonts w:ascii="Times New Roman" w:cs="Times New Roman" w:eastAsia="Times New Roman" w:hAnsi="Times New Roman"/>
          <w:sz w:val="22"/>
          <w:szCs w:val="22"/>
          <w:color w:val="auto"/>
        </w:rPr>
        <w:t xml:space="preserve">. Each telephonic and written Interest Election Request shall specify the following information in compliance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880" w:firstLine="816"/>
        <w:spacing w:after="0" w:line="239" w:lineRule="auto"/>
        <w:tabs>
          <w:tab w:leader="none" w:pos="254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Borrowing (including the Class of Commitment)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22"/>
          <w:szCs w:val="22"/>
          <w:u w:val="single" w:color="auto"/>
          <w:color w:val="auto"/>
        </w:rPr>
        <w:t>clauses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of this paragraph shall be specified for each resulting Borrowing);</w:t>
      </w:r>
    </w:p>
    <w:p>
      <w:pPr>
        <w:spacing w:after="0" w:line="180" w:lineRule="exact"/>
        <w:rPr>
          <w:rFonts w:ascii="Times New Roman" w:cs="Times New Roman" w:eastAsia="Times New Roman" w:hAnsi="Times New Roman"/>
          <w:sz w:val="22"/>
          <w:szCs w:val="22"/>
          <w:color w:val="auto"/>
        </w:rPr>
      </w:pPr>
    </w:p>
    <w:p>
      <w:pPr>
        <w:ind w:left="2600" w:hanging="904"/>
        <w:spacing w:after="0"/>
        <w:tabs>
          <w:tab w:leader="none" w:pos="26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the election made pursuant to such Interest Election Request, which shall be a</w:t>
      </w:r>
    </w:p>
    <w:p>
      <w:pPr>
        <w:spacing w:after="0" w:line="14" w:lineRule="exact"/>
        <w:rPr>
          <w:rFonts w:ascii="Times New Roman" w:cs="Times New Roman" w:eastAsia="Times New Roman" w:hAnsi="Times New Roman"/>
          <w:sz w:val="22"/>
          <w:szCs w:val="22"/>
          <w:color w:val="auto"/>
        </w:rPr>
      </w:pPr>
    </w:p>
    <w:p>
      <w:pPr>
        <w:ind w:left="8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w:t>
      </w:r>
    </w:p>
    <w:p>
      <w:pPr>
        <w:spacing w:after="0" w:line="182" w:lineRule="exact"/>
        <w:rPr>
          <w:rFonts w:ascii="Times New Roman" w:cs="Times New Roman" w:eastAsia="Times New Roman" w:hAnsi="Times New Roman"/>
          <w:sz w:val="22"/>
          <w:szCs w:val="22"/>
          <w:color w:val="auto"/>
        </w:rPr>
      </w:pPr>
    </w:p>
    <w:p>
      <w:pPr>
        <w:ind w:left="880" w:firstLine="816"/>
        <w:spacing w:after="0" w:line="258" w:lineRule="auto"/>
        <w:tabs>
          <w:tab w:leader="none" w:pos="266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in the case of a Borrowing denominated in Dollars, the resulting Borrowing is to be an ABR Borrowing or a Eurocurrency Borrowing;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3773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3773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7"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50</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07" w:name="page208"/>
    <w:bookmarkEnd w:id="207"/>
    <w:p>
      <w:pPr>
        <w:jc w:val="both"/>
        <w:ind w:left="880" w:firstLine="816"/>
        <w:spacing w:after="0" w:line="244" w:lineRule="auto"/>
        <w:tabs>
          <w:tab w:leader="none" w:pos="265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resulting Borrowing is a Eurocurrency Borrowing, the Interest Period therefor after giving effect to such election, which shall be a period contemplated by the definition of the term “Interest Period” and permitted under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55"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by the Administrative Agent to the Lenders</w:t>
      </w:r>
      <w:r>
        <w:rPr>
          <w:rFonts w:ascii="Times New Roman" w:cs="Times New Roman" w:eastAsia="Times New Roman" w:hAnsi="Times New Roman"/>
          <w:sz w:val="22"/>
          <w:szCs w:val="22"/>
          <w:color w:val="auto"/>
        </w:rPr>
        <w:t>. Promptly following receipt of an Interest Election Request, the Administrative Agent shall advise each applicable Lender of the details thereof and of such Lender’s portion of each resulting Borrowing.</w:t>
      </w:r>
    </w:p>
    <w:p>
      <w:pPr>
        <w:spacing w:after="0" w:line="173" w:lineRule="exact"/>
        <w:rPr>
          <w:rFonts w:ascii="Times New Roman" w:cs="Times New Roman" w:eastAsia="Times New Roman" w:hAnsi="Times New Roman"/>
          <w:sz w:val="22"/>
          <w:szCs w:val="22"/>
          <w:color w:val="auto"/>
        </w:rPr>
      </w:pPr>
    </w:p>
    <w:p>
      <w:pPr>
        <w:jc w:val="both"/>
        <w:ind w:firstLine="1763"/>
        <w:spacing w:after="0" w:line="246" w:lineRule="auto"/>
        <w:tabs>
          <w:tab w:leader="none" w:pos="2632"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Failure to Elect; Events of Default</w:t>
      </w:r>
      <w:r>
        <w:rPr>
          <w:rFonts w:ascii="Times New Roman" w:cs="Times New Roman" w:eastAsia="Times New Roman" w:hAnsi="Times New Roman"/>
          <w:sz w:val="21"/>
          <w:szCs w:val="21"/>
          <w:color w:val="auto"/>
        </w:rPr>
        <w:t>. If the Borrower fails to deliver a timely and complete Interest Election Request with respect to a Eurocurrency Borrowing prior to the end of the Interest Period therefor, then, unless such Borrowing is repaid as provided herein, (i) if such Borrowing is denominated in Dollars, at the end of such Interest Period such Borrowing shall be converted to a Syndicated Eurocurrency Borrowing of the same Class having an Interest Period of one month, and (ii) if such Borrowing is denominated in a Foreign Currency, the Borrower shall be deemed to have selected an Interest Period of one month’s duration. Notwithstanding any contrary provision hereof, if an Event of Default has occurred and is continuing and the Administrative Agent, at the request of the Required Lenders, so notifies the Borrower, (i) any Eurocurrency Borrowing denominated in Dollars shall, at the end of the applicable Interest Period for such Eurocurrency Borrowing, be automatically converted to an ABR Borrowing and (ii) any Eurocurrency Borrowing denominated in a Foreign Currency shall not have an Interest Period of more than one month’s duration.</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Termination, Reduction or Increase of the Commitments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9" w:lineRule="auto"/>
        <w:tabs>
          <w:tab w:leader="none" w:pos="2643"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Scheduled Termination</w:t>
      </w:r>
      <w:r>
        <w:rPr>
          <w:rFonts w:ascii="Times New Roman" w:cs="Times New Roman" w:eastAsia="Times New Roman" w:hAnsi="Times New Roman"/>
          <w:sz w:val="22"/>
          <w:szCs w:val="22"/>
          <w:color w:val="auto"/>
        </w:rPr>
        <w:t>. Unless previously terminated, the Commitments of each Extending Lender with respect to such Extending Lender’s Extended Loans shall terminate on the Extended Commitment Termination Date and the Commitments of each Non-Extending Lender with respect to such Non-Extending Lender’s Non-Extended Loans shall terminate on the Non-Extended Commitment Termination Date for such Non-Extending Lender.</w:t>
      </w:r>
    </w:p>
    <w:p>
      <w:pPr>
        <w:spacing w:after="0" w:line="180" w:lineRule="exact"/>
        <w:rPr>
          <w:rFonts w:ascii="Times New Roman" w:cs="Times New Roman" w:eastAsia="Times New Roman" w:hAnsi="Times New Roman"/>
          <w:sz w:val="22"/>
          <w:szCs w:val="22"/>
          <w:color w:val="auto"/>
        </w:rPr>
      </w:pPr>
    </w:p>
    <w:p>
      <w:pPr>
        <w:jc w:val="both"/>
        <w:ind w:firstLine="1763"/>
        <w:spacing w:after="0" w:line="235" w:lineRule="auto"/>
        <w:tabs>
          <w:tab w:leader="none" w:pos="265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Termination or Reduction</w:t>
      </w:r>
      <w:r>
        <w:rPr>
          <w:rFonts w:ascii="Times New Roman" w:cs="Times New Roman" w:eastAsia="Times New Roman" w:hAnsi="Times New Roman"/>
          <w:sz w:val="22"/>
          <w:szCs w:val="22"/>
          <w:color w:val="auto"/>
        </w:rPr>
        <w:t xml:space="preserve">. The Borrower may at any time terminate, or from time to time reduce, the Commitments of either Class of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each reduction of the Commitments of a Class shall be in an amount that is $10,000,000 (or, if less, the entire amount of the Commitments of such Class) or a larger multiple of $5,000,000 in excess thereof and (ii) the Borrower shall not terminate or reduce the Commitments of either Class of Commitment if, after giving effect to any concurrent prepayment of the Syndicated Loans of such Class in accordance with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the total Revolving Credit Exposures of such Class would exceed the total Commitments of such Class. Any such reduction of the Commitments below the principal amount of the Swingline Loans permitted under </w:t>
      </w:r>
      <w:r>
        <w:rPr>
          <w:rFonts w:ascii="Times New Roman" w:cs="Times New Roman" w:eastAsia="Times New Roman" w:hAnsi="Times New Roman"/>
          <w:sz w:val="22"/>
          <w:szCs w:val="22"/>
          <w:u w:val="single" w:color="auto"/>
          <w:color w:val="auto"/>
        </w:rPr>
        <w:t>Section 2.04(a)(i)</w:t>
      </w:r>
      <w:r>
        <w:rPr>
          <w:rFonts w:ascii="Times New Roman" w:cs="Times New Roman" w:eastAsia="Times New Roman" w:hAnsi="Times New Roman"/>
          <w:sz w:val="22"/>
          <w:szCs w:val="22"/>
          <w:color w:val="auto"/>
        </w:rPr>
        <w:t xml:space="preserve"> and the Letters of Credit permitted under </w:t>
      </w:r>
      <w:r>
        <w:rPr>
          <w:rFonts w:ascii="Times New Roman" w:cs="Times New Roman" w:eastAsia="Times New Roman" w:hAnsi="Times New Roman"/>
          <w:sz w:val="22"/>
          <w:szCs w:val="22"/>
          <w:u w:val="single" w:color="auto"/>
          <w:color w:val="auto"/>
        </w:rPr>
        <w:t>Section 2.05(c)(i)</w:t>
      </w:r>
      <w:r>
        <w:rPr>
          <w:rFonts w:ascii="Times New Roman" w:cs="Times New Roman" w:eastAsia="Times New Roman" w:hAnsi="Times New Roman"/>
          <w:sz w:val="22"/>
          <w:szCs w:val="22"/>
          <w:color w:val="auto"/>
        </w:rPr>
        <w:t xml:space="preserve"> shall result in a dollar-for-dollar reduction of such amounts as applicable.</w:t>
      </w:r>
    </w:p>
    <w:p>
      <w:pPr>
        <w:spacing w:after="0" w:line="179" w:lineRule="exact"/>
        <w:rPr>
          <w:rFonts w:ascii="Times New Roman" w:cs="Times New Roman" w:eastAsia="Times New Roman" w:hAnsi="Times New Roman"/>
          <w:sz w:val="22"/>
          <w:szCs w:val="22"/>
          <w:color w:val="auto"/>
        </w:rPr>
      </w:pPr>
    </w:p>
    <w:p>
      <w:pPr>
        <w:jc w:val="both"/>
        <w:ind w:firstLine="1763"/>
        <w:spacing w:after="0" w:line="238" w:lineRule="auto"/>
        <w:tabs>
          <w:tab w:leader="none" w:pos="2643"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Voluntary Termination or Reduction</w:t>
      </w:r>
      <w:r>
        <w:rPr>
          <w:rFonts w:ascii="Times New Roman" w:cs="Times New Roman" w:eastAsia="Times New Roman" w:hAnsi="Times New Roman"/>
          <w:sz w:val="22"/>
          <w:szCs w:val="22"/>
          <w:color w:val="auto"/>
        </w:rPr>
        <w:t xml:space="preserve">. The Borrower shall notify the Administrative Agent of any election to terminate or reduce the Commitments under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at least three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3773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3773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6"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51</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08" w:name="page209"/>
    <w:bookmarkEnd w:id="208"/>
    <w:p>
      <w:pPr>
        <w:jc w:val="both"/>
        <w:spacing w:after="0" w:line="244" w:lineRule="auto"/>
        <w:rPr>
          <w:sz w:val="20"/>
          <w:szCs w:val="20"/>
          <w:color w:val="auto"/>
        </w:rPr>
      </w:pPr>
      <w:r>
        <w:rPr>
          <w:rFonts w:ascii="Times New Roman" w:cs="Times New Roman" w:eastAsia="Times New Roman" w:hAnsi="Times New Roman"/>
          <w:sz w:val="22"/>
          <w:szCs w:val="22"/>
          <w:color w:val="auto"/>
        </w:rPr>
        <w:t>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74" w:lineRule="exact"/>
        <w:rPr>
          <w:sz w:val="20"/>
          <w:szCs w:val="20"/>
          <w:color w:val="auto"/>
        </w:rPr>
      </w:pPr>
    </w:p>
    <w:p>
      <w:pPr>
        <w:jc w:val="both"/>
        <w:ind w:firstLine="1763"/>
        <w:spacing w:after="0" w:line="244" w:lineRule="auto"/>
        <w:tabs>
          <w:tab w:leader="none" w:pos="2655"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 or Reduction</w:t>
      </w:r>
      <w:r>
        <w:rPr>
          <w:rFonts w:ascii="Times New Roman" w:cs="Times New Roman" w:eastAsia="Times New Roman" w:hAnsi="Times New Roman"/>
          <w:sz w:val="22"/>
          <w:szCs w:val="22"/>
          <w:color w:val="auto"/>
        </w:rPr>
        <w:t xml:space="preserve">. Any termination or reduction of the Commitments of a Class of Commitments pursuant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shall be permanent. Each reduction of the Commitments of a Class of Commitments pursuant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shall be made ratably among the Lenders of such Class in accordance with their respective Commitments.</w:t>
      </w:r>
    </w:p>
    <w:p>
      <w:pPr>
        <w:spacing w:after="0" w:line="173"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 of the Commitments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80" w:firstLine="816"/>
        <w:spacing w:after="0" w:line="247" w:lineRule="auto"/>
        <w:tabs>
          <w:tab w:leader="none" w:pos="2542"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Requests for Increase by Borrower</w:t>
      </w:r>
      <w:r>
        <w:rPr>
          <w:rFonts w:ascii="Times New Roman" w:cs="Times New Roman" w:eastAsia="Times New Roman" w:hAnsi="Times New Roman"/>
          <w:sz w:val="21"/>
          <w:szCs w:val="21"/>
          <w:color w:val="auto"/>
        </w:rPr>
        <w:t>. The Borrower may, at any time, request that the Commitments hereunder of a Class of Commitments be increased (each such proposed increase being a “</w:t>
      </w:r>
      <w:r>
        <w:rPr>
          <w:rFonts w:ascii="Times New Roman" w:cs="Times New Roman" w:eastAsia="Times New Roman" w:hAnsi="Times New Roman"/>
          <w:sz w:val="21"/>
          <w:szCs w:val="21"/>
          <w:u w:val="single" w:color="auto"/>
          <w:color w:val="auto"/>
        </w:rPr>
        <w:t>Commitment Increase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shall a Class of Non-Extended Loans be increased hereunder), upon notice to the Administrative Agent (who shall promptly notify the Lenders), which notice shall specify each existing Lender (each an “</w:t>
      </w:r>
      <w:r>
        <w:rPr>
          <w:rFonts w:ascii="Times New Roman" w:cs="Times New Roman" w:eastAsia="Times New Roman" w:hAnsi="Times New Roman"/>
          <w:sz w:val="21"/>
          <w:szCs w:val="21"/>
          <w:u w:val="single" w:color="auto"/>
          <w:color w:val="auto"/>
        </w:rPr>
        <w:t>Increasing Lender</w:t>
      </w:r>
      <w:r>
        <w:rPr>
          <w:rFonts w:ascii="Times New Roman" w:cs="Times New Roman" w:eastAsia="Times New Roman" w:hAnsi="Times New Roman"/>
          <w:sz w:val="21"/>
          <w:szCs w:val="21"/>
          <w:color w:val="auto"/>
        </w:rPr>
        <w:t>”) and/or each additional lender (each an “</w:t>
      </w:r>
      <w:r>
        <w:rPr>
          <w:rFonts w:ascii="Times New Roman" w:cs="Times New Roman" w:eastAsia="Times New Roman" w:hAnsi="Times New Roman"/>
          <w:sz w:val="21"/>
          <w:szCs w:val="21"/>
          <w:u w:val="single" w:color="auto"/>
          <w:color w:val="auto"/>
        </w:rPr>
        <w:t>Assuming Lender</w:t>
      </w:r>
      <w:r>
        <w:rPr>
          <w:rFonts w:ascii="Times New Roman" w:cs="Times New Roman" w:eastAsia="Times New Roman" w:hAnsi="Times New Roman"/>
          <w:sz w:val="21"/>
          <w:szCs w:val="21"/>
          <w:color w:val="auto"/>
        </w:rPr>
        <w:t>”) that shall have agreed to an additional Commitment and the date on which such increase is to be effective (the “</w:t>
      </w:r>
      <w:r>
        <w:rPr>
          <w:rFonts w:ascii="Times New Roman" w:cs="Times New Roman" w:eastAsia="Times New Roman" w:hAnsi="Times New Roman"/>
          <w:sz w:val="21"/>
          <w:szCs w:val="21"/>
          <w:u w:val="single" w:color="auto"/>
          <w:color w:val="auto"/>
        </w:rPr>
        <w:t>Commitment Increase Date</w:t>
      </w:r>
      <w:r>
        <w:rPr>
          <w:rFonts w:ascii="Times New Roman" w:cs="Times New Roman" w:eastAsia="Times New Roman" w:hAnsi="Times New Roman"/>
          <w:sz w:val="21"/>
          <w:szCs w:val="21"/>
          <w:color w:val="auto"/>
        </w:rPr>
        <w:t xml:space="preserve">”), which shall be a Business Day at least three Business Days (or such lesser period as the Administrative Agent may reasonably agree) after delivery of such notice and 30 days prior to the Extended Commitment Termination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72" w:lineRule="exact"/>
        <w:rPr>
          <w:rFonts w:ascii="Times New Roman" w:cs="Times New Roman" w:eastAsia="Times New Roman" w:hAnsi="Times New Roman"/>
          <w:sz w:val="21"/>
          <w:szCs w:val="21"/>
          <w:color w:val="auto"/>
        </w:rPr>
      </w:pPr>
    </w:p>
    <w:p>
      <w:pPr>
        <w:jc w:val="both"/>
        <w:ind w:left="1760" w:firstLine="746"/>
        <w:spacing w:after="0" w:line="239" w:lineRule="auto"/>
        <w:tabs>
          <w:tab w:leader="none" w:pos="3451" w:val="left"/>
        </w:tabs>
        <w:numPr>
          <w:ilvl w:val="2"/>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180" w:lineRule="exact"/>
        <w:rPr>
          <w:rFonts w:ascii="Times New Roman" w:cs="Times New Roman" w:eastAsia="Times New Roman" w:hAnsi="Times New Roman"/>
          <w:sz w:val="22"/>
          <w:szCs w:val="22"/>
          <w:color w:val="auto"/>
        </w:rPr>
      </w:pPr>
    </w:p>
    <w:p>
      <w:pPr>
        <w:jc w:val="both"/>
        <w:ind w:left="1760" w:firstLine="746"/>
        <w:spacing w:after="0" w:line="244" w:lineRule="auto"/>
        <w:tabs>
          <w:tab w:leader="none" w:pos="3433" w:val="left"/>
        </w:tabs>
        <w:numPr>
          <w:ilvl w:val="2"/>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after giving effect to such Commitment Increase (including, if applicable, the substantially concurrent reduction of the Commitments of a Non-Extending Lender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2.08(f)</w:t>
      </w:r>
      <w:r>
        <w:rPr>
          <w:rFonts w:ascii="Times New Roman" w:cs="Times New Roman" w:eastAsia="Times New Roman" w:hAnsi="Times New Roman"/>
          <w:sz w:val="22"/>
          <w:szCs w:val="22"/>
          <w:color w:val="auto"/>
        </w:rPr>
        <w:t>), the total Commitments of all of the Lenders hereunder shall not exceed $1,500,000,000;</w:t>
      </w:r>
    </w:p>
    <w:p>
      <w:pPr>
        <w:spacing w:after="0" w:line="173" w:lineRule="exact"/>
        <w:rPr>
          <w:rFonts w:ascii="Times New Roman" w:cs="Times New Roman" w:eastAsia="Times New Roman" w:hAnsi="Times New Roman"/>
          <w:sz w:val="22"/>
          <w:szCs w:val="22"/>
          <w:color w:val="auto"/>
        </w:rPr>
      </w:pPr>
    </w:p>
    <w:p>
      <w:pPr>
        <w:ind w:left="1760" w:firstLine="746"/>
        <w:spacing w:after="0" w:line="258" w:lineRule="auto"/>
        <w:tabs>
          <w:tab w:leader="none" w:pos="3439" w:val="left"/>
        </w:tabs>
        <w:numPr>
          <w:ilvl w:val="2"/>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Assuming Lender shall be consented to by the Administrative Agent and each Issuing Bank (such consent not to be unreasonably withheld);</w:t>
      </w:r>
    </w:p>
    <w:p>
      <w:pPr>
        <w:spacing w:after="0" w:line="158" w:lineRule="exact"/>
        <w:rPr>
          <w:rFonts w:ascii="Times New Roman" w:cs="Times New Roman" w:eastAsia="Times New Roman" w:hAnsi="Times New Roman"/>
          <w:sz w:val="22"/>
          <w:szCs w:val="22"/>
          <w:color w:val="auto"/>
        </w:rPr>
      </w:pPr>
    </w:p>
    <w:p>
      <w:pPr>
        <w:ind w:left="1760" w:firstLine="746"/>
        <w:spacing w:after="0" w:line="258" w:lineRule="auto"/>
        <w:tabs>
          <w:tab w:leader="none" w:pos="3451" w:val="left"/>
        </w:tabs>
        <w:numPr>
          <w:ilvl w:val="2"/>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shall have occurred and be continuing on such Commitment Increase Date or shall result from the proposed Commitment Increase; and</w:t>
      </w:r>
    </w:p>
    <w:p>
      <w:pPr>
        <w:spacing w:after="0" w:line="158" w:lineRule="exact"/>
        <w:rPr>
          <w:rFonts w:ascii="Times New Roman" w:cs="Times New Roman" w:eastAsia="Times New Roman" w:hAnsi="Times New Roman"/>
          <w:sz w:val="22"/>
          <w:szCs w:val="22"/>
          <w:color w:val="auto"/>
        </w:rPr>
      </w:pPr>
    </w:p>
    <w:p>
      <w:pPr>
        <w:jc w:val="both"/>
        <w:ind w:left="1760" w:firstLine="746"/>
        <w:spacing w:after="0" w:line="238" w:lineRule="auto"/>
        <w:tabs>
          <w:tab w:leader="none" w:pos="3427" w:val="left"/>
        </w:tabs>
        <w:numPr>
          <w:ilvl w:val="2"/>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3773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3773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6"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52</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09" w:name="page210"/>
    <w:bookmarkEnd w:id="209"/>
    <w:p>
      <w:pPr>
        <w:jc w:val="both"/>
        <w:ind w:left="880" w:firstLine="816"/>
        <w:spacing w:after="0" w:line="244" w:lineRule="auto"/>
        <w:tabs>
          <w:tab w:leader="none" w:pos="260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Commitment Increase by Borrower</w:t>
      </w:r>
      <w:r>
        <w:rPr>
          <w:rFonts w:ascii="Times New Roman" w:cs="Times New Roman" w:eastAsia="Times New Roman" w:hAnsi="Times New Roman"/>
          <w:sz w:val="22"/>
          <w:szCs w:val="22"/>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3" w:lineRule="exact"/>
        <w:rPr>
          <w:rFonts w:ascii="Times New Roman" w:cs="Times New Roman" w:eastAsia="Times New Roman" w:hAnsi="Times New Roman"/>
          <w:sz w:val="22"/>
          <w:szCs w:val="22"/>
          <w:color w:val="auto"/>
        </w:rPr>
      </w:pPr>
    </w:p>
    <w:p>
      <w:pPr>
        <w:jc w:val="both"/>
        <w:ind w:left="1760" w:firstLine="746"/>
        <w:spacing w:after="0" w:line="238" w:lineRule="auto"/>
        <w:tabs>
          <w:tab w:leader="none" w:pos="3403"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on or prior to 11:00 a.m., Atlanta, Georgia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Times New Roman" w:cs="Times New Roman" w:eastAsia="Times New Roman" w:hAnsi="Times New Roman"/>
          <w:sz w:val="22"/>
          <w:szCs w:val="22"/>
          <w:u w:val="single" w:color="auto"/>
          <w:color w:val="auto"/>
        </w:rPr>
        <w:t>paragraph (i)</w:t>
      </w:r>
      <w:r>
        <w:rPr>
          <w:rFonts w:ascii="Times New Roman" w:cs="Times New Roman" w:eastAsia="Times New Roman" w:hAnsi="Times New Roman"/>
          <w:sz w:val="22"/>
          <w:szCs w:val="22"/>
          <w:color w:val="auto"/>
        </w:rPr>
        <w:t xml:space="preserve"> has been satisfied; and</w:t>
      </w:r>
    </w:p>
    <w:p>
      <w:pPr>
        <w:spacing w:after="0" w:line="177" w:lineRule="exact"/>
        <w:rPr>
          <w:rFonts w:ascii="Times New Roman" w:cs="Times New Roman" w:eastAsia="Times New Roman" w:hAnsi="Times New Roman"/>
          <w:sz w:val="22"/>
          <w:szCs w:val="22"/>
          <w:color w:val="auto"/>
        </w:rPr>
      </w:pPr>
    </w:p>
    <w:p>
      <w:pPr>
        <w:jc w:val="both"/>
        <w:ind w:left="1760" w:firstLine="746"/>
        <w:spacing w:after="0" w:line="235" w:lineRule="auto"/>
        <w:tabs>
          <w:tab w:leader="none" w:pos="3403"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Assuming Lender or Increasing Lender shall have delivered to the Administrative Agent, on or prior to 11:00 a.m., Atlanta, Georgia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spacing w:after="0" w:line="184" w:lineRule="exact"/>
        <w:rPr>
          <w:sz w:val="20"/>
          <w:szCs w:val="20"/>
          <w:color w:val="auto"/>
        </w:rPr>
      </w:pPr>
    </w:p>
    <w:p>
      <w:pPr>
        <w:jc w:val="both"/>
        <w:ind w:left="880"/>
        <w:spacing w:after="0" w:line="244" w:lineRule="auto"/>
        <w:rPr>
          <w:sz w:val="20"/>
          <w:szCs w:val="20"/>
          <w:color w:val="auto"/>
        </w:rPr>
      </w:pPr>
      <w:r>
        <w:rPr>
          <w:rFonts w:ascii="Times New Roman" w:cs="Times New Roman" w:eastAsia="Times New Roman" w:hAnsi="Times New Roman"/>
          <w:sz w:val="22"/>
          <w:szCs w:val="22"/>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74" w:lineRule="exact"/>
        <w:rPr>
          <w:sz w:val="20"/>
          <w:szCs w:val="20"/>
          <w:color w:val="auto"/>
        </w:rPr>
      </w:pPr>
    </w:p>
    <w:p>
      <w:pPr>
        <w:jc w:val="both"/>
        <w:ind w:left="880" w:firstLine="816"/>
        <w:spacing w:after="0" w:line="242" w:lineRule="auto"/>
        <w:tabs>
          <w:tab w:leader="none" w:pos="2662"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Recordation into Register</w:t>
      </w:r>
      <w:r>
        <w:rPr>
          <w:rFonts w:ascii="Times New Roman" w:cs="Times New Roman" w:eastAsia="Times New Roman" w:hAnsi="Times New Roman"/>
          <w:sz w:val="22"/>
          <w:szCs w:val="22"/>
          <w:color w:val="auto"/>
        </w:rPr>
        <w:t xml:space="preserve">. Upon its receipt of an agreement referred to in </w:t>
      </w:r>
      <w:r>
        <w:rPr>
          <w:rFonts w:ascii="Times New Roman" w:cs="Times New Roman" w:eastAsia="Times New Roman" w:hAnsi="Times New Roman"/>
          <w:sz w:val="22"/>
          <w:szCs w:val="22"/>
          <w:u w:val="single" w:color="auto"/>
          <w:color w:val="auto"/>
        </w:rPr>
        <w:t>clause (ii)(y)</w:t>
      </w:r>
      <w:r>
        <w:rPr>
          <w:rFonts w:ascii="Times New Roman" w:cs="Times New Roman" w:eastAsia="Times New Roman" w:hAnsi="Times New Roman"/>
          <w:sz w:val="22"/>
          <w:szCs w:val="22"/>
          <w:color w:val="auto"/>
        </w:rPr>
        <w:t xml:space="preserve"> above executed by an Assuming Lender or any Increasing Lender, together with the certificate referred to in </w:t>
      </w:r>
      <w:r>
        <w:rPr>
          <w:rFonts w:ascii="Times New Roman" w:cs="Times New Roman" w:eastAsia="Times New Roman" w:hAnsi="Times New Roman"/>
          <w:sz w:val="22"/>
          <w:szCs w:val="22"/>
          <w:u w:val="single" w:color="auto"/>
          <w:color w:val="auto"/>
        </w:rPr>
        <w:t>clause (ii)</w:t>
      </w:r>
    </w:p>
    <w:p>
      <w:pPr>
        <w:ind w:left="880" w:firstLine="5"/>
        <w:spacing w:after="0" w:line="237" w:lineRule="auto"/>
        <w:tabs>
          <w:tab w:leader="none" w:pos="1198" w:val="left"/>
        </w:tabs>
        <w:numPr>
          <w:ilvl w:val="0"/>
          <w:numId w:val="13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above, the Administrative Agent shall, if such agreement has been completed, (x) accept such agreement, (y) record the information contained therein in the Register and (z) give prompt notice thereof to the Borrower.</w:t>
      </w:r>
    </w:p>
    <w:p>
      <w:pPr>
        <w:spacing w:after="0" w:line="178" w:lineRule="exact"/>
        <w:rPr>
          <w:rFonts w:ascii="Times New Roman" w:cs="Times New Roman" w:eastAsia="Times New Roman" w:hAnsi="Times New Roman"/>
          <w:sz w:val="22"/>
          <w:szCs w:val="22"/>
          <w:u w:val="single" w:color="auto"/>
          <w:color w:val="auto"/>
        </w:rPr>
      </w:pPr>
    </w:p>
    <w:p>
      <w:pPr>
        <w:ind w:left="2660" w:hanging="964"/>
        <w:spacing w:after="0"/>
        <w:tabs>
          <w:tab w:leader="none" w:pos="2660"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 of Borrowings upon Effectiveness of Increase</w:t>
      </w:r>
      <w:r>
        <w:rPr>
          <w:rFonts w:ascii="Times New Roman" w:cs="Times New Roman" w:eastAsia="Times New Roman" w:hAnsi="Times New Roman"/>
          <w:sz w:val="21"/>
          <w:szCs w:val="21"/>
          <w:color w:val="auto"/>
        </w:rPr>
        <w:t>. On the Commitment Increase Date, the</w:t>
      </w:r>
    </w:p>
    <w:p>
      <w:pPr>
        <w:spacing w:after="0" w:line="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Borrower  shall  (A)  prepay  the  outstanding  Loans  (if  any)  of  the  affected  Class  of  Commitments  in  full,</w:t>
      </w:r>
    </w:p>
    <w:p>
      <w:pPr>
        <w:jc w:val="both"/>
        <w:ind w:left="880" w:firstLine="5"/>
        <w:spacing w:after="0" w:line="232" w:lineRule="auto"/>
        <w:tabs>
          <w:tab w:leader="none" w:pos="124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simultaneously borrow new Loans of such Class hereunder in an amount equal to such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w:t>
      </w:r>
      <w:r>
        <w:rPr>
          <w:rFonts w:ascii="Times New Roman" w:cs="Times New Roman" w:eastAsia="Times New Roman" w:hAnsi="Times New Roman"/>
          <w:sz w:val="22"/>
          <w:szCs w:val="22"/>
          <w:u w:val="single" w:color="auto"/>
          <w:color w:val="auto"/>
        </w:rPr>
        <w:t>subclauses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as a result of any such prepayment. Concurrently therewith, the Lenders of such Class shall be deemed to have adjusted their participation interests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3773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23773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8"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53</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0" w:name="page211"/>
    <w:bookmarkEnd w:id="210"/>
    <w:p>
      <w:pPr>
        <w:ind w:left="880"/>
        <w:spacing w:after="0" w:line="258" w:lineRule="auto"/>
        <w:rPr>
          <w:sz w:val="20"/>
          <w:szCs w:val="20"/>
          <w:color w:val="auto"/>
        </w:rPr>
      </w:pPr>
      <w:r>
        <w:rPr>
          <w:rFonts w:ascii="Times New Roman" w:cs="Times New Roman" w:eastAsia="Times New Roman" w:hAnsi="Times New Roman"/>
          <w:sz w:val="22"/>
          <w:szCs w:val="22"/>
          <w:color w:val="auto"/>
        </w:rPr>
        <w:t>any outstanding Letters of Credit of such Class so that such interests are held ratably in accordance with their commitments of such Class as so increased.</w:t>
      </w:r>
    </w:p>
    <w:p>
      <w:pPr>
        <w:spacing w:after="0" w:line="158" w:lineRule="exact"/>
        <w:rPr>
          <w:sz w:val="20"/>
          <w:szCs w:val="20"/>
          <w:color w:val="auto"/>
        </w:rPr>
      </w:pPr>
    </w:p>
    <w:p>
      <w:pPr>
        <w:ind w:firstLine="1763"/>
        <w:spacing w:after="0" w:line="258" w:lineRule="auto"/>
        <w:tabs>
          <w:tab w:leader="none" w:pos="2619"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Reduction of Non-Extending Lenders’ Commitment</w:t>
      </w:r>
      <w:r>
        <w:rPr>
          <w:rFonts w:ascii="Times New Roman" w:cs="Times New Roman" w:eastAsia="Times New Roman" w:hAnsi="Times New Roman"/>
          <w:sz w:val="22"/>
          <w:szCs w:val="22"/>
          <w:color w:val="auto"/>
        </w:rPr>
        <w:t xml:space="preserve">. Notwithstanding anything to the contrary herein (including </w:t>
      </w:r>
      <w:r>
        <w:rPr>
          <w:rFonts w:ascii="Times New Roman" w:cs="Times New Roman" w:eastAsia="Times New Roman" w:hAnsi="Times New Roman"/>
          <w:sz w:val="22"/>
          <w:szCs w:val="22"/>
          <w:u w:val="single" w:color="auto"/>
          <w:color w:val="auto"/>
        </w:rPr>
        <w:t>Section 2.08(d)</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880" w:firstLine="816"/>
        <w:spacing w:after="0" w:line="238" w:lineRule="auto"/>
        <w:tabs>
          <w:tab w:leader="none" w:pos="254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at any time terminate, or from time to time reduce, the Commitment of any Non-Extending Lender without reducing the Commitments of any other Lender of the same Class of Commitments as such Non-Extending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reduction of the Commitment of a Non-Extending Lender hereunder shall be in an amount that is $10,000,000 or a larger multiple of $5,000,000 in excess thereof (or, in each case, the entire Commitment of such Non-Extending Lender).</w:t>
      </w:r>
    </w:p>
    <w:p>
      <w:pPr>
        <w:spacing w:after="0" w:line="177" w:lineRule="exact"/>
        <w:rPr>
          <w:rFonts w:ascii="Times New Roman" w:cs="Times New Roman" w:eastAsia="Times New Roman" w:hAnsi="Times New Roman"/>
          <w:sz w:val="22"/>
          <w:szCs w:val="22"/>
          <w:color w:val="auto"/>
        </w:rPr>
      </w:pPr>
    </w:p>
    <w:p>
      <w:pPr>
        <w:jc w:val="both"/>
        <w:ind w:left="880" w:firstLine="816"/>
        <w:spacing w:after="0" w:line="238" w:lineRule="auto"/>
        <w:tabs>
          <w:tab w:leader="none" w:pos="260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notify the Administrative Agent of any election to terminate or reduce the Commitment of any Non-Extending Lender under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at least three Business Days prior to the effective date of such termination or reduction, specifying such election and the effective date thereof. Promptly following receipt of any notice, the Administrative Agent shall advise each Lender of the contents thereof. Each notice delivered by the Borrower pursuant to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shall be irrevocable.</w:t>
      </w:r>
    </w:p>
    <w:p>
      <w:pPr>
        <w:spacing w:after="0" w:line="177" w:lineRule="exact"/>
        <w:rPr>
          <w:rFonts w:ascii="Times New Roman" w:cs="Times New Roman" w:eastAsia="Times New Roman" w:hAnsi="Times New Roman"/>
          <w:sz w:val="22"/>
          <w:szCs w:val="22"/>
          <w:color w:val="auto"/>
        </w:rPr>
      </w:pPr>
    </w:p>
    <w:p>
      <w:pPr>
        <w:jc w:val="both"/>
        <w:ind w:left="880" w:firstLine="816"/>
        <w:spacing w:after="0" w:line="244" w:lineRule="auto"/>
        <w:tabs>
          <w:tab w:leader="none" w:pos="266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termination or reduction of the Commitment of any Non-Extending Lender pursuant to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shall be permanent and shall be made concurrently with all required reallocation prepayments and cash collateralizations required under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Repayment of Loans; Evidence of Debt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763"/>
        <w:spacing w:after="0" w:line="258" w:lineRule="auto"/>
        <w:tabs>
          <w:tab w:leader="none" w:pos="2643"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w:t>
      </w:r>
      <w:r>
        <w:rPr>
          <w:rFonts w:ascii="Times New Roman" w:cs="Times New Roman" w:eastAsia="Times New Roman" w:hAnsi="Times New Roman"/>
          <w:sz w:val="22"/>
          <w:szCs w:val="22"/>
          <w:color w:val="auto"/>
        </w:rPr>
        <w:t>. The Borrower hereby unconditionally promises to pay the Loans of each Class of Final Maturity Date or Commitments, as applicable, as follows:</w:t>
      </w:r>
    </w:p>
    <w:p>
      <w:pPr>
        <w:spacing w:after="0" w:line="158" w:lineRule="exact"/>
        <w:rPr>
          <w:rFonts w:ascii="Times New Roman" w:cs="Times New Roman" w:eastAsia="Times New Roman" w:hAnsi="Times New Roman"/>
          <w:sz w:val="22"/>
          <w:szCs w:val="22"/>
          <w:color w:val="auto"/>
        </w:rPr>
      </w:pPr>
    </w:p>
    <w:p>
      <w:pPr>
        <w:jc w:val="both"/>
        <w:ind w:left="880" w:firstLine="816"/>
        <w:spacing w:after="0" w:line="244" w:lineRule="auto"/>
        <w:tabs>
          <w:tab w:leader="none" w:pos="254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Administrative Agent for account of the Lenders of such Class of Final Maturity Date the outstanding principal amount of the Syndicated Loans of the Lenders of such Class of Final Maturity Date on the applicable Final Maturity Date; and</w:t>
      </w:r>
    </w:p>
    <w:p>
      <w:pPr>
        <w:spacing w:after="0" w:line="173" w:lineRule="exact"/>
        <w:rPr>
          <w:rFonts w:ascii="Times New Roman" w:cs="Times New Roman" w:eastAsia="Times New Roman" w:hAnsi="Times New Roman"/>
          <w:sz w:val="22"/>
          <w:szCs w:val="22"/>
          <w:color w:val="auto"/>
        </w:rPr>
      </w:pPr>
    </w:p>
    <w:p>
      <w:pPr>
        <w:jc w:val="both"/>
        <w:ind w:left="880" w:firstLine="816"/>
        <w:spacing w:after="0" w:line="236" w:lineRule="auto"/>
        <w:tabs>
          <w:tab w:leader="none" w:pos="260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applicable Swingline Lender the then unpaid principal amount of each Swingline Loan of each Class of Commitment denominated in Dollars made by such Swingline Lender, on the earlier of the Extended Commitment Termination Date and the first date after such Swingline Loan is made that is the 15th or last day of a calendar month and is at least ten Business Days after such Swingline Loan is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 each date that a Syndicated Borrowing of such Class of Commitment is made, the Borrower shall repay all Swingline Loans of such Class of Commitment then outstanding.</w:t>
      </w:r>
    </w:p>
    <w:p>
      <w:pPr>
        <w:spacing w:after="0" w:line="182"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In addition, on the Extended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Extended Commitment Termination Date, such deposit to be held by the Administrative Agent as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0"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54</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22"/>
          <w:szCs w:val="22"/>
          <w:color w:val="auto"/>
        </w:rPr>
        <w:t>security for the LC Exposure under this Agreement in respect of the undrawn portion of such Letters of Credit.</w:t>
      </w:r>
    </w:p>
    <w:p>
      <w:pPr>
        <w:spacing w:after="0" w:line="206" w:lineRule="exact"/>
        <w:rPr>
          <w:sz w:val="20"/>
          <w:szCs w:val="20"/>
          <w:color w:val="auto"/>
        </w:rPr>
      </w:pPr>
    </w:p>
    <w:p>
      <w:pPr>
        <w:jc w:val="both"/>
        <w:ind w:firstLine="1763"/>
        <w:spacing w:after="0" w:line="234" w:lineRule="auto"/>
        <w:tabs>
          <w:tab w:leader="none" w:pos="2655"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Payment</w:t>
      </w:r>
      <w:r>
        <w:rPr>
          <w:rFonts w:ascii="Times New Roman" w:cs="Times New Roman" w:eastAsia="Times New Roman" w:hAnsi="Times New Roman"/>
          <w:sz w:val="22"/>
          <w:szCs w:val="22"/>
          <w:color w:val="auto"/>
        </w:rPr>
        <w:t xml:space="preserve">. Prior to any repayment or prepayment of any Borrowings to any Lenders of any Class of Commitment hereunder, the Borrower shall select the Borrowing or Borrowings of such Class to be paid and shall notify the Administrative Agent by telephone (confirmed by telecopy) of such selection not later than the time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2.10(e)</w:t>
      </w:r>
      <w:r>
        <w:rPr>
          <w:rFonts w:ascii="Times New Roman" w:cs="Times New Roman" w:eastAsia="Times New Roman" w:hAnsi="Times New Roman"/>
          <w:sz w:val="22"/>
          <w:szCs w:val="22"/>
          <w:color w:val="auto"/>
        </w:rPr>
        <w:t xml:space="preserve"> prior to the scheduled date of such 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to Lenders of a Class of Commitments shall be applied ratably to the Loans included in such Borrowing and each payment of a Syndicated Borrowing to Lenders of a Class of Final Maturity Date shall be applied ratably to Non-Extending Lenders or Extending Lenders, as applicable, with Loans included in such Borrowing.</w:t>
      </w:r>
    </w:p>
    <w:p>
      <w:pPr>
        <w:spacing w:after="0" w:line="176"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4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Records by Lenders</w:t>
      </w:r>
      <w:r>
        <w:rPr>
          <w:rFonts w:ascii="Times New Roman" w:cs="Times New Roman" w:eastAsia="Times New Roman" w:hAnsi="Times New Roman"/>
          <w:sz w:val="22"/>
          <w:szCs w:val="22"/>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73" w:lineRule="exact"/>
        <w:rPr>
          <w:rFonts w:ascii="Times New Roman" w:cs="Times New Roman" w:eastAsia="Times New Roman" w:hAnsi="Times New Roman"/>
          <w:sz w:val="22"/>
          <w:szCs w:val="22"/>
          <w:color w:val="auto"/>
        </w:rPr>
      </w:pPr>
    </w:p>
    <w:p>
      <w:pPr>
        <w:jc w:val="both"/>
        <w:ind w:firstLine="1763"/>
        <w:spacing w:after="0" w:line="251" w:lineRule="auto"/>
        <w:tabs>
          <w:tab w:leader="none" w:pos="2655"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Maintenance of Records by the Administrative Agent</w:t>
      </w:r>
      <w:r>
        <w:rPr>
          <w:rFonts w:ascii="Times New Roman" w:cs="Times New Roman" w:eastAsia="Times New Roman" w:hAnsi="Times New Roman"/>
          <w:sz w:val="21"/>
          <w:szCs w:val="21"/>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of Commitment or Final Maturity Date hereunder and (iii) the amount and Currency of any sum received by the Administrative Agent hereunder for account of the Lenders and each Lender’s share thereof.</w:t>
      </w:r>
    </w:p>
    <w:p>
      <w:pPr>
        <w:spacing w:after="0" w:line="168" w:lineRule="exact"/>
        <w:rPr>
          <w:rFonts w:ascii="Times New Roman" w:cs="Times New Roman" w:eastAsia="Times New Roman" w:hAnsi="Times New Roman"/>
          <w:sz w:val="21"/>
          <w:szCs w:val="21"/>
          <w:color w:val="auto"/>
        </w:rPr>
      </w:pPr>
    </w:p>
    <w:p>
      <w:pPr>
        <w:jc w:val="both"/>
        <w:ind w:firstLine="1763"/>
        <w:spacing w:after="0" w:line="239" w:lineRule="auto"/>
        <w:tabs>
          <w:tab w:leader="none" w:pos="264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Entries</w:t>
      </w:r>
      <w:r>
        <w:rPr>
          <w:rFonts w:ascii="Times New Roman" w:cs="Times New Roman" w:eastAsia="Times New Roman" w:hAnsi="Times New Roman"/>
          <w:sz w:val="22"/>
          <w:szCs w:val="22"/>
          <w:color w:val="auto"/>
        </w:rPr>
        <w:t xml:space="preserve">. The entries made in the records maintained pursuant to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this Section shall be </w:t>
      </w:r>
      <w:r>
        <w:rPr>
          <w:rFonts w:ascii="Times New Roman" w:cs="Times New Roman" w:eastAsia="Times New Roman" w:hAnsi="Times New Roman"/>
          <w:sz w:val="22"/>
          <w:szCs w:val="22"/>
          <w:u w:val="single" w:color="auto"/>
          <w:color w:val="auto"/>
        </w:rPr>
        <w:t>prima facie</w:t>
      </w:r>
      <w:r>
        <w:rPr>
          <w:rFonts w:ascii="Times New Roman" w:cs="Times New Roman" w:eastAsia="Times New Roman" w:hAnsi="Times New Roman"/>
          <w:sz w:val="22"/>
          <w:szCs w:val="22"/>
          <w:color w:val="auto"/>
        </w:rPr>
        <w:t xml:space="preserve"> evidence, absent obvious error, of the existence and amounts of the obligations recorded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180" w:lineRule="exact"/>
        <w:rPr>
          <w:rFonts w:ascii="Times New Roman" w:cs="Times New Roman" w:eastAsia="Times New Roman" w:hAnsi="Times New Roman"/>
          <w:sz w:val="22"/>
          <w:szCs w:val="22"/>
          <w:color w:val="auto"/>
        </w:rPr>
      </w:pPr>
    </w:p>
    <w:p>
      <w:pPr>
        <w:jc w:val="both"/>
        <w:ind w:firstLine="1763"/>
        <w:spacing w:after="0" w:line="236" w:lineRule="auto"/>
        <w:tabs>
          <w:tab w:leader="none" w:pos="2619"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Promissory Notes</w:t>
      </w:r>
      <w:r>
        <w:rPr>
          <w:rFonts w:ascii="Times New Roman" w:cs="Times New Roman" w:eastAsia="Times New Roman" w:hAnsi="Times New Roman"/>
          <w:sz w:val="22"/>
          <w:szCs w:val="22"/>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be represented by one or more promissory notes in such form payable to the payee named therein (or, if such promissory note is a registered note, to such payee and its registered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3773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3773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1"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55</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2" w:name="page213"/>
    <w:bookmarkEnd w:id="212"/>
    <w:p>
      <w:pPr>
        <w:ind w:left="1760"/>
        <w:spacing w:after="0"/>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Prepayment of Loans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6" w:lineRule="auto"/>
        <w:tabs>
          <w:tab w:leader="none" w:pos="2643"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Prepayments</w:t>
      </w:r>
      <w:r>
        <w:rPr>
          <w:rFonts w:ascii="Times New Roman" w:cs="Times New Roman" w:eastAsia="Times New Roman" w:hAnsi="Times New Roman"/>
          <w:sz w:val="22"/>
          <w:szCs w:val="22"/>
          <w:color w:val="auto"/>
        </w:rPr>
        <w:t xml:space="preserve">. The Borrower shall have the right at any time and from time to time to prepay any Borrowing in whole or in part, without premium or penalty except for payments under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subject to the requirements of this Section. Any prepayment of a Borrowing made in accordance with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shall be applied ratably among the Lenders of a Class of Commitment unless such prepayment is made in connection with the reduction of Commitments in accordance with </w:t>
      </w:r>
      <w:r>
        <w:rPr>
          <w:rFonts w:ascii="Times New Roman" w:cs="Times New Roman" w:eastAsia="Times New Roman" w:hAnsi="Times New Roman"/>
          <w:sz w:val="22"/>
          <w:szCs w:val="22"/>
          <w:u w:val="single" w:color="auto"/>
          <w:color w:val="auto"/>
        </w:rPr>
        <w:t>Section 2.08(b)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in which case such prepayment shall be applied in accordance with </w:t>
      </w:r>
      <w:r>
        <w:rPr>
          <w:rFonts w:ascii="Times New Roman" w:cs="Times New Roman" w:eastAsia="Times New Roman" w:hAnsi="Times New Roman"/>
          <w:sz w:val="22"/>
          <w:szCs w:val="22"/>
          <w:u w:val="single" w:color="auto"/>
          <w:color w:val="auto"/>
        </w:rPr>
        <w:t>Section 2.08(d)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as applicable.</w:t>
      </w:r>
    </w:p>
    <w:p>
      <w:pPr>
        <w:spacing w:after="0" w:line="182"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 due to Changes in Exchange Rates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80" w:firstLine="816"/>
        <w:spacing w:after="0" w:line="234" w:lineRule="auto"/>
        <w:tabs>
          <w:tab w:leader="none" w:pos="254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Amount Outstanding</w:t>
      </w:r>
      <w:r>
        <w:rPr>
          <w:rFonts w:ascii="Times New Roman" w:cs="Times New Roman" w:eastAsia="Times New Roman" w:hAnsi="Times New Roman"/>
          <w:sz w:val="22"/>
          <w:szCs w:val="22"/>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Atlanta, Georgia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184" w:lineRule="exact"/>
        <w:rPr>
          <w:rFonts w:ascii="Times New Roman" w:cs="Times New Roman" w:eastAsia="Times New Roman" w:hAnsi="Times New Roman"/>
          <w:sz w:val="22"/>
          <w:szCs w:val="22"/>
          <w:color w:val="auto"/>
        </w:rPr>
      </w:pPr>
    </w:p>
    <w:p>
      <w:pPr>
        <w:ind w:left="2600" w:hanging="904"/>
        <w:spacing w:after="0"/>
        <w:tabs>
          <w:tab w:leader="none" w:pos="26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Prepayment</w:t>
      </w:r>
      <w:r>
        <w:rPr>
          <w:rFonts w:ascii="Times New Roman" w:cs="Times New Roman" w:eastAsia="Times New Roman" w:hAnsi="Times New Roman"/>
          <w:sz w:val="22"/>
          <w:szCs w:val="22"/>
          <w:color w:val="auto"/>
        </w:rPr>
        <w:t>.  If on the date of such determination the aggregate Revolving Multicurrency Credit</w:t>
      </w:r>
    </w:p>
    <w:p>
      <w:pPr>
        <w:spacing w:after="0" w:line="14" w:lineRule="exact"/>
        <w:rPr>
          <w:sz w:val="20"/>
          <w:szCs w:val="20"/>
          <w:color w:val="auto"/>
        </w:rPr>
      </w:pPr>
    </w:p>
    <w:p>
      <w:pPr>
        <w:jc w:val="both"/>
        <w:ind w:left="880"/>
        <w:spacing w:after="0" w:line="232" w:lineRule="auto"/>
        <w:rPr>
          <w:sz w:val="20"/>
          <w:szCs w:val="20"/>
          <w:color w:val="auto"/>
        </w:rPr>
      </w:pPr>
      <w:r>
        <w:rPr>
          <w:rFonts w:ascii="Times New Roman" w:cs="Times New Roman" w:eastAsia="Times New Roman" w:hAnsi="Times New Roman"/>
          <w:sz w:val="22"/>
          <w:szCs w:val="22"/>
          <w:color w:val="auto"/>
        </w:rPr>
        <w:t xml:space="preserve">Exposure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Multicurrency Loans (and/or provide Cash Collateral for Multicurrency LC Exposure as specified in </w:t>
      </w:r>
      <w:r>
        <w:rPr>
          <w:rFonts w:ascii="Times New Roman" w:cs="Times New Roman" w:eastAsia="Times New Roman" w:hAnsi="Times New Roman"/>
          <w:sz w:val="22"/>
          <w:szCs w:val="22"/>
          <w:u w:val="single" w:color="auto"/>
          <w:color w:val="auto"/>
        </w:rPr>
        <w:t>Section 2.05(k)</w:t>
      </w:r>
      <w:r>
        <w:rPr>
          <w:rFonts w:ascii="Times New Roman" w:cs="Times New Roman" w:eastAsia="Times New Roman" w:hAnsi="Times New Roman"/>
          <w:sz w:val="22"/>
          <w:szCs w:val="22"/>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purposes hereof “</w:t>
      </w:r>
      <w:r>
        <w:rPr>
          <w:rFonts w:ascii="Times New Roman" w:cs="Times New Roman" w:eastAsia="Times New Roman" w:hAnsi="Times New Roman"/>
          <w:sz w:val="22"/>
          <w:szCs w:val="22"/>
          <w:u w:val="single" w:color="auto"/>
          <w:color w:val="auto"/>
        </w:rPr>
        <w:t>Currency Valuation Notice</w:t>
      </w:r>
      <w:r>
        <w:rPr>
          <w:rFonts w:ascii="Times New Roman" w:cs="Times New Roman" w:eastAsia="Times New Roman" w:hAnsi="Times New Roman"/>
          <w:sz w:val="22"/>
          <w:szCs w:val="22"/>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81"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 xml:space="preserve">Any prepayment pursuant to this paragraph shall be applied,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Swingline Multicurrency Loans outstanding,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Syndicated Multicurrency Loans outstanding and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as cover for Multicurrency LC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3773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3773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7"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56</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3" w:name="page214"/>
    <w:bookmarkEnd w:id="213"/>
    <w:p>
      <w:pPr>
        <w:jc w:val="both"/>
        <w:ind w:firstLine="1763"/>
        <w:spacing w:after="0" w:line="233" w:lineRule="auto"/>
        <w:tabs>
          <w:tab w:leader="none" w:pos="2643"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 due to Borrowing Base Deficiency</w:t>
      </w:r>
      <w:r>
        <w:rPr>
          <w:rFonts w:ascii="Times New Roman" w:cs="Times New Roman" w:eastAsia="Times New Roman" w:hAnsi="Times New Roman"/>
          <w:sz w:val="22"/>
          <w:szCs w:val="22"/>
          <w:color w:val="auto"/>
        </w:rPr>
        <w:t xml:space="preserve">. In the event that at any time any Borrowing Base Deficiency shall exist, the Borrower shall, within five Business Days after delivery of the applicable Borrowing Base Certificate, prepay the Loans (or provide Cash Collateral for Letters of Credit as contemplated by </w:t>
      </w:r>
      <w:r>
        <w:rPr>
          <w:rFonts w:ascii="Times New Roman" w:cs="Times New Roman" w:eastAsia="Times New Roman" w:hAnsi="Times New Roman"/>
          <w:sz w:val="22"/>
          <w:szCs w:val="22"/>
          <w:u w:val="single" w:color="auto"/>
          <w:color w:val="auto"/>
        </w:rPr>
        <w:t>Section 2.05(k)</w:t>
      </w:r>
      <w:r>
        <w:rPr>
          <w:rFonts w:ascii="Times New Roman" w:cs="Times New Roman" w:eastAsia="Times New Roman" w:hAnsi="Times New Roman"/>
          <w:sz w:val="22"/>
          <w:szCs w:val="22"/>
          <w:color w:val="auto"/>
        </w:rPr>
        <w:t xml:space="preserve">) or reduce Other Covered Indebtedness or any other Indebtedness that is included in the Covered Debt Amount at such time in such amounts as shall be necessary so that such Borrowing Base Deficiency is cured;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the Borrower shall present the Lenders with a reasonably feasible plan acceptable to the Required Lenders in their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183"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55"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 During Amortization Period</w:t>
      </w:r>
      <w:r>
        <w:rPr>
          <w:rFonts w:ascii="Times New Roman" w:cs="Times New Roman" w:eastAsia="Times New Roman" w:hAnsi="Times New Roman"/>
          <w:sz w:val="22"/>
          <w:szCs w:val="22"/>
          <w:color w:val="auto"/>
        </w:rPr>
        <w:t>. During the period commencing on the date immediately following the Commitment Termination Date with respect to any Loans of any Lender or Lenders and ending on the Final Maturity Date with respect to the Loans of such Lender or Lenders:</w:t>
      </w:r>
    </w:p>
    <w:p>
      <w:pPr>
        <w:spacing w:after="0" w:line="173" w:lineRule="exact"/>
        <w:rPr>
          <w:rFonts w:ascii="Times New Roman" w:cs="Times New Roman" w:eastAsia="Times New Roman" w:hAnsi="Times New Roman"/>
          <w:sz w:val="22"/>
          <w:szCs w:val="22"/>
          <w:color w:val="auto"/>
        </w:rPr>
      </w:pPr>
    </w:p>
    <w:p>
      <w:pPr>
        <w:jc w:val="both"/>
        <w:ind w:left="880" w:firstLine="816"/>
        <w:spacing w:after="0" w:line="251" w:lineRule="auto"/>
        <w:tabs>
          <w:tab w:leader="none" w:pos="2542"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Asset Disposition</w:t>
      </w:r>
      <w:r>
        <w:rPr>
          <w:rFonts w:ascii="Times New Roman" w:cs="Times New Roman" w:eastAsia="Times New Roman" w:hAnsi="Times New Roman"/>
          <w:sz w:val="21"/>
          <w:szCs w:val="21"/>
          <w:color w:val="auto"/>
        </w:rPr>
        <w:t xml:space="preserve">. If the Borrower or any of its Subsidiaries (other than a Financing Subsidiary) Disposes of any property which results in the receipt by such Person of Net Cash Proceeds in excess of $2,000,000 in the aggregate since the applicable Commitment Termination Date, the Borrower shall prepay an aggregate principal amount of such Loans owed to such Lender or Lenders equal to 100% of such Net Cash Proceeds no later than the fifth Business Day following the receipt of such Net Cash Proceeds (such prepayments to be applied as set forth in </w:t>
      </w:r>
      <w:r>
        <w:rPr>
          <w:rFonts w:ascii="Times New Roman" w:cs="Times New Roman" w:eastAsia="Times New Roman" w:hAnsi="Times New Roman"/>
          <w:sz w:val="21"/>
          <w:szCs w:val="21"/>
          <w:u w:val="single" w:color="auto"/>
          <w:color w:val="auto"/>
        </w:rPr>
        <w:t>Section 2.09(b)</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jc w:val="both"/>
        <w:ind w:left="880" w:firstLine="816"/>
        <w:spacing w:after="0" w:line="238" w:lineRule="auto"/>
        <w:tabs>
          <w:tab w:leader="none" w:pos="260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Issuance</w:t>
      </w:r>
      <w:r>
        <w:rPr>
          <w:rFonts w:ascii="Times New Roman" w:cs="Times New Roman" w:eastAsia="Times New Roman" w:hAnsi="Times New Roman"/>
          <w:sz w:val="22"/>
          <w:szCs w:val="22"/>
          <w:color w:val="auto"/>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such Loans owed to such Lender or Lenders equal to 75% of all Net Cash Proceeds received therefrom no later than the fifth Business Day following the receipt of such Net Cash Proceeds (such prepayments to be applied as set forth in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left="880" w:firstLine="816"/>
        <w:spacing w:after="0" w:line="238" w:lineRule="auto"/>
        <w:tabs>
          <w:tab w:leader="none" w:pos="266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Upon the incurrence or issuance by the Borrower or any of its Subsidiaries (other than a Financing Subsidiary) of any Indebtedness (other than the making of any Loans or issuance of any Letters of Credit hereunder),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3773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3773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6"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57</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4" w:name="page215"/>
    <w:bookmarkEnd w:id="214"/>
    <w:p>
      <w:pPr>
        <w:jc w:val="both"/>
        <w:ind w:left="880" w:firstLine="816"/>
        <w:spacing w:after="0" w:line="235" w:lineRule="auto"/>
        <w:tabs>
          <w:tab w:leader="none" w:pos="265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Extraordinary Receipt</w:t>
      </w:r>
      <w:r>
        <w:rPr>
          <w:rFonts w:ascii="Times New Roman" w:cs="Times New Roman" w:eastAsia="Times New Roman" w:hAnsi="Times New Roman"/>
          <w:sz w:val="22"/>
          <w:szCs w:val="22"/>
          <w:color w:val="auto"/>
        </w:rPr>
        <w:t xml:space="preserve">. Upon any Extraordinary Receipt (which, when taken with all other Extraordinary Receipts received after the applicable Commitment Termination Date, exceeds $5,000,000 in the aggregate) received by or paid to or for the account of the Borrower or any of its Subsidiaries (other than a Financing Subsidiary), and not otherwise included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880" w:firstLine="816"/>
        <w:spacing w:after="0" w:line="238" w:lineRule="auto"/>
        <w:tabs>
          <w:tab w:leader="none" w:pos="259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Capital</w:t>
      </w:r>
      <w:r>
        <w:rPr>
          <w:rFonts w:ascii="Times New Roman" w:cs="Times New Roman" w:eastAsia="Times New Roman" w:hAnsi="Times New Roman"/>
          <w:sz w:val="22"/>
          <w:szCs w:val="22"/>
          <w:color w:val="auto"/>
        </w:rPr>
        <w:t xml:space="preserve">. If any Obligor shall receive any Return of Capital (other than from any Financing Subsidiary), the Borrower shall prepay an aggregate principal amount of such Loans owed to such Lender or Lenders equal to 90% of such Return of Capital (excluding amounts payable by the Borrower pursuant to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no later than the fifth Business Day following the receipt of such Return of Capital (such prepayments to be applied as set forth in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1"/>
          <w:szCs w:val="21"/>
          <w:color w:val="auto"/>
        </w:rPr>
        <w:t xml:space="preserve">Notwithstanding the foregoing, (I) Net Cash Proceeds and Return of Capital required to be applied to the prepayment of the Loans pursuant to this </w:t>
      </w:r>
      <w:r>
        <w:rPr>
          <w:rFonts w:ascii="Times New Roman" w:cs="Times New Roman" w:eastAsia="Times New Roman" w:hAnsi="Times New Roman"/>
          <w:sz w:val="21"/>
          <w:szCs w:val="21"/>
          <w:u w:val="single" w:color="auto"/>
          <w:color w:val="auto"/>
        </w:rPr>
        <w:t>Section 2.10(d)</w:t>
      </w:r>
      <w:r>
        <w:rPr>
          <w:rFonts w:ascii="Times New Roman" w:cs="Times New Roman" w:eastAsia="Times New Roman" w:hAnsi="Times New Roman"/>
          <w:sz w:val="21"/>
          <w:szCs w:val="21"/>
          <w:color w:val="auto"/>
        </w:rPr>
        <w:t xml:space="preserve"> shall (A) (I) from the period commencing on any Non-Extended Commitment Termination Date and ending on the Extended Commitment Termination Date, be applied ratably among the Non-Extending Lenders for which any Non-Extended Commitment Termination Date shall have occurred and (II) from the Extended Commitment Termination Date to the Extended Final Maturity Date, be applied in accordance with the Guarantee and Security Agreement and</w:t>
      </w:r>
    </w:p>
    <w:p>
      <w:pPr>
        <w:spacing w:after="0" w:line="2" w:lineRule="exact"/>
        <w:rPr>
          <w:sz w:val="20"/>
          <w:szCs w:val="20"/>
          <w:color w:val="auto"/>
        </w:rPr>
      </w:pPr>
    </w:p>
    <w:p>
      <w:pPr>
        <w:jc w:val="both"/>
        <w:ind w:firstLine="8"/>
        <w:spacing w:after="0" w:line="232" w:lineRule="auto"/>
        <w:tabs>
          <w:tab w:leader="none" w:pos="37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exclude the amount necessary for the Borrower to make all required distributions (which shall be no less than the amount estimated in good faith by Borrower under </w:t>
      </w:r>
      <w:r>
        <w:rPr>
          <w:rFonts w:ascii="Times New Roman" w:cs="Times New Roman" w:eastAsia="Times New Roman" w:hAnsi="Times New Roman"/>
          <w:sz w:val="22"/>
          <w:szCs w:val="22"/>
          <w:u w:val="single" w:color="auto"/>
          <w:color w:val="auto"/>
        </w:rPr>
        <w:t>Section 6.05(b)</w:t>
      </w:r>
      <w:r>
        <w:rPr>
          <w:rFonts w:ascii="Times New Roman" w:cs="Times New Roman" w:eastAsia="Times New Roman" w:hAnsi="Times New Roman"/>
          <w:sz w:val="22"/>
          <w:szCs w:val="22"/>
          <w:color w:val="auto"/>
        </w:rPr>
        <w:t xml:space="preserve"> herein) to maintain the status of a RIC under the Code and a “business development company” under the Investment Company Act for so long as the Borrower retains such status and (II) if the Loans to be prepaid pursuant to this </w:t>
      </w:r>
      <w:r>
        <w:rPr>
          <w:rFonts w:ascii="Times New Roman" w:cs="Times New Roman" w:eastAsia="Times New Roman" w:hAnsi="Times New Roman"/>
          <w:sz w:val="22"/>
          <w:szCs w:val="22"/>
          <w:u w:val="single" w:color="auto"/>
          <w:color w:val="auto"/>
        </w:rPr>
        <w:t>Section 2.01(d)</w:t>
      </w:r>
      <w:r>
        <w:rPr>
          <w:rFonts w:ascii="Times New Roman" w:cs="Times New Roman" w:eastAsia="Times New Roman" w:hAnsi="Times New Roman"/>
          <w:sz w:val="22"/>
          <w:szCs w:val="22"/>
          <w:color w:val="auto"/>
        </w:rPr>
        <w:t xml:space="preserve"> are Eurocurrency Loans, the Borrower may defer such prepayment until the last day of the Interest Period applicable to such Loans owed to such Lender or Lenders,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Administrative Agent may direct the application of such deposits as set forth in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 xml:space="preserve"> at any time and if the Administrative Agent does so, no amounts will be payable by the Borrower pursuant to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firstLine="1763"/>
        <w:spacing w:after="0" w:line="235" w:lineRule="auto"/>
        <w:tabs>
          <w:tab w:leader="none" w:pos="2643"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Etc</w:t>
      </w:r>
      <w:r>
        <w:rPr>
          <w:rFonts w:ascii="Times New Roman" w:cs="Times New Roman" w:eastAsia="Times New Roman" w:hAnsi="Times New Roman"/>
          <w:sz w:val="22"/>
          <w:szCs w:val="22"/>
          <w:color w:val="auto"/>
        </w:rPr>
        <w:t xml:space="preserve">. The Borrower shall notify the Administrative Agent (and, in the case of prepayment of a Swingline Loan made by a Swingline Lender, such Swingline Lender) by telephone (confirmed by telecopy) of any prepayment hereunder (i) in the case of prepayment of a Eurocurrency Borrowing denominated in Dollars (other than in the case of a prepayment pursuant to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not later than 11:00 a.m., Atlanta, Georgia time, three Business Days before the date of prepayment, (ii) in the case of prepayment of a Eurocurrency Borrowing denominated in a Foreign Currency (other than in the case of a prepayment pursuant to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not later than 11:00 a.m., London time, four Business Days before the date of prepayment, (iii) in the case of prepayment of a Syndicated ABR Borrowing (other than in the case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3773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3">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3773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3"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58</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5" w:name="page216"/>
    <w:bookmarkEnd w:id="215"/>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prepayment pursuant to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not later than 11:00 a.m., Atlanta, Georgia time, one Business Day before the date of prepayment, (iv) in the case of prepayment of a Swingline Loan, not later than 11:00 a.m., Atlanta, Georgia time, on the date of prepayment, or (v) in the case of any prepayment pursuant to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not later than 1:00 p.m., Atlanta, Georgia time, on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(i) a notice of prepayment is given in connection with a conditional notice of termination of the Commitments of a Class as contemplated by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then such notice of prepayment may be revoked if such notice of termination is revoked in accordance with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and (ii) any notice given in connection with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or in the case of a Swingline Loan, as provided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except as necessary to apply fully the required amount of a mandatory prepayment. Each prepayment of a Syndicated Borrowing of a Class of Commitments or Final Maturity Date shall be applied ratably to the Loans held by the Lenders of such Class included in the prepaid Borrowing. Prepayments shall be accompanied by accrued interest to the extent required by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and shall be made in the manner specified in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 xml:space="preserve"> unless such prepayment is made in connection with the reduction of Commitments in accordance with </w:t>
      </w:r>
      <w:r>
        <w:rPr>
          <w:rFonts w:ascii="Times New Roman" w:cs="Times New Roman" w:eastAsia="Times New Roman" w:hAnsi="Times New Roman"/>
          <w:sz w:val="22"/>
          <w:szCs w:val="22"/>
          <w:u w:val="single" w:color="auto"/>
          <w:color w:val="auto"/>
        </w:rPr>
        <w:t>Section 2.08(b)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in which case such prepayment shall be applied in accordance with </w:t>
      </w:r>
      <w:r>
        <w:rPr>
          <w:rFonts w:ascii="Times New Roman" w:cs="Times New Roman" w:eastAsia="Times New Roman" w:hAnsi="Times New Roman"/>
          <w:sz w:val="22"/>
          <w:szCs w:val="22"/>
          <w:u w:val="single" w:color="auto"/>
          <w:color w:val="auto"/>
        </w:rPr>
        <w:t>Section 2.08(d)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as applicable.</w:t>
      </w:r>
    </w:p>
    <w:p>
      <w:pPr>
        <w:spacing w:after="0" w:line="18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3" w:lineRule="auto"/>
        <w:tabs>
          <w:tab w:leader="none" w:pos="264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such Lender’s Commitment Termination Date. Accrued commitment fees shall be payable within one Business Day after each Quarterly Date and on the earlier of the date the Commitments of the respective Class terminate and the Commitment Termination Date of such Class,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(i) the daily unused amount of the applicable Commitment shall be determined as of the end of each day and (ii)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86"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55"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The Borrower agrees to pay (i) to the Administrative Agent for account of each Lender a participation fee with respect to its participations in Letters of Credit of each Class of Commitments, which shall accrue at a rate per annum equal to, in the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3773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3773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59</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6" w:name="page217"/>
    <w:bookmarkEnd w:id="216"/>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of any Extending Lender, the Extended Applicable Margin and, in the case of any Non-Extending Lender, the Non-Extended Applicable Margin, in each case, applicable to interest on Eurocurrency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each Issuing Bank a fronting fee, which shall accrue at the rate of 0.25% per annum on the average daily amount of such Issuing Bank’s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each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such fees with respect to the Letters of Credit shall be payable (i) with respect to the Issuing Bank, on the Termination Date and (ii) with respect to any Lender, on the earlier to occur of such Lender’s Final Maturity Date and the Termination Date and the Borrower shall pay any such fees 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81" w:lineRule="exact"/>
        <w:rPr>
          <w:sz w:val="20"/>
          <w:szCs w:val="20"/>
          <w:color w:val="auto"/>
        </w:rPr>
      </w:pPr>
    </w:p>
    <w:p>
      <w:pPr>
        <w:ind w:firstLine="1763"/>
        <w:spacing w:after="0" w:line="282" w:lineRule="auto"/>
        <w:tabs>
          <w:tab w:leader="none" w:pos="2643"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Administrative Agent Fees</w:t>
      </w:r>
      <w:r>
        <w:rPr>
          <w:rFonts w:ascii="Times New Roman" w:cs="Times New Roman" w:eastAsia="Times New Roman" w:hAnsi="Times New Roman"/>
          <w:sz w:val="21"/>
          <w:szCs w:val="21"/>
          <w:color w:val="auto"/>
        </w:rPr>
        <w:t>. The Borrower agrees to pay to the Administrative Agent, for its own account, fees payable in the amounts and at the times separately agreed upon between the Borrower and the Administrative Agent.</w:t>
      </w:r>
    </w:p>
    <w:p>
      <w:pPr>
        <w:spacing w:after="0" w:line="134" w:lineRule="exact"/>
        <w:rPr>
          <w:rFonts w:ascii="Times New Roman" w:cs="Times New Roman" w:eastAsia="Times New Roman" w:hAnsi="Times New Roman"/>
          <w:sz w:val="21"/>
          <w:szCs w:val="21"/>
          <w:color w:val="auto"/>
        </w:rPr>
      </w:pPr>
    </w:p>
    <w:p>
      <w:pPr>
        <w:jc w:val="both"/>
        <w:ind w:firstLine="1763"/>
        <w:spacing w:after="0" w:line="238" w:lineRule="auto"/>
        <w:tabs>
          <w:tab w:leader="none" w:pos="2655"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Fees</w:t>
      </w:r>
      <w:r>
        <w:rPr>
          <w:rFonts w:ascii="Times New Roman" w:cs="Times New Roman" w:eastAsia="Times New Roman" w:hAnsi="Times New Roman"/>
          <w:sz w:val="22"/>
          <w:szCs w:val="22"/>
          <w:color w:val="auto"/>
        </w:rPr>
        <w:t>. All fees payable hereunder shall be paid on the dates due, in Dollars (or, at the election of the Borrower with respect to any fees payable to an Issuing Bank on account of Letters of Credit issued by such Issuing Bank in any Foreign Currency, in such Foreign Currency) and immediately available funds, to the Administrative Agent (or to the applicable Issuing Bank, in the case of fees payable to it) for distribution, in the case of commitment fees and participation fees, to the Lenders entitled thereto. Fees paid shall not be refundable under any circumstances absent obvious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3773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9">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3773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6"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60</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7" w:name="page218"/>
    <w:bookmarkEnd w:id="217"/>
    <w:p>
      <w:pPr>
        <w:ind w:left="1760"/>
        <w:spacing w:after="0"/>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8" w:lineRule="auto"/>
        <w:tabs>
          <w:tab w:leader="none" w:pos="2643"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ABR Loans</w:t>
      </w:r>
      <w:r>
        <w:rPr>
          <w:rFonts w:ascii="Times New Roman" w:cs="Times New Roman" w:eastAsia="Times New Roman" w:hAnsi="Times New Roman"/>
          <w:sz w:val="22"/>
          <w:szCs w:val="22"/>
          <w:color w:val="auto"/>
        </w:rPr>
        <w:t xml:space="preserve">. The Loans constituting each ABR Borrowing (including each Swingline Loan) that are made by the Extending Lenders shall bear interest at a rate per annum equal to the Alternate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Extended Applicable Margin. The Loans constituting each ABR Borrowing (including each Swingline Loan) that are made by the Non-Extending Lenders shall bear interest at a rate per annum equal to the Alternate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Non-Extended Applicable Margin.</w:t>
      </w:r>
    </w:p>
    <w:p>
      <w:pPr>
        <w:spacing w:after="0" w:line="177" w:lineRule="exact"/>
        <w:rPr>
          <w:rFonts w:ascii="Times New Roman" w:cs="Times New Roman" w:eastAsia="Times New Roman" w:hAnsi="Times New Roman"/>
          <w:sz w:val="22"/>
          <w:szCs w:val="22"/>
          <w:color w:val="auto"/>
        </w:rPr>
      </w:pPr>
    </w:p>
    <w:p>
      <w:pPr>
        <w:jc w:val="both"/>
        <w:ind w:firstLine="1763"/>
        <w:spacing w:after="0" w:line="238" w:lineRule="auto"/>
        <w:tabs>
          <w:tab w:leader="none" w:pos="2655"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Eurocurrency Loans</w:t>
      </w:r>
      <w:r>
        <w:rPr>
          <w:rFonts w:ascii="Times New Roman" w:cs="Times New Roman" w:eastAsia="Times New Roman" w:hAnsi="Times New Roman"/>
          <w:sz w:val="22"/>
          <w:szCs w:val="22"/>
          <w:color w:val="auto"/>
        </w:rPr>
        <w:t xml:space="preserve">. The Loans constituting each Eurocurrency Borrowing that are made by the Extending Lenders shall bear interest at a rate per annum equal to the Adjusted LIBO Rate for the related Interest Period for such Borrowing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Extended Applicable Margin. The Loans constituting each Eurocurrency Borrowing that are made by the Non-Extending Lenders shall bear interest at a rate per annum equal to the Adjusted LIBO Rate for the related Interest Period for such Borrowing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Non-Extended Applicable Margin.</w:t>
      </w:r>
    </w:p>
    <w:p>
      <w:pPr>
        <w:spacing w:after="0" w:line="177" w:lineRule="exact"/>
        <w:rPr>
          <w:rFonts w:ascii="Times New Roman" w:cs="Times New Roman" w:eastAsia="Times New Roman" w:hAnsi="Times New Roman"/>
          <w:sz w:val="22"/>
          <w:szCs w:val="22"/>
          <w:color w:val="auto"/>
        </w:rPr>
      </w:pPr>
    </w:p>
    <w:p>
      <w:pPr>
        <w:jc w:val="both"/>
        <w:ind w:firstLine="1763"/>
        <w:spacing w:after="0" w:line="236" w:lineRule="auto"/>
        <w:tabs>
          <w:tab w:leader="none" w:pos="2643"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 Interest</w:t>
      </w:r>
      <w:r>
        <w:rPr>
          <w:rFonts w:ascii="Times New Roman" w:cs="Times New Roman" w:eastAsia="Times New Roman" w:hAnsi="Times New Roman"/>
          <w:sz w:val="22"/>
          <w:szCs w:val="22"/>
          <w:color w:val="auto"/>
        </w:rPr>
        <w:t xml:space="preserve">.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 (i) in the case of principal of any Loan, 2%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rate otherwise applicable to such Loan as provided above, (ii) in the case of any Letter of Credit, 2%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fee otherwise applicable to such Letter of Credit as provided in </w:t>
      </w:r>
      <w:r>
        <w:rPr>
          <w:rFonts w:ascii="Times New Roman" w:cs="Times New Roman" w:eastAsia="Times New Roman" w:hAnsi="Times New Roman"/>
          <w:sz w:val="22"/>
          <w:szCs w:val="22"/>
          <w:u w:val="single" w:color="auto"/>
          <w:color w:val="auto"/>
        </w:rPr>
        <w:t>Section 2.11(b)(i)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in the case of any fee or other amount, 2%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rate applicable to ABR Loans as provided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of this Section.</w:t>
      </w:r>
    </w:p>
    <w:p>
      <w:pPr>
        <w:spacing w:after="0" w:line="182" w:lineRule="exact"/>
        <w:rPr>
          <w:rFonts w:ascii="Times New Roman" w:cs="Times New Roman" w:eastAsia="Times New Roman" w:hAnsi="Times New Roman"/>
          <w:sz w:val="22"/>
          <w:szCs w:val="22"/>
          <w:color w:val="auto"/>
        </w:rPr>
      </w:pPr>
    </w:p>
    <w:p>
      <w:pPr>
        <w:jc w:val="both"/>
        <w:ind w:firstLine="1763"/>
        <w:spacing w:after="0" w:line="235" w:lineRule="auto"/>
        <w:tabs>
          <w:tab w:leader="none" w:pos="2655"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Interest</w:t>
      </w:r>
      <w:r>
        <w:rPr>
          <w:rFonts w:ascii="Times New Roman" w:cs="Times New Roman" w:eastAsia="Times New Roman" w:hAnsi="Times New Roman"/>
          <w:sz w:val="22"/>
          <w:szCs w:val="22"/>
          <w:color w:val="auto"/>
        </w:rPr>
        <w:t xml:space="preserve">. Accrued interest on each Loan shall be payable in arrears on each Interest Payment Date for such Loan in the Currency in which such Loan is denominated and, in the case of Syndicated Loans, with respect to any Lender, upon the earlier of such Lender’s Final Maturity Date and the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interest accrued pursuant to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of this Section shall be payable on demand, (ii) in the event of any repayment or prepayment of any Loan (other than a prepayment of a Syndicated ABR Loan prior to such Lender’s Final Maturity Date), accrued interest on the principal amount repaid or prepaid shall be payable on the date of such repayment or prepayment and (iii) in the event of any conversion of any Eurocurrency Borrowing denominated in Dollars prior to the end of the Interest Period therefor, accrued interest on such Borrowing shall be payable on the effective date of such conversion.</w:t>
      </w:r>
    </w:p>
    <w:p>
      <w:pPr>
        <w:spacing w:after="0" w:line="179" w:lineRule="exact"/>
        <w:rPr>
          <w:rFonts w:ascii="Times New Roman" w:cs="Times New Roman" w:eastAsia="Times New Roman" w:hAnsi="Times New Roman"/>
          <w:sz w:val="22"/>
          <w:szCs w:val="22"/>
          <w:color w:val="auto"/>
        </w:rPr>
      </w:pPr>
    </w:p>
    <w:p>
      <w:pPr>
        <w:jc w:val="both"/>
        <w:ind w:firstLine="1763"/>
        <w:spacing w:after="0" w:line="236" w:lineRule="auto"/>
        <w:tabs>
          <w:tab w:leader="none" w:pos="2643"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Computation</w:t>
      </w:r>
      <w:r>
        <w:rPr>
          <w:rFonts w:ascii="Times New Roman" w:cs="Times New Roman" w:eastAsia="Times New Roman" w:hAnsi="Times New Roman"/>
          <w:sz w:val="22"/>
          <w:szCs w:val="22"/>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Pounds Sterling or Canadian Dollars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3773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2">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3773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1"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61</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8" w:name="page219"/>
    <w:bookmarkEnd w:id="218"/>
    <w:p>
      <w:pPr>
        <w:ind w:left="1760"/>
        <w:spacing w:after="0"/>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u w:val="single" w:color="auto"/>
          <w:color w:val="auto"/>
        </w:rPr>
        <w:t>Inability to Determine Interest Rates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763"/>
        <w:spacing w:after="0" w:line="258" w:lineRule="auto"/>
        <w:tabs>
          <w:tab w:leader="none" w:pos="2643"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commencement of any Interest Period for any Eurocurrency Borrowing of a Class (the Currency of such Borrowing herein called the “</w:t>
      </w:r>
      <w:r>
        <w:rPr>
          <w:rFonts w:ascii="Times New Roman" w:cs="Times New Roman" w:eastAsia="Times New Roman" w:hAnsi="Times New Roman"/>
          <w:sz w:val="22"/>
          <w:szCs w:val="22"/>
          <w:u w:val="single" w:color="auto"/>
          <w:color w:val="auto"/>
        </w:rPr>
        <w:t>Affected Currency</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880" w:firstLine="816"/>
        <w:spacing w:after="0" w:line="238" w:lineRule="auto"/>
        <w:tabs>
          <w:tab w:leader="none" w:pos="2542"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determined (which determination shall be conclusive and binding upon the Borrower absent manifest error) that, by reason of circumstances affecting the relevant interbank market, adequate and reasonable means do not exist for ascertaining the Adjusted LIBO Rate for the Affected Currency (including, without limitation, because the Screen Rate is not available or published on a current basis) for such Interest Period; or</w:t>
      </w:r>
    </w:p>
    <w:p>
      <w:pPr>
        <w:spacing w:after="0" w:line="177" w:lineRule="exact"/>
        <w:rPr>
          <w:rFonts w:ascii="Times New Roman" w:cs="Times New Roman" w:eastAsia="Times New Roman" w:hAnsi="Times New Roman"/>
          <w:sz w:val="22"/>
          <w:szCs w:val="22"/>
          <w:color w:val="auto"/>
        </w:rPr>
      </w:pPr>
    </w:p>
    <w:p>
      <w:pPr>
        <w:jc w:val="both"/>
        <w:ind w:left="880" w:firstLine="816"/>
        <w:spacing w:after="0" w:line="239" w:lineRule="auto"/>
        <w:tabs>
          <w:tab w:leader="none" w:pos="2602"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notice from the Required Lenders of such Class of Commitments that the Adjusted LIBO Rate for the Affected Currency for such Interest Period will not adequately and fairly reflect the cost to such Lenders of making or maintaining their respective Loans included in such Borrowing for such Interest Period;</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then the Administrative Agent shall give written notice thereof (or telephonic notice, promptly confirmed in writing) to the Borrower and the affected Lenders as promptly as practicable thereafter. Until the Administrative Agent shall notify the Borrower and the Lenders that the circumstances giving rise to such notice no longer exist, (i) any Interest Election Request that requests the conversion of any Syndicated Borrowing to, or the continuation of any Syndicated Borrowing as, a Eurocurrency Borrowing denominated in the Affected Currency shall be ineffective and, if the Affected Currency is Dollars, such Syndicated Borrowing (unless prepaid) shall be continued as, or converted to, a Syndicated ABR Borrowing, (ii) if the Affected Currency is Dollars and any Borrowing Request requests a Eurocurrency Borrowing denominated in Dollars, such Borrowing shall be made as a Syndicated ABR Borrowing and (iii) if the Affected Currency is a Foreign Currency, then either, at the Borrower’s election, (A) any Borrowing Request that requests a Eurocurrency Borrowing denominated in the Affected Currency shall be ineffective, or (B) the LIBO Rate for such Eurocurrency Borrowing shall be the cost to each Lender to fund its pro rata share of such Eurocurrency Borrowing (from whatever source and using whatever methodologies as such Lender may select in its reasonable discretion).</w:t>
      </w:r>
    </w:p>
    <w:p>
      <w:pPr>
        <w:spacing w:after="0" w:line="178" w:lineRule="exact"/>
        <w:rPr>
          <w:sz w:val="20"/>
          <w:szCs w:val="20"/>
          <w:color w:val="auto"/>
        </w:rPr>
      </w:pPr>
    </w:p>
    <w:p>
      <w:pPr>
        <w:jc w:val="both"/>
        <w:ind w:firstLine="1763"/>
        <w:spacing w:after="0" w:line="234" w:lineRule="auto"/>
        <w:tabs>
          <w:tab w:leader="none" w:pos="2655"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 Administrative Agent determines (which determination shall be conclusive absent manifest error) that (i) the circumstances set forth in clause (a)(i) above have arisen and such circumstances are unlikely to be temporary or (ii) the circumstances set forth in clause (a)(i) above have not arisen but the supervisor for the administrator of the Screen Rate or a Governmental Authority having jurisdiction over the Administrative Agent has made a public statement identifying a specific date after which the Screen Rate shall no longer be used for determining interest rates for loans, then the Administrative Agent and the Borrower shall endeavor to establish an alternate rate of interest to the Screen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Extended Applicable Margin or Non-Extended Applicable Margin, as applicable).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5">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9"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62</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9" w:name="page220"/>
    <w:bookmarkEnd w:id="219"/>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anything to the contrary in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 such amendment shall become effective without any further action or consent of any other party to this Agreement so long as the Administrative Agent shall not have received, within five (5) Business Days of the date notice of such alternate rate of interest is provided to the Lenders, a written notice from the Required Lenders stating that such Required Lenders object to such amendment. Until an alternate rate of interest shall be determined in accordance with this clause</w:t>
      </w:r>
    </w:p>
    <w:p>
      <w:pPr>
        <w:spacing w:after="0" w:line="2" w:lineRule="exact"/>
        <w:rPr>
          <w:sz w:val="20"/>
          <w:szCs w:val="20"/>
          <w:color w:val="auto"/>
        </w:rPr>
      </w:pPr>
    </w:p>
    <w:p>
      <w:pPr>
        <w:jc w:val="both"/>
        <w:ind w:firstLine="8"/>
        <w:spacing w:after="0" w:line="230" w:lineRule="auto"/>
        <w:tabs>
          <w:tab w:leader="none" w:pos="315"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(but, in the case of the circumstances described in clause (ii) of the first sentence of this </w:t>
      </w:r>
      <w:r>
        <w:rPr>
          <w:rFonts w:ascii="Times New Roman" w:cs="Times New Roman" w:eastAsia="Times New Roman" w:hAnsi="Times New Roman"/>
          <w:sz w:val="22"/>
          <w:szCs w:val="22"/>
          <w:u w:val="single" w:color="auto"/>
          <w:color w:val="auto"/>
        </w:rPr>
        <w:t>Section 2.13(b)</w:t>
      </w:r>
      <w:r>
        <w:rPr>
          <w:rFonts w:ascii="Times New Roman" w:cs="Times New Roman" w:eastAsia="Times New Roman" w:hAnsi="Times New Roman"/>
          <w:sz w:val="22"/>
          <w:szCs w:val="22"/>
          <w:color w:val="auto"/>
        </w:rPr>
        <w:t>, only to the extent the Screen Rate for the applicable currency and/or such Interest Period is not available or published at such time on a current basis)</w:t>
      </w:r>
    </w:p>
    <w:p>
      <w:pPr>
        <w:spacing w:after="0" w:line="1" w:lineRule="exact"/>
        <w:rPr>
          <w:rFonts w:ascii="Times New Roman" w:cs="Times New Roman" w:eastAsia="Times New Roman" w:hAnsi="Times New Roman"/>
          <w:sz w:val="22"/>
          <w:szCs w:val="22"/>
          <w:color w:val="auto"/>
        </w:rPr>
      </w:pPr>
    </w:p>
    <w:p>
      <w:pPr>
        <w:jc w:val="both"/>
        <w:ind w:firstLine="8"/>
        <w:spacing w:after="0" w:line="232" w:lineRule="auto"/>
        <w:tabs>
          <w:tab w:leader="none" w:pos="313"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Election Request that requests the conversion of any Syndicated Borrowing to, or the continuation of any Syndicated Borrowing as, a Eurocurrency Borrowing denominated in the Affected Currency shall be ineffective and, if the Affected Currency is Dollars, such Syndicated Borrowing (unless prepaid) shall be continued as, or converted to, a Syndicated ABR Borrowing, (ii) if the Affected Currency is Dollars and any Borrowing Request requests a Eurocurrency Borrowing denominated in Dollars, such Borrowing shall be made as a Syndicated ABR Borrowing and (iii) if the Affected Currency is a Foreign Currency, then either, at the Borrower’s election, (A) any Borrowing Request that requests a Eurocurrency Borrowing denominated in the Affected Currency shall be ineffective or (B) the LIBO Rate for such Eurocurrency Borrowing shall be the cost to each Lender to fund its pro rata share of such Eurocurrency Borrowing (from whatever source and using whatever methodologies as such Lender may select in its reasonable discretion); provided, that, if such alternate rate of interest shall be less than zero, such rate shall be deemed to be zero for the purposes of this Agreement.</w:t>
      </w:r>
    </w:p>
    <w:p>
      <w:pPr>
        <w:spacing w:after="0" w:line="17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2.14. </w:t>
      </w:r>
      <w:r>
        <w:rPr>
          <w:rFonts w:ascii="Times New Roman" w:cs="Times New Roman" w:eastAsia="Times New Roman" w:hAnsi="Times New Roman"/>
          <w:sz w:val="22"/>
          <w:szCs w:val="22"/>
          <w:u w:val="single" w:color="auto"/>
          <w:color w:val="auto"/>
        </w:rPr>
        <w:t>Increased Costs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660" w:hanging="897"/>
        <w:spacing w:after="0"/>
        <w:tabs>
          <w:tab w:leader="none" w:pos="266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Increased Costs Generally</w:t>
      </w:r>
      <w:r>
        <w:rPr>
          <w:rFonts w:ascii="Times New Roman" w:cs="Times New Roman" w:eastAsia="Times New Roman" w:hAnsi="Times New Roman"/>
          <w:sz w:val="22"/>
          <w:szCs w:val="22"/>
          <w:color w:val="auto"/>
        </w:rPr>
        <w:t>. If any Change in Law shall:</w:t>
      </w:r>
    </w:p>
    <w:p>
      <w:pPr>
        <w:spacing w:after="0" w:line="206" w:lineRule="exact"/>
        <w:rPr>
          <w:rFonts w:ascii="Times New Roman" w:cs="Times New Roman" w:eastAsia="Times New Roman" w:hAnsi="Times New Roman"/>
          <w:sz w:val="22"/>
          <w:szCs w:val="22"/>
          <w:color w:val="auto"/>
        </w:rPr>
      </w:pPr>
    </w:p>
    <w:p>
      <w:pPr>
        <w:jc w:val="both"/>
        <w:ind w:left="880" w:firstLine="816"/>
        <w:spacing w:after="0" w:line="244" w:lineRule="auto"/>
        <w:tabs>
          <w:tab w:leader="none" w:pos="254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against assets of, deposits with or for account of, or credit extended by, any Lender (except any such reserve requirement reflected in the Adjusted LIBO Rate) or any Issuing Bank; or</w:t>
      </w:r>
    </w:p>
    <w:p>
      <w:pPr>
        <w:spacing w:after="0" w:line="173" w:lineRule="exact"/>
        <w:rPr>
          <w:rFonts w:ascii="Times New Roman" w:cs="Times New Roman" w:eastAsia="Times New Roman" w:hAnsi="Times New Roman"/>
          <w:sz w:val="22"/>
          <w:szCs w:val="22"/>
          <w:color w:val="auto"/>
        </w:rPr>
      </w:pPr>
    </w:p>
    <w:p>
      <w:pPr>
        <w:jc w:val="both"/>
        <w:ind w:left="880" w:firstLine="816"/>
        <w:spacing w:after="0" w:line="244" w:lineRule="auto"/>
        <w:tabs>
          <w:tab w:leader="none" w:pos="260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any Issuing Bank or the London interbank market any other condition, cost or expense (other than Taxes) affecting this Agreement or Eurocurrency Loans made by such Lender or any Letter of Credit or participation therein;</w:t>
      </w:r>
    </w:p>
    <w:p>
      <w:pPr>
        <w:spacing w:after="0" w:line="17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Lenders of making, converting to, continuing or maintaining any Eurocurrency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the Borrower will pay to such Lender or such Issuing Bank, as the case may be, in Dollars, such additional amount or amounts as will compensate such Lender or such Issuing Bank, as the case may be, for such additional costs incurred or reduction suffered.</w:t>
      </w:r>
    </w:p>
    <w:p>
      <w:pPr>
        <w:spacing w:after="0" w:line="182" w:lineRule="exact"/>
        <w:rPr>
          <w:sz w:val="20"/>
          <w:szCs w:val="20"/>
          <w:color w:val="auto"/>
        </w:rPr>
      </w:pPr>
    </w:p>
    <w:p>
      <w:pPr>
        <w:jc w:val="both"/>
        <w:ind w:firstLine="1763"/>
        <w:spacing w:after="0" w:line="244" w:lineRule="auto"/>
        <w:tabs>
          <w:tab w:leader="none" w:pos="2655"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and Liquidity Requirements</w:t>
      </w:r>
      <w:r>
        <w:rPr>
          <w:rFonts w:ascii="Times New Roman" w:cs="Times New Roman" w:eastAsia="Times New Roman" w:hAnsi="Times New Roman"/>
          <w:sz w:val="22"/>
          <w:szCs w:val="22"/>
          <w:color w:val="auto"/>
        </w:rPr>
        <w:t>. If any Lender or any Issuing Bank determines that any Change in Law regarding capital or liquidity requirements has or would have the effect of reducing the rate of return on such Lender’s or such Issuing Bank’s capital or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3773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3773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63</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0" w:name="page221"/>
    <w:bookmarkEnd w:id="220"/>
    <w:p>
      <w:pPr>
        <w:jc w:val="both"/>
        <w:spacing w:after="0" w:line="247" w:lineRule="auto"/>
        <w:rPr>
          <w:sz w:val="20"/>
          <w:szCs w:val="20"/>
          <w:color w:val="auto"/>
        </w:rPr>
      </w:pPr>
      <w:r>
        <w:rPr>
          <w:rFonts w:ascii="Times New Roman" w:cs="Times New Roman" w:eastAsia="Times New Roman" w:hAnsi="Times New Roman"/>
          <w:sz w:val="21"/>
          <w:szCs w:val="21"/>
          <w:color w:val="auto"/>
        </w:rPr>
        <w:t>capital of such Lender’s or such Issuing Bank’s holding company, if any, as a consequence of this Agreement or the Loans made by, or participations in Swingline Loans and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requirements), by an amount deemed to be material by such Lender or such Issuing Bank, then from time to time the Borrower will pay to such Lender or such Issuing Bank, as the case may be, in Dollars, such additional amount or amounts as will compensate such Lender or such Issuing Bank or such Lender’s or such Issuing Bank’s holding company for any such reduction suffered.</w:t>
      </w:r>
    </w:p>
    <w:p>
      <w:pPr>
        <w:spacing w:after="0" w:line="173" w:lineRule="exact"/>
        <w:rPr>
          <w:sz w:val="20"/>
          <w:szCs w:val="20"/>
          <w:color w:val="auto"/>
        </w:rPr>
      </w:pPr>
    </w:p>
    <w:p>
      <w:pPr>
        <w:jc w:val="both"/>
        <w:ind w:firstLine="1763"/>
        <w:spacing w:after="0" w:line="238" w:lineRule="auto"/>
        <w:tabs>
          <w:tab w:leader="none" w:pos="2643"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from Lenders</w:t>
      </w:r>
      <w:r>
        <w:rPr>
          <w:rFonts w:ascii="Times New Roman" w:cs="Times New Roman" w:eastAsia="Times New Roman" w:hAnsi="Times New Roman"/>
          <w:sz w:val="22"/>
          <w:szCs w:val="22"/>
          <w:color w:val="auto"/>
        </w:rPr>
        <w:t xml:space="preserve">. A certificate of a Lender or an Issuing Bank setting forth the amount or amounts, in Dollars, necessary to compensate such Lender or such Issuing Bank or its holding company, as the case may be, as specified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shall be promptly delivered to the Borrower and shall be conclusive absent manifest error. The Borrower shall pay such Lender or such Issuing Bank, as the case may be, the amount shown as due on any such certificate within 10 days after receipt thereof.</w:t>
      </w:r>
    </w:p>
    <w:p>
      <w:pPr>
        <w:spacing w:after="0" w:line="177" w:lineRule="exact"/>
        <w:rPr>
          <w:rFonts w:ascii="Times New Roman" w:cs="Times New Roman" w:eastAsia="Times New Roman" w:hAnsi="Times New Roman"/>
          <w:sz w:val="22"/>
          <w:szCs w:val="22"/>
          <w:color w:val="auto"/>
        </w:rPr>
      </w:pPr>
    </w:p>
    <w:p>
      <w:pPr>
        <w:jc w:val="both"/>
        <w:ind w:firstLine="1763"/>
        <w:spacing w:after="0" w:line="235" w:lineRule="auto"/>
        <w:tabs>
          <w:tab w:leader="none" w:pos="2655"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 in Requests</w:t>
      </w:r>
      <w:r>
        <w:rPr>
          <w:rFonts w:ascii="Times New Roman" w:cs="Times New Roman" w:eastAsia="Times New Roman" w:hAnsi="Times New Roman"/>
          <w:sz w:val="22"/>
          <w:szCs w:val="22"/>
          <w:color w:val="auto"/>
        </w:rPr>
        <w:t xml:space="preserve">. 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compensate a Lender or an Issuing Bank pursuant to this Section for any increased costs or reductions incurred more than six months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Change in Law giving rise to such increased costs or reductions is retroactive, then the six-month period referred to above shall be extended to include the period of retroactive effect thereof.</w:t>
      </w:r>
    </w:p>
    <w:p>
      <w:pPr>
        <w:spacing w:after="0" w:line="179"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1"/>
          <w:szCs w:val="21"/>
          <w:color w:val="auto"/>
        </w:rPr>
        <w:t xml:space="preserve">SECTION 2.15. </w:t>
      </w:r>
      <w:r>
        <w:rPr>
          <w:rFonts w:ascii="Times New Roman" w:cs="Times New Roman" w:eastAsia="Times New Roman" w:hAnsi="Times New Roman"/>
          <w:sz w:val="21"/>
          <w:szCs w:val="21"/>
          <w:u w:val="single" w:color="auto"/>
          <w:color w:val="auto"/>
        </w:rPr>
        <w:t>Break Funding Payments</w:t>
      </w:r>
      <w:r>
        <w:rPr>
          <w:rFonts w:ascii="Times New Roman" w:cs="Times New Roman" w:eastAsia="Times New Roman" w:hAnsi="Times New Roman"/>
          <w:sz w:val="21"/>
          <w:szCs w:val="21"/>
          <w:color w:val="auto"/>
        </w:rPr>
        <w:t xml:space="preserve">. In the event of (a) the payment of any principal of any Eurocurrency Loan other than on the last day of an Interest Period therefor (including as a result of the occurrence of any Commitment Increase Date or an Event of Default), (b) the conversion of any Eurocurrency Loan other than on the last day of an Interest Period therefor, (c) the failure to borrow, convert, continue or prepay any Syndicated Loan on the date specified in any notice delivered pursuant hereto (including, in connection with any Commitment Increase Date, and regardless of whether such notice is permitted to be revocable under </w:t>
      </w:r>
      <w:r>
        <w:rPr>
          <w:rFonts w:ascii="Times New Roman" w:cs="Times New Roman" w:eastAsia="Times New Roman" w:hAnsi="Times New Roman"/>
          <w:sz w:val="21"/>
          <w:szCs w:val="21"/>
          <w:u w:val="single" w:color="auto"/>
          <w:color w:val="auto"/>
        </w:rPr>
        <w:t>Section 2.10(e)</w:t>
      </w:r>
      <w:r>
        <w:rPr>
          <w:rFonts w:ascii="Times New Roman" w:cs="Times New Roman" w:eastAsia="Times New Roman" w:hAnsi="Times New Roman"/>
          <w:sz w:val="21"/>
          <w:szCs w:val="21"/>
          <w:color w:val="auto"/>
        </w:rPr>
        <w:t xml:space="preserve"> and is revoked in accordance herewith), or (d) the assignment as a result of a request by the Borrower pursuant to </w:t>
      </w:r>
      <w:r>
        <w:rPr>
          <w:rFonts w:ascii="Times New Roman" w:cs="Times New Roman" w:eastAsia="Times New Roman" w:hAnsi="Times New Roman"/>
          <w:sz w:val="21"/>
          <w:szCs w:val="21"/>
          <w:u w:val="single" w:color="auto"/>
          <w:color w:val="auto"/>
        </w:rPr>
        <w:t>Section 2.18(b)</w:t>
      </w:r>
      <w:r>
        <w:rPr>
          <w:rFonts w:ascii="Times New Roman" w:cs="Times New Roman" w:eastAsia="Times New Roman" w:hAnsi="Times New Roman"/>
          <w:sz w:val="21"/>
          <w:szCs w:val="21"/>
          <w:color w:val="auto"/>
        </w:rPr>
        <w:t xml:space="preserve"> of any Eurocurrency Loan other than on the last day of an Interest Period therefor, then, in any such event, the Borrower shall compensate each Lender for the loss, cost and reasonable expense attributable to such event (excluding loss of anticipated profits). In the case of a Eurocurrency Loan, the loss to any Lender attributable to any such event shall be deemed to include an amount determined by such Lender to be equal to the excess, if any, of</w:t>
      </w:r>
    </w:p>
    <w:p>
      <w:pPr>
        <w:spacing w:after="0" w:line="172" w:lineRule="exact"/>
        <w:rPr>
          <w:sz w:val="20"/>
          <w:szCs w:val="20"/>
          <w:color w:val="auto"/>
        </w:rPr>
      </w:pPr>
    </w:p>
    <w:p>
      <w:pPr>
        <w:ind w:left="880" w:firstLine="816"/>
        <w:spacing w:after="0" w:line="258" w:lineRule="auto"/>
        <w:tabs>
          <w:tab w:leader="none" w:pos="254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interest that such Lender would pay for a deposit equal to the principal amount of such Loan denominated in the Currency of such Loan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3773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1">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3773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7"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64</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1" w:name="page222"/>
    <w:bookmarkEnd w:id="221"/>
    <w:p>
      <w:pPr>
        <w:jc w:val="both"/>
        <w:ind w:left="880"/>
        <w:spacing w:after="0" w:line="239" w:lineRule="auto"/>
        <w:rPr>
          <w:sz w:val="20"/>
          <w:szCs w:val="20"/>
          <w:color w:val="auto"/>
        </w:rPr>
      </w:pPr>
      <w:r>
        <w:rPr>
          <w:rFonts w:ascii="Times New Roman" w:cs="Times New Roman" w:eastAsia="Times New Roman" w:hAnsi="Times New Roman"/>
          <w:sz w:val="22"/>
          <w:szCs w:val="22"/>
          <w:color w:val="auto"/>
        </w:rPr>
        <w:t xml:space="preserve">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Adjusted LIBO Rate for such Currency for such Interest Period, </w:t>
      </w:r>
      <w:r>
        <w:rPr>
          <w:rFonts w:ascii="Times New Roman" w:cs="Times New Roman" w:eastAsia="Times New Roman" w:hAnsi="Times New Roman"/>
          <w:sz w:val="22"/>
          <w:szCs w:val="22"/>
          <w:u w:val="single" w:color="auto"/>
          <w:color w:val="auto"/>
        </w:rPr>
        <w:t>over</w:t>
      </w:r>
    </w:p>
    <w:p>
      <w:pPr>
        <w:spacing w:after="0" w:line="181" w:lineRule="exact"/>
        <w:rPr>
          <w:sz w:val="20"/>
          <w:szCs w:val="20"/>
          <w:color w:val="auto"/>
        </w:rPr>
      </w:pPr>
    </w:p>
    <w:p>
      <w:pPr>
        <w:jc w:val="both"/>
        <w:ind w:left="880" w:firstLine="816"/>
        <w:spacing w:after="0" w:line="239" w:lineRule="auto"/>
        <w:tabs>
          <w:tab w:leader="none" w:pos="260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market at the commencement of such period.</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Payment under this Section shall be made upon request of a Lender delivered not later than five Business Days following the payment, conversion, or failure to borrow, convert, continue or prepay that gives rise to a claim under this Section accompanied by a certificate of such Lender setting forth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1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2.16.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5" w:lineRule="auto"/>
        <w:tabs>
          <w:tab w:leader="none" w:pos="264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Free of Taxes</w:t>
      </w:r>
      <w:r>
        <w:rPr>
          <w:rFonts w:ascii="Times New Roman" w:cs="Times New Roman" w:eastAsia="Times New Roman" w:hAnsi="Times New Roman"/>
          <w:sz w:val="22"/>
          <w:szCs w:val="22"/>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applicable Lender or applicable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79" w:lineRule="exact"/>
        <w:rPr>
          <w:rFonts w:ascii="Times New Roman" w:cs="Times New Roman" w:eastAsia="Times New Roman" w:hAnsi="Times New Roman"/>
          <w:sz w:val="22"/>
          <w:szCs w:val="22"/>
          <w:color w:val="auto"/>
        </w:rPr>
      </w:pPr>
    </w:p>
    <w:p>
      <w:pPr>
        <w:ind w:firstLine="1763"/>
        <w:spacing w:after="0" w:line="258" w:lineRule="auto"/>
        <w:tabs>
          <w:tab w:leader="none" w:pos="2655"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Borrower</w:t>
      </w:r>
      <w:r>
        <w:rPr>
          <w:rFonts w:ascii="Times New Roman" w:cs="Times New Roman" w:eastAsia="Times New Roman" w:hAnsi="Times New Roman"/>
          <w:sz w:val="22"/>
          <w:szCs w:val="22"/>
          <w:color w:val="auto"/>
        </w:rPr>
        <w:t>. In addition, the Borrower shall pay any Other Taxes to the relevant Governmental Authority in accordance with applicable law.</w:t>
      </w:r>
    </w:p>
    <w:p>
      <w:pPr>
        <w:spacing w:after="0" w:line="158" w:lineRule="exact"/>
        <w:rPr>
          <w:rFonts w:ascii="Times New Roman" w:cs="Times New Roman" w:eastAsia="Times New Roman" w:hAnsi="Times New Roman"/>
          <w:sz w:val="22"/>
          <w:szCs w:val="22"/>
          <w:color w:val="auto"/>
        </w:rPr>
      </w:pPr>
    </w:p>
    <w:p>
      <w:pPr>
        <w:jc w:val="both"/>
        <w:ind w:firstLine="1763"/>
        <w:spacing w:after="0" w:line="234" w:lineRule="auto"/>
        <w:tabs>
          <w:tab w:leader="none" w:pos="264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Borrower</w:t>
      </w:r>
      <w:r>
        <w:rPr>
          <w:rFonts w:ascii="Times New Roman" w:cs="Times New Roman" w:eastAsia="Times New Roman" w:hAnsi="Times New Roman"/>
          <w:sz w:val="22"/>
          <w:szCs w:val="22"/>
          <w:color w:val="auto"/>
        </w:rPr>
        <w:t>. The Borrower shall indemnify the Administrative Agent, each Lender and each Issuing Bank for and, within 10 Business Days after written demand therefor, pay the full amount of any Indemnified Taxes or Other Taxes (including Indemnified Taxes or Other Taxes imposed or asserted on or attributable to amounts payable under this Section) paid by the Administrative Agent, such Lender or such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such Issuing Bank. A certificate as to the amount of such payment or liability delivered to the Borrower by a Lender or an Issuing Bank, or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3773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3773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3"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65</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2"/>
          <w:szCs w:val="22"/>
          <w:color w:val="auto"/>
        </w:rPr>
        <w:t>Administrative Agent on its own behalf or on behalf of a Lender or an Issuing Bank, shall be conclusive absent manifest error.</w:t>
      </w:r>
    </w:p>
    <w:p>
      <w:pPr>
        <w:spacing w:after="0" w:line="206" w:lineRule="exact"/>
        <w:rPr>
          <w:sz w:val="20"/>
          <w:szCs w:val="20"/>
          <w:color w:val="auto"/>
        </w:rPr>
      </w:pPr>
    </w:p>
    <w:p>
      <w:pPr>
        <w:jc w:val="both"/>
        <w:ind w:firstLine="1763"/>
        <w:spacing w:after="0" w:line="233" w:lineRule="auto"/>
        <w:tabs>
          <w:tab w:leader="none" w:pos="2655"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Lenders</w:t>
      </w:r>
      <w:r>
        <w:rPr>
          <w:rFonts w:ascii="Times New Roman" w:cs="Times New Roman" w:eastAsia="Times New Roman" w:hAnsi="Times New Roman"/>
          <w:sz w:val="22"/>
          <w:szCs w:val="22"/>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22"/>
          <w:szCs w:val="22"/>
          <w:u w:val="single" w:color="auto"/>
          <w:color w:val="auto"/>
        </w:rPr>
        <w:t>Section 9.04(f)</w:t>
      </w:r>
      <w:r>
        <w:rPr>
          <w:rFonts w:ascii="Times New Roman" w:cs="Times New Roman" w:eastAsia="Times New Roman" w:hAnsi="Times New Roman"/>
          <w:sz w:val="22"/>
          <w:szCs w:val="22"/>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2"/>
          <w:szCs w:val="22"/>
          <w:u w:val="single" w:color="auto"/>
          <w:color w:val="auto"/>
        </w:rPr>
        <w:t>paragraph (d)</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1763"/>
        <w:spacing w:after="0" w:line="239" w:lineRule="auto"/>
        <w:tabs>
          <w:tab w:leader="none" w:pos="2643"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rFonts w:ascii="Times New Roman" w:cs="Times New Roman" w:eastAsia="Times New Roman" w:hAnsi="Times New Roman"/>
          <w:sz w:val="22"/>
          <w:szCs w:val="22"/>
          <w:color w:val="auto"/>
        </w:rPr>
      </w:pPr>
    </w:p>
    <w:p>
      <w:pPr>
        <w:jc w:val="both"/>
        <w:ind w:firstLine="1763"/>
        <w:spacing w:after="0" w:line="233" w:lineRule="auto"/>
        <w:tabs>
          <w:tab w:leader="none" w:pos="2619"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Documentation</w:t>
      </w:r>
      <w:r>
        <w:rPr>
          <w:rFonts w:ascii="Times New Roman" w:cs="Times New Roman" w:eastAsia="Times New Roman" w:hAnsi="Times New Roman"/>
          <w:sz w:val="22"/>
          <w:szCs w:val="22"/>
          <w:color w:val="auto"/>
        </w:rPr>
        <w:t xml:space="preserve">.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2"/>
          <w:szCs w:val="22"/>
          <w:u w:val="single" w:color="auto"/>
          <w:color w:val="auto"/>
        </w:rPr>
        <w:t>Section 2.16(f)(ii)</w:t>
      </w:r>
      <w:r>
        <w:rPr>
          <w:rFonts w:ascii="Times New Roman" w:cs="Times New Roman" w:eastAsia="Times New Roman" w:hAnsi="Times New Roman"/>
          <w:sz w:val="22"/>
          <w:szCs w:val="22"/>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6" w:lineRule="exact"/>
        <w:rPr>
          <w:rFonts w:ascii="Times New Roman" w:cs="Times New Roman" w:eastAsia="Times New Roman" w:hAnsi="Times New Roman"/>
          <w:sz w:val="22"/>
          <w:szCs w:val="22"/>
          <w:color w:val="auto"/>
        </w:rPr>
      </w:pPr>
    </w:p>
    <w:p>
      <w:pPr>
        <w:ind w:left="2600" w:hanging="904"/>
        <w:spacing w:after="0"/>
        <w:tabs>
          <w:tab w:leader="none" w:pos="26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06" w:lineRule="exact"/>
        <w:rPr>
          <w:rFonts w:ascii="Times New Roman" w:cs="Times New Roman" w:eastAsia="Times New Roman" w:hAnsi="Times New Roman"/>
          <w:sz w:val="22"/>
          <w:szCs w:val="22"/>
          <w:color w:val="auto"/>
        </w:rPr>
      </w:pPr>
    </w:p>
    <w:p>
      <w:pPr>
        <w:jc w:val="both"/>
        <w:ind w:left="1760" w:firstLine="746"/>
        <w:spacing w:after="0" w:line="244" w:lineRule="auto"/>
        <w:tabs>
          <w:tab w:leader="none" w:pos="3451" w:val="left"/>
        </w:tabs>
        <w:numPr>
          <w:ilvl w:val="2"/>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Borrower and the Administrative Agent (and such additional copies as shall be reasonably requested by the recipient) on or prior to the date on which such Lender become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3773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7">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3773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66</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3" w:name="page224"/>
    <w:bookmarkEnd w:id="223"/>
    <w:p>
      <w:pPr>
        <w:jc w:val="both"/>
        <w:ind w:left="1760"/>
        <w:spacing w:after="0" w:line="244" w:lineRule="auto"/>
        <w:rPr>
          <w:sz w:val="20"/>
          <w:szCs w:val="20"/>
          <w:color w:val="auto"/>
        </w:rPr>
      </w:pPr>
      <w:r>
        <w:rPr>
          <w:rFonts w:ascii="Times New Roman" w:cs="Times New Roman" w:eastAsia="Times New Roman" w:hAnsi="Times New Roman"/>
          <w:sz w:val="22"/>
          <w:szCs w:val="22"/>
          <w:color w:val="auto"/>
        </w:rPr>
        <w:t>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174" w:lineRule="exact"/>
        <w:rPr>
          <w:sz w:val="20"/>
          <w:szCs w:val="20"/>
          <w:color w:val="auto"/>
        </w:rPr>
      </w:pPr>
    </w:p>
    <w:p>
      <w:pPr>
        <w:jc w:val="both"/>
        <w:ind w:left="1760" w:firstLine="746"/>
        <w:spacing w:after="0" w:line="238" w:lineRule="auto"/>
        <w:tabs>
          <w:tab w:leader="none" w:pos="3439"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177" w:lineRule="exact"/>
        <w:rPr>
          <w:rFonts w:ascii="Times New Roman" w:cs="Times New Roman" w:eastAsia="Times New Roman" w:hAnsi="Times New Roman"/>
          <w:sz w:val="22"/>
          <w:szCs w:val="22"/>
          <w:color w:val="auto"/>
        </w:rPr>
      </w:pPr>
    </w:p>
    <w:p>
      <w:pPr>
        <w:jc w:val="both"/>
        <w:ind w:left="2640" w:firstLine="677"/>
        <w:spacing w:after="0" w:line="244" w:lineRule="auto"/>
        <w:tabs>
          <w:tab w:leader="none" w:pos="4263" w:val="left"/>
        </w:tabs>
        <w:numPr>
          <w:ilvl w:val="2"/>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completed and executed copies of Internal Revenue Service Form W-8BEN or W-8BEN-E or any successor form claiming eligibility for benefits of an income tax treaty to which the United States is a party,</w:t>
      </w:r>
    </w:p>
    <w:p>
      <w:pPr>
        <w:spacing w:after="0" w:line="173" w:lineRule="exact"/>
        <w:rPr>
          <w:rFonts w:ascii="Times New Roman" w:cs="Times New Roman" w:eastAsia="Times New Roman" w:hAnsi="Times New Roman"/>
          <w:sz w:val="22"/>
          <w:szCs w:val="22"/>
          <w:color w:val="auto"/>
        </w:rPr>
      </w:pPr>
    </w:p>
    <w:p>
      <w:pPr>
        <w:jc w:val="both"/>
        <w:ind w:left="2640" w:firstLine="677"/>
        <w:spacing w:after="0" w:line="244" w:lineRule="auto"/>
        <w:tabs>
          <w:tab w:leader="none" w:pos="4215" w:val="left"/>
        </w:tabs>
        <w:numPr>
          <w:ilvl w:val="2"/>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173" w:lineRule="exact"/>
        <w:rPr>
          <w:rFonts w:ascii="Times New Roman" w:cs="Times New Roman" w:eastAsia="Times New Roman" w:hAnsi="Times New Roman"/>
          <w:sz w:val="22"/>
          <w:szCs w:val="22"/>
          <w:color w:val="auto"/>
        </w:rPr>
      </w:pPr>
    </w:p>
    <w:p>
      <w:pPr>
        <w:jc w:val="both"/>
        <w:ind w:left="2640" w:firstLine="677"/>
        <w:spacing w:after="0" w:line="235" w:lineRule="auto"/>
        <w:tabs>
          <w:tab w:leader="none" w:pos="4215" w:val="left"/>
        </w:tabs>
        <w:numPr>
          <w:ilvl w:val="2"/>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(2) duly completed and executed copies of Internal Revenue Service Form W-8BEN or W-8BEN-E (or any successor form) certifying that the Foreign Lender is not a U.S. Person, or</w:t>
      </w:r>
    </w:p>
    <w:p>
      <w:pPr>
        <w:spacing w:after="0" w:line="183" w:lineRule="exact"/>
        <w:rPr>
          <w:rFonts w:ascii="Times New Roman" w:cs="Times New Roman" w:eastAsia="Times New Roman" w:hAnsi="Times New Roman"/>
          <w:sz w:val="22"/>
          <w:szCs w:val="22"/>
          <w:color w:val="auto"/>
        </w:rPr>
      </w:pPr>
    </w:p>
    <w:p>
      <w:pPr>
        <w:jc w:val="both"/>
        <w:ind w:left="2640" w:firstLine="677"/>
        <w:spacing w:after="0" w:line="238" w:lineRule="auto"/>
        <w:tabs>
          <w:tab w:leader="none" w:pos="4203" w:val="left"/>
        </w:tabs>
        <w:numPr>
          <w:ilvl w:val="2"/>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spacing w:after="0" w:line="177" w:lineRule="exact"/>
        <w:rPr>
          <w:rFonts w:ascii="Times New Roman" w:cs="Times New Roman" w:eastAsia="Times New Roman" w:hAnsi="Times New Roman"/>
          <w:sz w:val="22"/>
          <w:szCs w:val="22"/>
          <w:color w:val="auto"/>
        </w:rPr>
      </w:pPr>
    </w:p>
    <w:p>
      <w:pPr>
        <w:jc w:val="both"/>
        <w:ind w:left="880" w:firstLine="816"/>
        <w:spacing w:after="0" w:line="238" w:lineRule="auto"/>
        <w:tabs>
          <w:tab w:leader="none" w:pos="266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each Lender shall deliver such forms promptly upon the obsolescence, expiration or invalidity of any form previously delivered by such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3773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3773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6"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67</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4" w:name="page225"/>
    <w:bookmarkEnd w:id="224"/>
    <w:p>
      <w:pPr>
        <w:jc w:val="both"/>
        <w:ind w:firstLine="1763"/>
        <w:spacing w:after="0" w:line="234" w:lineRule="auto"/>
        <w:tabs>
          <w:tab w:leader="none" w:pos="2655"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Documentation Required by FATCA</w:t>
      </w:r>
      <w:r>
        <w:rPr>
          <w:rFonts w:ascii="Times New Roman" w:cs="Times New Roman" w:eastAsia="Times New Roman" w:hAnsi="Times New Roman"/>
          <w:sz w:val="22"/>
          <w:szCs w:val="22"/>
          <w:color w:val="auto"/>
        </w:rPr>
        <w:t xml:space="preserve">.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w:t>
      </w:r>
      <w:r>
        <w:rPr>
          <w:rFonts w:ascii="Times New Roman" w:cs="Times New Roman" w:eastAsia="Times New Roman" w:hAnsi="Times New Roman"/>
          <w:sz w:val="22"/>
          <w:szCs w:val="22"/>
          <w:u w:val="single" w:color="auto"/>
          <w:color w:val="auto"/>
        </w:rPr>
        <w:t>Section 2.16(g)</w:t>
      </w:r>
      <w:r>
        <w:rPr>
          <w:rFonts w:ascii="Times New Roman" w:cs="Times New Roman" w:eastAsia="Times New Roman" w:hAnsi="Times New Roman"/>
          <w:sz w:val="22"/>
          <w:szCs w:val="22"/>
          <w:color w:val="auto"/>
        </w:rPr>
        <w:t>, “FATCA” shall include any amendments made to FATCA after the date of this Agreement.</w:t>
      </w:r>
    </w:p>
    <w:p>
      <w:pPr>
        <w:spacing w:after="0" w:line="184" w:lineRule="exact"/>
        <w:rPr>
          <w:rFonts w:ascii="Times New Roman" w:cs="Times New Roman" w:eastAsia="Times New Roman" w:hAnsi="Times New Roman"/>
          <w:sz w:val="22"/>
          <w:szCs w:val="22"/>
          <w:color w:val="auto"/>
        </w:rPr>
      </w:pPr>
    </w:p>
    <w:p>
      <w:pPr>
        <w:jc w:val="both"/>
        <w:ind w:firstLine="1763"/>
        <w:spacing w:after="0" w:line="232" w:lineRule="auto"/>
        <w:tabs>
          <w:tab w:leader="none" w:pos="2655"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Times New Roman" w:cs="Times New Roman" w:eastAsia="Times New Roman" w:hAnsi="Times New Roman"/>
          <w:sz w:val="22"/>
          <w:szCs w:val="22"/>
          <w:u w:val="single" w:color="auto"/>
          <w:color w:val="auto"/>
        </w:rPr>
        <w:t>clause (h)</w:t>
      </w:r>
      <w:r>
        <w:rPr>
          <w:rFonts w:ascii="Times New Roman" w:cs="Times New Roman" w:eastAsia="Times New Roman" w:hAnsi="Times New Roman"/>
          <w:sz w:val="22"/>
          <w:szCs w:val="22"/>
          <w:color w:val="auto"/>
        </w:rPr>
        <w:t xml:space="preserve">, in no event will the Administrative Agent, any Lender or an Issuing Bank be required to pay any amount to Borrower pursuant to this </w:t>
      </w:r>
      <w:r>
        <w:rPr>
          <w:rFonts w:ascii="Times New Roman" w:cs="Times New Roman" w:eastAsia="Times New Roman" w:hAnsi="Times New Roman"/>
          <w:sz w:val="22"/>
          <w:szCs w:val="22"/>
          <w:u w:val="single" w:color="auto"/>
          <w:color w:val="auto"/>
        </w:rPr>
        <w:t>clause (h)</w:t>
      </w:r>
      <w:r>
        <w:rPr>
          <w:rFonts w:ascii="Times New Roman" w:cs="Times New Roman" w:eastAsia="Times New Roman" w:hAnsi="Times New Roman"/>
          <w:sz w:val="22"/>
          <w:szCs w:val="22"/>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19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2.17. </w:t>
      </w:r>
      <w:r>
        <w:rPr>
          <w:rFonts w:ascii="Times New Roman" w:cs="Times New Roman" w:eastAsia="Times New Roman" w:hAnsi="Times New Roman"/>
          <w:sz w:val="22"/>
          <w:szCs w:val="22"/>
          <w:u w:val="single" w:color="auto"/>
          <w:color w:val="auto"/>
        </w:rPr>
        <w:t>Payments Generally; Pro Rata Treatment: Sharing of Set-offs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5" w:lineRule="auto"/>
        <w:tabs>
          <w:tab w:leader="none" w:pos="2643"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by the Borrower</w:t>
      </w:r>
      <w:r>
        <w:rPr>
          <w:rFonts w:ascii="Times New Roman" w:cs="Times New Roman" w:eastAsia="Times New Roman" w:hAnsi="Times New Roman"/>
          <w:sz w:val="22"/>
          <w:szCs w:val="22"/>
          <w:color w:val="auto"/>
        </w:rPr>
        <w:t xml:space="preserve">. The Borrower shall make each payment required to be made by it hereunder (whether of principal, interest, fees or reimbursement of LC Disbursements, or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or otherwise) or under any other Loan Document (except to the extent otherwise provided therein) prior to 12:00 noon, Atlanta, Georgia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any Issuing Bank or any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3773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3">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3773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8"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68</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5" w:name="page226"/>
    <w:bookmarkEnd w:id="225"/>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as expressly provided herein and payments pursuant to </w:t>
      </w:r>
      <w:r>
        <w:rPr>
          <w:rFonts w:ascii="Times New Roman" w:cs="Times New Roman" w:eastAsia="Times New Roman" w:hAnsi="Times New Roman"/>
          <w:sz w:val="22"/>
          <w:szCs w:val="22"/>
          <w:u w:val="single" w:color="auto"/>
          <w:color w:val="auto"/>
        </w:rPr>
        <w:t>Sections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9.03</w:t>
      </w:r>
      <w:r>
        <w:rPr>
          <w:rFonts w:ascii="Times New Roman" w:cs="Times New Roman" w:eastAsia="Times New Roman" w:hAnsi="Times New Roman"/>
          <w:sz w:val="22"/>
          <w:szCs w:val="22"/>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77" w:lineRule="exact"/>
        <w:rPr>
          <w:sz w:val="20"/>
          <w:szCs w:val="20"/>
          <w:color w:val="auto"/>
        </w:rPr>
      </w:pPr>
    </w:p>
    <w:p>
      <w:pPr>
        <w:jc w:val="both"/>
        <w:ind w:firstLine="1755"/>
        <w:spacing w:after="0" w:line="233" w:lineRule="auto"/>
        <w:rPr>
          <w:sz w:val="20"/>
          <w:szCs w:val="20"/>
          <w:color w:val="auto"/>
        </w:rPr>
      </w:pPr>
      <w:r>
        <w:rPr>
          <w:rFonts w:ascii="Times New Roman" w:cs="Times New Roman" w:eastAsia="Times New Roman" w:hAnsi="Times New Roman"/>
          <w:sz w:val="22"/>
          <w:szCs w:val="22"/>
          <w:color w:val="auto"/>
        </w:rPr>
        <w:t xml:space="preserve">All amounts owing under this Agreement (including commitment fees, payments required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and payments required under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relating to any Loan denominated in Dollars, but not including principal of and interest on any Loan denominated in any Foreign Currency or payments relating to any such Loan required under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84"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Times New Roman" w:cs="Times New Roman" w:eastAsia="Times New Roman" w:hAnsi="Times New Roman"/>
          <w:sz w:val="22"/>
          <w:szCs w:val="22"/>
          <w:u w:val="single" w:color="auto"/>
          <w:color w:val="auto"/>
        </w:rPr>
        <w:t>Original Currency</w:t>
      </w:r>
      <w:r>
        <w:rPr>
          <w:rFonts w:ascii="Times New Roman" w:cs="Times New Roman" w:eastAsia="Times New Roman" w:hAnsi="Times New Roman"/>
          <w:sz w:val="22"/>
          <w:szCs w:val="22"/>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84" w:lineRule="exact"/>
        <w:rPr>
          <w:sz w:val="20"/>
          <w:szCs w:val="20"/>
          <w:color w:val="auto"/>
        </w:rPr>
      </w:pPr>
    </w:p>
    <w:p>
      <w:pPr>
        <w:jc w:val="both"/>
        <w:ind w:firstLine="1763"/>
        <w:spacing w:after="0" w:line="235" w:lineRule="auto"/>
        <w:tabs>
          <w:tab w:leader="none" w:pos="2655"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Insufficient Payments</w:t>
      </w:r>
      <w:r>
        <w:rPr>
          <w:rFonts w:ascii="Times New Roman" w:cs="Times New Roman" w:eastAsia="Times New Roman" w:hAnsi="Times New Roman"/>
          <w:sz w:val="22"/>
          <w:szCs w:val="22"/>
          <w:color w:val="auto"/>
        </w:rPr>
        <w:t>. If at any time insufficient funds are received by and available to the Administrative Agent to pay fully all amounts of principal, unreimbursed LC Disbursements, interest and fees of a Class of Commitments or Final Maturity Date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3773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6">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3773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3"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69</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6" w:name="page227"/>
    <w:bookmarkEnd w:id="226"/>
    <w:p>
      <w:pPr>
        <w:jc w:val="both"/>
        <w:ind w:firstLine="1763"/>
        <w:spacing w:after="0" w:line="232" w:lineRule="auto"/>
        <w:tabs>
          <w:tab w:leader="none" w:pos="2643"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Rata Treatment</w:t>
      </w:r>
      <w:r>
        <w:rPr>
          <w:rFonts w:ascii="Times New Roman" w:cs="Times New Roman" w:eastAsia="Times New Roman" w:hAnsi="Times New Roman"/>
          <w:sz w:val="22"/>
          <w:szCs w:val="22"/>
          <w:color w:val="auto"/>
        </w:rPr>
        <w:t xml:space="preserve">. Except to the extent otherwise provided herein: (i) other than with respect any Syndicated Borrowing requested pursuant to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each Syndicated Borrowing of a Class shall be made from the Lenders of such Class of Commitments and each Syndicated Borrowing of a Class requested pursuant to Section 2.20 shall be made from each Extending Lender, each payment of commitment fee under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shall be made for account of the Lenders of the applicable Class, and each termination or reduction of the amount of the Commitments of a Class of Commitments or Final Maturity Date under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shall be applied to the respective Commitments of the Lenders of such Class of Commitments or Final Maturity Date, pro rata according to the amounts of their respective Commitments of such Class of Commitments or Final Maturity Date; (ii) each Syndicated Borrowing of a Class of Commitments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of Commitments or Final Maturity Date by the Borrower shall be made for account of the Lenders of such Class of Commitments or Final Maturity Date pro rata in accordance with the respective unpaid principal amounts of the Syndicated Loans of such Class of Commitments or Final Maturity Date held by them; and (iv) each payment of interest on Syndicated Loans of a Class of Commitments or Final Maturity Date by the Borrower shall be made for account of the Lenders of such Class of Commitments or Final Maturity Date pro rata in accordance with the amounts of interest on such Loans of such Class of Commitments or Final Maturity Date then due and payable to the respective Lenders.</w:t>
      </w:r>
    </w:p>
    <w:p>
      <w:pPr>
        <w:spacing w:after="0" w:line="191"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50"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Sharing of Payments by Lenders</w:t>
      </w:r>
      <w:r>
        <w:rPr>
          <w:rFonts w:ascii="Times New Roman" w:cs="Times New Roman" w:eastAsia="Times New Roman" w:hAnsi="Times New Roman"/>
          <w:sz w:val="21"/>
          <w:szCs w:val="21"/>
          <w:color w:val="auto"/>
        </w:rPr>
        <w:t xml:space="preserve">. If any Lender of any Class of Commitment or Final Maturity Date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3773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9">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23773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2"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70</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7" w:name="page228"/>
    <w:bookmarkEnd w:id="227"/>
    <w:p>
      <w:pPr>
        <w:jc w:val="both"/>
        <w:ind w:firstLine="1763"/>
        <w:spacing w:after="0" w:line="247" w:lineRule="auto"/>
        <w:tabs>
          <w:tab w:leader="none" w:pos="2643"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Presumptions of Payment</w:t>
      </w:r>
      <w:r>
        <w:rPr>
          <w:rFonts w:ascii="Times New Roman" w:cs="Times New Roman" w:eastAsia="Times New Roman" w:hAnsi="Times New Roman"/>
          <w:sz w:val="21"/>
          <w:szCs w:val="21"/>
          <w:color w:val="auto"/>
        </w:rPr>
        <w:t>. Unless the Administrative Agent shall have received notice from the Borrower prior to the date on which any payment is due to the Administrative Agent for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Federal Funds Effective Rate.</w:t>
      </w:r>
    </w:p>
    <w:p>
      <w:pPr>
        <w:spacing w:after="0" w:line="172" w:lineRule="exact"/>
        <w:rPr>
          <w:rFonts w:ascii="Times New Roman" w:cs="Times New Roman" w:eastAsia="Times New Roman" w:hAnsi="Times New Roman"/>
          <w:sz w:val="21"/>
          <w:szCs w:val="21"/>
          <w:color w:val="auto"/>
        </w:rPr>
      </w:pPr>
    </w:p>
    <w:p>
      <w:pPr>
        <w:jc w:val="both"/>
        <w:ind w:firstLine="1763"/>
        <w:spacing w:after="0" w:line="255" w:lineRule="auto"/>
        <w:tabs>
          <w:tab w:leader="none" w:pos="2619"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Deductions by the Administrative Agent</w:t>
      </w:r>
      <w:r>
        <w:rPr>
          <w:rFonts w:ascii="Times New Roman" w:cs="Times New Roman" w:eastAsia="Times New Roman" w:hAnsi="Times New Roman"/>
          <w:sz w:val="21"/>
          <w:szCs w:val="21"/>
          <w:color w:val="auto"/>
        </w:rPr>
        <w:t xml:space="preserve">. If any Lender shall fail to make any payment required to be made by it pursuant to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2.05(e)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2.06(a)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2.17(e)</w:t>
      </w:r>
      <w:r>
        <w:rPr>
          <w:rFonts w:ascii="Times New Roman" w:cs="Times New Roman" w:eastAsia="Times New Roman" w:hAnsi="Times New Roman"/>
          <w:sz w:val="21"/>
          <w:szCs w:val="21"/>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6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2.18. </w:t>
      </w:r>
      <w:r>
        <w:rPr>
          <w:rFonts w:ascii="Times New Roman" w:cs="Times New Roman" w:eastAsia="Times New Roman" w:hAnsi="Times New Roman"/>
          <w:sz w:val="22"/>
          <w:szCs w:val="22"/>
          <w:u w:val="single" w:color="auto"/>
          <w:color w:val="auto"/>
        </w:rPr>
        <w:t>Mitigation Obligations; Replacement of Lenders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47" w:lineRule="auto"/>
        <w:tabs>
          <w:tab w:leader="none" w:pos="2643"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Designation of a Different Lending Office</w:t>
      </w:r>
      <w:r>
        <w:rPr>
          <w:rFonts w:ascii="Times New Roman" w:cs="Times New Roman" w:eastAsia="Times New Roman" w:hAnsi="Times New Roman"/>
          <w:sz w:val="21"/>
          <w:szCs w:val="21"/>
          <w:color w:val="auto"/>
        </w:rPr>
        <w:t xml:space="preserve">. If any Lender requests compensation under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72" w:lineRule="exact"/>
        <w:rPr>
          <w:rFonts w:ascii="Times New Roman" w:cs="Times New Roman" w:eastAsia="Times New Roman" w:hAnsi="Times New Roman"/>
          <w:sz w:val="21"/>
          <w:szCs w:val="21"/>
          <w:color w:val="auto"/>
        </w:rPr>
      </w:pPr>
    </w:p>
    <w:p>
      <w:pPr>
        <w:jc w:val="both"/>
        <w:ind w:firstLine="1763"/>
        <w:spacing w:after="0" w:line="234" w:lineRule="auto"/>
        <w:tabs>
          <w:tab w:leader="none" w:pos="2655"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Lenders</w:t>
      </w:r>
      <w:r>
        <w:rPr>
          <w:rFonts w:ascii="Times New Roman" w:cs="Times New Roman" w:eastAsia="Times New Roman" w:hAnsi="Times New Roman"/>
          <w:sz w:val="22"/>
          <w:szCs w:val="22"/>
          <w:color w:val="auto"/>
        </w:rPr>
        <w:t xml:space="preserve">. If any Lender requests compensation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if the Borrower is required to pay any additional amount to any Lender or any Governmental Authority for account of any Lender pursuant to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or if any Lender becomes a Defaulting Lender or is a Non-Consenting Lender (as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9.02(d)</w:t>
      </w:r>
      <w:r>
        <w:rPr>
          <w:rFonts w:ascii="Times New Roman" w:cs="Times New Roman" w:eastAsia="Times New Roman" w:hAnsi="Times New Roman"/>
          <w:sz w:val="22"/>
          <w:szCs w:val="22"/>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Borrower shall have received the prior written consent of the Administrative Agent (and, if a Commitment is being assigned, each Issuing Bank and each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3773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2">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23773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6"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71</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8" w:name="page229"/>
    <w:bookmarkEnd w:id="228"/>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outstanding principal and accrued interest and fees) or the Borrower (in the case of all other amounts) and (iii) in the case of any such assignment resulting from a claim for compensation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payments required to be made pursuant to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2.19. </w:t>
      </w: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763"/>
        <w:spacing w:after="0" w:line="244" w:lineRule="auto"/>
        <w:tabs>
          <w:tab w:leader="none" w:pos="2643"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Adjustments</w:t>
      </w:r>
      <w:r>
        <w:rPr>
          <w:rFonts w:ascii="Times New Roman" w:cs="Times New Roman" w:eastAsia="Times New Roman" w:hAnsi="Times New Roman"/>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3" w:lineRule="exact"/>
        <w:rPr>
          <w:rFonts w:ascii="Times New Roman" w:cs="Times New Roman" w:eastAsia="Times New Roman" w:hAnsi="Times New Roman"/>
          <w:sz w:val="22"/>
          <w:szCs w:val="22"/>
          <w:color w:val="auto"/>
        </w:rPr>
      </w:pPr>
    </w:p>
    <w:p>
      <w:pPr>
        <w:jc w:val="both"/>
        <w:ind w:left="880" w:firstLine="816"/>
        <w:spacing w:after="0" w:line="243" w:lineRule="auto"/>
        <w:tabs>
          <w:tab w:leader="none" w:pos="2542"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Defaulting Lender Waterfall</w:t>
      </w:r>
      <w:r>
        <w:rPr>
          <w:rFonts w:ascii="Times New Roman" w:cs="Times New Roman" w:eastAsia="Times New Roman" w:hAnsi="Times New Roman"/>
          <w:sz w:val="21"/>
          <w:szCs w:val="21"/>
          <w:color w:val="auto"/>
        </w:rPr>
        <w:t xml:space="preserve">. Any payment of principal, interest, fees or other amounts received by Administrative Agent for the account of such Defaulting Lender (whether voluntary or mandatory, at maturity, pursuant to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or otherwise) or received by Administrative Agent from a Defaulting Lender pursuant to </w:t>
      </w:r>
      <w:r>
        <w:rPr>
          <w:rFonts w:ascii="Times New Roman" w:cs="Times New Roman" w:eastAsia="Times New Roman" w:hAnsi="Times New Roman"/>
          <w:sz w:val="21"/>
          <w:szCs w:val="21"/>
          <w:u w:val="single" w:color="auto"/>
          <w:color w:val="auto"/>
        </w:rPr>
        <w:t>Section 9.08</w:t>
      </w:r>
      <w:r>
        <w:rPr>
          <w:rFonts w:ascii="Times New Roman" w:cs="Times New Roman" w:eastAsia="Times New Roman" w:hAnsi="Times New Roman"/>
          <w:sz w:val="21"/>
          <w:szCs w:val="21"/>
          <w:color w:val="auto"/>
        </w:rPr>
        <w:t xml:space="preserve"> shall be applied at such time or times as may be determined by Administrative Agent as follows: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payment of any amounts owing by such Defaulting Lender to Administrative Agent hereunder;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to the payment on a pro rata basis of any amounts owing by such Defaulting Lender to any Issuing Bank or any Swingline Lender hereunder;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to Cash Collateralize each Issuing Bank’s Fronting Exposure with respect to such Defaulting Lender in the manner described in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the manner described in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xml:space="preserve">, to the payment of any amounts owing to the Lenders, Issuing Banks or Swingline Lenders as a result of any judgment of a court of competent jurisdiction obtained by any Lender, any Issuing Bank or any Swingline Lender against such Defaulting Lender as a result of such Defaulting Lender’s breach of its obligations under this Agreement; </w:t>
      </w:r>
      <w:r>
        <w:rPr>
          <w:rFonts w:ascii="Times New Roman" w:cs="Times New Roman" w:eastAsia="Times New Roman" w:hAnsi="Times New Roman"/>
          <w:sz w:val="21"/>
          <w:szCs w:val="21"/>
          <w:i w:val="1"/>
          <w:iCs w:val="1"/>
          <w:color w:val="auto"/>
        </w:rPr>
        <w:t>seventh</w:t>
      </w:r>
      <w:r>
        <w:rPr>
          <w:rFonts w:ascii="Times New Roman" w:cs="Times New Roman" w:eastAsia="Times New Roman" w:hAnsi="Times New Roman"/>
          <w:sz w:val="21"/>
          <w:szCs w:val="21"/>
          <w:color w:val="auto"/>
        </w:rPr>
        <w:t xml:space="preserve">, so long as no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xml:space="preserve">, to such Defaulting Lender or as otherwise directed by a court of competent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5">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0"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72</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9" w:name="page230"/>
    <w:bookmarkEnd w:id="229"/>
    <w:p>
      <w:pPr>
        <w:jc w:val="both"/>
        <w:ind w:left="880"/>
        <w:spacing w:after="0" w:line="236" w:lineRule="auto"/>
        <w:rPr>
          <w:sz w:val="20"/>
          <w:szCs w:val="20"/>
          <w:color w:val="auto"/>
        </w:rPr>
      </w:pPr>
      <w:r>
        <w:rPr>
          <w:rFonts w:ascii="Times New Roman" w:cs="Times New Roman" w:eastAsia="Times New Roman" w:hAnsi="Times New Roman"/>
          <w:sz w:val="22"/>
          <w:szCs w:val="22"/>
          <w:color w:val="auto"/>
        </w:rPr>
        <w:t xml:space="preserve">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Times New Roman" w:cs="Times New Roman" w:eastAsia="Times New Roman" w:hAnsi="Times New Roman"/>
          <w:sz w:val="22"/>
          <w:szCs w:val="22"/>
          <w:u w:val="single" w:color="auto"/>
          <w:color w:val="auto"/>
        </w:rPr>
        <w:t>Section 2.19(a)(iii)</w:t>
      </w:r>
      <w:r>
        <w:rPr>
          <w:rFonts w:ascii="Times New Roman" w:cs="Times New Roman" w:eastAsia="Times New Roman" w:hAnsi="Times New Roman"/>
          <w:sz w:val="22"/>
          <w:szCs w:val="22"/>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2"/>
          <w:szCs w:val="22"/>
          <w:u w:val="single" w:color="auto"/>
          <w:color w:val="auto"/>
        </w:rPr>
        <w:t>Section 2.19(a)(i)</w:t>
      </w:r>
      <w:r>
        <w:rPr>
          <w:rFonts w:ascii="Times New Roman" w:cs="Times New Roman" w:eastAsia="Times New Roman" w:hAnsi="Times New Roman"/>
          <w:sz w:val="22"/>
          <w:szCs w:val="22"/>
          <w:color w:val="auto"/>
        </w:rPr>
        <w:t xml:space="preserve"> shall be deemed paid to and redirected by such Defaulting Lender, and each Lender irrevocably consents hereto.</w:t>
      </w:r>
    </w:p>
    <w:p>
      <w:pPr>
        <w:spacing w:after="0" w:line="182" w:lineRule="exact"/>
        <w:rPr>
          <w:sz w:val="20"/>
          <w:szCs w:val="20"/>
          <w:color w:val="auto"/>
        </w:rPr>
      </w:pPr>
    </w:p>
    <w:p>
      <w:pPr>
        <w:ind w:left="2600" w:hanging="904"/>
        <w:spacing w:after="0"/>
        <w:tabs>
          <w:tab w:leader="none" w:pos="260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460" w:hanging="954"/>
        <w:spacing w:after="0"/>
        <w:tabs>
          <w:tab w:leader="none" w:pos="3460" w:val="left"/>
        </w:tabs>
        <w:numPr>
          <w:ilvl w:val="2"/>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Defaulting Lender shall be entitled to receive any fee pursuant to </w:t>
      </w:r>
      <w:r>
        <w:rPr>
          <w:rFonts w:ascii="Times New Roman" w:cs="Times New Roman" w:eastAsia="Times New Roman" w:hAnsi="Times New Roman"/>
          <w:sz w:val="22"/>
          <w:szCs w:val="22"/>
          <w:u w:val="single" w:color="auto"/>
          <w:color w:val="auto"/>
        </w:rPr>
        <w:t>Sections 2.11(a)</w:t>
      </w:r>
      <w:r>
        <w:rPr>
          <w:rFonts w:ascii="Times New Roman" w:cs="Times New Roman" w:eastAsia="Times New Roman" w:hAnsi="Times New Roman"/>
          <w:sz w:val="22"/>
          <w:szCs w:val="22"/>
          <w:color w:val="auto"/>
        </w:rPr>
        <w:t xml:space="preserve"> and</w:t>
      </w:r>
    </w:p>
    <w:p>
      <w:pPr>
        <w:spacing w:after="0" w:line="14" w:lineRule="exact"/>
        <w:rPr>
          <w:rFonts w:ascii="Times New Roman" w:cs="Times New Roman" w:eastAsia="Times New Roman" w:hAnsi="Times New Roman"/>
          <w:sz w:val="22"/>
          <w:szCs w:val="22"/>
          <w:color w:val="auto"/>
        </w:rPr>
      </w:pPr>
    </w:p>
    <w:p>
      <w:pPr>
        <w:jc w:val="both"/>
        <w:ind w:left="1760" w:firstLine="3"/>
        <w:spacing w:after="0" w:line="245" w:lineRule="auto"/>
        <w:tabs>
          <w:tab w:leader="none" w:pos="2074" w:val="left"/>
        </w:tabs>
        <w:numPr>
          <w:ilvl w:val="1"/>
          <w:numId w:val="17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for any period during which that Lender is a Defaulting Lender (and Borrower shall not be required to pay any such fee that otherwise would have been required to have been paid to that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Defaulting Lender shall be entitled to receive fees pursuant to </w:t>
      </w:r>
      <w:r>
        <w:rPr>
          <w:rFonts w:ascii="Times New Roman" w:cs="Times New Roman" w:eastAsia="Times New Roman" w:hAnsi="Times New Roman"/>
          <w:sz w:val="21"/>
          <w:szCs w:val="21"/>
          <w:u w:val="single" w:color="auto"/>
          <w:color w:val="auto"/>
        </w:rPr>
        <w:t>Section 2.11(b)</w:t>
      </w:r>
      <w:r>
        <w:rPr>
          <w:rFonts w:ascii="Times New Roman" w:cs="Times New Roman" w:eastAsia="Times New Roman" w:hAnsi="Times New Roman"/>
          <w:sz w:val="21"/>
          <w:szCs w:val="21"/>
          <w:color w:val="auto"/>
        </w:rPr>
        <w:t xml:space="preserve"> for any period during which that Lender is a Defaulting Lender only to extent allocable to its Applicable Percentage of the stated amount of Letters of Credit for which it has provided Cash Collateral pursuant to </w:t>
      </w:r>
      <w:r>
        <w:rPr>
          <w:rFonts w:ascii="Times New Roman" w:cs="Times New Roman" w:eastAsia="Times New Roman" w:hAnsi="Times New Roman"/>
          <w:sz w:val="21"/>
          <w:szCs w:val="21"/>
          <w:u w:val="single" w:color="auto"/>
          <w:color w:val="auto"/>
        </w:rPr>
        <w:t>Section 2.19(d)</w:t>
      </w:r>
      <w:r>
        <w:rPr>
          <w:rFonts w:ascii="Times New Roman" w:cs="Times New Roman" w:eastAsia="Times New Roman" w:hAnsi="Times New Roman"/>
          <w:sz w:val="21"/>
          <w:szCs w:val="21"/>
          <w:color w:val="auto"/>
        </w:rPr>
        <w:t>.</w:t>
      </w:r>
    </w:p>
    <w:p>
      <w:pPr>
        <w:spacing w:after="0" w:line="174" w:lineRule="exact"/>
        <w:rPr>
          <w:rFonts w:ascii="Times New Roman" w:cs="Times New Roman" w:eastAsia="Times New Roman" w:hAnsi="Times New Roman"/>
          <w:sz w:val="21"/>
          <w:szCs w:val="21"/>
          <w:u w:val="single" w:color="auto"/>
          <w:color w:val="auto"/>
        </w:rPr>
      </w:pPr>
    </w:p>
    <w:p>
      <w:pPr>
        <w:jc w:val="both"/>
        <w:ind w:left="1760" w:firstLine="746"/>
        <w:spacing w:after="0" w:line="235" w:lineRule="auto"/>
        <w:tabs>
          <w:tab w:leader="none" w:pos="3439" w:val="left"/>
        </w:tabs>
        <w:numPr>
          <w:ilvl w:val="2"/>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fees not required to be paid to any Defaulting Lender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below, (y) pay to each Issuing Bank the amount of any such fee otherwise payable to such Defaulting Lender to the extent allocable to such Issuing Bank’s Fronting Exposure to such Defaulting Lender, and (z) not be required to pay the remaining amount of any such fee.</w:t>
      </w:r>
    </w:p>
    <w:p>
      <w:pPr>
        <w:spacing w:after="0" w:line="184" w:lineRule="exact"/>
        <w:rPr>
          <w:sz w:val="20"/>
          <w:szCs w:val="20"/>
          <w:color w:val="auto"/>
        </w:rPr>
      </w:pPr>
    </w:p>
    <w:p>
      <w:pPr>
        <w:jc w:val="both"/>
        <w:ind w:left="880" w:firstLine="816"/>
        <w:spacing w:after="0" w:line="233" w:lineRule="auto"/>
        <w:tabs>
          <w:tab w:leader="none" w:pos="2662"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Reallocation of Participations to Reduce Fronting Exposure</w:t>
      </w:r>
      <w:r>
        <w:rPr>
          <w:rFonts w:ascii="Times New Roman" w:cs="Times New Roman" w:eastAsia="Times New Roman" w:hAnsi="Times New Roman"/>
          <w:sz w:val="22"/>
          <w:szCs w:val="22"/>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Times New Roman" w:cs="Times New Roman" w:eastAsia="Times New Roman" w:hAnsi="Times New Roman"/>
          <w:sz w:val="22"/>
          <w:szCs w:val="22"/>
          <w:u w:val="single" w:color="auto"/>
          <w:color w:val="auto"/>
        </w:rPr>
        <w:t>Section 9.17</w:t>
      </w:r>
      <w:r>
        <w:rPr>
          <w:rFonts w:ascii="Times New Roman" w:cs="Times New Roman" w:eastAsia="Times New Roman" w:hAnsi="Times New Roman"/>
          <w:sz w:val="22"/>
          <w:szCs w:val="22"/>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3773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3773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2"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73</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30" w:name="page231"/>
    <w:bookmarkEnd w:id="230"/>
    <w:p>
      <w:pPr>
        <w:jc w:val="both"/>
        <w:ind w:left="880" w:firstLine="816"/>
        <w:spacing w:after="0" w:line="234" w:lineRule="auto"/>
        <w:tabs>
          <w:tab w:leader="none" w:pos="265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 Repayment of Swingline Loans</w:t>
      </w:r>
      <w:r>
        <w:rPr>
          <w:rFonts w:ascii="Times New Roman" w:cs="Times New Roman" w:eastAsia="Times New Roman" w:hAnsi="Times New Roman"/>
          <w:sz w:val="22"/>
          <w:szCs w:val="22"/>
          <w:color w:val="auto"/>
        </w:rPr>
        <w:t xml:space="preserve">. If the reallocation described in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above cannot, or can only partially, be effected, the Borrower shall not later than two (2) Business Days after demand by the Administrative Agent (at the direction of any Issuing Bank and/or any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each Issuing Bank’s Fronting Exposure in accordance with the procedures set forth in </w:t>
      </w:r>
      <w:r>
        <w:rPr>
          <w:rFonts w:ascii="Times New Roman" w:cs="Times New Roman" w:eastAsia="Times New Roman" w:hAnsi="Times New Roman"/>
          <w:sz w:val="22"/>
          <w:szCs w:val="22"/>
          <w:u w:val="single" w:color="auto"/>
          <w:color w:val="auto"/>
        </w:rPr>
        <w:t>Section 2.19(d)</w:t>
      </w:r>
      <w:r>
        <w:rPr>
          <w:rFonts w:ascii="Times New Roman" w:cs="Times New Roman" w:eastAsia="Times New Roman" w:hAnsi="Times New Roman"/>
          <w:sz w:val="22"/>
          <w:szCs w:val="22"/>
          <w:color w:val="auto"/>
        </w:rPr>
        <w:t xml:space="preserve"> or (z) make other arrangements reasonably satisfactory to the Administrative Agent, the Issuing Banks and the Swingline Lenders in their sole discretion to protect them against the risk of non-payment by such Defaulting Lender.</w:t>
      </w:r>
    </w:p>
    <w:p>
      <w:pPr>
        <w:spacing w:after="0" w:line="176" w:lineRule="exact"/>
        <w:rPr>
          <w:rFonts w:ascii="Times New Roman" w:cs="Times New Roman" w:eastAsia="Times New Roman" w:hAnsi="Times New Roman"/>
          <w:sz w:val="22"/>
          <w:szCs w:val="22"/>
          <w:color w:val="auto"/>
        </w:rPr>
      </w:pPr>
    </w:p>
    <w:p>
      <w:pPr>
        <w:jc w:val="both"/>
        <w:ind w:firstLine="1763"/>
        <w:spacing w:after="0" w:line="233" w:lineRule="auto"/>
        <w:tabs>
          <w:tab w:leader="none" w:pos="2655"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Cure</w:t>
      </w:r>
      <w:r>
        <w:rPr>
          <w:rFonts w:ascii="Times New Roman" w:cs="Times New Roman" w:eastAsia="Times New Roman" w:hAnsi="Times New Roman"/>
          <w:sz w:val="22"/>
          <w:szCs w:val="22"/>
          <w:color w:val="auto"/>
        </w:rPr>
        <w:t xml:space="preserve">. If the Borrower, the Administrative Agent, the Swingline Lenders and the Issuing Banks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Times New Roman" w:cs="Times New Roman" w:eastAsia="Times New Roman" w:hAnsi="Times New Roman"/>
          <w:sz w:val="22"/>
          <w:szCs w:val="22"/>
          <w:u w:val="single" w:color="auto"/>
          <w:color w:val="auto"/>
        </w:rPr>
        <w:t>Section 2.19(a)(iii)</w:t>
      </w:r>
      <w:r>
        <w:rPr>
          <w:rFonts w:ascii="Times New Roman" w:cs="Times New Roman" w:eastAsia="Times New Roman" w:hAnsi="Times New Roman"/>
          <w:sz w:val="22"/>
          <w:szCs w:val="22"/>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Borrower while that Lender was a Defaulting Lender;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83" w:lineRule="exact"/>
        <w:rPr>
          <w:rFonts w:ascii="Times New Roman" w:cs="Times New Roman" w:eastAsia="Times New Roman" w:hAnsi="Times New Roman"/>
          <w:sz w:val="22"/>
          <w:szCs w:val="22"/>
          <w:color w:val="auto"/>
        </w:rPr>
      </w:pPr>
    </w:p>
    <w:p>
      <w:pPr>
        <w:jc w:val="both"/>
        <w:ind w:firstLine="1763"/>
        <w:spacing w:after="0" w:line="235" w:lineRule="auto"/>
        <w:tabs>
          <w:tab w:leader="none" w:pos="2643"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Swingline Loans/Letters of Credit</w:t>
      </w:r>
      <w:r>
        <w:rPr>
          <w:rFonts w:ascii="Times New Roman" w:cs="Times New Roman" w:eastAsia="Times New Roman" w:hAnsi="Times New Roman"/>
          <w:sz w:val="22"/>
          <w:szCs w:val="22"/>
          <w:color w:val="auto"/>
        </w:rPr>
        <w:t xml:space="preserve">. So long as any Lender is a Defaulting Lender, (i) no Swingline Lender shall be required to fund any Swingline Loans unless it is satisfied that the participations therein will be fully allocated among Non-Defaulting Lenders in a manner consistent with </w:t>
      </w:r>
      <w:r>
        <w:rPr>
          <w:rFonts w:ascii="Times New Roman" w:cs="Times New Roman" w:eastAsia="Times New Roman" w:hAnsi="Times New Roman"/>
          <w:sz w:val="22"/>
          <w:szCs w:val="22"/>
          <w:u w:val="single" w:color="auto"/>
          <w:color w:val="auto"/>
        </w:rPr>
        <w:t>clause (a)(iii)</w:t>
      </w:r>
      <w:r>
        <w:rPr>
          <w:rFonts w:ascii="Times New Roman" w:cs="Times New Roman" w:eastAsia="Times New Roman" w:hAnsi="Times New Roman"/>
          <w:sz w:val="22"/>
          <w:szCs w:val="22"/>
          <w:color w:val="auto"/>
        </w:rPr>
        <w:t xml:space="preserve"> above and the Defaulting Lender shall not participate therein and (ii) no Issuing Bank shall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Times New Roman" w:cs="Times New Roman" w:eastAsia="Times New Roman" w:hAnsi="Times New Roman"/>
          <w:sz w:val="22"/>
          <w:szCs w:val="22"/>
          <w:u w:val="single" w:color="auto"/>
          <w:color w:val="auto"/>
        </w:rPr>
        <w:t>clause (a)(iii)</w:t>
      </w:r>
      <w:r>
        <w:rPr>
          <w:rFonts w:ascii="Times New Roman" w:cs="Times New Roman" w:eastAsia="Times New Roman" w:hAnsi="Times New Roman"/>
          <w:sz w:val="22"/>
          <w:szCs w:val="22"/>
          <w:color w:val="auto"/>
        </w:rPr>
        <w:t xml:space="preserve"> above and such Defaulting Lender shall not participate therein except to the extent such Defaulting Lender’s participation has been or will be fully Cash Collateralized in accordance with </w:t>
      </w:r>
      <w:r>
        <w:rPr>
          <w:rFonts w:ascii="Times New Roman" w:cs="Times New Roman" w:eastAsia="Times New Roman" w:hAnsi="Times New Roman"/>
          <w:sz w:val="22"/>
          <w:szCs w:val="22"/>
          <w:u w:val="single" w:color="auto"/>
          <w:color w:val="auto"/>
        </w:rPr>
        <w:t>Section 2.19(d)</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3773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1">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3773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8"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74</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31" w:name="page232"/>
    <w:bookmarkEnd w:id="231"/>
    <w:p>
      <w:pPr>
        <w:jc w:val="both"/>
        <w:ind w:firstLine="1763"/>
        <w:spacing w:after="0" w:line="238" w:lineRule="auto"/>
        <w:tabs>
          <w:tab w:leader="none" w:pos="2655"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xml:space="preserve">. At any time that there shall exist a Defaulting Lender, promptly following the written request of Administrative Agent or any Issuing Bank (with a copy to Administrative Agent) Borrower shall Cash Collateralize each Issuing Bank’s Fronting Exposure with respect to such Defaulting Lender (determined after giving effect to </w:t>
      </w:r>
      <w:r>
        <w:rPr>
          <w:rFonts w:ascii="Times New Roman" w:cs="Times New Roman" w:eastAsia="Times New Roman" w:hAnsi="Times New Roman"/>
          <w:sz w:val="22"/>
          <w:szCs w:val="22"/>
          <w:u w:val="single" w:color="auto"/>
          <w:color w:val="auto"/>
        </w:rPr>
        <w:t>Section 2.19(a)(iii)</w:t>
      </w:r>
      <w:r>
        <w:rPr>
          <w:rFonts w:ascii="Times New Roman" w:cs="Times New Roman" w:eastAsia="Times New Roman" w:hAnsi="Times New Roman"/>
          <w:sz w:val="22"/>
          <w:szCs w:val="22"/>
          <w:color w:val="auto"/>
        </w:rPr>
        <w:t xml:space="preserve"> and any Cash Collateral provided by such Defaulting Lender) in an amount not less than the Minimum Collateral Amount.</w:t>
      </w:r>
    </w:p>
    <w:p>
      <w:pPr>
        <w:spacing w:after="0" w:line="177" w:lineRule="exact"/>
        <w:rPr>
          <w:rFonts w:ascii="Times New Roman" w:cs="Times New Roman" w:eastAsia="Times New Roman" w:hAnsi="Times New Roman"/>
          <w:sz w:val="22"/>
          <w:szCs w:val="22"/>
          <w:color w:val="auto"/>
        </w:rPr>
      </w:pPr>
    </w:p>
    <w:p>
      <w:pPr>
        <w:jc w:val="both"/>
        <w:ind w:left="880" w:firstLine="816"/>
        <w:spacing w:after="0" w:line="245" w:lineRule="auto"/>
        <w:tabs>
          <w:tab w:leader="none" w:pos="2542"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Security Interest</w:t>
      </w:r>
      <w:r>
        <w:rPr>
          <w:rFonts w:ascii="Times New Roman" w:cs="Times New Roman" w:eastAsia="Times New Roman" w:hAnsi="Times New Roman"/>
          <w:sz w:val="21"/>
          <w:szCs w:val="21"/>
          <w:color w:val="auto"/>
        </w:rPr>
        <w:t xml:space="preserve">. Borrower, and to the extent provided by any Defaulting Lender, such Defaulting Lender, hereby grants to (and subjects to the control of) Administrative Agent, for the benefit of the Issuing Banks, and agrees to maintain, a first priority security interest in all such Cash Collateral as security for the Defaulting Lenders’ obligation to fund participations in respect of Letters of Credit, to be applied pursuant to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below. If at any time Administrative Agent determines that Cash Collateral is subject to any right or claim of any Person other than Administrative Agent and the Issuing Banks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SunTrust. Borrower shall pay on demand therefor from time to time all reasonable and customary account opening, activity and other administrative fees and charges in connection with the maintenance and disbursement of Cash Collateral.</w:t>
      </w:r>
    </w:p>
    <w:p>
      <w:pPr>
        <w:spacing w:after="0" w:line="175" w:lineRule="exact"/>
        <w:rPr>
          <w:rFonts w:ascii="Times New Roman" w:cs="Times New Roman" w:eastAsia="Times New Roman" w:hAnsi="Times New Roman"/>
          <w:sz w:val="21"/>
          <w:szCs w:val="21"/>
          <w:color w:val="auto"/>
        </w:rPr>
      </w:pPr>
    </w:p>
    <w:p>
      <w:pPr>
        <w:jc w:val="both"/>
        <w:ind w:left="880" w:firstLine="816"/>
        <w:spacing w:after="0" w:line="238" w:lineRule="auto"/>
        <w:tabs>
          <w:tab w:leader="none" w:pos="2602"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xml:space="preserve">. Notwithstanding anything to the contrary contained in this Agreement, Cash Collateral provided under this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177" w:lineRule="exact"/>
        <w:rPr>
          <w:rFonts w:ascii="Times New Roman" w:cs="Times New Roman" w:eastAsia="Times New Roman" w:hAnsi="Times New Roman"/>
          <w:sz w:val="22"/>
          <w:szCs w:val="22"/>
          <w:color w:val="auto"/>
        </w:rPr>
      </w:pPr>
    </w:p>
    <w:p>
      <w:pPr>
        <w:jc w:val="both"/>
        <w:ind w:left="880" w:firstLine="816"/>
        <w:spacing w:after="0" w:line="235" w:lineRule="auto"/>
        <w:tabs>
          <w:tab w:leader="none" w:pos="2662"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Requirement</w:t>
      </w:r>
      <w:r>
        <w:rPr>
          <w:rFonts w:ascii="Times New Roman" w:cs="Times New Roman" w:eastAsia="Times New Roman" w:hAnsi="Times New Roman"/>
          <w:sz w:val="22"/>
          <w:szCs w:val="22"/>
          <w:color w:val="auto"/>
        </w:rPr>
        <w:t xml:space="preserve">. Cash Collateral (or the appropriate portion thereof) provided to reduce Issuing Bank’s Fronting Exposure shall no longer be required to be held as Cash Collateral pursuant to this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xml:space="preserve"> following (i) the elimination of the applicable Fronting Exposure (including by the termination of Defaulting Lender status of the applicable Lender) or (ii) the determination by Administrative Agent and the Issuing Banks that there exists excess Cash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the other provisions of this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xml:space="preserve">, the Person providing Cash Collateral and each Issuing Bank may agree that Cash Collateral shall be held to support future anticipated Fronting Exposure;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to the extent that such Cash Collateral was provided by Borrower, such Cash Collateral shall remain subject to the security interest granted pursuant to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3773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3773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8"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75</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32" w:name="page233"/>
    <w:bookmarkEnd w:id="232"/>
    <w:p>
      <w:pPr>
        <w:jc w:val="center"/>
        <w:ind w:right="140"/>
        <w:spacing w:after="0"/>
        <w:rPr>
          <w:sz w:val="20"/>
          <w:szCs w:val="20"/>
          <w:color w:val="auto"/>
        </w:rPr>
      </w:pPr>
      <w:r>
        <w:rPr>
          <w:rFonts w:ascii="Times New Roman" w:cs="Times New Roman" w:eastAsia="Times New Roman" w:hAnsi="Times New Roman"/>
          <w:sz w:val="22"/>
          <w:szCs w:val="22"/>
          <w:color w:val="auto"/>
        </w:rPr>
        <w:t xml:space="preserve">SECTION 2.20. </w:t>
      </w:r>
      <w:r>
        <w:rPr>
          <w:rFonts w:ascii="Times New Roman" w:cs="Times New Roman" w:eastAsia="Times New Roman" w:hAnsi="Times New Roman"/>
          <w:sz w:val="22"/>
          <w:szCs w:val="22"/>
          <w:u w:val="single" w:color="auto"/>
          <w:color w:val="auto"/>
        </w:rPr>
        <w:t>Reallocation Following a Non-Extended Commitment Termination Date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660" w:hanging="897"/>
        <w:spacing w:after="0"/>
        <w:tabs>
          <w:tab w:leader="none" w:pos="2660" w:val="left"/>
        </w:tabs>
        <w:numPr>
          <w:ilvl w:val="2"/>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Reallocation of Participations and Loans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80" w:firstLine="816"/>
        <w:spacing w:after="0" w:line="243" w:lineRule="auto"/>
        <w:tabs>
          <w:tab w:leader="none" w:pos="2542"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herein, (a) in connection with the reduction or termination of any Non-Extending Lender’s Commitments in accordance with </w:t>
      </w:r>
      <w:r>
        <w:rPr>
          <w:rFonts w:ascii="Times New Roman" w:cs="Times New Roman" w:eastAsia="Times New Roman" w:hAnsi="Times New Roman"/>
          <w:sz w:val="21"/>
          <w:szCs w:val="21"/>
          <w:u w:val="single" w:color="auto"/>
          <w:color w:val="auto"/>
        </w:rPr>
        <w:t>Section 2.08(f)</w:t>
      </w:r>
      <w:r>
        <w:rPr>
          <w:rFonts w:ascii="Times New Roman" w:cs="Times New Roman" w:eastAsia="Times New Roman" w:hAnsi="Times New Roman"/>
          <w:sz w:val="21"/>
          <w:szCs w:val="21"/>
          <w:color w:val="auto"/>
        </w:rPr>
        <w:t xml:space="preserve"> on any date prior to the Non-Extended Commitment Termination Date for such Non-Extending Lender, the Borrower shall be permitted to request a Dollar Loan be made ratably among the Extending Lenders and Non-Extending Lenders for which the Non-Extended Commitment Termination Date shall not have occurred in accordance with the provisions of </w:t>
      </w:r>
      <w:r>
        <w:rPr>
          <w:rFonts w:ascii="Times New Roman" w:cs="Times New Roman" w:eastAsia="Times New Roman" w:hAnsi="Times New Roman"/>
          <w:sz w:val="21"/>
          <w:szCs w:val="21"/>
          <w:u w:val="single" w:color="auto"/>
          <w:color w:val="auto"/>
        </w:rPr>
        <w:t>Sections 2.02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2.17(c)</w:t>
      </w:r>
      <w:r>
        <w:rPr>
          <w:rFonts w:ascii="Times New Roman" w:cs="Times New Roman" w:eastAsia="Times New Roman" w:hAnsi="Times New Roman"/>
          <w:sz w:val="21"/>
          <w:szCs w:val="21"/>
          <w:color w:val="auto"/>
        </w:rPr>
        <w:t xml:space="preserve"> in an amount up to the amount by which such Non-Extending Lender’s Revolving Credit Exposure exceeds such Non-Extending Lender’s Commitments after giving effect to such Commitment reduction and (b) on any date following the Non-Extended Commitment Termination Date for any Non-Extending Lender until the Extended Commitment Termination Date, the Borrower shall be permitted to request a Dollar Loan to be made ratably among the Extending Lenders and Non-Extending Lenders for which the Non-Extended Commitment Termination Date shall not have occurred in accordance with </w:t>
      </w:r>
      <w:r>
        <w:rPr>
          <w:rFonts w:ascii="Times New Roman" w:cs="Times New Roman" w:eastAsia="Times New Roman" w:hAnsi="Times New Roman"/>
          <w:sz w:val="21"/>
          <w:szCs w:val="21"/>
          <w:u w:val="single" w:color="auto"/>
          <w:color w:val="auto"/>
        </w:rPr>
        <w:t>Sections 2.02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2.17(c)</w:t>
      </w:r>
      <w:r>
        <w:rPr>
          <w:rFonts w:ascii="Times New Roman" w:cs="Times New Roman" w:eastAsia="Times New Roman" w:hAnsi="Times New Roman"/>
          <w:sz w:val="21"/>
          <w:szCs w:val="21"/>
          <w:color w:val="auto"/>
        </w:rPr>
        <w:t xml:space="preserve"> in an amount up to the Revolving Credit Exposure of each Non-Extending Lender for which the Non-Extended Commitment Termination shall have occurred, in each case, so long as (x)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are satisfied (and, unless Borrower shall have otherwise notified the Administrative Agent at such time, Borrower shall be deemed to have represented and warranted that such conditions are satisfied at such time), (y) such Borrowing does not cause (I) the aggregate Revolving Credit Exposure of any Extending Lender to exceed such Extending Lender’s Commitment, (II) the aggregate Revolving Dollar Credit Exposure of all of the Dollar Lenders with Dollar Commitments then in effect to exceed the aggregate Dollar Commitments at such time or</w:t>
      </w:r>
    </w:p>
    <w:p>
      <w:pPr>
        <w:jc w:val="both"/>
        <w:ind w:left="880" w:firstLine="5"/>
        <w:spacing w:after="0" w:line="234" w:lineRule="auto"/>
        <w:tabs>
          <w:tab w:leader="none" w:pos="132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Revolving Multicurrency Credit Exposure of all of the Multicurrency Lenders with Multicurrency Commitments then in effect to exceed the aggregate Multicurrency Commitments at such time and (z) the proceeds of any such Loan are applied solely to reduce the Revolving Credit Exposure of the applicable Non-Extending Lender or Non-Extending Lenders, as applicable.</w:t>
      </w:r>
    </w:p>
    <w:p>
      <w:pPr>
        <w:spacing w:after="0" w:line="177" w:lineRule="exact"/>
        <w:rPr>
          <w:rFonts w:ascii="Times New Roman" w:cs="Times New Roman" w:eastAsia="Times New Roman" w:hAnsi="Times New Roman"/>
          <w:sz w:val="22"/>
          <w:szCs w:val="22"/>
          <w:color w:val="auto"/>
        </w:rPr>
      </w:pPr>
    </w:p>
    <w:p>
      <w:pPr>
        <w:jc w:val="both"/>
        <w:ind w:left="880" w:firstLine="816"/>
        <w:spacing w:after="0" w:line="234" w:lineRule="auto"/>
        <w:tabs>
          <w:tab w:leader="none" w:pos="2602"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or any part of each Non-Extending Lender’s participation in Letters of Credit and Swingline Loans shall be reallocated on (A) any date on which the Commitment of such Non-Extending Lender is reduced or terminated pursuant to </w:t>
      </w:r>
      <w:r>
        <w:rPr>
          <w:rFonts w:ascii="Times New Roman" w:cs="Times New Roman" w:eastAsia="Times New Roman" w:hAnsi="Times New Roman"/>
          <w:sz w:val="22"/>
          <w:szCs w:val="22"/>
          <w:u w:val="single" w:color="auto"/>
          <w:color w:val="auto"/>
        </w:rPr>
        <w:t>Section 2.08(f)</w:t>
      </w:r>
      <w:r>
        <w:rPr>
          <w:rFonts w:ascii="Times New Roman" w:cs="Times New Roman" w:eastAsia="Times New Roman" w:hAnsi="Times New Roman"/>
          <w:sz w:val="22"/>
          <w:szCs w:val="22"/>
          <w:color w:val="auto"/>
        </w:rPr>
        <w:t xml:space="preserve"> and (B) on the Non-Extended Commitment Termination Date for such Non-Extending Lender, in each case, among the Extending Lenders and Non-Extending Lenders for which the Non-Extended Commitment Termination Date shall not have occurred in accordance with their respective Applicable Dollar Percentages and Applicable Multicurrency Percentages after giving effect to the reduction of the aggregate Commitments, but only to the extent that (x)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(I) the aggregate Revolving Credit Exposure of any Extending Lender or Non-Extending Lender for which the Commitment Termination Date shall not have occurred to exceed such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3773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7">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23773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6"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76</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33" w:name="page234"/>
    <w:bookmarkEnd w:id="233"/>
    <w:p>
      <w:pPr>
        <w:jc w:val="both"/>
        <w:ind w:left="880"/>
        <w:spacing w:after="0" w:line="239" w:lineRule="auto"/>
        <w:rPr>
          <w:sz w:val="20"/>
          <w:szCs w:val="20"/>
          <w:color w:val="auto"/>
        </w:rPr>
      </w:pPr>
      <w:r>
        <w:rPr>
          <w:rFonts w:ascii="Times New Roman" w:cs="Times New Roman" w:eastAsia="Times New Roman" w:hAnsi="Times New Roman"/>
          <w:sz w:val="22"/>
          <w:szCs w:val="22"/>
          <w:color w:val="auto"/>
        </w:rPr>
        <w:t>Commitment, (II) the total Revolving Dollar Credit Exposures of Dollar Lenders with Dollar Commitments then in effect to exceed the aggregate Dollar Commitments at such time, or (III) the total Revolving Multicurrency Credit Exposures of Multicurrency Lenders with Multicurrency Commitments then in effect to exceed the aggregate Multicurrency Commitments at such time.</w:t>
      </w:r>
    </w:p>
    <w:p>
      <w:pPr>
        <w:spacing w:after="0" w:line="181" w:lineRule="exact"/>
        <w:rPr>
          <w:sz w:val="20"/>
          <w:szCs w:val="20"/>
          <w:color w:val="auto"/>
        </w:rPr>
      </w:pPr>
    </w:p>
    <w:p>
      <w:pPr>
        <w:jc w:val="both"/>
        <w:ind w:firstLine="1763"/>
        <w:spacing w:after="0" w:line="244" w:lineRule="auto"/>
        <w:tabs>
          <w:tab w:leader="none" w:pos="2655"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Collateral; Repayment of Swingline Loans</w:t>
      </w:r>
      <w:r>
        <w:rPr>
          <w:rFonts w:ascii="Times New Roman" w:cs="Times New Roman" w:eastAsia="Times New Roman" w:hAnsi="Times New Roman"/>
          <w:sz w:val="21"/>
          <w:szCs w:val="21"/>
          <w:color w:val="auto"/>
        </w:rPr>
        <w:t xml:space="preserve">. If any Loan related to the reduction or termination of a Non-Extending Lender’s Commitment prior to the Non-Extended Commitment Termination Date described in </w:t>
      </w:r>
      <w:r>
        <w:rPr>
          <w:rFonts w:ascii="Times New Roman" w:cs="Times New Roman" w:eastAsia="Times New Roman" w:hAnsi="Times New Roman"/>
          <w:sz w:val="21"/>
          <w:szCs w:val="21"/>
          <w:u w:val="single" w:color="auto"/>
          <w:color w:val="auto"/>
        </w:rPr>
        <w:t>clause (a)(i)</w:t>
      </w:r>
      <w:r>
        <w:rPr>
          <w:rFonts w:ascii="Times New Roman" w:cs="Times New Roman" w:eastAsia="Times New Roman" w:hAnsi="Times New Roman"/>
          <w:sz w:val="21"/>
          <w:szCs w:val="21"/>
          <w:color w:val="auto"/>
        </w:rPr>
        <w:t xml:space="preserve"> above or any reallocation described in </w:t>
      </w:r>
      <w:r>
        <w:rPr>
          <w:rFonts w:ascii="Times New Roman" w:cs="Times New Roman" w:eastAsia="Times New Roman" w:hAnsi="Times New Roman"/>
          <w:sz w:val="21"/>
          <w:szCs w:val="21"/>
          <w:u w:val="single" w:color="auto"/>
          <w:color w:val="auto"/>
        </w:rPr>
        <w:t>clause (a)(ii)</w:t>
      </w:r>
      <w:r>
        <w:rPr>
          <w:rFonts w:ascii="Times New Roman" w:cs="Times New Roman" w:eastAsia="Times New Roman" w:hAnsi="Times New Roman"/>
          <w:sz w:val="21"/>
          <w:szCs w:val="21"/>
          <w:color w:val="auto"/>
        </w:rPr>
        <w:t xml:space="preserve"> above cannot, or can only partially, be effected, the Borrower shall, not later than (i) with respect to any reduction or termination of a Non-Extending Lender’s Commitment pursuant to </w:t>
      </w:r>
      <w:r>
        <w:rPr>
          <w:rFonts w:ascii="Times New Roman" w:cs="Times New Roman" w:eastAsia="Times New Roman" w:hAnsi="Times New Roman"/>
          <w:sz w:val="21"/>
          <w:szCs w:val="21"/>
          <w:u w:val="single" w:color="auto"/>
          <w:color w:val="auto"/>
        </w:rPr>
        <w:t>Section 2.08(f)</w:t>
      </w:r>
      <w:r>
        <w:rPr>
          <w:rFonts w:ascii="Times New Roman" w:cs="Times New Roman" w:eastAsia="Times New Roman" w:hAnsi="Times New Roman"/>
          <w:sz w:val="21"/>
          <w:szCs w:val="21"/>
          <w:color w:val="auto"/>
        </w:rPr>
        <w:t xml:space="preserve">, the date of such Commitment reduction or termination or, (ii) with respect to any reallocation of participations in Letters of Credit and Swingline Loans on the Non-Extended Commitment Termination Date for any Non-Extending Lender, on the Non-Extended Commitment Termination Date applicable to such Non-Extending Lender, as the case may be, without prejudice to any right or remedy available to it hereunder or under law, (x) prepay Swingline Loans in an amount equal to the amount by which the participation obligations of the Non-Extending Lenders for which the Non-Extended Commitment Termination Date shall have occurred which have not been reallocated to the Extending Lenders and Non-Extending Lenders for which the Non-Extended Commitment Termination Date shall not have occurred pursuant to </w:t>
      </w:r>
      <w:r>
        <w:rPr>
          <w:rFonts w:ascii="Times New Roman" w:cs="Times New Roman" w:eastAsia="Times New Roman" w:hAnsi="Times New Roman"/>
          <w:sz w:val="21"/>
          <w:szCs w:val="21"/>
          <w:u w:val="single" w:color="auto"/>
          <w:color w:val="auto"/>
        </w:rPr>
        <w:t>clause (a)(ii)</w:t>
      </w:r>
      <w:r>
        <w:rPr>
          <w:rFonts w:ascii="Times New Roman" w:cs="Times New Roman" w:eastAsia="Times New Roman" w:hAnsi="Times New Roman"/>
          <w:sz w:val="21"/>
          <w:szCs w:val="21"/>
          <w:color w:val="auto"/>
        </w:rPr>
        <w:t xml:space="preserve"> above, (y) provide Cash Collateral in an amount equal to the amount by which the participation obligations of such Non-Extending Lenders in Letters of Credit have not been reallocated pursuant to </w:t>
      </w:r>
      <w:r>
        <w:rPr>
          <w:rFonts w:ascii="Times New Roman" w:cs="Times New Roman" w:eastAsia="Times New Roman" w:hAnsi="Times New Roman"/>
          <w:sz w:val="21"/>
          <w:szCs w:val="21"/>
          <w:u w:val="single" w:color="auto"/>
          <w:color w:val="auto"/>
        </w:rPr>
        <w:t>clause (a)(ii)</w:t>
      </w:r>
      <w:r>
        <w:rPr>
          <w:rFonts w:ascii="Times New Roman" w:cs="Times New Roman" w:eastAsia="Times New Roman" w:hAnsi="Times New Roman"/>
          <w:sz w:val="21"/>
          <w:szCs w:val="21"/>
          <w:color w:val="auto"/>
        </w:rPr>
        <w:t xml:space="preserve"> above and (z) prepay any other Loans of a Non-Extending Lender for which the Non-Extended Commitment Termination Date shall have occurred in an amount equal to the amount by which the Revolving Credit Exposure of such Non-Extending Lender after giving effect to any prepayment described in </w:t>
      </w:r>
      <w:r>
        <w:rPr>
          <w:rFonts w:ascii="Times New Roman" w:cs="Times New Roman" w:eastAsia="Times New Roman" w:hAnsi="Times New Roman"/>
          <w:sz w:val="21"/>
          <w:szCs w:val="21"/>
          <w:u w:val="single" w:color="auto"/>
          <w:color w:val="auto"/>
        </w:rPr>
        <w:t>clause (a)(i)(z) above</w:t>
      </w:r>
      <w:r>
        <w:rPr>
          <w:rFonts w:ascii="Times New Roman" w:cs="Times New Roman" w:eastAsia="Times New Roman" w:hAnsi="Times New Roman"/>
          <w:sz w:val="21"/>
          <w:szCs w:val="21"/>
          <w:color w:val="auto"/>
        </w:rPr>
        <w:t xml:space="preserve"> exceeds such Non-Extending Lender’s Commitment after giving effect to any reduction in such Non-Extending Lender’s Commitment.</w:t>
      </w:r>
    </w:p>
    <w:p>
      <w:pPr>
        <w:spacing w:after="0" w:line="1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 xml:space="preserve">SECTION 2.21. </w:t>
      </w:r>
      <w:r>
        <w:rPr>
          <w:rFonts w:ascii="Times New Roman" w:cs="Times New Roman" w:eastAsia="Times New Roman" w:hAnsi="Times New Roman"/>
          <w:sz w:val="22"/>
          <w:szCs w:val="22"/>
          <w:u w:val="single" w:color="auto"/>
          <w:color w:val="auto"/>
        </w:rPr>
        <w:t>Assignment and Reallocation of Existing Commitments and Existing Loans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660" w:hanging="897"/>
        <w:spacing w:after="0"/>
        <w:tabs>
          <w:tab w:leader="none" w:pos="2660"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Eighth Amendment Effective Date, the Borrower shall (A) prepay the outstanding Loans and</w:t>
      </w:r>
    </w:p>
    <w:p>
      <w:pPr>
        <w:spacing w:after="0" w:line="25" w:lineRule="exact"/>
        <w:rPr>
          <w:rFonts w:ascii="Times New Roman" w:cs="Times New Roman" w:eastAsia="Times New Roman" w:hAnsi="Times New Roman"/>
          <w:sz w:val="21"/>
          <w:szCs w:val="21"/>
          <w:color w:val="auto"/>
        </w:rPr>
      </w:pPr>
    </w:p>
    <w:p>
      <w:pPr>
        <w:ind w:left="360" w:hanging="352"/>
        <w:spacing w:after="0" w:line="230" w:lineRule="auto"/>
        <w:tabs>
          <w:tab w:leader="none" w:pos="36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simultaneously borrow new Loans in an amount equal to such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w:t>
      </w:r>
      <w:r>
        <w:rPr>
          <w:rFonts w:ascii="Times New Roman" w:cs="Times New Roman" w:eastAsia="Times New Roman" w:hAnsi="Times New Roman"/>
          <w:sz w:val="22"/>
          <w:szCs w:val="22"/>
          <w:u w:val="single" w:color="auto"/>
          <w:color w:val="auto"/>
        </w:rPr>
        <w:t>subclauses (A)</w:t>
      </w:r>
      <w:r>
        <w:rPr>
          <w:rFonts w:ascii="Times New Roman" w:cs="Times New Roman" w:eastAsia="Times New Roman" w:hAnsi="Times New Roman"/>
          <w:sz w:val="22"/>
          <w:szCs w:val="22"/>
          <w:color w:val="auto"/>
        </w:rPr>
        <w:t xml:space="preserve"> and</w:t>
      </w:r>
    </w:p>
    <w:p>
      <w:pPr>
        <w:jc w:val="both"/>
        <w:ind w:firstLine="8"/>
        <w:spacing w:after="0" w:line="244" w:lineRule="auto"/>
        <w:tabs>
          <w:tab w:leader="none" w:pos="288" w:val="left"/>
        </w:tabs>
        <w:numPr>
          <w:ilvl w:val="0"/>
          <w:numId w:val="19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 (x) the prepayment to, and borrowing from, any Lender shall be effected by book entry to the extent that any portion of the amount prepaid to such Lender will be subsequently borrowed from such Lender and (y) the Lenders shall make and receive payments among themselves, in a manner acceptable to the Administrative Agent, so that, after giving effect thereto, the Loans of each Class are held ratably by the Lenders of such Class in accordance with each Lender’s Applicable Percentage of Commitments and portion of loans, which, for the purposes of this Agreement and each other Loan Document, will be as set forth opposite such Person’s name on </w:t>
      </w:r>
      <w:r>
        <w:rPr>
          <w:rFonts w:ascii="Times New Roman" w:cs="Times New Roman" w:eastAsia="Times New Roman" w:hAnsi="Times New Roman"/>
          <w:sz w:val="21"/>
          <w:szCs w:val="21"/>
          <w:u w:val="single" w:color="auto"/>
          <w:color w:val="auto"/>
        </w:rPr>
        <w:t>Schedule 1.01(b)</w:t>
      </w:r>
      <w:r>
        <w:rPr>
          <w:rFonts w:ascii="Times New Roman" w:cs="Times New Roman" w:eastAsia="Times New Roman" w:hAnsi="Times New Roman"/>
          <w:sz w:val="21"/>
          <w:szCs w:val="21"/>
          <w:color w:val="auto"/>
        </w:rPr>
        <w:t>. Concurrently therewith, the Lenders of each Class shall be deemed to have adjusted their participation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3773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23773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77</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34" w:name="page235"/>
    <w:bookmarkEnd w:id="234"/>
    <w:p>
      <w:pPr>
        <w:spacing w:after="0" w:line="258" w:lineRule="auto"/>
        <w:rPr>
          <w:sz w:val="20"/>
          <w:szCs w:val="20"/>
          <w:color w:val="auto"/>
        </w:rPr>
      </w:pPr>
      <w:r>
        <w:rPr>
          <w:rFonts w:ascii="Times New Roman" w:cs="Times New Roman" w:eastAsia="Times New Roman" w:hAnsi="Times New Roman"/>
          <w:sz w:val="22"/>
          <w:szCs w:val="22"/>
          <w:color w:val="auto"/>
        </w:rPr>
        <w:t>in any outstanding Letters of Credit of such Class so that such interests are held ratably in accordance with their Applicable Percentage of Commitments of such Class.</w:t>
      </w:r>
    </w:p>
    <w:p>
      <w:pPr>
        <w:spacing w:after="0" w:line="158" w:lineRule="exact"/>
        <w:rPr>
          <w:sz w:val="20"/>
          <w:szCs w:val="20"/>
          <w:color w:val="auto"/>
        </w:rPr>
      </w:pPr>
    </w:p>
    <w:p>
      <w:pPr>
        <w:jc w:val="both"/>
        <w:ind w:firstLine="1763"/>
        <w:spacing w:after="0" w:line="235" w:lineRule="auto"/>
        <w:tabs>
          <w:tab w:leader="none" w:pos="265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hereby acknowledges and agrees that (i) no Lender nor the Administrative Agent has made any representations or warranties or assumed any responsibility with respect to (A) any statements, warranties or representations made in or in connection with this Agreement or the execution, legality, validity, enforceability, genuineness or sufficiency of this Agreement, the Existing Credit Agreement or any other Loan Document or (B) the financial condition of any Obligor or the performance by any Obligor of its obligations hereunder or under any other Loan Document; (ii) it has received such information as it has deemed appropriate to make its own credit analysis and decision to enter into this Agreement; and (iii) it has made and continues to make its own credit decisions in taking or not taking action under this Agreement, independently and without reliance upon the Administrative Agent or any other Lender.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33" w:lineRule="exact"/>
        <w:rPr>
          <w:sz w:val="20"/>
          <w:szCs w:val="20"/>
          <w:color w:val="auto"/>
        </w:rPr>
      </w:pPr>
    </w:p>
    <w:p>
      <w:pPr>
        <w:ind w:left="1760" w:right="3740" w:firstLine="1985"/>
        <w:spacing w:after="0" w:line="456" w:lineRule="auto"/>
        <w:rPr>
          <w:sz w:val="20"/>
          <w:szCs w:val="20"/>
          <w:color w:val="auto"/>
        </w:rPr>
      </w:pPr>
      <w:r>
        <w:rPr>
          <w:rFonts w:ascii="Times New Roman" w:cs="Times New Roman" w:eastAsia="Times New Roman" w:hAnsi="Times New Roman"/>
          <w:sz w:val="21"/>
          <w:szCs w:val="21"/>
          <w:color w:val="auto"/>
        </w:rPr>
        <w:t>REPRESENTATIONS AND WARRANTIES The Borrower represents and warrants to the Lenders that:</w:t>
      </w:r>
    </w:p>
    <w:p>
      <w:pPr>
        <w:spacing w:after="0" w:line="1"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Organization; Powers</w:t>
      </w:r>
      <w:r>
        <w:rPr>
          <w:rFonts w:ascii="Times New Roman" w:cs="Times New Roman" w:eastAsia="Times New Roman" w:hAnsi="Times New Roman"/>
          <w:sz w:val="22"/>
          <w:szCs w:val="22"/>
          <w:color w:val="auto"/>
        </w:rPr>
        <w:t>.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 Subsidiary, as applicable.</w:t>
      </w:r>
    </w:p>
    <w:p>
      <w:pPr>
        <w:spacing w:after="0" w:line="177"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84"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Governmental Approvals; No Conflicts.</w:t>
      </w:r>
      <w:r>
        <w:rPr>
          <w:rFonts w:ascii="Times New Roman" w:cs="Times New Roman" w:eastAsia="Times New Roman" w:hAnsi="Times New Roman"/>
          <w:sz w:val="22"/>
          <w:szCs w:val="22"/>
          <w:color w:val="auto"/>
        </w:rPr>
        <w:t xml:space="preserve"> The Transactions (a) do not require any consent or approval of, registration or filing with, or any other action by, any Governmental Authority, except for (i) such as have been or will be obtained or made and are in full force and effect and (ii) 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3773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3">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3773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3"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78</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35" w:name="page236"/>
    <w:bookmarkEnd w:id="235"/>
    <w:p>
      <w:pPr>
        <w:ind w:right="20"/>
        <w:spacing w:after="0" w:line="258" w:lineRule="auto"/>
        <w:rPr>
          <w:sz w:val="20"/>
          <w:szCs w:val="20"/>
          <w:color w:val="auto"/>
        </w:rPr>
      </w:pPr>
      <w:r>
        <w:rPr>
          <w:rFonts w:ascii="Times New Roman" w:cs="Times New Roman" w:eastAsia="Times New Roman" w:hAnsi="Times New Roman"/>
          <w:sz w:val="22"/>
          <w:szCs w:val="22"/>
          <w:color w:val="auto"/>
        </w:rPr>
        <w:t>any such Person, and (d) except for the Liens created pursuant to this Agreement or the Security Documents, will not result in the creation or imposition of any Lien on any asset of the Borrower or any of its Subsidiaries.</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Financial Condition; No Material Adverse Change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8" w:lineRule="auto"/>
        <w:tabs>
          <w:tab w:leader="none" w:pos="2643"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The Borrower has heretofore delivered to the Lenders the audited consolidated balance sheet and statement of operations, changes in net assets and cash flows of the Borrower and its Subsidiaries as of and for the year ended December 31, 2012,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177" w:lineRule="exact"/>
        <w:rPr>
          <w:rFonts w:ascii="Times New Roman" w:cs="Times New Roman" w:eastAsia="Times New Roman" w:hAnsi="Times New Roman"/>
          <w:sz w:val="22"/>
          <w:szCs w:val="22"/>
          <w:color w:val="auto"/>
        </w:rPr>
      </w:pPr>
    </w:p>
    <w:p>
      <w:pPr>
        <w:jc w:val="both"/>
        <w:ind w:firstLine="1763"/>
        <w:spacing w:after="0" w:line="235" w:lineRule="auto"/>
        <w:tabs>
          <w:tab w:leader="none" w:pos="265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Since the date of the most recent Applicable Financial Statements, there has not been any event, development or circumstance (herein, a “</w:t>
      </w: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that has had or could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84"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77" w:lineRule="exact"/>
        <w:rPr>
          <w:sz w:val="20"/>
          <w:szCs w:val="20"/>
          <w:color w:val="auto"/>
        </w:rPr>
      </w:pPr>
    </w:p>
    <w:p>
      <w:pPr>
        <w:jc w:val="both"/>
        <w:ind w:firstLine="1755"/>
        <w:spacing w:after="0" w:line="236"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Compliance with Laws and Agreements</w:t>
      </w:r>
      <w:r>
        <w:rPr>
          <w:rFonts w:ascii="Times New Roman" w:cs="Times New Roman" w:eastAsia="Times New Roman" w:hAnsi="Times New Roman"/>
          <w:sz w:val="22"/>
          <w:szCs w:val="22"/>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82"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3773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6">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3773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6"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79</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36" w:name="page237"/>
    <w:bookmarkEnd w:id="236"/>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74" w:lineRule="exact"/>
        <w:rPr>
          <w:sz w:val="20"/>
          <w:szCs w:val="20"/>
          <w:color w:val="auto"/>
        </w:rPr>
      </w:pPr>
    </w:p>
    <w:p>
      <w:pPr>
        <w:jc w:val="both"/>
        <w:ind w:firstLine="1755"/>
        <w:spacing w:after="0" w:line="245" w:lineRule="auto"/>
        <w:rPr>
          <w:sz w:val="20"/>
          <w:szCs w:val="20"/>
          <w:color w:val="auto"/>
        </w:rPr>
      </w:pPr>
      <w:r>
        <w:rPr>
          <w:rFonts w:ascii="Times New Roman" w:cs="Times New Roman" w:eastAsia="Times New Roman" w:hAnsi="Times New Roman"/>
          <w:sz w:val="21"/>
          <w:szCs w:val="21"/>
          <w:color w:val="auto"/>
        </w:rPr>
        <w:t xml:space="preserve">SECTION 3.09. </w:t>
      </w: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 xml:space="preserve">. As of the Effective Date,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As of the Effective Date,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projected financial information, the Borrower represents only that such information was prepared in good faith based upon assumptions believed to be reasonable at the time.</w:t>
      </w:r>
    </w:p>
    <w:p>
      <w:pPr>
        <w:spacing w:after="0" w:line="17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Investment Company Act; Margin Regulations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763"/>
        <w:spacing w:after="0" w:line="258" w:lineRule="auto"/>
        <w:tabs>
          <w:tab w:leader="none" w:pos="2643"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as Business Development Company</w:t>
      </w:r>
      <w:r>
        <w:rPr>
          <w:rFonts w:ascii="Times New Roman" w:cs="Times New Roman" w:eastAsia="Times New Roman" w:hAnsi="Times New Roman"/>
          <w:sz w:val="22"/>
          <w:szCs w:val="22"/>
          <w:color w:val="auto"/>
        </w:rPr>
        <w:t>. The Borrower has elected to be regulated as a “business development company” within the meaning of the Investment Company Act and qualifies as a RIC.</w:t>
      </w:r>
    </w:p>
    <w:p>
      <w:pPr>
        <w:spacing w:after="0" w:line="158" w:lineRule="exact"/>
        <w:rPr>
          <w:rFonts w:ascii="Times New Roman" w:cs="Times New Roman" w:eastAsia="Times New Roman" w:hAnsi="Times New Roman"/>
          <w:sz w:val="22"/>
          <w:szCs w:val="22"/>
          <w:color w:val="auto"/>
        </w:rPr>
      </w:pPr>
    </w:p>
    <w:p>
      <w:pPr>
        <w:jc w:val="both"/>
        <w:ind w:firstLine="1763"/>
        <w:spacing w:after="0" w:line="238" w:lineRule="auto"/>
        <w:tabs>
          <w:tab w:leader="none" w:pos="2655"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Investment Company Act</w:t>
      </w:r>
      <w:r>
        <w:rPr>
          <w:rFonts w:ascii="Times New Roman" w:cs="Times New Roman" w:eastAsia="Times New Roman" w:hAnsi="Times New Roman"/>
          <w:sz w:val="22"/>
          <w:szCs w:val="22"/>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177"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43"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Policies</w:t>
      </w:r>
      <w:r>
        <w:rPr>
          <w:rFonts w:ascii="Times New Roman" w:cs="Times New Roman" w:eastAsia="Times New Roman" w:hAnsi="Times New Roman"/>
          <w:sz w:val="22"/>
          <w:szCs w:val="22"/>
          <w:color w:val="auto"/>
        </w:rPr>
        <w:t>. The Borrower is in compliance in all respects with the Investment Policies (after giving effect to any Permitted Policy Amendments), except to the extent that the failure to so comply could not reasonably be expected to have a Material Adverse Effect.</w:t>
      </w:r>
    </w:p>
    <w:p>
      <w:pPr>
        <w:spacing w:after="0" w:line="173" w:lineRule="exact"/>
        <w:rPr>
          <w:rFonts w:ascii="Times New Roman" w:cs="Times New Roman" w:eastAsia="Times New Roman" w:hAnsi="Times New Roman"/>
          <w:sz w:val="22"/>
          <w:szCs w:val="22"/>
          <w:color w:val="auto"/>
        </w:rPr>
      </w:pPr>
    </w:p>
    <w:p>
      <w:pPr>
        <w:jc w:val="both"/>
        <w:ind w:firstLine="1763"/>
        <w:spacing w:after="0" w:line="239" w:lineRule="auto"/>
        <w:tabs>
          <w:tab w:leader="none" w:pos="2655"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Credit</w:t>
      </w:r>
      <w:r>
        <w:rPr>
          <w:rFonts w:ascii="Times New Roman" w:cs="Times New Roman" w:eastAsia="Times New Roman" w:hAnsi="Times New Roman"/>
          <w:sz w:val="22"/>
          <w:szCs w:val="22"/>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Material Agreements and Liens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44" w:lineRule="auto"/>
        <w:tabs>
          <w:tab w:leader="none" w:pos="2643"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Agreements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 xml:space="preserve"> is a complete and correct list, as of the Original Effective Date, of each credit agreement, loan agreement, indenture, purchase agreement, guarantee, letter of credit or other arrangement providing for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3773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9">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3773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80</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37" w:name="page238"/>
    <w:bookmarkEnd w:id="237"/>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relating to any Indebtedness or any extension of credit (or commitment for any extension of credit) to, or guarantee by, the Borrower or any of its Subsidiaries outstanding as of the Original Effective Date, and the aggregate principal or face amount outstanding or that is, or may become, outstanding under each such arrangement is correctly described in </w:t>
      </w:r>
      <w:r>
        <w:rPr>
          <w:rFonts w:ascii="Times New Roman" w:cs="Times New Roman" w:eastAsia="Times New Roman" w:hAnsi="Times New Roman"/>
          <w:sz w:val="21"/>
          <w:szCs w:val="21"/>
          <w:u w:val="single" w:color="auto"/>
          <w:color w:val="auto"/>
        </w:rPr>
        <w:t>Part A</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Schedule 3.11</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firstLine="1763"/>
        <w:spacing w:after="0" w:line="239" w:lineRule="auto"/>
        <w:tabs>
          <w:tab w:leader="none" w:pos="2655"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 xml:space="preserve"> is a complete and correct list, as of the Original Effective Date, of each Lien securing Indebtedness of any Person outstanding on the Original Effective Date covering any property of the Borrower or any of the Subsidiary Guarantors, and the aggregate Indebtedness secured (or that may be secured) by each such Lien and the property covered by each such Lien is correctly described in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Subsidiaries and Investments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660" w:hanging="897"/>
        <w:spacing w:after="0"/>
        <w:tabs>
          <w:tab w:leader="none" w:pos="266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Subsidiaries</w:t>
      </w:r>
      <w:r>
        <w:rPr>
          <w:rFonts w:ascii="Times New Roman" w:cs="Times New Roman" w:eastAsia="Times New Roman" w:hAnsi="Times New Roman"/>
          <w:sz w:val="21"/>
          <w:szCs w:val="21"/>
          <w:color w:val="auto"/>
        </w:rPr>
        <w:t xml:space="preserve">. Set forth on </w:t>
      </w:r>
      <w:r>
        <w:rPr>
          <w:rFonts w:ascii="Times New Roman" w:cs="Times New Roman" w:eastAsia="Times New Roman" w:hAnsi="Times New Roman"/>
          <w:sz w:val="21"/>
          <w:szCs w:val="21"/>
          <w:u w:val="single" w:color="auto"/>
          <w:color w:val="auto"/>
        </w:rPr>
        <w:t>Schedule 3.12(a)</w:t>
      </w:r>
      <w:r>
        <w:rPr>
          <w:rFonts w:ascii="Times New Roman" w:cs="Times New Roman" w:eastAsia="Times New Roman" w:hAnsi="Times New Roman"/>
          <w:sz w:val="21"/>
          <w:szCs w:val="21"/>
          <w:color w:val="auto"/>
        </w:rPr>
        <w:t xml:space="preserve"> is a list of the Borrower’s Subsidiaries as of the Original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w:t>
      </w:r>
    </w:p>
    <w:p>
      <w:pPr>
        <w:spacing w:after="0" w:line="182" w:lineRule="exact"/>
        <w:rPr>
          <w:sz w:val="20"/>
          <w:szCs w:val="20"/>
          <w:color w:val="auto"/>
        </w:rPr>
      </w:pPr>
    </w:p>
    <w:p>
      <w:pPr>
        <w:jc w:val="both"/>
        <w:ind w:firstLine="1763"/>
        <w:spacing w:after="0" w:line="236" w:lineRule="auto"/>
        <w:tabs>
          <w:tab w:leader="none" w:pos="2655"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Schedule 3.12(b)</w:t>
      </w:r>
      <w:r>
        <w:rPr>
          <w:rFonts w:ascii="Times New Roman" w:cs="Times New Roman" w:eastAsia="Times New Roman" w:hAnsi="Times New Roman"/>
          <w:sz w:val="22"/>
          <w:szCs w:val="22"/>
          <w:color w:val="auto"/>
        </w:rPr>
        <w:t xml:space="preserve"> is a complete and correct list, as of the Original Effective Date, of all Investments (other than Investments of the types referred to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held by the Borrower or any of the Subsidiary Guarantors in any Person on the Original Effective Date and, for each such Investment, (x) the identity of the Person or Persons holding such Investment and (y) the nature of such Investment. Except as disclosed in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3.12</w:t>
      </w:r>
      <w:r>
        <w:rPr>
          <w:rFonts w:ascii="Times New Roman" w:cs="Times New Roman" w:eastAsia="Times New Roman" w:hAnsi="Times New Roman"/>
          <w:sz w:val="22"/>
          <w:szCs w:val="22"/>
          <w:color w:val="auto"/>
        </w:rPr>
        <w:t>, each of the Borrower and any of the Subsidiary Guarantors owned, free and clear of all Liens (other than Liens created pursuant to this Agreement or the Security Documents and Permitted Liens), all such Investments as of such date.</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Properties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44" w:lineRule="auto"/>
        <w:tabs>
          <w:tab w:leader="none" w:pos="2643"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Generally</w:t>
      </w:r>
      <w:r>
        <w:rPr>
          <w:rFonts w:ascii="Times New Roman" w:cs="Times New Roman" w:eastAsia="Times New Roman" w:hAnsi="Times New Roman"/>
          <w:sz w:val="22"/>
          <w:szCs w:val="22"/>
          <w:color w:val="auto"/>
        </w:rPr>
        <w:t>. Each of the Borrower and the Subsidiary Guarantors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73" w:lineRule="exact"/>
        <w:rPr>
          <w:rFonts w:ascii="Times New Roman" w:cs="Times New Roman" w:eastAsia="Times New Roman" w:hAnsi="Times New Roman"/>
          <w:sz w:val="22"/>
          <w:szCs w:val="22"/>
          <w:color w:val="auto"/>
        </w:rPr>
      </w:pPr>
    </w:p>
    <w:p>
      <w:pPr>
        <w:jc w:val="both"/>
        <w:ind w:firstLine="1763"/>
        <w:spacing w:after="0" w:line="238" w:lineRule="auto"/>
        <w:tabs>
          <w:tab w:leader="none" w:pos="2655"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177"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u w:val="single" w:color="auto"/>
          <w:color w:val="auto"/>
        </w:rPr>
        <w:t>Affiliate Agreements</w:t>
      </w:r>
      <w:r>
        <w:rPr>
          <w:rFonts w:ascii="Times New Roman" w:cs="Times New Roman" w:eastAsia="Times New Roman" w:hAnsi="Times New Roman"/>
          <w:sz w:val="22"/>
          <w:szCs w:val="22"/>
          <w:color w:val="auto"/>
        </w:rPr>
        <w:t>. As of the Original Effective Date, the Borrower has heretofore delivered to the Administrative Agent true and complete copies of each of the Affiliate Agreements (including and schedules and exhibits thereto, and any amendments, supplements or waivers executed and delivered thereunder). As of the Original Effective Date, each of the Affiliate Agreements was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2">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0"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81</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38" w:name="page239"/>
    <w:bookmarkEnd w:id="238"/>
    <w:p>
      <w:pPr>
        <w:ind w:left="1760"/>
        <w:spacing w:after="0"/>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6" w:lineRule="auto"/>
        <w:tabs>
          <w:tab w:leader="none" w:pos="264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Borrower or any of its Subsidiaries, nor, to the knowledge of the Borrower, any of their respective directors, officers or authorized signors (i) is a person on the list of Specially Designated Nationals and Blocked Persons or subject to, or the subject or target of, the limitations or prohibitions (collectively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under (A) any U.S. Department of Treasury’s Office of Foreign Assets Control or U.S. Department of State regulation or executive order or (B) any international economic sanction administered or enforced by the United Nations Security Council, Her Majesty’s Treasury or the European Union or (ii) is located, organized or resident in a Sanctioned Country.</w:t>
      </w:r>
    </w:p>
    <w:p>
      <w:pPr>
        <w:spacing w:after="0" w:line="182"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55"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implemented and maintains in effect policies and procedures reasonably designed to ensure compliance by the Borrower, its Subsidiaries and their respective directors, officers, employees and investment advisors with Anti-Corruption Laws and applicable Sanctions in all material respects.</w:t>
      </w:r>
    </w:p>
    <w:p>
      <w:pPr>
        <w:spacing w:after="0" w:line="174" w:lineRule="exact"/>
        <w:rPr>
          <w:sz w:val="20"/>
          <w:szCs w:val="20"/>
          <w:color w:val="auto"/>
        </w:rPr>
      </w:pPr>
    </w:p>
    <w:p>
      <w:pPr>
        <w:jc w:val="both"/>
        <w:ind w:firstLine="1755"/>
        <w:spacing w:after="0" w:line="249" w:lineRule="auto"/>
        <w:rPr>
          <w:sz w:val="20"/>
          <w:szCs w:val="20"/>
          <w:color w:val="auto"/>
        </w:rPr>
      </w:pPr>
      <w:r>
        <w:rPr>
          <w:rFonts w:ascii="Times New Roman" w:cs="Times New Roman" w:eastAsia="Times New Roman" w:hAnsi="Times New Roman"/>
          <w:sz w:val="21"/>
          <w:szCs w:val="21"/>
          <w:color w:val="auto"/>
        </w:rPr>
        <w:t xml:space="preserve">SECTION 3.16. </w:t>
      </w:r>
      <w:r>
        <w:rPr>
          <w:rFonts w:ascii="Times New Roman" w:cs="Times New Roman" w:eastAsia="Times New Roman" w:hAnsi="Times New Roman"/>
          <w:sz w:val="21"/>
          <w:szCs w:val="21"/>
          <w:u w:val="single" w:color="auto"/>
          <w:color w:val="auto"/>
        </w:rPr>
        <w:t>Patriot Act</w:t>
      </w:r>
      <w:r>
        <w:rPr>
          <w:rFonts w:ascii="Times New Roman" w:cs="Times New Roman" w:eastAsia="Times New Roman" w:hAnsi="Times New Roman"/>
          <w:sz w:val="21"/>
          <w:szCs w:val="21"/>
          <w:color w:val="auto"/>
        </w:rPr>
        <w:t>. Each of the Borrower and its Subsidiaries is in material compliance with (a) the Trading with the Enemy Act, as amended, and each of the foreign assets control regulations of the United States Treasury Department (31 CFR, Subtitle B, Chapter V, as amended) and any other enabling legislation or executive order relating thereto, and</w:t>
      </w:r>
    </w:p>
    <w:p>
      <w:pPr>
        <w:spacing w:after="0" w:line="2" w:lineRule="exact"/>
        <w:rPr>
          <w:sz w:val="20"/>
          <w:szCs w:val="20"/>
          <w:color w:val="auto"/>
        </w:rPr>
      </w:pPr>
    </w:p>
    <w:p>
      <w:pPr>
        <w:jc w:val="both"/>
        <w:ind w:firstLine="8"/>
        <w:spacing w:after="0" w:line="232" w:lineRule="auto"/>
        <w:tabs>
          <w:tab w:leader="none" w:pos="316"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Uniting And Strengthening America By Providing Appropriate Tools Required To Intercept And Obstruct Terrorism (USA Patriot Act of 2001). No part of the proceeds of the Loans or Letters of Credit will be used, directly or, to the knowledge of a Responsible Officer of the Borrower, indirectly, for any payments (i) to 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 Bribery Act or in material violation of US or UK regulations implementing the OECD Convention on Combating Bribery of Foreign Public Officials in International Business Transactions (collectively, the “</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or (ii) for the purpose of financing the activities in or with any Sanctioned Country, or of any Person, at the time of such financing (A) subject to, or the subject of, any Sanctions or (B) located, organized or resident in a Sanctioned Country, in each case as would result in a violation of Sanctions.</w:t>
      </w:r>
    </w:p>
    <w:p>
      <w:pPr>
        <w:spacing w:after="0" w:line="178"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SECTION 3.17. </w:t>
      </w: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xml:space="preserve">. The provisions of the Security Documents are effective to create in favor of the Collateral Agent a legal, valid and enforceable first priority Lien (subject to Liens permitted by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on all right, title and interest of the Borrower and each Subsidiary Guarantor in the Collateral described therein. Except for filings completed prior to the Effective Date and as contemplated hereby and by the Security Documents, no filing or other action will be necessary to perfect such Liens.</w:t>
      </w:r>
    </w:p>
    <w:p>
      <w:pPr>
        <w:spacing w:after="0" w:line="1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u w:val="single" w:color="auto"/>
          <w:color w:val="auto"/>
        </w:rPr>
        <w:t>EEA Financial Institutions</w:t>
      </w:r>
      <w:r>
        <w:rPr>
          <w:rFonts w:ascii="Times New Roman" w:cs="Times New Roman" w:eastAsia="Times New Roman" w:hAnsi="Times New Roman"/>
          <w:sz w:val="22"/>
          <w:szCs w:val="22"/>
          <w:color w:val="auto"/>
        </w:rPr>
        <w:t>.  Neither the Borrower nor any Subsidiary is an EEA Financial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3773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5">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3773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1"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82</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CONDITIONS</w:t>
      </w:r>
    </w:p>
    <w:p>
      <w:pPr>
        <w:spacing w:after="0" w:line="206"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The effectiveness of this Agreement and of the obligations of the Lenders to make Loans and of the Issuing Banks to issue Letters of Credit hereunder shall not become effective until completion of each of the following conditions precedent (unless a condition shall have been waived in accordance with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firstLine="1763"/>
        <w:spacing w:after="0" w:line="258" w:lineRule="auto"/>
        <w:tabs>
          <w:tab w:leader="none" w:pos="2643"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Administrative Agent shall have received each of the following documents, each of which shall be satisfactory to the Administrative Agent (and to the extent specified below to each Lender) in form and substance:</w:t>
      </w:r>
    </w:p>
    <w:p>
      <w:pPr>
        <w:spacing w:after="0" w:line="158" w:lineRule="exact"/>
        <w:rPr>
          <w:rFonts w:ascii="Times New Roman" w:cs="Times New Roman" w:eastAsia="Times New Roman" w:hAnsi="Times New Roman"/>
          <w:sz w:val="22"/>
          <w:szCs w:val="22"/>
          <w:color w:val="auto"/>
        </w:rPr>
      </w:pPr>
    </w:p>
    <w:p>
      <w:pPr>
        <w:jc w:val="both"/>
        <w:ind w:left="880" w:firstLine="816"/>
        <w:spacing w:after="0" w:line="244" w:lineRule="auto"/>
        <w:tabs>
          <w:tab w:leader="none" w:pos="2542"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Executed Counterparts</w:t>
      </w:r>
      <w:r>
        <w:rPr>
          <w:rFonts w:ascii="Times New Roman" w:cs="Times New Roman" w:eastAsia="Times New Roman" w:hAnsi="Times New Roman"/>
          <w:sz w:val="22"/>
          <w:szCs w:val="22"/>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173" w:lineRule="exact"/>
        <w:rPr>
          <w:rFonts w:ascii="Times New Roman" w:cs="Times New Roman" w:eastAsia="Times New Roman" w:hAnsi="Times New Roman"/>
          <w:sz w:val="22"/>
          <w:szCs w:val="22"/>
          <w:color w:val="auto"/>
        </w:rPr>
      </w:pPr>
    </w:p>
    <w:p>
      <w:pPr>
        <w:jc w:val="both"/>
        <w:ind w:left="880" w:firstLine="816"/>
        <w:spacing w:after="0" w:line="236" w:lineRule="auto"/>
        <w:tabs>
          <w:tab w:leader="none" w:pos="2602"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Opinion of Counsel to the Borrower</w:t>
      </w:r>
      <w:r>
        <w:rPr>
          <w:rFonts w:ascii="Times New Roman" w:cs="Times New Roman" w:eastAsia="Times New Roman" w:hAnsi="Times New Roman"/>
          <w:sz w:val="22"/>
          <w:szCs w:val="22"/>
          <w:color w:val="auto"/>
        </w:rPr>
        <w:t>. A favorable written opinion (addressed to the Administrative Agent and the Lenders and dated the Effective Date) of (A) Cleary Gottlieb Steen &amp; Hamilton LLP, New York counsel for the Borrower and the Subsidiary Guarantors and (B) Young Conaway Stargatt &amp; Taylor,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spacing w:after="0" w:line="182" w:lineRule="exact"/>
        <w:rPr>
          <w:rFonts w:ascii="Times New Roman" w:cs="Times New Roman" w:eastAsia="Times New Roman" w:hAnsi="Times New Roman"/>
          <w:sz w:val="22"/>
          <w:szCs w:val="22"/>
          <w:color w:val="auto"/>
        </w:rPr>
      </w:pPr>
    </w:p>
    <w:p>
      <w:pPr>
        <w:jc w:val="both"/>
        <w:ind w:left="880" w:firstLine="816"/>
        <w:spacing w:after="0" w:line="239" w:lineRule="auto"/>
        <w:tabs>
          <w:tab w:leader="none" w:pos="2662"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Documents</w:t>
      </w:r>
      <w:r>
        <w:rPr>
          <w:rFonts w:ascii="Times New Roman" w:cs="Times New Roman" w:eastAsia="Times New Roman" w:hAnsi="Times New Roman"/>
          <w:sz w:val="22"/>
          <w:szCs w:val="22"/>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180" w:lineRule="exact"/>
        <w:rPr>
          <w:rFonts w:ascii="Times New Roman" w:cs="Times New Roman" w:eastAsia="Times New Roman" w:hAnsi="Times New Roman"/>
          <w:sz w:val="22"/>
          <w:szCs w:val="22"/>
          <w:color w:val="auto"/>
        </w:rPr>
      </w:pPr>
    </w:p>
    <w:p>
      <w:pPr>
        <w:jc w:val="both"/>
        <w:ind w:left="880" w:firstLine="816"/>
        <w:spacing w:after="0" w:line="244" w:lineRule="auto"/>
        <w:tabs>
          <w:tab w:leader="none" w:pos="265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55"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Confirmation of receipt by the Administrative Agent, for the benefit of the Lenders, of the fees required to be paid by the Borrower pursuant to that certain fee letter, dated as of the date hereof, among the Borrower, the Administrative Agent and the other parties thereto.</w:t>
      </w:r>
    </w:p>
    <w:p>
      <w:pPr>
        <w:spacing w:after="0" w:line="174" w:lineRule="exact"/>
        <w:rPr>
          <w:sz w:val="20"/>
          <w:szCs w:val="20"/>
          <w:color w:val="auto"/>
        </w:rPr>
      </w:pPr>
    </w:p>
    <w:p>
      <w:pPr>
        <w:ind w:right="20" w:firstLine="1755"/>
        <w:spacing w:after="0" w:line="258"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Each Credit Event</w:t>
      </w:r>
      <w:r>
        <w:rPr>
          <w:rFonts w:ascii="Times New Roman" w:cs="Times New Roman" w:eastAsia="Times New Roman" w:hAnsi="Times New Roman"/>
          <w:sz w:val="22"/>
          <w:szCs w:val="22"/>
          <w:color w:val="auto"/>
        </w:rPr>
        <w:t>. The obligation of each Lender to make any Loan, and of each Issuing Bank to issue, amend, renew or extend any Letter of Credit, is additionally subject to the satisfaction of the following conditions:</w:t>
      </w:r>
    </w:p>
    <w:p>
      <w:pPr>
        <w:spacing w:after="0" w:line="158" w:lineRule="exact"/>
        <w:rPr>
          <w:sz w:val="20"/>
          <w:szCs w:val="20"/>
          <w:color w:val="auto"/>
        </w:rPr>
      </w:pPr>
    </w:p>
    <w:p>
      <w:pPr>
        <w:ind w:firstLine="1763"/>
        <w:spacing w:after="0" w:line="258" w:lineRule="auto"/>
        <w:tabs>
          <w:tab w:leader="none" w:pos="2643"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Borrower set forth in this Agreement and in the other Loan Documents shall be true and correct in all material respects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3773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3773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7"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83</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40" w:name="page241"/>
    <w:bookmarkEnd w:id="240"/>
    <w:p>
      <w:pPr>
        <w:jc w:val="both"/>
        <w:spacing w:after="0" w:line="244" w:lineRule="auto"/>
        <w:rPr>
          <w:sz w:val="20"/>
          <w:szCs w:val="20"/>
          <w:color w:val="auto"/>
        </w:rPr>
      </w:pPr>
      <w:r>
        <w:rPr>
          <w:rFonts w:ascii="Times New Roman" w:cs="Times New Roman" w:eastAsia="Times New Roman" w:hAnsi="Times New Roman"/>
          <w:sz w:val="22"/>
          <w:szCs w:val="22"/>
          <w:color w:val="auto"/>
        </w:rPr>
        <w:t>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74" w:lineRule="exact"/>
        <w:rPr>
          <w:sz w:val="20"/>
          <w:szCs w:val="20"/>
          <w:color w:val="auto"/>
        </w:rPr>
      </w:pPr>
    </w:p>
    <w:p>
      <w:pPr>
        <w:ind w:firstLine="1763"/>
        <w:spacing w:after="0" w:line="258" w:lineRule="auto"/>
        <w:tabs>
          <w:tab w:leader="none" w:pos="2655"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immediately after giving effect to such Loan or the issuance, amendment, renewal or extension of such Letter of Credit, as applicable, no Default shall have occurred and be continuing; and</w:t>
      </w:r>
    </w:p>
    <w:p>
      <w:pPr>
        <w:spacing w:after="0" w:line="158" w:lineRule="exact"/>
        <w:rPr>
          <w:rFonts w:ascii="Times New Roman" w:cs="Times New Roman" w:eastAsia="Times New Roman" w:hAnsi="Times New Roman"/>
          <w:sz w:val="22"/>
          <w:szCs w:val="22"/>
          <w:color w:val="auto"/>
        </w:rPr>
      </w:pPr>
    </w:p>
    <w:p>
      <w:pPr>
        <w:jc w:val="both"/>
        <w:ind w:firstLine="1763"/>
        <w:spacing w:after="0" w:line="253" w:lineRule="auto"/>
        <w:tabs>
          <w:tab w:leader="none" w:pos="2643"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(i) the aggregate Covered Debt Amount (after giving effect to such extension of credit) shall not exceed the Borrowing Base reflected on the Borrowing Base Certificate most recently delivered to the Administrative Agent or</w:t>
      </w:r>
    </w:p>
    <w:p>
      <w:pPr>
        <w:spacing w:after="0" w:line="1" w:lineRule="exact"/>
        <w:rPr>
          <w:rFonts w:ascii="Times New Roman" w:cs="Times New Roman" w:eastAsia="Times New Roman" w:hAnsi="Times New Roman"/>
          <w:sz w:val="21"/>
          <w:szCs w:val="21"/>
          <w:color w:val="auto"/>
        </w:rPr>
      </w:pPr>
    </w:p>
    <w:p>
      <w:pPr>
        <w:jc w:val="both"/>
        <w:ind w:firstLine="8"/>
        <w:spacing w:after="0" w:line="234" w:lineRule="auto"/>
        <w:tabs>
          <w:tab w:leader="none" w:pos="33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 or any other Indebtedness that is included in the Covered Debt Amount at such time.</w:t>
      </w:r>
    </w:p>
    <w:p>
      <w:pPr>
        <w:spacing w:after="0" w:line="178" w:lineRule="exact"/>
        <w:rPr>
          <w:sz w:val="20"/>
          <w:szCs w:val="20"/>
          <w:color w:val="auto"/>
        </w:rPr>
      </w:pPr>
    </w:p>
    <w:p>
      <w:pPr>
        <w:jc w:val="both"/>
        <w:ind w:right="20" w:firstLine="1755"/>
        <w:spacing w:after="0" w:line="282" w:lineRule="auto"/>
        <w:rPr>
          <w:sz w:val="20"/>
          <w:szCs w:val="20"/>
          <w:color w:val="auto"/>
        </w:rPr>
      </w:pPr>
      <w:r>
        <w:rPr>
          <w:rFonts w:ascii="Times New Roman" w:cs="Times New Roman" w:eastAsia="Times New Roman" w:hAnsi="Times New Roman"/>
          <w:sz w:val="21"/>
          <w:szCs w:val="21"/>
          <w:color w:val="auto"/>
        </w:rPr>
        <w:t>Each Borrowing and each issuance, amendment, renewal or extension of a Letter of Credit shall be deemed to constitute a representation and warranty by the Borrower on the date thereof as to the matters specified in the preceding sentence.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AFFIRMATIVE COVENANTS</w:t>
      </w:r>
    </w:p>
    <w:p>
      <w:pPr>
        <w:spacing w:after="0" w:line="206"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Until the Commitments have expired or been terminated and the principal of and interest on each Loan and all fees payable hereunder shall have been paid in full and all Letters of Credit shall have expired, been terminated, Cash Collateralized or backstopped and all LC Disbursements shall have been reimbursed, the Borrower covenants and agrees with the Lenders that:</w:t>
      </w:r>
    </w:p>
    <w:p>
      <w:pPr>
        <w:spacing w:after="0" w:line="181"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Financial Statements and Other Information</w:t>
      </w:r>
      <w:r>
        <w:rPr>
          <w:rFonts w:ascii="Times New Roman" w:cs="Times New Roman" w:eastAsia="Times New Roman" w:hAnsi="Times New Roman"/>
          <w:sz w:val="22"/>
          <w:szCs w:val="22"/>
          <w:color w:val="auto"/>
        </w:rPr>
        <w:t>. The Borrower will furnish to the Administrative Agent and each Lender:</w:t>
      </w:r>
    </w:p>
    <w:p>
      <w:pPr>
        <w:spacing w:after="0" w:line="158" w:lineRule="exact"/>
        <w:rPr>
          <w:sz w:val="20"/>
          <w:szCs w:val="20"/>
          <w:color w:val="auto"/>
        </w:rPr>
      </w:pPr>
    </w:p>
    <w:p>
      <w:pPr>
        <w:jc w:val="both"/>
        <w:ind w:firstLine="1763"/>
        <w:spacing w:after="0" w:line="235" w:lineRule="auto"/>
        <w:tabs>
          <w:tab w:leader="none" w:pos="264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90 days after the end of each fiscal year of the Borrower,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requirements set forth in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may be fulfilled by providing to the Administrative Agent and the Lenders the report of the Borrower to the SEC on Form 10-K for the applicable fiscal year;</w:t>
      </w:r>
    </w:p>
    <w:p>
      <w:pPr>
        <w:spacing w:after="0" w:line="179" w:lineRule="exact"/>
        <w:rPr>
          <w:rFonts w:ascii="Times New Roman" w:cs="Times New Roman" w:eastAsia="Times New Roman" w:hAnsi="Times New Roman"/>
          <w:sz w:val="22"/>
          <w:szCs w:val="22"/>
          <w:color w:val="auto"/>
        </w:rPr>
      </w:pPr>
    </w:p>
    <w:p>
      <w:pPr>
        <w:ind w:firstLine="1763"/>
        <w:spacing w:after="0" w:line="258" w:lineRule="auto"/>
        <w:tabs>
          <w:tab w:leader="none" w:pos="2655"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45 days after the end of each of the first three fiscal quarters of each fiscal year of the Borrower, the consolidated balance sheet and statement of operations,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3773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1">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3773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7"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84</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41" w:name="page242"/>
    <w:bookmarkEnd w:id="241"/>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requirements set forth in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may be fulfilled by providing to the Lenders the report of the Borrower to the SEC on Form 10-Q for the applicable quarterly period;</w:t>
      </w:r>
    </w:p>
    <w:p>
      <w:pPr>
        <w:spacing w:after="0" w:line="179" w:lineRule="exact"/>
        <w:rPr>
          <w:sz w:val="20"/>
          <w:szCs w:val="20"/>
          <w:color w:val="auto"/>
        </w:rPr>
      </w:pPr>
    </w:p>
    <w:p>
      <w:pPr>
        <w:jc w:val="both"/>
        <w:ind w:firstLine="1763"/>
        <w:spacing w:after="0" w:line="235" w:lineRule="auto"/>
        <w:tabs>
          <w:tab w:leader="none" w:pos="2643"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concurrently with any delivery of financial statements under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a certificate of a Financial Officer of the Borrower (i) certifying that such statements are consistent with the financial statements filed by the Borrower with the Securities and Exchange Commission, (ii) certifying as to whether the Borrower has knowledge that a Default has occurred during the applicable period and, if a Default has occurred, specifying the details thereof and any action taken or proposed to be taken with respect thereto, (iii) setting forth reasonably detailed calculations demonstrating compliance with </w:t>
      </w:r>
      <w:r>
        <w:rPr>
          <w:rFonts w:ascii="Times New Roman" w:cs="Times New Roman" w:eastAsia="Times New Roman" w:hAnsi="Times New Roman"/>
          <w:sz w:val="22"/>
          <w:szCs w:val="22"/>
          <w:u w:val="single" w:color="auto"/>
          <w:color w:val="auto"/>
        </w:rPr>
        <w:t>Sections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6.07</w:t>
      </w:r>
      <w:r>
        <w:rPr>
          <w:rFonts w:ascii="Times New Roman" w:cs="Times New Roman" w:eastAsia="Times New Roman" w:hAnsi="Times New Roman"/>
          <w:sz w:val="22"/>
          <w:szCs w:val="22"/>
          <w:color w:val="auto"/>
        </w:rPr>
        <w:t xml:space="preserve"> and (iv) stating whether any change in GAAP as applied by (or in the application of GAAP by) the Borrower has occurred since the Effective Date and, if any such change has occurred, specifying the effect of such change on the financial statements accompanying such certificate;</w:t>
      </w:r>
    </w:p>
    <w:p>
      <w:pPr>
        <w:spacing w:after="0" w:line="179" w:lineRule="exact"/>
        <w:rPr>
          <w:rFonts w:ascii="Times New Roman" w:cs="Times New Roman" w:eastAsia="Times New Roman" w:hAnsi="Times New Roman"/>
          <w:sz w:val="22"/>
          <w:szCs w:val="22"/>
          <w:color w:val="auto"/>
        </w:rPr>
      </w:pPr>
    </w:p>
    <w:p>
      <w:pPr>
        <w:jc w:val="both"/>
        <w:ind w:firstLine="1763"/>
        <w:spacing w:after="0" w:line="239" w:lineRule="auto"/>
        <w:tabs>
          <w:tab w:leader="none" w:pos="2655"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not later than 20 days after the end of each monthly accounting period (ending on the last day of each calendar month) of the Borrower and its Subsidiaries, a Borrowing Base Certificate as at the last day of such accounting period which shall include the ratio of the Borrowing Base to the Combined Debt Amount (showing the components of the Combined Debt Amount);</w:t>
      </w:r>
    </w:p>
    <w:p>
      <w:pPr>
        <w:spacing w:after="0" w:line="180" w:lineRule="exact"/>
        <w:rPr>
          <w:rFonts w:ascii="Times New Roman" w:cs="Times New Roman" w:eastAsia="Times New Roman" w:hAnsi="Times New Roman"/>
          <w:sz w:val="22"/>
          <w:szCs w:val="22"/>
          <w:color w:val="auto"/>
        </w:rPr>
      </w:pPr>
    </w:p>
    <w:p>
      <w:pPr>
        <w:jc w:val="both"/>
        <w:ind w:firstLine="1763"/>
        <w:spacing w:after="0" w:line="236" w:lineRule="auto"/>
        <w:tabs>
          <w:tab w:leader="none" w:pos="2643"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but no later than five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of the Borrower obtained knowledge of such deficiency and the amount of the Borrowing Base Deficiency as of the date not earlier than one Business Day prior to the date the Borrowing Base Certificate is delivered pursuant to this paragraph;</w:t>
      </w:r>
    </w:p>
    <w:p>
      <w:pPr>
        <w:spacing w:after="0" w:line="182" w:lineRule="exact"/>
        <w:rPr>
          <w:rFonts w:ascii="Times New Roman" w:cs="Times New Roman" w:eastAsia="Times New Roman" w:hAnsi="Times New Roman"/>
          <w:sz w:val="22"/>
          <w:szCs w:val="22"/>
          <w:color w:val="auto"/>
        </w:rPr>
      </w:pPr>
    </w:p>
    <w:p>
      <w:pPr>
        <w:jc w:val="both"/>
        <w:ind w:firstLine="1763"/>
        <w:spacing w:after="0" w:line="239" w:lineRule="auto"/>
        <w:tabs>
          <w:tab w:leader="none" w:pos="2619"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180" w:lineRule="exact"/>
        <w:rPr>
          <w:rFonts w:ascii="Times New Roman" w:cs="Times New Roman" w:eastAsia="Times New Roman" w:hAnsi="Times New Roman"/>
          <w:sz w:val="22"/>
          <w:szCs w:val="22"/>
          <w:color w:val="auto"/>
        </w:rPr>
      </w:pPr>
    </w:p>
    <w:p>
      <w:pPr>
        <w:jc w:val="both"/>
        <w:ind w:firstLine="1763"/>
        <w:spacing w:after="0" w:line="239" w:lineRule="auto"/>
        <w:tabs>
          <w:tab w:leader="none" w:pos="2655"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0"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85</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42" w:name="page243"/>
    <w:bookmarkEnd w:id="242"/>
    <w:p>
      <w:pPr>
        <w:jc w:val="both"/>
        <w:ind w:firstLine="1763"/>
        <w:spacing w:after="0" w:line="244" w:lineRule="auto"/>
        <w:tabs>
          <w:tab w:leader="none" w:pos="2655"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may reasonably request.</w:t>
      </w:r>
    </w:p>
    <w:p>
      <w:pPr>
        <w:spacing w:after="0" w:line="173" w:lineRule="exact"/>
        <w:rPr>
          <w:rFonts w:ascii="Times New Roman" w:cs="Times New Roman" w:eastAsia="Times New Roman" w:hAnsi="Times New Roman"/>
          <w:sz w:val="22"/>
          <w:szCs w:val="22"/>
          <w:color w:val="auto"/>
        </w:rPr>
      </w:pPr>
    </w:p>
    <w:p>
      <w:pPr>
        <w:jc w:val="both"/>
        <w:ind w:firstLine="1763"/>
        <w:spacing w:after="0" w:line="234" w:lineRule="auto"/>
        <w:tabs>
          <w:tab w:leader="none" w:pos="2607"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and each Lender acknowledge that certain of the Lenders may be Public Lenders and, if documents or notices required to be delivered pursuant to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or otherwise are being distributed through IntraLinks/IntraAgency, SyndTrak or another relevant website or other information platform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of this Agreement).</w:t>
      </w:r>
    </w:p>
    <w:p>
      <w:pPr>
        <w:spacing w:after="0" w:line="180" w:lineRule="exact"/>
        <w:rPr>
          <w:rFonts w:ascii="Times New Roman" w:cs="Times New Roman" w:eastAsia="Times New Roman" w:hAnsi="Times New Roman"/>
          <w:sz w:val="22"/>
          <w:szCs w:val="22"/>
          <w:color w:val="auto"/>
        </w:rPr>
      </w:pPr>
    </w:p>
    <w:p>
      <w:pPr>
        <w:jc w:val="both"/>
        <w:ind w:firstLine="1763"/>
        <w:spacing w:after="0" w:line="239" w:lineRule="auto"/>
        <w:tabs>
          <w:tab w:leader="none" w:pos="2607"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the requirements to deliver documents set forth in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will be fulfilled by filing by the Borrower of the applicable documents for public availability on the SEC’s Electronic Data Gathering and Retrieval system;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Borrower shall notify the Administrative Agent (by telecopier or electronic mail) of the posting of any such documents.</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Notices of Material Events</w:t>
      </w:r>
      <w:r>
        <w:rPr>
          <w:rFonts w:ascii="Times New Roman" w:cs="Times New Roman" w:eastAsia="Times New Roman" w:hAnsi="Times New Roman"/>
          <w:sz w:val="22"/>
          <w:szCs w:val="22"/>
          <w:color w:val="auto"/>
        </w:rPr>
        <w:t>. The Borrower will furnish to the Administrative Agent and each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 prompt written notice upon any Responsible Officer obtaining knowledge of the following:</w:t>
      </w:r>
    </w:p>
    <w:p>
      <w:pPr>
        <w:spacing w:after="0" w:line="182" w:lineRule="exact"/>
        <w:rPr>
          <w:sz w:val="20"/>
          <w:szCs w:val="20"/>
          <w:color w:val="auto"/>
        </w:rPr>
      </w:pPr>
    </w:p>
    <w:p>
      <w:pPr>
        <w:ind w:left="2660" w:hanging="897"/>
        <w:spacing w:after="0"/>
        <w:tabs>
          <w:tab w:leader="none" w:pos="266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Default;</w:t>
      </w:r>
    </w:p>
    <w:p>
      <w:pPr>
        <w:spacing w:after="0" w:line="206"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55"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173" w:lineRule="exact"/>
        <w:rPr>
          <w:rFonts w:ascii="Times New Roman" w:cs="Times New Roman" w:eastAsia="Times New Roman" w:hAnsi="Times New Roman"/>
          <w:sz w:val="22"/>
          <w:szCs w:val="22"/>
          <w:color w:val="auto"/>
        </w:rPr>
      </w:pPr>
    </w:p>
    <w:p>
      <w:pPr>
        <w:jc w:val="both"/>
        <w:ind w:right="20" w:firstLine="1763"/>
        <w:spacing w:after="0" w:line="244" w:lineRule="auto"/>
        <w:tabs>
          <w:tab w:leader="none" w:pos="2643"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ERISA Event that, alone or together with any other ERISA Events that have occurred, could reasonably be expected to result in liability of the Borrower and its Subsidiaries in an aggregate amount exceeding $25,000,000; and</w:t>
      </w:r>
    </w:p>
    <w:p>
      <w:pPr>
        <w:spacing w:after="0" w:line="173"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55"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development (excluding matters of a general economic, financial or political nature to the extent that they could not reasonably be expected to have a disproportionate effect on the Borrower) that results in, or could reasonably be expected to result in, a Material Adverse Effect.</w:t>
      </w:r>
    </w:p>
    <w:p>
      <w:pPr>
        <w:spacing w:after="0" w:line="174"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3773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7">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3773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86</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43" w:name="page244"/>
    <w:bookmarkEnd w:id="243"/>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Existence: Conduct of Business</w:t>
      </w:r>
      <w:r>
        <w:rPr>
          <w:rFonts w:ascii="Times New Roman" w:cs="Times New Roman" w:eastAsia="Times New Roman" w:hAnsi="Times New Roman"/>
          <w:sz w:val="22"/>
          <w:szCs w:val="22"/>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prohibit any merger, consolidation, liquidation or dissolution permitted under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755"/>
        <w:spacing w:after="0" w:line="249" w:lineRule="auto"/>
        <w:rPr>
          <w:sz w:val="20"/>
          <w:szCs w:val="20"/>
          <w:color w:val="auto"/>
        </w:rPr>
      </w:pPr>
      <w:r>
        <w:rPr>
          <w:rFonts w:ascii="Times New Roman" w:cs="Times New Roman" w:eastAsia="Times New Roman" w:hAnsi="Times New Roman"/>
          <w:sz w:val="21"/>
          <w:szCs w:val="21"/>
          <w:color w:val="auto"/>
        </w:rPr>
        <w:t xml:space="preserve">SECTION 5.04. </w:t>
      </w:r>
      <w:r>
        <w:rPr>
          <w:rFonts w:ascii="Times New Roman" w:cs="Times New Roman" w:eastAsia="Times New Roman" w:hAnsi="Times New Roman"/>
          <w:sz w:val="21"/>
          <w:szCs w:val="21"/>
          <w:u w:val="single" w:color="auto"/>
          <w:color w:val="auto"/>
        </w:rPr>
        <w:t>Payment of Obligations</w:t>
      </w:r>
      <w:r>
        <w:rPr>
          <w:rFonts w:ascii="Times New Roman" w:cs="Times New Roman" w:eastAsia="Times New Roman" w:hAnsi="Times New Roman"/>
          <w:sz w:val="21"/>
          <w:szCs w:val="21"/>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w:t>
      </w:r>
    </w:p>
    <w:p>
      <w:pPr>
        <w:spacing w:after="0" w:line="2" w:lineRule="exact"/>
        <w:rPr>
          <w:sz w:val="20"/>
          <w:szCs w:val="20"/>
          <w:color w:val="auto"/>
        </w:rPr>
      </w:pPr>
    </w:p>
    <w:p>
      <w:pPr>
        <w:jc w:val="both"/>
        <w:ind w:firstLine="8"/>
        <w:spacing w:after="0" w:line="235" w:lineRule="auto"/>
        <w:tabs>
          <w:tab w:leader="none" w:pos="30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78"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Maintenance of Properties; Insurance</w:t>
      </w:r>
      <w:r>
        <w:rPr>
          <w:rFonts w:ascii="Times New Roman" w:cs="Times New Roman" w:eastAsia="Times New Roman" w:hAnsi="Times New Roman"/>
          <w:sz w:val="22"/>
          <w:szCs w:val="22"/>
          <w:color w:val="auto"/>
        </w:rPr>
        <w:t>. The Borrower will, and will cause each of its 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77"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1"/>
          <w:szCs w:val="21"/>
          <w:color w:val="auto"/>
        </w:rPr>
        <w:t xml:space="preserve">SECTION 5.06. </w:t>
      </w:r>
      <w:r>
        <w:rPr>
          <w:rFonts w:ascii="Times New Roman" w:cs="Times New Roman" w:eastAsia="Times New Roman" w:hAnsi="Times New Roman"/>
          <w:sz w:val="21"/>
          <w:szCs w:val="21"/>
          <w:u w:val="single" w:color="auto"/>
          <w:color w:val="auto"/>
        </w:rPr>
        <w:t>Books and Records; Inspection and Audit Rights</w:t>
      </w:r>
      <w:r>
        <w:rPr>
          <w:rFonts w:ascii="Times New Roman" w:cs="Times New Roman" w:eastAsia="Times New Roman" w:hAnsi="Times New Roman"/>
          <w:sz w:val="21"/>
          <w:szCs w:val="21"/>
          <w:color w:val="auto"/>
        </w:rPr>
        <w:t xml:space="preserve">. The Borrower will, and will cause each of its Subsidiaries to, keep books of record and account in accordance with GAAP. The Borrower will, and will cause each other Obligor to, permit any representatives designated by the Administrative Agent or any Lender, upon reasonable prior notice, to visit and inspect its properties during business hours, to examine and make extracts from its books and records,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Borrower or such Obligor shall be entitled to have its representatives and advisors present during any inspection of its books and records and (ii) unless an Event of Default shall have occurred and be continuing, the Borrower’s obligation to reimburse any costs and expenses incurred by the Administrative Agent and the Lenders in connection with any such inspection shall be limited to one inspection per calendar year.</w:t>
      </w:r>
    </w:p>
    <w:p>
      <w:pPr>
        <w:spacing w:after="0" w:line="172" w:lineRule="exact"/>
        <w:rPr>
          <w:sz w:val="20"/>
          <w:szCs w:val="20"/>
          <w:color w:val="auto"/>
        </w:rPr>
      </w:pPr>
    </w:p>
    <w:p>
      <w:pPr>
        <w:jc w:val="both"/>
        <w:ind w:firstLine="1755"/>
        <w:spacing w:after="0" w:line="249" w:lineRule="auto"/>
        <w:rPr>
          <w:sz w:val="20"/>
          <w:szCs w:val="20"/>
          <w:color w:val="auto"/>
        </w:rPr>
      </w:pPr>
      <w:r>
        <w:rPr>
          <w:rFonts w:ascii="Times New Roman" w:cs="Times New Roman" w:eastAsia="Times New Roman" w:hAnsi="Times New Roman"/>
          <w:sz w:val="21"/>
          <w:szCs w:val="21"/>
          <w:color w:val="auto"/>
        </w:rPr>
        <w:t xml:space="preserve">SECTION 5.07. </w:t>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3773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3773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0"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87</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44" w:name="page245"/>
    <w:bookmarkEnd w:id="244"/>
    <w:p>
      <w:pPr>
        <w:ind w:left="1760"/>
        <w:spacing w:after="0"/>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Certain Obligations Respecting Subsidiaries; Further Assurances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49" w:lineRule="auto"/>
        <w:tabs>
          <w:tab w:leader="none" w:pos="2643"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Subsidiary Guarantors</w:t>
      </w:r>
      <w:r>
        <w:rPr>
          <w:rFonts w:ascii="Times New Roman" w:cs="Times New Roman" w:eastAsia="Times New Roman" w:hAnsi="Times New Roman"/>
          <w:sz w:val="21"/>
          <w:szCs w:val="21"/>
          <w:color w:val="auto"/>
        </w:rPr>
        <w:t xml:space="preserve">. In the event that the Borrower or any the Subsidiary Guarantors shall form or acquire any new Subsidiary (other than a Financing Subsidiary, a Foreign Subsidiary, an Immaterial Subsidiary or a Subsidiary of a Foreign Subsidiary)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and other documents as is consistent with those delivered by the Borrower pursuant to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upon the Effective Date or as the Administrative Agent shall have reasonably requested.</w:t>
      </w:r>
    </w:p>
    <w:p>
      <w:pPr>
        <w:spacing w:after="0" w:line="171" w:lineRule="exact"/>
        <w:rPr>
          <w:rFonts w:ascii="Times New Roman" w:cs="Times New Roman" w:eastAsia="Times New Roman" w:hAnsi="Times New Roman"/>
          <w:sz w:val="21"/>
          <w:szCs w:val="21"/>
          <w:color w:val="auto"/>
        </w:rPr>
      </w:pPr>
    </w:p>
    <w:p>
      <w:pPr>
        <w:ind w:right="20" w:firstLine="1763"/>
        <w:spacing w:after="0" w:line="258" w:lineRule="auto"/>
        <w:tabs>
          <w:tab w:leader="none" w:pos="2655"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 of Subsidiaries</w:t>
      </w:r>
      <w:r>
        <w:rPr>
          <w:rFonts w:ascii="Times New Roman" w:cs="Times New Roman" w:eastAsia="Times New Roman" w:hAnsi="Times New Roman"/>
          <w:sz w:val="22"/>
          <w:szCs w:val="22"/>
          <w:color w:val="auto"/>
        </w:rPr>
        <w:t>. The Borrower will, and will cause each of its Subsidiaries to, take such action from time to time as shall be necessary to ensure that each of its Subsidiaries is a wholly owned Subsidiary.</w:t>
      </w:r>
    </w:p>
    <w:p>
      <w:pPr>
        <w:spacing w:after="0" w:line="158" w:lineRule="exact"/>
        <w:rPr>
          <w:rFonts w:ascii="Times New Roman" w:cs="Times New Roman" w:eastAsia="Times New Roman" w:hAnsi="Times New Roman"/>
          <w:sz w:val="22"/>
          <w:szCs w:val="22"/>
          <w:color w:val="auto"/>
        </w:rPr>
      </w:pPr>
    </w:p>
    <w:p>
      <w:pPr>
        <w:jc w:val="both"/>
        <w:ind w:firstLine="1763"/>
        <w:spacing w:after="0" w:line="232" w:lineRule="auto"/>
        <w:tabs>
          <w:tab w:leader="none" w:pos="2643"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 thereof that is a party to any Hedging Agreement entered into with the Borrower) and the holders of any Secured Longer-Term Indebtedness or Secured Shorter-Term Indebtedness, perfected security interests and Liens in the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security interest or Lien shall be subject to the relevant requirements of the Security Documents, (ii) in the case of any Portfolio Investment consisting of a Bank Loan (as defined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“lender”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(iii)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(iv)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3773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3">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3773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2"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88</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45" w:name="page246"/>
    <w:bookmarkEnd w:id="245"/>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xml:space="preserve">. The Borrower will use the proceeds of the Loans only for general corporate purposes of the Borrower, including the acquisition and funding (either directly or through one or more wholly-owned Subsidiaries) of leveraged loans, mezzanine loans, high-yield securities, convertible securities, preferred stock, common stock and other Portfolio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the Administrative Agent nor any Lender shall have any responsibility as to the use of any of such proceeds. No part of the proceeds of any Loan will be used in violation of (a) applicable law or, directly or indirectly, for the purpose, whether immediate, incidental or ultimate, of buying or carrying any Margin Stock or (b)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3.16</w:t>
      </w:r>
      <w:r>
        <w:rPr>
          <w:rFonts w:ascii="Times New Roman" w:cs="Times New Roman" w:eastAsia="Times New Roman" w:hAnsi="Times New Roman"/>
          <w:sz w:val="22"/>
          <w:szCs w:val="22"/>
          <w:color w:val="auto"/>
        </w:rPr>
        <w:t>. Margin Stock shall be purchased by the Obligors only with the proceeds of Indebtedness not directly or indirectly secured by Margin Stock, or with the proceeds of equity capital of the Borrower.</w:t>
      </w:r>
    </w:p>
    <w:p>
      <w:pPr>
        <w:spacing w:after="0" w:line="179"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Status of RIC and BDC</w:t>
      </w:r>
      <w:r>
        <w:rPr>
          <w:rFonts w:ascii="Times New Roman" w:cs="Times New Roman" w:eastAsia="Times New Roman" w:hAnsi="Times New Roman"/>
          <w:sz w:val="22"/>
          <w:szCs w:val="22"/>
          <w:color w:val="auto"/>
        </w:rPr>
        <w:t>. The Borrower shall at all times, subject to applicable grace periods set forth in the Code, maintain its status as a RIC under the Code, and as a “business development company” under the Investment Company Act.</w:t>
      </w:r>
    </w:p>
    <w:p>
      <w:pPr>
        <w:spacing w:after="0" w:line="174"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Investment Policies</w:t>
      </w:r>
      <w:r>
        <w:rPr>
          <w:rFonts w:ascii="Times New Roman" w:cs="Times New Roman" w:eastAsia="Times New Roman" w:hAnsi="Times New Roman"/>
          <w:sz w:val="22"/>
          <w:szCs w:val="22"/>
          <w:color w:val="auto"/>
        </w:rPr>
        <w:t>. The Borrower shall at all times be in compliance in all material respects with its Investment Policies (after giving effect to any Permitted Policy Amendments).</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Portfolio Valuation and Diversification Etc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6" w:lineRule="auto"/>
        <w:tabs>
          <w:tab w:leader="none" w:pos="2643"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Industry Classification Groups</w:t>
      </w:r>
      <w:r>
        <w:rPr>
          <w:rFonts w:ascii="Times New Roman" w:cs="Times New Roman" w:eastAsia="Times New Roman" w:hAnsi="Times New Roman"/>
          <w:sz w:val="22"/>
          <w:szCs w:val="22"/>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182"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Portfolio Valuation Etc</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80" w:firstLine="816"/>
        <w:spacing w:after="0" w:line="238" w:lineRule="auto"/>
        <w:tabs>
          <w:tab w:leader="none" w:pos="254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Date Basis</w:t>
      </w:r>
      <w:r>
        <w:rPr>
          <w:rFonts w:ascii="Times New Roman" w:cs="Times New Roman" w:eastAsia="Times New Roman" w:hAnsi="Times New Roman"/>
          <w:sz w:val="22"/>
          <w:szCs w:val="22"/>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investment shall be included as a Portfolio Investment to the extent it has not been paid for in full.</w:t>
      </w:r>
    </w:p>
    <w:p>
      <w:pPr>
        <w:spacing w:after="0" w:line="177" w:lineRule="exact"/>
        <w:rPr>
          <w:rFonts w:ascii="Times New Roman" w:cs="Times New Roman" w:eastAsia="Times New Roman" w:hAnsi="Times New Roman"/>
          <w:sz w:val="22"/>
          <w:szCs w:val="22"/>
          <w:color w:val="auto"/>
        </w:rPr>
      </w:pPr>
    </w:p>
    <w:p>
      <w:pPr>
        <w:ind w:left="880" w:firstLine="816"/>
        <w:spacing w:after="0" w:line="258" w:lineRule="auto"/>
        <w:tabs>
          <w:tab w:leader="none" w:pos="260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Values</w:t>
      </w:r>
      <w:r>
        <w:rPr>
          <w:rFonts w:ascii="Times New Roman" w:cs="Times New Roman" w:eastAsia="Times New Roman" w:hAnsi="Times New Roman"/>
          <w:sz w:val="22"/>
          <w:szCs w:val="22"/>
          <w:color w:val="auto"/>
        </w:rPr>
        <w:t>. The Borrower will conduct reviews of the value to be assigned to each of its Portfolio Investments as follows:</w:t>
      </w:r>
    </w:p>
    <w:p>
      <w:pPr>
        <w:spacing w:after="0" w:line="158" w:lineRule="exact"/>
        <w:rPr>
          <w:rFonts w:ascii="Times New Roman" w:cs="Times New Roman" w:eastAsia="Times New Roman" w:hAnsi="Times New Roman"/>
          <w:sz w:val="22"/>
          <w:szCs w:val="22"/>
          <w:color w:val="auto"/>
        </w:rPr>
      </w:pPr>
    </w:p>
    <w:p>
      <w:pPr>
        <w:jc w:val="both"/>
        <w:ind w:left="1760" w:firstLine="746"/>
        <w:spacing w:after="0" w:line="239" w:lineRule="auto"/>
        <w:tabs>
          <w:tab w:leader="none" w:pos="3451" w:val="left"/>
        </w:tabs>
        <w:numPr>
          <w:ilvl w:val="2"/>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Quoted Investments - External Review</w:t>
      </w:r>
      <w:r>
        <w:rPr>
          <w:rFonts w:ascii="Times New Roman" w:cs="Times New Roman" w:eastAsia="Times New Roman" w:hAnsi="Times New Roman"/>
          <w:sz w:val="22"/>
          <w:szCs w:val="22"/>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6">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0"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89</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46" w:name="page247"/>
    <w:bookmarkEnd w:id="246"/>
    <w:p>
      <w:pPr>
        <w:ind w:left="1760"/>
        <w:spacing w:after="0"/>
        <w:rPr>
          <w:sz w:val="20"/>
          <w:szCs w:val="20"/>
          <w:color w:val="auto"/>
        </w:rPr>
      </w:pPr>
      <w:r>
        <w:rPr>
          <w:rFonts w:ascii="Times New Roman" w:cs="Times New Roman" w:eastAsia="Times New Roman" w:hAnsi="Times New Roman"/>
          <w:sz w:val="22"/>
          <w:szCs w:val="22"/>
          <w:color w:val="auto"/>
        </w:rPr>
        <w:t>be determined in accordance with one of the following methodologies (as selected by the Borrower):</w:t>
      </w:r>
    </w:p>
    <w:p>
      <w:pPr>
        <w:spacing w:after="0" w:line="206" w:lineRule="exact"/>
        <w:rPr>
          <w:sz w:val="20"/>
          <w:szCs w:val="20"/>
          <w:color w:val="auto"/>
        </w:rPr>
      </w:pPr>
    </w:p>
    <w:p>
      <w:pPr>
        <w:ind w:left="2640" w:right="20" w:firstLine="677"/>
        <w:spacing w:after="0" w:line="258" w:lineRule="auto"/>
        <w:tabs>
          <w:tab w:leader="none" w:pos="4263"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public and 144A securities, the average of the bid prices as determined by two Approved Dealers selected by the Borrower,</w:t>
      </w:r>
    </w:p>
    <w:p>
      <w:pPr>
        <w:spacing w:after="0" w:line="158" w:lineRule="exact"/>
        <w:rPr>
          <w:rFonts w:ascii="Times New Roman" w:cs="Times New Roman" w:eastAsia="Times New Roman" w:hAnsi="Times New Roman"/>
          <w:sz w:val="22"/>
          <w:szCs w:val="22"/>
          <w:color w:val="auto"/>
        </w:rPr>
      </w:pPr>
    </w:p>
    <w:p>
      <w:pPr>
        <w:ind w:left="2640" w:firstLine="677"/>
        <w:spacing w:after="0" w:line="258" w:lineRule="auto"/>
        <w:tabs>
          <w:tab w:leader="none" w:pos="4215"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bank loans, the bid price as determined by one Approved Dealer selected by the Borrower,</w:t>
      </w:r>
    </w:p>
    <w:p>
      <w:pPr>
        <w:spacing w:after="0" w:line="158" w:lineRule="exact"/>
        <w:rPr>
          <w:rFonts w:ascii="Times New Roman" w:cs="Times New Roman" w:eastAsia="Times New Roman" w:hAnsi="Times New Roman"/>
          <w:sz w:val="22"/>
          <w:szCs w:val="22"/>
          <w:color w:val="auto"/>
        </w:rPr>
      </w:pPr>
    </w:p>
    <w:p>
      <w:pPr>
        <w:ind w:left="2640" w:firstLine="677"/>
        <w:spacing w:after="0" w:line="258" w:lineRule="auto"/>
        <w:tabs>
          <w:tab w:leader="none" w:pos="4215"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Portfolio Investment traded on an exchange, the closing price for such Portfolio Investment most recently posted on such exchange, and</w:t>
      </w:r>
    </w:p>
    <w:p>
      <w:pPr>
        <w:spacing w:after="0" w:line="158" w:lineRule="exact"/>
        <w:rPr>
          <w:rFonts w:ascii="Times New Roman" w:cs="Times New Roman" w:eastAsia="Times New Roman" w:hAnsi="Times New Roman"/>
          <w:sz w:val="22"/>
          <w:szCs w:val="22"/>
          <w:color w:val="auto"/>
        </w:rPr>
      </w:pPr>
    </w:p>
    <w:p>
      <w:pPr>
        <w:ind w:left="2640" w:firstLine="677"/>
        <w:spacing w:after="0" w:line="258" w:lineRule="auto"/>
        <w:tabs>
          <w:tab w:leader="none" w:pos="4203"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other Portfolio Investment, the fair market value thereof as determined by an Approved Pricing Service selected by the Borrower; and</w:t>
      </w:r>
    </w:p>
    <w:p>
      <w:pPr>
        <w:spacing w:after="0" w:line="158" w:lineRule="exact"/>
        <w:rPr>
          <w:rFonts w:ascii="Times New Roman" w:cs="Times New Roman" w:eastAsia="Times New Roman" w:hAnsi="Times New Roman"/>
          <w:sz w:val="22"/>
          <w:szCs w:val="22"/>
          <w:color w:val="auto"/>
        </w:rPr>
      </w:pPr>
    </w:p>
    <w:p>
      <w:pPr>
        <w:jc w:val="both"/>
        <w:ind w:left="1760" w:firstLine="746"/>
        <w:spacing w:after="0" w:line="236" w:lineRule="auto"/>
        <w:tabs>
          <w:tab w:leader="none" w:pos="3439"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Unquoted Investments- External Review</w:t>
      </w:r>
      <w:r>
        <w:rPr>
          <w:rFonts w:ascii="Times New Roman" w:cs="Times New Roman" w:eastAsia="Times New Roman" w:hAnsi="Times New Roman"/>
          <w:sz w:val="22"/>
          <w:szCs w:val="22"/>
          <w:color w:val="auto"/>
        </w:rPr>
        <w:t>. With respect to each Portfolio Investment for which market quotations are not readily available, the Borrower shall request an Approved Third-Party Appraiser to assist the Board of Directors of the Borrower in determining the fair market value of such Portfolio Investment, as at the last day of two non-consecutive fiscal quarters each calendar year in each case, and with respect to each calendar year, as selected by the Borrower in its sole discretion (with respect to such Portfolio Investment) (each, a “</w:t>
      </w:r>
      <w:r>
        <w:rPr>
          <w:rFonts w:ascii="Times New Roman" w:cs="Times New Roman" w:eastAsia="Times New Roman" w:hAnsi="Times New Roman"/>
          <w:sz w:val="22"/>
          <w:szCs w:val="22"/>
          <w:u w:val="single" w:color="auto"/>
          <w:color w:val="auto"/>
        </w:rPr>
        <w:t>Testing Quarter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2" w:lineRule="exact"/>
        <w:rPr>
          <w:rFonts w:ascii="Times New Roman" w:cs="Times New Roman" w:eastAsia="Times New Roman" w:hAnsi="Times New Roman"/>
          <w:sz w:val="22"/>
          <w:szCs w:val="22"/>
          <w:color w:val="auto"/>
        </w:rPr>
      </w:pPr>
    </w:p>
    <w:p>
      <w:pPr>
        <w:jc w:val="both"/>
        <w:ind w:left="2640" w:firstLine="677"/>
        <w:spacing w:after="0" w:line="238" w:lineRule="auto"/>
        <w:tabs>
          <w:tab w:leader="none" w:pos="4215"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Value of any such Portfolio Investment (i.e., a Portfolio Investment for which market quotations are not readily available) acquired shall be deemed to be equal to the cost of such Portfolio Investment until such time as the fair market value of such Portfolio Investment is determined in accordance with the foregoing provisions of this </w:t>
      </w:r>
      <w:r>
        <w:rPr>
          <w:rFonts w:ascii="Times New Roman" w:cs="Times New Roman" w:eastAsia="Times New Roman" w:hAnsi="Times New Roman"/>
          <w:sz w:val="22"/>
          <w:szCs w:val="22"/>
          <w:u w:val="single" w:color="auto"/>
          <w:color w:val="auto"/>
        </w:rPr>
        <w:t>sub-clause (B)</w:t>
      </w:r>
      <w:r>
        <w:rPr>
          <w:rFonts w:ascii="Times New Roman" w:cs="Times New Roman" w:eastAsia="Times New Roman" w:hAnsi="Times New Roman"/>
          <w:sz w:val="22"/>
          <w:szCs w:val="22"/>
          <w:color w:val="auto"/>
        </w:rPr>
        <w:t xml:space="preserve"> as at the last day of the next succeeding Testing Quarter with respect to such Portfolio Investment;</w:t>
      </w:r>
    </w:p>
    <w:p>
      <w:pPr>
        <w:spacing w:after="0" w:line="177" w:lineRule="exact"/>
        <w:rPr>
          <w:rFonts w:ascii="Times New Roman" w:cs="Times New Roman" w:eastAsia="Times New Roman" w:hAnsi="Times New Roman"/>
          <w:sz w:val="22"/>
          <w:szCs w:val="22"/>
          <w:color w:val="auto"/>
        </w:rPr>
      </w:pPr>
    </w:p>
    <w:p>
      <w:pPr>
        <w:jc w:val="both"/>
        <w:ind w:left="2640" w:firstLine="677"/>
        <w:spacing w:after="0" w:line="234" w:lineRule="auto"/>
        <w:tabs>
          <w:tab w:leader="none" w:pos="4215"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Board of Directors of the Borrower may, without the assistance of an Approved Third-Party 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 with respect to such Portfolio Investment shall be deemed to be zero as at the last day of the immediately succeeding Testing Quarter with respect to such Portfolio Investment (but effective upon the date upon which the Borrowing Base Certificate for such last day is required to be delivered hereunder) if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9">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9"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90</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47" w:name="page248"/>
    <w:bookmarkEnd w:id="247"/>
    <w:p>
      <w:pPr>
        <w:ind w:left="2640"/>
        <w:spacing w:after="0" w:line="258" w:lineRule="auto"/>
        <w:rPr>
          <w:sz w:val="20"/>
          <w:szCs w:val="20"/>
          <w:color w:val="auto"/>
        </w:rPr>
      </w:pPr>
      <w:r>
        <w:rPr>
          <w:rFonts w:ascii="Times New Roman" w:cs="Times New Roman" w:eastAsia="Times New Roman" w:hAnsi="Times New Roman"/>
          <w:sz w:val="22"/>
          <w:szCs w:val="22"/>
          <w:color w:val="auto"/>
        </w:rPr>
        <w:t>Approved Third-Party Appraiser has not assisted the Board of Directors of the Borrower in determining the fair market value of such Portfolio Investments, as at such date; and</w:t>
      </w:r>
    </w:p>
    <w:p>
      <w:pPr>
        <w:spacing w:after="0" w:line="158" w:lineRule="exact"/>
        <w:rPr>
          <w:sz w:val="20"/>
          <w:szCs w:val="20"/>
          <w:color w:val="auto"/>
        </w:rPr>
      </w:pPr>
    </w:p>
    <w:p>
      <w:pPr>
        <w:jc w:val="both"/>
        <w:ind w:left="2640" w:firstLine="677"/>
        <w:spacing w:after="0" w:line="244" w:lineRule="auto"/>
        <w:tabs>
          <w:tab w:leader="none" w:pos="4203" w:val="left"/>
        </w:tabs>
        <w:numPr>
          <w:ilvl w:val="2"/>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Testing Quarter with respect to any Portfolio Investment for which market quotations are not readily available shall end more than six months following the end of the immediately preceding Testing Quarter for such Portfolio Investment.</w:t>
      </w:r>
    </w:p>
    <w:p>
      <w:pPr>
        <w:spacing w:after="0" w:line="173" w:lineRule="exact"/>
        <w:rPr>
          <w:rFonts w:ascii="Times New Roman" w:cs="Times New Roman" w:eastAsia="Times New Roman" w:hAnsi="Times New Roman"/>
          <w:sz w:val="22"/>
          <w:szCs w:val="22"/>
          <w:color w:val="auto"/>
        </w:rPr>
      </w:pPr>
    </w:p>
    <w:p>
      <w:pPr>
        <w:jc w:val="both"/>
        <w:ind w:left="1760" w:firstLine="746"/>
        <w:spacing w:after="0" w:line="246" w:lineRule="auto"/>
        <w:tabs>
          <w:tab w:leader="none" w:pos="3439"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Internal Review</w:t>
      </w:r>
      <w:r>
        <w:rPr>
          <w:rFonts w:ascii="Times New Roman" w:cs="Times New Roman" w:eastAsia="Times New Roman" w:hAnsi="Times New Roman"/>
          <w:sz w:val="21"/>
          <w:szCs w:val="21"/>
          <w:color w:val="auto"/>
        </w:rPr>
        <w:t xml:space="preserve">.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 to this </w:t>
      </w:r>
      <w:r>
        <w:rPr>
          <w:rFonts w:ascii="Times New Roman" w:cs="Times New Roman" w:eastAsia="Times New Roman" w:hAnsi="Times New Roman"/>
          <w:sz w:val="21"/>
          <w:szCs w:val="21"/>
          <w:u w:val="single" w:color="auto"/>
          <w:color w:val="auto"/>
        </w:rPr>
        <w:t>Section 5.12(b)(ii)(C)</w:t>
      </w:r>
      <w:r>
        <w:rPr>
          <w:rFonts w:ascii="Times New Roman" w:cs="Times New Roman" w:eastAsia="Times New Roman" w:hAnsi="Times New Roman"/>
          <w:sz w:val="21"/>
          <w:szCs w:val="21"/>
          <w:color w:val="auto"/>
        </w:rPr>
        <w:t xml:space="preserve"> is lower than the value of such Portfolio Investment as most recently determined pursuant to </w:t>
      </w:r>
      <w:r>
        <w:rPr>
          <w:rFonts w:ascii="Times New Roman" w:cs="Times New Roman" w:eastAsia="Times New Roman" w:hAnsi="Times New Roman"/>
          <w:sz w:val="21"/>
          <w:szCs w:val="21"/>
          <w:u w:val="single" w:color="auto"/>
          <w:color w:val="auto"/>
        </w:rPr>
        <w:t>Section 5.12(b)(ii)</w:t>
      </w:r>
    </w:p>
    <w:p>
      <w:pPr>
        <w:spacing w:after="0" w:line="1" w:lineRule="exact"/>
        <w:rPr>
          <w:rFonts w:ascii="Times New Roman" w:cs="Times New Roman" w:eastAsia="Times New Roman" w:hAnsi="Times New Roman"/>
          <w:sz w:val="21"/>
          <w:szCs w:val="21"/>
          <w:color w:val="auto"/>
        </w:rPr>
      </w:pPr>
    </w:p>
    <w:p>
      <w:pPr>
        <w:jc w:val="both"/>
        <w:ind w:left="1760" w:firstLine="3"/>
        <w:spacing w:after="0" w:line="232" w:lineRule="auto"/>
        <w:tabs>
          <w:tab w:leader="none" w:pos="2134" w:val="left"/>
        </w:tabs>
        <w:numPr>
          <w:ilvl w:val="0"/>
          <w:numId w:val="2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such lower value shall be deemed to be the “Value” of such Portfolio Investment for purposes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181" w:lineRule="exact"/>
        <w:rPr>
          <w:rFonts w:ascii="Times New Roman" w:cs="Times New Roman" w:eastAsia="Times New Roman" w:hAnsi="Times New Roman"/>
          <w:sz w:val="22"/>
          <w:szCs w:val="22"/>
          <w:u w:val="single" w:color="auto"/>
          <w:color w:val="auto"/>
        </w:rPr>
      </w:pPr>
    </w:p>
    <w:p>
      <w:pPr>
        <w:jc w:val="both"/>
        <w:ind w:left="1760" w:right="20" w:firstLine="746"/>
        <w:spacing w:after="0" w:line="244" w:lineRule="auto"/>
        <w:tabs>
          <w:tab w:leader="none" w:pos="3451"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Determine Values</w:t>
      </w:r>
      <w:r>
        <w:rPr>
          <w:rFonts w:ascii="Times New Roman" w:cs="Times New Roman" w:eastAsia="Times New Roman" w:hAnsi="Times New Roman"/>
          <w:sz w:val="22"/>
          <w:szCs w:val="22"/>
          <w:color w:val="auto"/>
        </w:rPr>
        <w:t xml:space="preserve">. If the Borrower shall fail to determine the value of any Portfolio Investment as at any date pursuant to the requirements of the foregoing </w:t>
      </w:r>
      <w:r>
        <w:rPr>
          <w:rFonts w:ascii="Times New Roman" w:cs="Times New Roman" w:eastAsia="Times New Roman" w:hAnsi="Times New Roman"/>
          <w:sz w:val="22"/>
          <w:szCs w:val="22"/>
          <w:u w:val="single" w:color="auto"/>
          <w:color w:val="auto"/>
        </w:rPr>
        <w:t>sub-clauses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then the “Value” of such Portfolio Investment as at such date shall be deemed to be zero.</w:t>
      </w:r>
    </w:p>
    <w:p>
      <w:pPr>
        <w:spacing w:after="0" w:line="173" w:lineRule="exact"/>
        <w:rPr>
          <w:rFonts w:ascii="Times New Roman" w:cs="Times New Roman" w:eastAsia="Times New Roman" w:hAnsi="Times New Roman"/>
          <w:sz w:val="22"/>
          <w:szCs w:val="22"/>
          <w:color w:val="auto"/>
        </w:rPr>
      </w:pPr>
    </w:p>
    <w:p>
      <w:pPr>
        <w:ind w:left="3420" w:hanging="914"/>
        <w:spacing w:after="0"/>
        <w:tabs>
          <w:tab w:leader="none" w:pos="342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Testing of Values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640" w:firstLine="677"/>
        <w:spacing w:after="0" w:line="234" w:lineRule="auto"/>
        <w:tabs>
          <w:tab w:leader="none" w:pos="4310" w:val="left"/>
        </w:tabs>
        <w:numPr>
          <w:ilvl w:val="2"/>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second calendar month immediately following the end of each fiscal quarter (the last such fiscal quarter is referred to herein as, the “</w:t>
      </w:r>
      <w:r>
        <w:rPr>
          <w:rFonts w:ascii="Times New Roman" w:cs="Times New Roman" w:eastAsia="Times New Roman" w:hAnsi="Times New Roman"/>
          <w:sz w:val="22"/>
          <w:szCs w:val="22"/>
          <w:u w:val="single" w:color="auto"/>
          <w:color w:val="auto"/>
        </w:rPr>
        <w:t>Testing Period</w:t>
      </w:r>
      <w:r>
        <w:rPr>
          <w:rFonts w:ascii="Times New Roman" w:cs="Times New Roman" w:eastAsia="Times New Roman" w:hAnsi="Times New Roman"/>
          <w:sz w:val="22"/>
          <w:szCs w:val="22"/>
          <w:color w:val="auto"/>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Period. If there is a difference between the Borrower’s valuation and the Approved Third-Party Appraiser’s valuation of any Unquoted Investment, the Value of such Unquoted Investment for Borrowing Base purposes shall be established as set forth in </w:t>
      </w:r>
      <w:r>
        <w:rPr>
          <w:rFonts w:ascii="Times New Roman" w:cs="Times New Roman" w:eastAsia="Times New Roman" w:hAnsi="Times New Roman"/>
          <w:sz w:val="22"/>
          <w:szCs w:val="22"/>
          <w:u w:val="single" w:color="auto"/>
          <w:color w:val="auto"/>
        </w:rPr>
        <w:t>sub-clause (F)</w:t>
      </w:r>
      <w:r>
        <w:rPr>
          <w:rFonts w:ascii="Times New Roman" w:cs="Times New Roman" w:eastAsia="Times New Roman" w:hAnsi="Times New Roman"/>
          <w:sz w:val="22"/>
          <w:szCs w:val="22"/>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2">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9"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91</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48" w:name="page249"/>
    <w:bookmarkEnd w:id="248"/>
    <w:p>
      <w:pPr>
        <w:jc w:val="both"/>
        <w:ind w:left="2640" w:firstLine="677"/>
        <w:spacing w:after="0" w:line="244" w:lineRule="auto"/>
        <w:tabs>
          <w:tab w:leader="none" w:pos="4215"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Times New Roman" w:cs="Times New Roman" w:eastAsia="Times New Roman" w:hAnsi="Times New Roman"/>
          <w:sz w:val="21"/>
          <w:szCs w:val="21"/>
          <w:u w:val="single" w:color="auto"/>
          <w:color w:val="auto"/>
        </w:rPr>
        <w:t>Administrative Agent Appraisal Testing Period</w:t>
      </w:r>
      <w:r>
        <w:rPr>
          <w:rFonts w:ascii="Times New Roman" w:cs="Times New Roman" w:eastAsia="Times New Roman" w:hAnsi="Times New Roman"/>
          <w:sz w:val="21"/>
          <w:szCs w:val="21"/>
          <w:color w:val="auto"/>
        </w:rPr>
        <w:t>”) and would be reflected in the Borrowing Base Certificate for such month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Approved Third-Party Appraiser delivers such valuation at least seven (7) Business Days before the 20</w:t>
      </w:r>
      <w:r>
        <w:rPr>
          <w:rFonts w:ascii="Times New Roman" w:cs="Times New Roman" w:eastAsia="Times New Roman" w:hAnsi="Times New Roman"/>
          <w:sz w:val="17"/>
          <w:szCs w:val="17"/>
          <w:color w:val="auto"/>
        </w:rPr>
        <w:t>th</w:t>
      </w:r>
      <w:r>
        <w:rPr>
          <w:rFonts w:ascii="Times New Roman" w:cs="Times New Roman" w:eastAsia="Times New Roman" w:hAnsi="Times New Roman"/>
          <w:sz w:val="21"/>
          <w:szCs w:val="21"/>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2012, then (A) the Administrative Agent would initiate the testing of Values (using the December 31, 2012 Calculation Values for purposes of determining the scope of the testing under clauses (E)(x) during the month of February with the anticipation of receiving the valuations from the applicable Approved Third-Party Appraiser(s) on or after February 28, 2013 and (B)(xx) if such valuations were received before the 7th Business Day before March 20, 2013, such valuations would be included in the March 20, 2013 Borrowing Base Certificate covering the month of February, or (yy) if such valuations were received after such time, they would be included in the April 20, 2013 Borrowing Base Certificate for the month of March.</w:t>
      </w:r>
    </w:p>
    <w:p>
      <w:pPr>
        <w:spacing w:after="0" w:line="175" w:lineRule="exact"/>
        <w:rPr>
          <w:sz w:val="20"/>
          <w:szCs w:val="20"/>
          <w:color w:val="auto"/>
        </w:rPr>
      </w:pPr>
    </w:p>
    <w:p>
      <w:pPr>
        <w:ind w:left="2640"/>
        <w:spacing w:after="0" w:line="258" w:lineRule="auto"/>
        <w:rPr>
          <w:sz w:val="20"/>
          <w:szCs w:val="20"/>
          <w:color w:val="auto"/>
        </w:rPr>
      </w:pPr>
      <w:r>
        <w:rPr>
          <w:rFonts w:ascii="Times New Roman" w:cs="Times New Roman" w:eastAsia="Times New Roman" w:hAnsi="Times New Roman"/>
          <w:sz w:val="22"/>
          <w:szCs w:val="22"/>
          <w:color w:val="auto"/>
        </w:rPr>
        <w:t xml:space="preserve">For the avoidance of doubt, all calculations of value pursuant to this </w:t>
      </w:r>
      <w:r>
        <w:rPr>
          <w:rFonts w:ascii="Times New Roman" w:cs="Times New Roman" w:eastAsia="Times New Roman" w:hAnsi="Times New Roman"/>
          <w:sz w:val="22"/>
          <w:szCs w:val="22"/>
          <w:u w:val="single" w:color="auto"/>
          <w:color w:val="auto"/>
        </w:rPr>
        <w:t>Section 5.12(b)(ii)(E)</w:t>
      </w:r>
      <w:r>
        <w:rPr>
          <w:rFonts w:ascii="Times New Roman" w:cs="Times New Roman" w:eastAsia="Times New Roman" w:hAnsi="Times New Roman"/>
          <w:sz w:val="22"/>
          <w:szCs w:val="22"/>
          <w:color w:val="auto"/>
        </w:rPr>
        <w:t xml:space="preserve"> shall be determined without application of the Advance Rates.</w:t>
      </w:r>
    </w:p>
    <w:p>
      <w:pPr>
        <w:spacing w:after="0" w:line="158" w:lineRule="exact"/>
        <w:rPr>
          <w:sz w:val="20"/>
          <w:szCs w:val="20"/>
          <w:color w:val="auto"/>
        </w:rPr>
      </w:pPr>
    </w:p>
    <w:p>
      <w:pPr>
        <w:jc w:val="both"/>
        <w:ind w:left="1760" w:firstLine="746"/>
        <w:spacing w:after="0" w:line="233" w:lineRule="auto"/>
        <w:tabs>
          <w:tab w:leader="none" w:pos="3415"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Valuation Dispute Resolution</w:t>
      </w:r>
      <w:r>
        <w:rPr>
          <w:rFonts w:ascii="Times New Roman" w:cs="Times New Roman" w:eastAsia="Times New Roman" w:hAnsi="Times New Roman"/>
          <w:sz w:val="22"/>
          <w:szCs w:val="22"/>
          <w:color w:val="auto"/>
        </w:rPr>
        <w:t xml:space="preserve">. Notwithstanding the foregoing, the Administrative Agent shall at any time have the right to request any Unquoted Investment be independently valued by an Approved Third-Party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w:t>
      </w:r>
      <w:r>
        <w:rPr>
          <w:rFonts w:ascii="Times New Roman" w:cs="Times New Roman" w:eastAsia="Times New Roman" w:hAnsi="Times New Roman"/>
          <w:sz w:val="22"/>
          <w:szCs w:val="22"/>
          <w:u w:val="single" w:color="auto"/>
          <w:color w:val="auto"/>
        </w:rPr>
        <w:t>Section 5.12(b)(ii)(B)</w:t>
      </w:r>
      <w:r>
        <w:rPr>
          <w:rFonts w:ascii="Times New Roman" w:cs="Times New Roman" w:eastAsia="Times New Roman" w:hAnsi="Times New Roman"/>
          <w:sz w:val="22"/>
          <w:szCs w:val="22"/>
          <w:color w:val="auto"/>
        </w:rPr>
        <w:t xml:space="preserve"> and the valuation of any Approved Third-Party Appraiser selected by the Administrative Agent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5.12(b)(ii)(E)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3773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5">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3773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2"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92</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49" w:name="page250"/>
    <w:bookmarkEnd w:id="249"/>
    <w:p>
      <w:pPr>
        <w:jc w:val="both"/>
        <w:ind w:firstLine="1763"/>
        <w:spacing w:after="0" w:line="239" w:lineRule="auto"/>
        <w:tabs>
          <w:tab w:leader="none" w:pos="2643"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RIC Diversification Requirements</w:t>
      </w:r>
      <w:r>
        <w:rPr>
          <w:rFonts w:ascii="Times New Roman" w:cs="Times New Roman" w:eastAsia="Times New Roman" w:hAnsi="Times New Roman"/>
          <w:sz w:val="22"/>
          <w:szCs w:val="22"/>
          <w:color w:val="auto"/>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spacing w:after="0" w:line="181"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Calculation of Borrowing Base</w:t>
      </w:r>
      <w:r>
        <w:rPr>
          <w:rFonts w:ascii="Times New Roman" w:cs="Times New Roman" w:eastAsia="Times New Roman" w:hAnsi="Times New Roman"/>
          <w:sz w:val="22"/>
          <w:szCs w:val="22"/>
          <w:color w:val="auto"/>
        </w:rPr>
        <w:t>. For purposes of this Agreement, the “</w:t>
      </w: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xml:space="preserve">” shall be determined, as at any date of determination, as the sum of the Advance Rates of the Value of each Portfolio Investment (excluding any Cash Collateral held by the Administrative Agent pursuant to </w:t>
      </w:r>
      <w:r>
        <w:rPr>
          <w:rFonts w:ascii="Times New Roman" w:cs="Times New Roman" w:eastAsia="Times New Roman" w:hAnsi="Times New Roman"/>
          <w:sz w:val="22"/>
          <w:szCs w:val="22"/>
          <w:u w:val="single" w:color="auto"/>
          <w:color w:val="auto"/>
        </w:rPr>
        <w:t>Section 2.05(k)</w:t>
      </w:r>
      <w:r>
        <w:rPr>
          <w:rFonts w:ascii="Times New Roman" w:cs="Times New Roman" w:eastAsia="Times New Roman" w:hAnsi="Times New Roman"/>
          <w:sz w:val="22"/>
          <w:szCs w:val="22"/>
          <w:color w:val="auto"/>
        </w:rPr>
        <w:t xml:space="preserve"> or the last paragraph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2.09(a)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1" w:lineRule="exact"/>
        <w:rPr>
          <w:sz w:val="20"/>
          <w:szCs w:val="20"/>
          <w:color w:val="auto"/>
        </w:rPr>
      </w:pPr>
    </w:p>
    <w:p>
      <w:pPr>
        <w:jc w:val="both"/>
        <w:ind w:firstLine="1763"/>
        <w:spacing w:after="0" w:line="239" w:lineRule="auto"/>
        <w:tabs>
          <w:tab w:leader="none" w:pos="2643"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Advance Rate applicable to that portion of the aggregate Value of the Portfolio Investments of all issuers in a consolidated group of corporations or other entities (collectively, a “</w:t>
      </w:r>
      <w:r>
        <w:rPr>
          <w:rFonts w:ascii="Times New Roman" w:cs="Times New Roman" w:eastAsia="Times New Roman" w:hAnsi="Times New Roman"/>
          <w:sz w:val="22"/>
          <w:szCs w:val="22"/>
          <w:u w:val="single" w:color="auto"/>
          <w:color w:val="auto"/>
        </w:rPr>
        <w:t>Consolidated Group</w:t>
      </w:r>
      <w:r>
        <w:rPr>
          <w:rFonts w:ascii="Times New Roman" w:cs="Times New Roman" w:eastAsia="Times New Roman" w:hAnsi="Times New Roman"/>
          <w:sz w:val="22"/>
          <w:szCs w:val="22"/>
          <w:color w:val="auto"/>
        </w:rPr>
        <w:t>”), in accordance with GAAP, that exceeds 6% of the aggregate Value of all Portfolio Investments in the Collateral Pool as of the end of the most recent quarter shall be 50% of the Advance Rate otherwise applicable;</w:t>
      </w:r>
    </w:p>
    <w:p>
      <w:pPr>
        <w:spacing w:after="0" w:line="180"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55"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Advance Rate applicable to that portion of the aggregate Value of the Portfolio Investments of all issuers in a Consolidated Group exceeding 12% of the aggregate Value of all Portfolio Investments in the Collateral Pool as of the end of the most recent quarter shall be 0%;</w:t>
      </w:r>
    </w:p>
    <w:p>
      <w:pPr>
        <w:spacing w:after="0" w:line="173" w:lineRule="exact"/>
        <w:rPr>
          <w:rFonts w:ascii="Times New Roman" w:cs="Times New Roman" w:eastAsia="Times New Roman" w:hAnsi="Times New Roman"/>
          <w:sz w:val="22"/>
          <w:szCs w:val="22"/>
          <w:color w:val="auto"/>
        </w:rPr>
      </w:pPr>
    </w:p>
    <w:p>
      <w:pPr>
        <w:jc w:val="both"/>
        <w:ind w:firstLine="1763"/>
        <w:spacing w:after="0" w:line="235" w:lineRule="auto"/>
        <w:tabs>
          <w:tab w:leader="none" w:pos="2643"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Advance Rate applicable to that portion of the aggregate Value of the Portfolio Investments in any single Industry Classification Group that exceeds 25% of the aggregate Value of all Portfolio Investments in the Collateral Pool as of the end of the most recent quarter shall be 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the Portfolio Investments in a single Industry Classification Group from time to time designated by the Borrower to the Administrative Agent such 25% figure shall be increased to 30% and, accordingly, only to the extent that the Value for such single Industry Classification Group exceeds 30% of the aggregate Value of all Portfolio Investments in the Collateral Pool as of the end of the most recent quarter shall the Advance Rate applicable to such excess Value be 0%;</w:t>
      </w:r>
    </w:p>
    <w:p>
      <w:pPr>
        <w:spacing w:after="0" w:line="183" w:lineRule="exact"/>
        <w:rPr>
          <w:rFonts w:ascii="Times New Roman" w:cs="Times New Roman" w:eastAsia="Times New Roman" w:hAnsi="Times New Roman"/>
          <w:sz w:val="22"/>
          <w:szCs w:val="22"/>
          <w:color w:val="auto"/>
        </w:rPr>
      </w:pPr>
    </w:p>
    <w:p>
      <w:pPr>
        <w:jc w:val="both"/>
        <w:ind w:firstLine="1763"/>
        <w:spacing w:after="0" w:line="239" w:lineRule="auto"/>
        <w:tabs>
          <w:tab w:leader="none" w:pos="2655"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80"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43"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Borrowing Base attributable to Performing Non-Cash Pay High Yield Securities, Performing Non-Cash Pay Mezzanine Investments, Equity Interests and Non-Performing Portfolio Investments shall not exceed 20%;</w:t>
      </w:r>
    </w:p>
    <w:p>
      <w:pPr>
        <w:spacing w:after="0" w:line="173" w:lineRule="exact"/>
        <w:rPr>
          <w:rFonts w:ascii="Times New Roman" w:cs="Times New Roman" w:eastAsia="Times New Roman" w:hAnsi="Times New Roman"/>
          <w:sz w:val="22"/>
          <w:szCs w:val="22"/>
          <w:color w:val="auto"/>
        </w:rPr>
      </w:pPr>
    </w:p>
    <w:p>
      <w:pPr>
        <w:ind w:firstLine="1763"/>
        <w:spacing w:after="0" w:line="258" w:lineRule="auto"/>
        <w:tabs>
          <w:tab w:leader="none" w:pos="2619"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Borrowing Base attributable to Equity Interests shall not exceed 10% (it being understood that in no event shall Equity Interests of Financing Subsidiaries be included in the Borrowing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3773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3773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7"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93</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0" w:name="page251"/>
    <w:bookmarkEnd w:id="250"/>
    <w:p>
      <w:pPr>
        <w:jc w:val="both"/>
        <w:ind w:right="20" w:firstLine="1763"/>
        <w:spacing w:after="0" w:line="244" w:lineRule="auto"/>
        <w:tabs>
          <w:tab w:leader="none" w:pos="2655"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w:t>
      </w:r>
    </w:p>
    <w:p>
      <w:pPr>
        <w:spacing w:after="0" w:line="173" w:lineRule="exact"/>
        <w:rPr>
          <w:rFonts w:ascii="Times New Roman" w:cs="Times New Roman" w:eastAsia="Times New Roman" w:hAnsi="Times New Roman"/>
          <w:sz w:val="22"/>
          <w:szCs w:val="22"/>
          <w:color w:val="auto"/>
        </w:rPr>
      </w:pPr>
    </w:p>
    <w:p>
      <w:pPr>
        <w:jc w:val="both"/>
        <w:ind w:right="20" w:firstLine="1763"/>
        <w:spacing w:after="0" w:line="262" w:lineRule="auto"/>
        <w:tabs>
          <w:tab w:leader="none" w:pos="2650"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spacing w:after="0" w:line="154" w:lineRule="exact"/>
        <w:rPr>
          <w:rFonts w:ascii="Times New Roman" w:cs="Times New Roman" w:eastAsia="Times New Roman" w:hAnsi="Times New Roman"/>
          <w:sz w:val="21"/>
          <w:szCs w:val="21"/>
          <w:color w:val="auto"/>
        </w:rPr>
      </w:pPr>
    </w:p>
    <w:p>
      <w:pPr>
        <w:jc w:val="both"/>
        <w:ind w:right="20" w:firstLine="1763"/>
        <w:spacing w:after="0" w:line="244" w:lineRule="auto"/>
        <w:tabs>
          <w:tab w:leader="none" w:pos="2607"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the Borrower Asset Coverage Ratio as of the end of the most recent fiscal quarter is greater than or equal to 2.00 to 1:00, but less than 2.25 to 1.00, the portion of the Borrowing Base attributable to Portfolio Investments other than Performing First Lien Bank Loans shall not exceed 62.5%; and</w:t>
      </w:r>
    </w:p>
    <w:p>
      <w:pPr>
        <w:spacing w:after="0" w:line="173" w:lineRule="exact"/>
        <w:rPr>
          <w:rFonts w:ascii="Times New Roman" w:cs="Times New Roman" w:eastAsia="Times New Roman" w:hAnsi="Times New Roman"/>
          <w:sz w:val="22"/>
          <w:szCs w:val="22"/>
          <w:color w:val="auto"/>
        </w:rPr>
      </w:pPr>
    </w:p>
    <w:p>
      <w:pPr>
        <w:jc w:val="both"/>
        <w:ind w:right="20" w:firstLine="1763"/>
        <w:spacing w:after="0" w:line="244" w:lineRule="auto"/>
        <w:tabs>
          <w:tab w:leader="none" w:pos="2607"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the Borrower Asset Coverage Ratio as of the end of the most recent fiscal quarter is greater than or equal to 2.25 to 1:00, the portion of the Borrowing Base attributable to Portfolio Investments other than Performing First Lien Bank Loans shall not exceed 67.5%.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500" w:type="dxa"/>
            <w:vAlign w:val="bottom"/>
            <w:gridSpan w:val="13"/>
          </w:tcPr>
          <w:p>
            <w:pPr>
              <w:spacing w:after="0"/>
              <w:rPr>
                <w:sz w:val="20"/>
                <w:szCs w:val="20"/>
                <w:color w:val="auto"/>
              </w:rPr>
            </w:pPr>
            <w:r>
              <w:rPr>
                <w:rFonts w:ascii="Times New Roman" w:cs="Times New Roman" w:eastAsia="Times New Roman" w:hAnsi="Times New Roman"/>
                <w:sz w:val="22"/>
                <w:szCs w:val="22"/>
                <w:color w:val="auto"/>
              </w:rPr>
              <w:t>As used herein, the following terms have the following meanings:</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7"/>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gridSpan w:val="10"/>
          </w:tcPr>
          <w:p>
            <w:pPr>
              <w:ind w:left="80"/>
              <w:spacing w:after="0"/>
              <w:rPr>
                <w:sz w:val="20"/>
                <w:szCs w:val="20"/>
                <w:color w:val="auto"/>
              </w:rPr>
            </w:pPr>
            <w:r>
              <w:rPr>
                <w:rFonts w:ascii="Times New Roman" w:cs="Times New Roman" w:eastAsia="Times New Roman" w:hAnsi="Times New Roman"/>
                <w:sz w:val="22"/>
                <w:szCs w:val="22"/>
                <w:color w:val="auto"/>
              </w:rPr>
              <w:t>“Advance  Rate”  means,  as  to  any  Portfolio  Investment  and  subject</w:t>
            </w:r>
          </w:p>
        </w:tc>
        <w:tc>
          <w:tcPr>
            <w:tcW w:w="294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to  adjustment  as  provided  in</w:t>
            </w:r>
          </w:p>
        </w:tc>
      </w:tr>
      <w:tr>
        <w:trPr>
          <w:trHeight w:val="20"/>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500" w:type="dxa"/>
            <w:vAlign w:val="bottom"/>
            <w:gridSpan w:val="13"/>
          </w:tcPr>
          <w:p>
            <w:pPr>
              <w:spacing w:after="0" w:line="223" w:lineRule="exact"/>
              <w:rPr>
                <w:sz w:val="20"/>
                <w:szCs w:val="20"/>
                <w:color w:val="auto"/>
              </w:rPr>
            </w:pPr>
            <w:r>
              <w:rPr>
                <w:rFonts w:ascii="Times New Roman" w:cs="Times New Roman" w:eastAsia="Times New Roman" w:hAnsi="Times New Roman"/>
                <w:sz w:val="22"/>
                <w:szCs w:val="22"/>
                <w:color w:val="auto"/>
                <w:w w:val="99"/>
              </w:rPr>
              <w:t>Section 5.13(a), (b) and (c), the following percentages with respect to such Portfolio Investment:</w:t>
            </w:r>
          </w:p>
        </w:tc>
        <w:tc>
          <w:tcPr>
            <w:tcW w:w="1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39"/>
        </w:trPr>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Portfolio Investment</w:t>
            </w:r>
          </w:p>
        </w:tc>
        <w:tc>
          <w:tcPr>
            <w:tcW w:w="3460" w:type="dxa"/>
            <w:vAlign w:val="bottom"/>
            <w:gridSpan w:val="3"/>
          </w:tcPr>
          <w:p>
            <w:pPr>
              <w:ind w:left="2600"/>
              <w:spacing w:after="0"/>
              <w:rPr>
                <w:sz w:val="20"/>
                <w:szCs w:val="20"/>
                <w:color w:val="auto"/>
              </w:rPr>
            </w:pPr>
            <w:r>
              <w:rPr>
                <w:rFonts w:ascii="Times New Roman" w:cs="Times New Roman" w:eastAsia="Times New Roman" w:hAnsi="Times New Roman"/>
                <w:sz w:val="22"/>
                <w:szCs w:val="22"/>
                <w:color w:val="auto"/>
              </w:rPr>
              <w:t>Quoted</w:t>
            </w:r>
          </w:p>
        </w:tc>
        <w:tc>
          <w:tcPr>
            <w:tcW w:w="1220" w:type="dxa"/>
            <w:vAlign w:val="bottom"/>
          </w:tcPr>
          <w:p>
            <w:pPr>
              <w:spacing w:after="0"/>
              <w:rPr>
                <w:sz w:val="24"/>
                <w:szCs w:val="24"/>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Unquoted</w:t>
            </w:r>
          </w:p>
        </w:tc>
      </w:tr>
      <w:tr>
        <w:trPr>
          <w:trHeight w:val="236"/>
        </w:trPr>
        <w:tc>
          <w:tcPr>
            <w:tcW w:w="2640" w:type="dxa"/>
            <w:vAlign w:val="bottom"/>
            <w:gridSpan w:val="7"/>
          </w:tcPr>
          <w:p>
            <w:pPr>
              <w:spacing w:after="0" w:line="237" w:lineRule="exact"/>
              <w:rPr>
                <w:sz w:val="20"/>
                <w:szCs w:val="20"/>
                <w:color w:val="auto"/>
              </w:rPr>
            </w:pPr>
            <w:r>
              <w:rPr>
                <w:rFonts w:ascii="Times New Roman" w:cs="Times New Roman" w:eastAsia="Times New Roman" w:hAnsi="Times New Roman"/>
                <w:sz w:val="22"/>
                <w:szCs w:val="22"/>
                <w:color w:val="auto"/>
              </w:rPr>
              <w:t>Cash, Cash Equivalents and</w:t>
            </w:r>
          </w:p>
        </w:tc>
        <w:tc>
          <w:tcPr>
            <w:tcW w:w="1800" w:type="dxa"/>
            <w:vAlign w:val="bottom"/>
            <w:tcBorders>
              <w:top w:val="single" w:sz="8" w:color="auto"/>
            </w:tcBorders>
            <w:gridSpan w:val="2"/>
          </w:tcPr>
          <w:p>
            <w:pPr>
              <w:spacing w:after="0"/>
              <w:rPr>
                <w:sz w:val="20"/>
                <w:szCs w:val="20"/>
                <w:color w:val="auto"/>
              </w:rPr>
            </w:pPr>
          </w:p>
        </w:tc>
        <w:tc>
          <w:tcPr>
            <w:tcW w:w="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5040" w:type="dxa"/>
            <w:vAlign w:val="bottom"/>
            <w:gridSpan w:val="10"/>
          </w:tcPr>
          <w:p>
            <w:pPr>
              <w:ind w:left="180"/>
              <w:spacing w:after="0" w:line="243" w:lineRule="exact"/>
              <w:rPr>
                <w:sz w:val="20"/>
                <w:szCs w:val="20"/>
                <w:color w:val="auto"/>
              </w:rPr>
            </w:pPr>
            <w:r>
              <w:rPr>
                <w:rFonts w:ascii="Times New Roman" w:cs="Times New Roman" w:eastAsia="Times New Roman" w:hAnsi="Times New Roman"/>
                <w:sz w:val="22"/>
                <w:szCs w:val="22"/>
                <w:color w:val="auto"/>
              </w:rPr>
              <w:t>Short-Term U.S. Government Securities</w:t>
            </w:r>
          </w:p>
        </w:tc>
        <w:tc>
          <w:tcPr>
            <w:tcW w:w="3240" w:type="dxa"/>
            <w:vAlign w:val="bottom"/>
            <w:gridSpan w:val="2"/>
          </w:tcPr>
          <w:p>
            <w:pPr>
              <w:jc w:val="center"/>
              <w:ind w:left="2514"/>
              <w:spacing w:after="0" w:line="243" w:lineRule="exact"/>
              <w:rPr>
                <w:sz w:val="20"/>
                <w:szCs w:val="20"/>
                <w:color w:val="auto"/>
              </w:rPr>
            </w:pPr>
            <w:r>
              <w:rPr>
                <w:rFonts w:ascii="Times New Roman" w:cs="Times New Roman" w:eastAsia="Times New Roman" w:hAnsi="Times New Roman"/>
                <w:sz w:val="22"/>
                <w:szCs w:val="22"/>
                <w:color w:val="auto"/>
                <w:w w:val="97"/>
              </w:rPr>
              <w:t>100%</w:t>
            </w:r>
          </w:p>
        </w:tc>
        <w:tc>
          <w:tcPr>
            <w:tcW w:w="220" w:type="dxa"/>
            <w:vAlign w:val="bottom"/>
          </w:tcPr>
          <w:p>
            <w:pPr>
              <w:spacing w:after="0"/>
              <w:rPr>
                <w:sz w:val="21"/>
                <w:szCs w:val="21"/>
                <w:color w:val="auto"/>
              </w:rPr>
            </w:pPr>
          </w:p>
        </w:tc>
        <w:tc>
          <w:tcPr>
            <w:tcW w:w="2060" w:type="dxa"/>
            <w:vAlign w:val="bottom"/>
            <w:gridSpan w:val="2"/>
          </w:tcPr>
          <w:p>
            <w:pPr>
              <w:jc w:val="center"/>
              <w:ind w:left="1113"/>
              <w:spacing w:after="0" w:line="243" w:lineRule="exact"/>
              <w:rPr>
                <w:sz w:val="20"/>
                <w:szCs w:val="20"/>
                <w:color w:val="auto"/>
              </w:rPr>
            </w:pPr>
            <w:r>
              <w:rPr>
                <w:rFonts w:ascii="Times New Roman" w:cs="Times New Roman" w:eastAsia="Times New Roman" w:hAnsi="Times New Roman"/>
                <w:sz w:val="22"/>
                <w:szCs w:val="22"/>
                <w:color w:val="auto"/>
                <w:w w:val="95"/>
              </w:rPr>
              <w:t>0%</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04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color w:val="auto"/>
              </w:rPr>
              <w:t>Long-Term U.S. Government Securities</w:t>
            </w:r>
          </w:p>
        </w:tc>
        <w:tc>
          <w:tcPr>
            <w:tcW w:w="3240" w:type="dxa"/>
            <w:vAlign w:val="bottom"/>
            <w:gridSpan w:val="2"/>
          </w:tcPr>
          <w:p>
            <w:pPr>
              <w:jc w:val="center"/>
              <w:ind w:left="2494"/>
              <w:spacing w:after="0" w:line="243" w:lineRule="exact"/>
              <w:rPr>
                <w:sz w:val="20"/>
                <w:szCs w:val="20"/>
                <w:color w:val="auto"/>
              </w:rPr>
            </w:pPr>
            <w:r>
              <w:rPr>
                <w:rFonts w:ascii="Times New Roman" w:cs="Times New Roman" w:eastAsia="Times New Roman" w:hAnsi="Times New Roman"/>
                <w:sz w:val="22"/>
                <w:szCs w:val="22"/>
                <w:color w:val="auto"/>
                <w:w w:val="99"/>
              </w:rPr>
              <w:t>95%</w:t>
            </w:r>
          </w:p>
        </w:tc>
        <w:tc>
          <w:tcPr>
            <w:tcW w:w="220" w:type="dxa"/>
            <w:vAlign w:val="bottom"/>
          </w:tcPr>
          <w:p>
            <w:pPr>
              <w:spacing w:after="0"/>
              <w:rPr>
                <w:sz w:val="21"/>
                <w:szCs w:val="21"/>
                <w:color w:val="auto"/>
              </w:rPr>
            </w:pPr>
          </w:p>
        </w:tc>
        <w:tc>
          <w:tcPr>
            <w:tcW w:w="2060" w:type="dxa"/>
            <w:vAlign w:val="bottom"/>
            <w:gridSpan w:val="2"/>
          </w:tcPr>
          <w:p>
            <w:pPr>
              <w:jc w:val="center"/>
              <w:ind w:left="1113"/>
              <w:spacing w:after="0" w:line="243" w:lineRule="exact"/>
              <w:rPr>
                <w:sz w:val="20"/>
                <w:szCs w:val="20"/>
                <w:color w:val="auto"/>
              </w:rPr>
            </w:pPr>
            <w:r>
              <w:rPr>
                <w:rFonts w:ascii="Times New Roman" w:cs="Times New Roman" w:eastAsia="Times New Roman" w:hAnsi="Times New Roman"/>
                <w:sz w:val="22"/>
                <w:szCs w:val="22"/>
                <w:color w:val="auto"/>
                <w:w w:val="95"/>
              </w:rPr>
              <w:t>0%</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04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color w:val="auto"/>
              </w:rPr>
              <w:t>Performing First Lien Bank Loans</w:t>
            </w:r>
          </w:p>
        </w:tc>
        <w:tc>
          <w:tcPr>
            <w:tcW w:w="3240" w:type="dxa"/>
            <w:vAlign w:val="bottom"/>
            <w:gridSpan w:val="2"/>
          </w:tcPr>
          <w:p>
            <w:pPr>
              <w:jc w:val="center"/>
              <w:ind w:left="2494"/>
              <w:spacing w:after="0" w:line="243" w:lineRule="exact"/>
              <w:rPr>
                <w:sz w:val="20"/>
                <w:szCs w:val="20"/>
                <w:color w:val="auto"/>
              </w:rPr>
            </w:pPr>
            <w:r>
              <w:rPr>
                <w:rFonts w:ascii="Times New Roman" w:cs="Times New Roman" w:eastAsia="Times New Roman" w:hAnsi="Times New Roman"/>
                <w:sz w:val="22"/>
                <w:szCs w:val="22"/>
                <w:color w:val="auto"/>
                <w:w w:val="99"/>
              </w:rPr>
              <w:t>85%</w:t>
            </w:r>
          </w:p>
        </w:tc>
        <w:tc>
          <w:tcPr>
            <w:tcW w:w="220" w:type="dxa"/>
            <w:vAlign w:val="bottom"/>
          </w:tcPr>
          <w:p>
            <w:pPr>
              <w:spacing w:after="0"/>
              <w:rPr>
                <w:sz w:val="21"/>
                <w:szCs w:val="21"/>
                <w:color w:val="auto"/>
              </w:rPr>
            </w:pPr>
          </w:p>
        </w:tc>
        <w:tc>
          <w:tcPr>
            <w:tcW w:w="2060" w:type="dxa"/>
            <w:vAlign w:val="bottom"/>
            <w:gridSpan w:val="2"/>
          </w:tcPr>
          <w:p>
            <w:pPr>
              <w:jc w:val="center"/>
              <w:ind w:left="1113"/>
              <w:spacing w:after="0" w:line="243" w:lineRule="exact"/>
              <w:rPr>
                <w:sz w:val="20"/>
                <w:szCs w:val="20"/>
                <w:color w:val="auto"/>
              </w:rPr>
            </w:pPr>
            <w:r>
              <w:rPr>
                <w:rFonts w:ascii="Times New Roman" w:cs="Times New Roman" w:eastAsia="Times New Roman" w:hAnsi="Times New Roman"/>
                <w:sz w:val="22"/>
                <w:szCs w:val="22"/>
                <w:color w:val="auto"/>
                <w:w w:val="99"/>
              </w:rPr>
              <w:t>75%</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04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color w:val="auto"/>
              </w:rPr>
              <w:t>Performing Unitranche Loans</w:t>
            </w:r>
          </w:p>
        </w:tc>
        <w:tc>
          <w:tcPr>
            <w:tcW w:w="3240" w:type="dxa"/>
            <w:vAlign w:val="bottom"/>
            <w:gridSpan w:val="2"/>
          </w:tcPr>
          <w:p>
            <w:pPr>
              <w:jc w:val="center"/>
              <w:ind w:left="2494"/>
              <w:spacing w:after="0" w:line="243" w:lineRule="exact"/>
              <w:rPr>
                <w:sz w:val="20"/>
                <w:szCs w:val="20"/>
                <w:color w:val="auto"/>
              </w:rPr>
            </w:pPr>
            <w:r>
              <w:rPr>
                <w:rFonts w:ascii="Times New Roman" w:cs="Times New Roman" w:eastAsia="Times New Roman" w:hAnsi="Times New Roman"/>
                <w:sz w:val="22"/>
                <w:szCs w:val="22"/>
                <w:color w:val="auto"/>
                <w:w w:val="99"/>
              </w:rPr>
              <w:t>80%</w:t>
            </w:r>
          </w:p>
        </w:tc>
        <w:tc>
          <w:tcPr>
            <w:tcW w:w="220" w:type="dxa"/>
            <w:vAlign w:val="bottom"/>
          </w:tcPr>
          <w:p>
            <w:pPr>
              <w:spacing w:after="0"/>
              <w:rPr>
                <w:sz w:val="21"/>
                <w:szCs w:val="21"/>
                <w:color w:val="auto"/>
              </w:rPr>
            </w:pPr>
          </w:p>
        </w:tc>
        <w:tc>
          <w:tcPr>
            <w:tcW w:w="2060" w:type="dxa"/>
            <w:vAlign w:val="bottom"/>
            <w:gridSpan w:val="2"/>
          </w:tcPr>
          <w:p>
            <w:pPr>
              <w:jc w:val="center"/>
              <w:ind w:left="1113"/>
              <w:spacing w:after="0" w:line="243" w:lineRule="exact"/>
              <w:rPr>
                <w:sz w:val="20"/>
                <w:szCs w:val="20"/>
                <w:color w:val="auto"/>
              </w:rPr>
            </w:pPr>
            <w:r>
              <w:rPr>
                <w:rFonts w:ascii="Times New Roman" w:cs="Times New Roman" w:eastAsia="Times New Roman" w:hAnsi="Times New Roman"/>
                <w:sz w:val="22"/>
                <w:szCs w:val="22"/>
                <w:color w:val="auto"/>
                <w:w w:val="99"/>
              </w:rPr>
              <w:t>70%</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04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color w:val="auto"/>
              </w:rPr>
              <w:t>Performing Second Lien Bank Loans</w:t>
            </w:r>
          </w:p>
        </w:tc>
        <w:tc>
          <w:tcPr>
            <w:tcW w:w="3240" w:type="dxa"/>
            <w:vAlign w:val="bottom"/>
            <w:gridSpan w:val="2"/>
          </w:tcPr>
          <w:p>
            <w:pPr>
              <w:jc w:val="center"/>
              <w:ind w:left="2494"/>
              <w:spacing w:after="0" w:line="243" w:lineRule="exact"/>
              <w:rPr>
                <w:sz w:val="20"/>
                <w:szCs w:val="20"/>
                <w:color w:val="auto"/>
              </w:rPr>
            </w:pPr>
            <w:r>
              <w:rPr>
                <w:rFonts w:ascii="Times New Roman" w:cs="Times New Roman" w:eastAsia="Times New Roman" w:hAnsi="Times New Roman"/>
                <w:sz w:val="22"/>
                <w:szCs w:val="22"/>
                <w:color w:val="auto"/>
                <w:w w:val="99"/>
              </w:rPr>
              <w:t>75%</w:t>
            </w:r>
          </w:p>
        </w:tc>
        <w:tc>
          <w:tcPr>
            <w:tcW w:w="220" w:type="dxa"/>
            <w:vAlign w:val="bottom"/>
          </w:tcPr>
          <w:p>
            <w:pPr>
              <w:spacing w:after="0"/>
              <w:rPr>
                <w:sz w:val="21"/>
                <w:szCs w:val="21"/>
                <w:color w:val="auto"/>
              </w:rPr>
            </w:pPr>
          </w:p>
        </w:tc>
        <w:tc>
          <w:tcPr>
            <w:tcW w:w="2060" w:type="dxa"/>
            <w:vAlign w:val="bottom"/>
            <w:gridSpan w:val="2"/>
          </w:tcPr>
          <w:p>
            <w:pPr>
              <w:jc w:val="center"/>
              <w:ind w:left="1113"/>
              <w:spacing w:after="0" w:line="243" w:lineRule="exact"/>
              <w:rPr>
                <w:sz w:val="20"/>
                <w:szCs w:val="20"/>
                <w:color w:val="auto"/>
              </w:rPr>
            </w:pPr>
            <w:r>
              <w:rPr>
                <w:rFonts w:ascii="Times New Roman" w:cs="Times New Roman" w:eastAsia="Times New Roman" w:hAnsi="Times New Roman"/>
                <w:sz w:val="22"/>
                <w:szCs w:val="22"/>
                <w:color w:val="auto"/>
                <w:w w:val="99"/>
              </w:rPr>
              <w:t>65%</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04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color w:val="auto"/>
              </w:rPr>
              <w:t>Performing Cash Pay High Yield Securities</w:t>
            </w:r>
          </w:p>
        </w:tc>
        <w:tc>
          <w:tcPr>
            <w:tcW w:w="3240" w:type="dxa"/>
            <w:vAlign w:val="bottom"/>
            <w:gridSpan w:val="2"/>
          </w:tcPr>
          <w:p>
            <w:pPr>
              <w:jc w:val="center"/>
              <w:ind w:left="2494"/>
              <w:spacing w:after="0" w:line="243" w:lineRule="exact"/>
              <w:rPr>
                <w:sz w:val="20"/>
                <w:szCs w:val="20"/>
                <w:color w:val="auto"/>
              </w:rPr>
            </w:pPr>
            <w:r>
              <w:rPr>
                <w:rFonts w:ascii="Times New Roman" w:cs="Times New Roman" w:eastAsia="Times New Roman" w:hAnsi="Times New Roman"/>
                <w:sz w:val="22"/>
                <w:szCs w:val="22"/>
                <w:color w:val="auto"/>
                <w:w w:val="99"/>
              </w:rPr>
              <w:t>70%</w:t>
            </w:r>
          </w:p>
        </w:tc>
        <w:tc>
          <w:tcPr>
            <w:tcW w:w="220" w:type="dxa"/>
            <w:vAlign w:val="bottom"/>
          </w:tcPr>
          <w:p>
            <w:pPr>
              <w:spacing w:after="0"/>
              <w:rPr>
                <w:sz w:val="21"/>
                <w:szCs w:val="21"/>
                <w:color w:val="auto"/>
              </w:rPr>
            </w:pPr>
          </w:p>
        </w:tc>
        <w:tc>
          <w:tcPr>
            <w:tcW w:w="2060" w:type="dxa"/>
            <w:vAlign w:val="bottom"/>
            <w:gridSpan w:val="2"/>
          </w:tcPr>
          <w:p>
            <w:pPr>
              <w:jc w:val="center"/>
              <w:ind w:left="1113"/>
              <w:spacing w:after="0" w:line="243" w:lineRule="exact"/>
              <w:rPr>
                <w:sz w:val="20"/>
                <w:szCs w:val="20"/>
                <w:color w:val="auto"/>
              </w:rPr>
            </w:pPr>
            <w:r>
              <w:rPr>
                <w:rFonts w:ascii="Times New Roman" w:cs="Times New Roman" w:eastAsia="Times New Roman" w:hAnsi="Times New Roman"/>
                <w:sz w:val="22"/>
                <w:szCs w:val="22"/>
                <w:color w:val="auto"/>
                <w:w w:val="99"/>
              </w:rPr>
              <w:t>60%</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04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color w:val="auto"/>
              </w:rPr>
              <w:t>Performing Cash Pay Mezzanine Investments</w:t>
            </w:r>
          </w:p>
        </w:tc>
        <w:tc>
          <w:tcPr>
            <w:tcW w:w="3240" w:type="dxa"/>
            <w:vAlign w:val="bottom"/>
            <w:gridSpan w:val="2"/>
          </w:tcPr>
          <w:p>
            <w:pPr>
              <w:jc w:val="center"/>
              <w:ind w:left="2494"/>
              <w:spacing w:after="0" w:line="243" w:lineRule="exact"/>
              <w:rPr>
                <w:sz w:val="20"/>
                <w:szCs w:val="20"/>
                <w:color w:val="auto"/>
              </w:rPr>
            </w:pPr>
            <w:r>
              <w:rPr>
                <w:rFonts w:ascii="Times New Roman" w:cs="Times New Roman" w:eastAsia="Times New Roman" w:hAnsi="Times New Roman"/>
                <w:sz w:val="22"/>
                <w:szCs w:val="22"/>
                <w:color w:val="auto"/>
                <w:w w:val="99"/>
              </w:rPr>
              <w:t>65%</w:t>
            </w:r>
          </w:p>
        </w:tc>
        <w:tc>
          <w:tcPr>
            <w:tcW w:w="220" w:type="dxa"/>
            <w:vAlign w:val="bottom"/>
          </w:tcPr>
          <w:p>
            <w:pPr>
              <w:spacing w:after="0"/>
              <w:rPr>
                <w:sz w:val="21"/>
                <w:szCs w:val="21"/>
                <w:color w:val="auto"/>
              </w:rPr>
            </w:pPr>
          </w:p>
        </w:tc>
        <w:tc>
          <w:tcPr>
            <w:tcW w:w="2060" w:type="dxa"/>
            <w:vAlign w:val="bottom"/>
            <w:gridSpan w:val="2"/>
          </w:tcPr>
          <w:p>
            <w:pPr>
              <w:jc w:val="center"/>
              <w:ind w:left="1113"/>
              <w:spacing w:after="0" w:line="243" w:lineRule="exact"/>
              <w:rPr>
                <w:sz w:val="20"/>
                <w:szCs w:val="20"/>
                <w:color w:val="auto"/>
              </w:rPr>
            </w:pPr>
            <w:r>
              <w:rPr>
                <w:rFonts w:ascii="Times New Roman" w:cs="Times New Roman" w:eastAsia="Times New Roman" w:hAnsi="Times New Roman"/>
                <w:sz w:val="22"/>
                <w:szCs w:val="22"/>
                <w:color w:val="auto"/>
                <w:w w:val="99"/>
              </w:rPr>
              <w:t>55%</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04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color w:val="auto"/>
              </w:rPr>
              <w:t>Performing Non-Cash Pay High Yield Securities</w:t>
            </w:r>
          </w:p>
        </w:tc>
        <w:tc>
          <w:tcPr>
            <w:tcW w:w="3240" w:type="dxa"/>
            <w:vAlign w:val="bottom"/>
            <w:gridSpan w:val="2"/>
          </w:tcPr>
          <w:p>
            <w:pPr>
              <w:jc w:val="center"/>
              <w:ind w:left="2494"/>
              <w:spacing w:after="0" w:line="243" w:lineRule="exact"/>
              <w:rPr>
                <w:sz w:val="20"/>
                <w:szCs w:val="20"/>
                <w:color w:val="auto"/>
              </w:rPr>
            </w:pPr>
            <w:r>
              <w:rPr>
                <w:rFonts w:ascii="Times New Roman" w:cs="Times New Roman" w:eastAsia="Times New Roman" w:hAnsi="Times New Roman"/>
                <w:sz w:val="22"/>
                <w:szCs w:val="22"/>
                <w:color w:val="auto"/>
                <w:w w:val="99"/>
              </w:rPr>
              <w:t>60%</w:t>
            </w:r>
          </w:p>
        </w:tc>
        <w:tc>
          <w:tcPr>
            <w:tcW w:w="220" w:type="dxa"/>
            <w:vAlign w:val="bottom"/>
          </w:tcPr>
          <w:p>
            <w:pPr>
              <w:spacing w:after="0"/>
              <w:rPr>
                <w:sz w:val="21"/>
                <w:szCs w:val="21"/>
                <w:color w:val="auto"/>
              </w:rPr>
            </w:pPr>
          </w:p>
        </w:tc>
        <w:tc>
          <w:tcPr>
            <w:tcW w:w="2060" w:type="dxa"/>
            <w:vAlign w:val="bottom"/>
            <w:gridSpan w:val="2"/>
          </w:tcPr>
          <w:p>
            <w:pPr>
              <w:jc w:val="center"/>
              <w:ind w:left="1113"/>
              <w:spacing w:after="0" w:line="243" w:lineRule="exact"/>
              <w:rPr>
                <w:sz w:val="20"/>
                <w:szCs w:val="20"/>
                <w:color w:val="auto"/>
              </w:rPr>
            </w:pPr>
            <w:r>
              <w:rPr>
                <w:rFonts w:ascii="Times New Roman" w:cs="Times New Roman" w:eastAsia="Times New Roman" w:hAnsi="Times New Roman"/>
                <w:sz w:val="22"/>
                <w:szCs w:val="22"/>
                <w:color w:val="auto"/>
                <w:w w:val="99"/>
              </w:rPr>
              <w:t>50%</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04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color w:val="auto"/>
              </w:rPr>
              <w:t>Performing Non-Cash Pay Mezzanine Investments</w:t>
            </w:r>
          </w:p>
        </w:tc>
        <w:tc>
          <w:tcPr>
            <w:tcW w:w="3240" w:type="dxa"/>
            <w:vAlign w:val="bottom"/>
            <w:gridSpan w:val="2"/>
          </w:tcPr>
          <w:p>
            <w:pPr>
              <w:jc w:val="center"/>
              <w:ind w:left="2494"/>
              <w:spacing w:after="0" w:line="243" w:lineRule="exact"/>
              <w:rPr>
                <w:sz w:val="20"/>
                <w:szCs w:val="20"/>
                <w:color w:val="auto"/>
              </w:rPr>
            </w:pPr>
            <w:r>
              <w:rPr>
                <w:rFonts w:ascii="Times New Roman" w:cs="Times New Roman" w:eastAsia="Times New Roman" w:hAnsi="Times New Roman"/>
                <w:sz w:val="22"/>
                <w:szCs w:val="22"/>
                <w:color w:val="auto"/>
                <w:w w:val="99"/>
              </w:rPr>
              <w:t>55%</w:t>
            </w:r>
          </w:p>
        </w:tc>
        <w:tc>
          <w:tcPr>
            <w:tcW w:w="220" w:type="dxa"/>
            <w:vAlign w:val="bottom"/>
          </w:tcPr>
          <w:p>
            <w:pPr>
              <w:spacing w:after="0"/>
              <w:rPr>
                <w:sz w:val="21"/>
                <w:szCs w:val="21"/>
                <w:color w:val="auto"/>
              </w:rPr>
            </w:pPr>
          </w:p>
        </w:tc>
        <w:tc>
          <w:tcPr>
            <w:tcW w:w="2060" w:type="dxa"/>
            <w:vAlign w:val="bottom"/>
            <w:gridSpan w:val="2"/>
          </w:tcPr>
          <w:p>
            <w:pPr>
              <w:jc w:val="center"/>
              <w:ind w:left="1113"/>
              <w:spacing w:after="0" w:line="243" w:lineRule="exact"/>
              <w:rPr>
                <w:sz w:val="20"/>
                <w:szCs w:val="20"/>
                <w:color w:val="auto"/>
              </w:rPr>
            </w:pPr>
            <w:r>
              <w:rPr>
                <w:rFonts w:ascii="Times New Roman" w:cs="Times New Roman" w:eastAsia="Times New Roman" w:hAnsi="Times New Roman"/>
                <w:sz w:val="22"/>
                <w:szCs w:val="22"/>
                <w:color w:val="auto"/>
                <w:w w:val="99"/>
              </w:rPr>
              <w:t>45%</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04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color w:val="auto"/>
              </w:rPr>
              <w:t>Non-Performing First Lien Bank Loans</w:t>
            </w:r>
          </w:p>
        </w:tc>
        <w:tc>
          <w:tcPr>
            <w:tcW w:w="3240" w:type="dxa"/>
            <w:vAlign w:val="bottom"/>
            <w:gridSpan w:val="2"/>
          </w:tcPr>
          <w:p>
            <w:pPr>
              <w:jc w:val="center"/>
              <w:ind w:left="2494"/>
              <w:spacing w:after="0" w:line="243" w:lineRule="exact"/>
              <w:rPr>
                <w:sz w:val="20"/>
                <w:szCs w:val="20"/>
                <w:color w:val="auto"/>
              </w:rPr>
            </w:pPr>
            <w:r>
              <w:rPr>
                <w:rFonts w:ascii="Times New Roman" w:cs="Times New Roman" w:eastAsia="Times New Roman" w:hAnsi="Times New Roman"/>
                <w:sz w:val="22"/>
                <w:szCs w:val="22"/>
                <w:color w:val="auto"/>
                <w:w w:val="99"/>
              </w:rPr>
              <w:t>45%</w:t>
            </w:r>
          </w:p>
        </w:tc>
        <w:tc>
          <w:tcPr>
            <w:tcW w:w="220" w:type="dxa"/>
            <w:vAlign w:val="bottom"/>
          </w:tcPr>
          <w:p>
            <w:pPr>
              <w:spacing w:after="0"/>
              <w:rPr>
                <w:sz w:val="21"/>
                <w:szCs w:val="21"/>
                <w:color w:val="auto"/>
              </w:rPr>
            </w:pPr>
          </w:p>
        </w:tc>
        <w:tc>
          <w:tcPr>
            <w:tcW w:w="2060" w:type="dxa"/>
            <w:vAlign w:val="bottom"/>
            <w:gridSpan w:val="2"/>
          </w:tcPr>
          <w:p>
            <w:pPr>
              <w:jc w:val="center"/>
              <w:ind w:left="1113"/>
              <w:spacing w:after="0" w:line="243" w:lineRule="exact"/>
              <w:rPr>
                <w:sz w:val="20"/>
                <w:szCs w:val="20"/>
                <w:color w:val="auto"/>
              </w:rPr>
            </w:pPr>
            <w:r>
              <w:rPr>
                <w:rFonts w:ascii="Times New Roman" w:cs="Times New Roman" w:eastAsia="Times New Roman" w:hAnsi="Times New Roman"/>
                <w:sz w:val="22"/>
                <w:szCs w:val="22"/>
                <w:color w:val="auto"/>
                <w:w w:val="99"/>
              </w:rPr>
              <w:t>45%</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04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color w:val="auto"/>
              </w:rPr>
              <w:t>Non-Performing Unitranche Loans</w:t>
            </w:r>
          </w:p>
        </w:tc>
        <w:tc>
          <w:tcPr>
            <w:tcW w:w="3240" w:type="dxa"/>
            <w:vAlign w:val="bottom"/>
            <w:gridSpan w:val="2"/>
          </w:tcPr>
          <w:p>
            <w:pPr>
              <w:jc w:val="center"/>
              <w:ind w:left="2494"/>
              <w:spacing w:after="0" w:line="243" w:lineRule="exact"/>
              <w:rPr>
                <w:sz w:val="20"/>
                <w:szCs w:val="20"/>
                <w:color w:val="auto"/>
              </w:rPr>
            </w:pPr>
            <w:r>
              <w:rPr>
                <w:rFonts w:ascii="Times New Roman" w:cs="Times New Roman" w:eastAsia="Times New Roman" w:hAnsi="Times New Roman"/>
                <w:sz w:val="22"/>
                <w:szCs w:val="22"/>
                <w:color w:val="auto"/>
                <w:w w:val="99"/>
              </w:rPr>
              <w:t>40%</w:t>
            </w:r>
          </w:p>
        </w:tc>
        <w:tc>
          <w:tcPr>
            <w:tcW w:w="220" w:type="dxa"/>
            <w:vAlign w:val="bottom"/>
          </w:tcPr>
          <w:p>
            <w:pPr>
              <w:spacing w:after="0"/>
              <w:rPr>
                <w:sz w:val="21"/>
                <w:szCs w:val="21"/>
                <w:color w:val="auto"/>
              </w:rPr>
            </w:pPr>
          </w:p>
        </w:tc>
        <w:tc>
          <w:tcPr>
            <w:tcW w:w="2060" w:type="dxa"/>
            <w:vAlign w:val="bottom"/>
            <w:gridSpan w:val="2"/>
          </w:tcPr>
          <w:p>
            <w:pPr>
              <w:jc w:val="center"/>
              <w:ind w:left="1113"/>
              <w:spacing w:after="0" w:line="243" w:lineRule="exact"/>
              <w:rPr>
                <w:sz w:val="20"/>
                <w:szCs w:val="20"/>
                <w:color w:val="auto"/>
              </w:rPr>
            </w:pPr>
            <w:r>
              <w:rPr>
                <w:rFonts w:ascii="Times New Roman" w:cs="Times New Roman" w:eastAsia="Times New Roman" w:hAnsi="Times New Roman"/>
                <w:sz w:val="22"/>
                <w:szCs w:val="22"/>
                <w:color w:val="auto"/>
                <w:w w:val="99"/>
              </w:rPr>
              <w:t>40%</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04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color w:val="auto"/>
              </w:rPr>
              <w:t>Non-Performing Second Lien Bank Loans</w:t>
            </w:r>
          </w:p>
        </w:tc>
        <w:tc>
          <w:tcPr>
            <w:tcW w:w="3240" w:type="dxa"/>
            <w:vAlign w:val="bottom"/>
            <w:gridSpan w:val="2"/>
          </w:tcPr>
          <w:p>
            <w:pPr>
              <w:jc w:val="center"/>
              <w:ind w:left="2494"/>
              <w:spacing w:after="0" w:line="243" w:lineRule="exact"/>
              <w:rPr>
                <w:sz w:val="20"/>
                <w:szCs w:val="20"/>
                <w:color w:val="auto"/>
              </w:rPr>
            </w:pPr>
            <w:r>
              <w:rPr>
                <w:rFonts w:ascii="Times New Roman" w:cs="Times New Roman" w:eastAsia="Times New Roman" w:hAnsi="Times New Roman"/>
                <w:sz w:val="22"/>
                <w:szCs w:val="22"/>
                <w:color w:val="auto"/>
                <w:w w:val="99"/>
              </w:rPr>
              <w:t>40%</w:t>
            </w:r>
          </w:p>
        </w:tc>
        <w:tc>
          <w:tcPr>
            <w:tcW w:w="220" w:type="dxa"/>
            <w:vAlign w:val="bottom"/>
          </w:tcPr>
          <w:p>
            <w:pPr>
              <w:spacing w:after="0"/>
              <w:rPr>
                <w:sz w:val="21"/>
                <w:szCs w:val="21"/>
                <w:color w:val="auto"/>
              </w:rPr>
            </w:pPr>
          </w:p>
        </w:tc>
        <w:tc>
          <w:tcPr>
            <w:tcW w:w="2060" w:type="dxa"/>
            <w:vAlign w:val="bottom"/>
            <w:gridSpan w:val="2"/>
          </w:tcPr>
          <w:p>
            <w:pPr>
              <w:jc w:val="center"/>
              <w:ind w:left="1113"/>
              <w:spacing w:after="0" w:line="243" w:lineRule="exact"/>
              <w:rPr>
                <w:sz w:val="20"/>
                <w:szCs w:val="20"/>
                <w:color w:val="auto"/>
              </w:rPr>
            </w:pPr>
            <w:r>
              <w:rPr>
                <w:rFonts w:ascii="Times New Roman" w:cs="Times New Roman" w:eastAsia="Times New Roman" w:hAnsi="Times New Roman"/>
                <w:sz w:val="22"/>
                <w:szCs w:val="22"/>
                <w:color w:val="auto"/>
                <w:w w:val="99"/>
              </w:rPr>
              <w:t>30%</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04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color w:val="auto"/>
              </w:rPr>
              <w:t>Non-Performing High Yield Securities</w:t>
            </w:r>
          </w:p>
        </w:tc>
        <w:tc>
          <w:tcPr>
            <w:tcW w:w="3240" w:type="dxa"/>
            <w:vAlign w:val="bottom"/>
            <w:gridSpan w:val="2"/>
          </w:tcPr>
          <w:p>
            <w:pPr>
              <w:jc w:val="center"/>
              <w:ind w:left="2494"/>
              <w:spacing w:after="0" w:line="243" w:lineRule="exact"/>
              <w:rPr>
                <w:sz w:val="20"/>
                <w:szCs w:val="20"/>
                <w:color w:val="auto"/>
              </w:rPr>
            </w:pPr>
            <w:r>
              <w:rPr>
                <w:rFonts w:ascii="Times New Roman" w:cs="Times New Roman" w:eastAsia="Times New Roman" w:hAnsi="Times New Roman"/>
                <w:sz w:val="22"/>
                <w:szCs w:val="22"/>
                <w:color w:val="auto"/>
                <w:w w:val="99"/>
              </w:rPr>
              <w:t>30%</w:t>
            </w:r>
          </w:p>
        </w:tc>
        <w:tc>
          <w:tcPr>
            <w:tcW w:w="220" w:type="dxa"/>
            <w:vAlign w:val="bottom"/>
          </w:tcPr>
          <w:p>
            <w:pPr>
              <w:spacing w:after="0"/>
              <w:rPr>
                <w:sz w:val="21"/>
                <w:szCs w:val="21"/>
                <w:color w:val="auto"/>
              </w:rPr>
            </w:pPr>
          </w:p>
        </w:tc>
        <w:tc>
          <w:tcPr>
            <w:tcW w:w="2060" w:type="dxa"/>
            <w:vAlign w:val="bottom"/>
            <w:gridSpan w:val="2"/>
          </w:tcPr>
          <w:p>
            <w:pPr>
              <w:jc w:val="center"/>
              <w:ind w:left="1113"/>
              <w:spacing w:after="0" w:line="243" w:lineRule="exact"/>
              <w:rPr>
                <w:sz w:val="20"/>
                <w:szCs w:val="20"/>
                <w:color w:val="auto"/>
              </w:rPr>
            </w:pPr>
            <w:r>
              <w:rPr>
                <w:rFonts w:ascii="Times New Roman" w:cs="Times New Roman" w:eastAsia="Times New Roman" w:hAnsi="Times New Roman"/>
                <w:sz w:val="22"/>
                <w:szCs w:val="22"/>
                <w:color w:val="auto"/>
                <w:w w:val="99"/>
              </w:rPr>
              <w:t>30%</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04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color w:val="auto"/>
              </w:rPr>
              <w:t>Non-Performing Cash Pay Mezzanine Investments</w:t>
            </w:r>
          </w:p>
        </w:tc>
        <w:tc>
          <w:tcPr>
            <w:tcW w:w="3240" w:type="dxa"/>
            <w:vAlign w:val="bottom"/>
            <w:gridSpan w:val="2"/>
          </w:tcPr>
          <w:p>
            <w:pPr>
              <w:jc w:val="center"/>
              <w:ind w:left="2494"/>
              <w:spacing w:after="0" w:line="243" w:lineRule="exact"/>
              <w:rPr>
                <w:sz w:val="20"/>
                <w:szCs w:val="20"/>
                <w:color w:val="auto"/>
              </w:rPr>
            </w:pPr>
            <w:r>
              <w:rPr>
                <w:rFonts w:ascii="Times New Roman" w:cs="Times New Roman" w:eastAsia="Times New Roman" w:hAnsi="Times New Roman"/>
                <w:sz w:val="22"/>
                <w:szCs w:val="22"/>
                <w:color w:val="auto"/>
                <w:w w:val="99"/>
              </w:rPr>
              <w:t>30%</w:t>
            </w:r>
          </w:p>
        </w:tc>
        <w:tc>
          <w:tcPr>
            <w:tcW w:w="220" w:type="dxa"/>
            <w:vAlign w:val="bottom"/>
          </w:tcPr>
          <w:p>
            <w:pPr>
              <w:spacing w:after="0"/>
              <w:rPr>
                <w:sz w:val="21"/>
                <w:szCs w:val="21"/>
                <w:color w:val="auto"/>
              </w:rPr>
            </w:pPr>
          </w:p>
        </w:tc>
        <w:tc>
          <w:tcPr>
            <w:tcW w:w="2060" w:type="dxa"/>
            <w:vAlign w:val="bottom"/>
            <w:gridSpan w:val="2"/>
          </w:tcPr>
          <w:p>
            <w:pPr>
              <w:jc w:val="center"/>
              <w:ind w:left="1113"/>
              <w:spacing w:after="0" w:line="243" w:lineRule="exact"/>
              <w:rPr>
                <w:sz w:val="20"/>
                <w:szCs w:val="20"/>
                <w:color w:val="auto"/>
              </w:rPr>
            </w:pPr>
            <w:r>
              <w:rPr>
                <w:rFonts w:ascii="Times New Roman" w:cs="Times New Roman" w:eastAsia="Times New Roman" w:hAnsi="Times New Roman"/>
                <w:sz w:val="22"/>
                <w:szCs w:val="22"/>
                <w:color w:val="auto"/>
                <w:w w:val="99"/>
              </w:rPr>
              <w:t>25%</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04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color w:val="auto"/>
              </w:rPr>
              <w:t>Performing Common Equity (and zero cost or</w:t>
            </w:r>
          </w:p>
        </w:tc>
        <w:tc>
          <w:tcPr>
            <w:tcW w:w="3240" w:type="dxa"/>
            <w:vAlign w:val="bottom"/>
            <w:gridSpan w:val="2"/>
          </w:tcPr>
          <w:p>
            <w:pPr>
              <w:jc w:val="center"/>
              <w:ind w:left="2494"/>
              <w:spacing w:after="0" w:line="243" w:lineRule="exact"/>
              <w:rPr>
                <w:sz w:val="20"/>
                <w:szCs w:val="20"/>
                <w:color w:val="auto"/>
              </w:rPr>
            </w:pPr>
            <w:r>
              <w:rPr>
                <w:rFonts w:ascii="Times New Roman" w:cs="Times New Roman" w:eastAsia="Times New Roman" w:hAnsi="Times New Roman"/>
                <w:sz w:val="22"/>
                <w:szCs w:val="22"/>
                <w:color w:val="auto"/>
                <w:w w:val="99"/>
              </w:rPr>
              <w:t>30%</w:t>
            </w:r>
          </w:p>
        </w:tc>
        <w:tc>
          <w:tcPr>
            <w:tcW w:w="220" w:type="dxa"/>
            <w:vAlign w:val="bottom"/>
          </w:tcPr>
          <w:p>
            <w:pPr>
              <w:spacing w:after="0"/>
              <w:rPr>
                <w:sz w:val="21"/>
                <w:szCs w:val="21"/>
                <w:color w:val="auto"/>
              </w:rPr>
            </w:pPr>
          </w:p>
        </w:tc>
        <w:tc>
          <w:tcPr>
            <w:tcW w:w="2060" w:type="dxa"/>
            <w:vAlign w:val="bottom"/>
            <w:gridSpan w:val="2"/>
          </w:tcPr>
          <w:p>
            <w:pPr>
              <w:jc w:val="center"/>
              <w:ind w:left="1113"/>
              <w:spacing w:after="0" w:line="243" w:lineRule="exact"/>
              <w:rPr>
                <w:sz w:val="20"/>
                <w:szCs w:val="20"/>
                <w:color w:val="auto"/>
              </w:rPr>
            </w:pPr>
            <w:r>
              <w:rPr>
                <w:rFonts w:ascii="Times New Roman" w:cs="Times New Roman" w:eastAsia="Times New Roman" w:hAnsi="Times New Roman"/>
                <w:sz w:val="22"/>
                <w:szCs w:val="22"/>
                <w:color w:val="auto"/>
                <w:w w:val="99"/>
              </w:rPr>
              <w:t>20%</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040" w:type="dxa"/>
            <w:vAlign w:val="bottom"/>
            <w:gridSpan w:val="10"/>
          </w:tcPr>
          <w:p>
            <w:pPr>
              <w:ind w:left="180"/>
              <w:spacing w:after="0" w:line="243" w:lineRule="exact"/>
              <w:rPr>
                <w:sz w:val="20"/>
                <w:szCs w:val="20"/>
                <w:color w:val="auto"/>
              </w:rPr>
            </w:pPr>
            <w:r>
              <w:rPr>
                <w:rFonts w:ascii="Times New Roman" w:cs="Times New Roman" w:eastAsia="Times New Roman" w:hAnsi="Times New Roman"/>
                <w:sz w:val="22"/>
                <w:szCs w:val="22"/>
                <w:color w:val="auto"/>
              </w:rPr>
              <w:t>penny warrants with performing debt)</w:t>
            </w:r>
          </w:p>
        </w:tc>
        <w:tc>
          <w:tcPr>
            <w:tcW w:w="2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04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color w:val="auto"/>
              </w:rPr>
              <w:t>Non-Performing Common Equity</w:t>
            </w:r>
          </w:p>
        </w:tc>
        <w:tc>
          <w:tcPr>
            <w:tcW w:w="3240" w:type="dxa"/>
            <w:vAlign w:val="bottom"/>
            <w:gridSpan w:val="2"/>
          </w:tcPr>
          <w:p>
            <w:pPr>
              <w:jc w:val="center"/>
              <w:ind w:left="2494"/>
              <w:spacing w:after="0" w:line="243" w:lineRule="exact"/>
              <w:rPr>
                <w:sz w:val="20"/>
                <w:szCs w:val="20"/>
                <w:color w:val="auto"/>
              </w:rPr>
            </w:pPr>
            <w:r>
              <w:rPr>
                <w:rFonts w:ascii="Times New Roman" w:cs="Times New Roman" w:eastAsia="Times New Roman" w:hAnsi="Times New Roman"/>
                <w:sz w:val="22"/>
                <w:szCs w:val="22"/>
                <w:color w:val="auto"/>
                <w:w w:val="95"/>
              </w:rPr>
              <w:t>0%</w:t>
            </w:r>
          </w:p>
        </w:tc>
        <w:tc>
          <w:tcPr>
            <w:tcW w:w="220" w:type="dxa"/>
            <w:vAlign w:val="bottom"/>
          </w:tcPr>
          <w:p>
            <w:pPr>
              <w:spacing w:after="0"/>
              <w:rPr>
                <w:sz w:val="21"/>
                <w:szCs w:val="21"/>
                <w:color w:val="auto"/>
              </w:rPr>
            </w:pPr>
          </w:p>
        </w:tc>
        <w:tc>
          <w:tcPr>
            <w:tcW w:w="2060" w:type="dxa"/>
            <w:vAlign w:val="bottom"/>
            <w:gridSpan w:val="2"/>
          </w:tcPr>
          <w:p>
            <w:pPr>
              <w:jc w:val="center"/>
              <w:ind w:left="1113"/>
              <w:spacing w:after="0" w:line="243" w:lineRule="exact"/>
              <w:rPr>
                <w:sz w:val="20"/>
                <w:szCs w:val="20"/>
                <w:color w:val="auto"/>
              </w:rPr>
            </w:pPr>
            <w:r>
              <w:rPr>
                <w:rFonts w:ascii="Times New Roman" w:cs="Times New Roman" w:eastAsia="Times New Roman" w:hAnsi="Times New Roman"/>
                <w:sz w:val="22"/>
                <w:szCs w:val="22"/>
                <w:color w:val="auto"/>
                <w:w w:val="95"/>
              </w:rPr>
              <w:t>0%</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83"/>
        </w:trPr>
        <w:tc>
          <w:tcPr>
            <w:tcW w:w="50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Structured Finance Obligations and Finance Leases</w:t>
            </w:r>
          </w:p>
        </w:tc>
        <w:tc>
          <w:tcPr>
            <w:tcW w:w="3240" w:type="dxa"/>
            <w:vAlign w:val="bottom"/>
            <w:gridSpan w:val="2"/>
          </w:tcPr>
          <w:p>
            <w:pPr>
              <w:jc w:val="center"/>
              <w:ind w:left="2494"/>
              <w:spacing w:after="0"/>
              <w:rPr>
                <w:sz w:val="20"/>
                <w:szCs w:val="20"/>
                <w:color w:val="auto"/>
              </w:rPr>
            </w:pPr>
            <w:r>
              <w:rPr>
                <w:rFonts w:ascii="Times New Roman" w:cs="Times New Roman" w:eastAsia="Times New Roman" w:hAnsi="Times New Roman"/>
                <w:sz w:val="22"/>
                <w:szCs w:val="22"/>
                <w:color w:val="auto"/>
                <w:w w:val="95"/>
              </w:rPr>
              <w:t>0%</w:t>
            </w:r>
          </w:p>
        </w:tc>
        <w:tc>
          <w:tcPr>
            <w:tcW w:w="220" w:type="dxa"/>
            <w:vAlign w:val="bottom"/>
          </w:tcPr>
          <w:p>
            <w:pPr>
              <w:spacing w:after="0"/>
              <w:rPr>
                <w:sz w:val="24"/>
                <w:szCs w:val="24"/>
                <w:color w:val="auto"/>
              </w:rPr>
            </w:pPr>
          </w:p>
        </w:tc>
        <w:tc>
          <w:tcPr>
            <w:tcW w:w="2060" w:type="dxa"/>
            <w:vAlign w:val="bottom"/>
            <w:gridSpan w:val="2"/>
          </w:tcPr>
          <w:p>
            <w:pPr>
              <w:jc w:val="center"/>
              <w:ind w:left="1113"/>
              <w:spacing w:after="0"/>
              <w:rPr>
                <w:sz w:val="20"/>
                <w:szCs w:val="20"/>
                <w:color w:val="auto"/>
              </w:rPr>
            </w:pPr>
            <w:r>
              <w:rPr>
                <w:rFonts w:ascii="Times New Roman" w:cs="Times New Roman" w:eastAsia="Times New Roman" w:hAnsi="Times New Roman"/>
                <w:sz w:val="22"/>
                <w:szCs w:val="22"/>
                <w:color w:val="auto"/>
                <w:w w:val="95"/>
              </w:rPr>
              <w:t>0%</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4"/>
        </w:trPr>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2"/>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731105340 11299570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0" w:type="dxa"/>
            <w:vAlign w:val="bottom"/>
          </w:tcPr>
          <w:p>
            <w:pPr>
              <w:jc w:val="right"/>
              <w:ind w:right="1774"/>
              <w:spacing w:after="0"/>
              <w:rPr>
                <w:sz w:val="20"/>
                <w:szCs w:val="20"/>
                <w:color w:val="auto"/>
              </w:rPr>
            </w:pPr>
            <w:r>
              <w:rPr>
                <w:rFonts w:ascii="Times New Roman" w:cs="Times New Roman" w:eastAsia="Times New Roman" w:hAnsi="Times New Roman"/>
                <w:sz w:val="14"/>
                <w:szCs w:val="14"/>
                <w:color w:val="auto"/>
              </w:rPr>
              <w:t>94</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gridSpan w:val="4"/>
          </w:tcPr>
          <w:p>
            <w:pPr>
              <w:ind w:left="880"/>
              <w:spacing w:after="0"/>
              <w:rPr>
                <w:sz w:val="20"/>
                <w:szCs w:val="20"/>
                <w:color w:val="auto"/>
              </w:rPr>
            </w:pPr>
            <w:r>
              <w:rPr>
                <w:rFonts w:ascii="Times New Roman" w:cs="Times New Roman" w:eastAsia="Times New Roman" w:hAnsi="Times New Roman"/>
                <w:sz w:val="18"/>
                <w:szCs w:val="18"/>
                <w:i w:val="1"/>
                <w:iCs w:val="1"/>
                <w:color w:val="auto"/>
                <w:w w:val="99"/>
              </w:rPr>
              <w:t>Revolving Credit Agreement</w:t>
            </w:r>
          </w:p>
        </w:tc>
      </w:tr>
      <w:tr>
        <w:trPr>
          <w:trHeight w:val="112"/>
        </w:trPr>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251" w:name="page252"/>
    <w:bookmarkEnd w:id="251"/>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Loans</w:t>
      </w:r>
      <w:r>
        <w:rPr>
          <w:rFonts w:ascii="Times New Roman" w:cs="Times New Roman" w:eastAsia="Times New Roman" w:hAnsi="Times New Roman"/>
          <w:sz w:val="22"/>
          <w:szCs w:val="22"/>
          <w:color w:val="auto"/>
        </w:rPr>
        <w:t>” means debt obligations (including term loans, notes,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 or note purchase agreement.</w:t>
      </w:r>
    </w:p>
    <w:p>
      <w:pPr>
        <w:spacing w:after="0" w:line="181"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Credit Agreement.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Credit Agreement.</w:t>
      </w:r>
    </w:p>
    <w:p>
      <w:pPr>
        <w:spacing w:after="0" w:line="206" w:lineRule="exact"/>
        <w:rPr>
          <w:sz w:val="20"/>
          <w:szCs w:val="20"/>
          <w:color w:val="auto"/>
        </w:rPr>
      </w:pPr>
    </w:p>
    <w:p>
      <w:pPr>
        <w:jc w:val="both"/>
        <w:ind w:firstLine="1755"/>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Finance Lease</w:t>
      </w:r>
      <w:r>
        <w:rPr>
          <w:rFonts w:ascii="Times New Roman" w:cs="Times New Roman" w:eastAsia="Times New Roman" w:hAnsi="Times New Roman"/>
          <w:sz w:val="21"/>
          <w:szCs w:val="21"/>
          <w:color w:val="auto"/>
        </w:rPr>
        <w:t>” means any transaction representing the obligation of a lessee to pay rent or other amounts under a lease which is required to be classified and accounted for as a capital lease on the balance sheet of such lessee under GAAP.</w:t>
      </w:r>
    </w:p>
    <w:p>
      <w:pPr>
        <w:spacing w:after="0" w:line="135"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Bank Loan</w:t>
      </w:r>
      <w:r>
        <w:rPr>
          <w:rFonts w:ascii="Times New Roman" w:cs="Times New Roman" w:eastAsia="Times New Roman" w:hAnsi="Times New Roman"/>
          <w:sz w:val="22"/>
          <w:szCs w:val="22"/>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spacing w:after="0" w:line="174"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High Yield Securities</w:t>
      </w:r>
      <w:r>
        <w:rPr>
          <w:rFonts w:ascii="Times New Roman" w:cs="Times New Roman" w:eastAsia="Times New Roman" w:hAnsi="Times New Roman"/>
          <w:sz w:val="22"/>
          <w:szCs w:val="22"/>
          <w:color w:val="auto"/>
        </w:rPr>
        <w:t>” 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81"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Long-Term U.S. Government Securities</w:t>
      </w:r>
      <w:r>
        <w:rPr>
          <w:rFonts w:ascii="Times New Roman" w:cs="Times New Roman" w:eastAsia="Times New Roman" w:hAnsi="Times New Roman"/>
          <w:sz w:val="22"/>
          <w:szCs w:val="22"/>
          <w:color w:val="auto"/>
        </w:rPr>
        <w:t>” means U.S. Government Securities maturing more than one year from the applicable date of determination.</w:t>
      </w:r>
    </w:p>
    <w:p>
      <w:pPr>
        <w:spacing w:after="0" w:line="158"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Mezzanine Investments</w:t>
      </w:r>
      <w:r>
        <w:rPr>
          <w:rFonts w:ascii="Times New Roman" w:cs="Times New Roman" w:eastAsia="Times New Roman" w:hAnsi="Times New Roman"/>
          <w:sz w:val="22"/>
          <w:szCs w:val="22"/>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77"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Common Equity</w:t>
      </w:r>
      <w:r>
        <w:rPr>
          <w:rFonts w:ascii="Times New Roman" w:cs="Times New Roman" w:eastAsia="Times New Roman" w:hAnsi="Times New Roman"/>
          <w:sz w:val="22"/>
          <w:szCs w:val="22"/>
          <w:color w:val="auto"/>
        </w:rPr>
        <w:t>” means Capital Stock (other than Preferred Stock) and warrants of an issuer having any debt outstanding that is non-Performing.</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Non-Performing First Lien Bank Loans</w:t>
      </w:r>
      <w:r>
        <w:rPr>
          <w:rFonts w:ascii="Times New Roman" w:cs="Times New Roman" w:eastAsia="Times New Roman" w:hAnsi="Times New Roman"/>
          <w:sz w:val="21"/>
          <w:szCs w:val="21"/>
          <w:color w:val="auto"/>
        </w:rPr>
        <w:t>” means First Lien Bank Loans other than Performing First Lien Bank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3773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3">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3773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1"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95</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2" w:name="page253"/>
    <w:bookmarkEnd w:id="252"/>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High Yield Securities</w:t>
      </w:r>
      <w:r>
        <w:rPr>
          <w:rFonts w:ascii="Times New Roman" w:cs="Times New Roman" w:eastAsia="Times New Roman" w:hAnsi="Times New Roman"/>
          <w:sz w:val="22"/>
          <w:szCs w:val="22"/>
          <w:color w:val="auto"/>
        </w:rPr>
        <w:t>” means High Yield Securities other than Performing High Yield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Mezzanine Investments</w:t>
      </w:r>
      <w:r>
        <w:rPr>
          <w:rFonts w:ascii="Times New Roman" w:cs="Times New Roman" w:eastAsia="Times New Roman" w:hAnsi="Times New Roman"/>
          <w:sz w:val="22"/>
          <w:szCs w:val="22"/>
          <w:color w:val="auto"/>
        </w:rPr>
        <w:t>” means Mezzanine Investments other than Performing Mezzanine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Investments.</w:t>
      </w:r>
    </w:p>
    <w:p>
      <w:pPr>
        <w:spacing w:after="0" w:line="182" w:lineRule="exact"/>
        <w:rPr>
          <w:sz w:val="20"/>
          <w:szCs w:val="20"/>
          <w:color w:val="auto"/>
        </w:rPr>
      </w:pPr>
    </w:p>
    <w:p>
      <w:pPr>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Portfolio Investment</w:t>
      </w:r>
      <w:r>
        <w:rPr>
          <w:rFonts w:ascii="Times New Roman" w:cs="Times New Roman" w:eastAsia="Times New Roman" w:hAnsi="Times New Roman"/>
          <w:sz w:val="22"/>
          <w:szCs w:val="22"/>
          <w:color w:val="auto"/>
        </w:rPr>
        <w:t>” means Portfolio Investments for which the issuer is in default of any payment obligations of principal or interest in respect thereof after the expiration of any applicable grace period.</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Second Lien Bank Loans</w:t>
      </w:r>
      <w:r>
        <w:rPr>
          <w:rFonts w:ascii="Times New Roman" w:cs="Times New Roman" w:eastAsia="Times New Roman" w:hAnsi="Times New Roman"/>
          <w:sz w:val="22"/>
          <w:szCs w:val="22"/>
          <w:color w:val="auto"/>
        </w:rPr>
        <w:t>” means Second Lien Bank Loans other than Performing Second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Lien Bank Loans.</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Unitranche Loans</w:t>
      </w:r>
      <w:r>
        <w:rPr>
          <w:rFonts w:ascii="Times New Roman" w:cs="Times New Roman" w:eastAsia="Times New Roman" w:hAnsi="Times New Roman"/>
          <w:sz w:val="22"/>
          <w:szCs w:val="22"/>
          <w:color w:val="auto"/>
        </w:rPr>
        <w:t>” means Unitranche Loans other than Performing Unitranche Loans.</w:t>
      </w:r>
    </w:p>
    <w:p>
      <w:pPr>
        <w:spacing w:after="0" w:line="206" w:lineRule="exact"/>
        <w:rPr>
          <w:sz w:val="20"/>
          <w:szCs w:val="20"/>
          <w:color w:val="auto"/>
        </w:rPr>
      </w:pPr>
    </w:p>
    <w:p>
      <w:pPr>
        <w:ind w:firstLine="1755"/>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w:t>
      </w:r>
      <w:r>
        <w:rPr>
          <w:rFonts w:ascii="Times New Roman" w:cs="Times New Roman" w:eastAsia="Times New Roman" w:hAnsi="Times New Roman"/>
          <w:sz w:val="22"/>
          <w:szCs w:val="22"/>
          <w:color w:val="auto"/>
        </w:rPr>
        <w:t>” means (a) with respect to any Portfolio Investment that is debt, the issuer of such Portfolio Investment is not in default of any payment obligations in respect thereof after the expiration of any applicable grace period and</w:t>
      </w:r>
    </w:p>
    <w:p>
      <w:pPr>
        <w:jc w:val="both"/>
        <w:ind w:firstLine="8"/>
        <w:spacing w:after="0" w:line="258" w:lineRule="auto"/>
        <w:tabs>
          <w:tab w:leader="none" w:pos="32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59"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Cash Pay High Yield Securities</w:t>
      </w:r>
      <w:r>
        <w:rPr>
          <w:rFonts w:ascii="Times New Roman" w:cs="Times New Roman" w:eastAsia="Times New Roman" w:hAnsi="Times New Roman"/>
          <w:sz w:val="22"/>
          <w:szCs w:val="22"/>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74"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Cash Pay Mezzanine Investments</w:t>
      </w:r>
      <w:r>
        <w:rPr>
          <w:rFonts w:ascii="Times New Roman" w:cs="Times New Roman" w:eastAsia="Times New Roman" w:hAnsi="Times New Roman"/>
          <w:sz w:val="22"/>
          <w:szCs w:val="22"/>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74"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Common Equity</w:t>
      </w:r>
      <w:r>
        <w:rPr>
          <w:rFonts w:ascii="Times New Roman" w:cs="Times New Roman" w:eastAsia="Times New Roman" w:hAnsi="Times New Roman"/>
          <w:sz w:val="22"/>
          <w:szCs w:val="22"/>
          <w:color w:val="auto"/>
        </w:rPr>
        <w:t>” means Capital Stock (other than Preferred Stock) and warrants of an issuer all of whose outstanding debt is Performing.</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First Lien Bank Loans</w:t>
      </w:r>
      <w:r>
        <w:rPr>
          <w:rFonts w:ascii="Times New Roman" w:cs="Times New Roman" w:eastAsia="Times New Roman" w:hAnsi="Times New Roman"/>
          <w:sz w:val="22"/>
          <w:szCs w:val="22"/>
          <w:color w:val="auto"/>
        </w:rPr>
        <w:t>” means First Lien Bank Loans which are Performing.</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Non-Cash Pay High Yield Securities</w:t>
      </w:r>
      <w:r>
        <w:rPr>
          <w:rFonts w:ascii="Times New Roman" w:cs="Times New Roman" w:eastAsia="Times New Roman" w:hAnsi="Times New Roman"/>
          <w:sz w:val="22"/>
          <w:szCs w:val="22"/>
          <w:color w:val="auto"/>
        </w:rPr>
        <w:t>” means Performing High Yield Securities other than Performing Cash Pay High Yield Securities.</w:t>
      </w:r>
    </w:p>
    <w:p>
      <w:pPr>
        <w:spacing w:after="0" w:line="158"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Non-Cash Pay Mezzanine Investments</w:t>
      </w:r>
      <w:r>
        <w:rPr>
          <w:rFonts w:ascii="Times New Roman" w:cs="Times New Roman" w:eastAsia="Times New Roman" w:hAnsi="Times New Roman"/>
          <w:sz w:val="22"/>
          <w:szCs w:val="22"/>
          <w:color w:val="auto"/>
        </w:rPr>
        <w:t>” means Performing Mezzanine Investments other than Performing Cash Pay Mezzanine Investments.</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Second Lien Bank Loans</w:t>
      </w:r>
      <w:r>
        <w:rPr>
          <w:rFonts w:ascii="Times New Roman" w:cs="Times New Roman" w:eastAsia="Times New Roman" w:hAnsi="Times New Roman"/>
          <w:sz w:val="22"/>
          <w:szCs w:val="22"/>
          <w:color w:val="auto"/>
        </w:rPr>
        <w:t>” means Second Lien Bank Loans which are Performing.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3773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6">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3773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55"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96</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3" w:name="page254"/>
    <w:bookmarkEnd w:id="253"/>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77"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Bank Loan</w:t>
      </w:r>
      <w:r>
        <w:rPr>
          <w:rFonts w:ascii="Times New Roman" w:cs="Times New Roman" w:eastAsia="Times New Roman" w:hAnsi="Times New Roman"/>
          <w:sz w:val="22"/>
          <w:szCs w:val="22"/>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74" w:lineRule="exact"/>
        <w:rPr>
          <w:sz w:val="20"/>
          <w:szCs w:val="20"/>
          <w:color w:val="auto"/>
        </w:rPr>
      </w:pPr>
    </w:p>
    <w:p>
      <w:pPr>
        <w:jc w:val="both"/>
        <w:ind w:firstLine="1755"/>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6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United States Securities Act of 1933, as amended.</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Short-Term U.S. Government Securities</w:t>
      </w:r>
      <w:r>
        <w:rPr>
          <w:rFonts w:ascii="Times New Roman" w:cs="Times New Roman" w:eastAsia="Times New Roman" w:hAnsi="Times New Roman"/>
          <w:sz w:val="22"/>
          <w:szCs w:val="22"/>
          <w:color w:val="auto"/>
        </w:rPr>
        <w:t>” means U.S. Government Securities maturing within one year of the applicable date of determination.</w:t>
      </w:r>
    </w:p>
    <w:p>
      <w:pPr>
        <w:spacing w:after="0" w:line="158"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Structured Finance Obligation</w:t>
      </w:r>
      <w:r>
        <w:rPr>
          <w:rFonts w:ascii="Times New Roman" w:cs="Times New Roman" w:eastAsia="Times New Roman" w:hAnsi="Times New Roman"/>
          <w:sz w:val="22"/>
          <w:szCs w:val="22"/>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Unitranche Loan</w:t>
      </w:r>
      <w:r>
        <w:rPr>
          <w:rFonts w:ascii="Times New Roman" w:cs="Times New Roman" w:eastAsia="Times New Roman" w:hAnsi="Times New Roman"/>
          <w:sz w:val="22"/>
          <w:szCs w:val="22"/>
          <w:color w:val="auto"/>
        </w:rPr>
        <w:t>” 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the Facility.</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means, with respect to any Portfolio Investment, the lower of:</w:t>
      </w:r>
    </w:p>
    <w:p>
      <w:pPr>
        <w:spacing w:after="0" w:line="206" w:lineRule="exact"/>
        <w:rPr>
          <w:sz w:val="20"/>
          <w:szCs w:val="20"/>
          <w:color w:val="auto"/>
        </w:rPr>
      </w:pPr>
    </w:p>
    <w:p>
      <w:pPr>
        <w:ind w:left="1960" w:hanging="264"/>
        <w:spacing w:after="0"/>
        <w:tabs>
          <w:tab w:leader="none" w:pos="196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most recent internal market value as determined pursuant to </w:t>
      </w:r>
      <w:r>
        <w:rPr>
          <w:rFonts w:ascii="Times New Roman" w:cs="Times New Roman" w:eastAsia="Times New Roman" w:hAnsi="Times New Roman"/>
          <w:sz w:val="22"/>
          <w:szCs w:val="22"/>
          <w:u w:val="single" w:color="auto"/>
          <w:color w:val="auto"/>
        </w:rPr>
        <w:t>Section 5.12(b)(ii)(C)</w:t>
      </w:r>
      <w:r>
        <w:rPr>
          <w:rFonts w:ascii="Times New Roman" w:cs="Times New Roman" w:eastAsia="Times New Roman" w:hAnsi="Times New Roman"/>
          <w:sz w:val="22"/>
          <w:szCs w:val="22"/>
          <w:color w:val="auto"/>
        </w:rPr>
        <w:t xml:space="preserve"> and</w:t>
      </w:r>
    </w:p>
    <w:p>
      <w:pPr>
        <w:spacing w:after="0" w:line="206" w:lineRule="exact"/>
        <w:rPr>
          <w:rFonts w:ascii="Times New Roman" w:cs="Times New Roman" w:eastAsia="Times New Roman" w:hAnsi="Times New Roman"/>
          <w:sz w:val="22"/>
          <w:szCs w:val="22"/>
          <w:color w:val="auto"/>
        </w:rPr>
      </w:pPr>
    </w:p>
    <w:p>
      <w:pPr>
        <w:ind w:left="2020" w:hanging="324"/>
        <w:spacing w:after="0"/>
        <w:tabs>
          <w:tab w:leader="none" w:pos="202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most recent external market value as determined pursuant to </w:t>
      </w:r>
      <w:r>
        <w:rPr>
          <w:rFonts w:ascii="Times New Roman" w:cs="Times New Roman" w:eastAsia="Times New Roman" w:hAnsi="Times New Roman"/>
          <w:sz w:val="22"/>
          <w:szCs w:val="22"/>
          <w:u w:val="single" w:color="auto"/>
          <w:color w:val="auto"/>
        </w:rPr>
        <w:t>Section 5.12(b)(ii)(A)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3773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9">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3773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55"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97</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NEGATIVE COVENANTS</w:t>
      </w:r>
    </w:p>
    <w:p>
      <w:pPr>
        <w:spacing w:after="0" w:line="206" w:lineRule="exact"/>
        <w:rPr>
          <w:sz w:val="20"/>
          <w:szCs w:val="20"/>
          <w:color w:val="auto"/>
        </w:rPr>
      </w:pPr>
    </w:p>
    <w:p>
      <w:pPr>
        <w:jc w:val="both"/>
        <w:ind w:right="20" w:firstLine="1755"/>
        <w:spacing w:after="0" w:line="244" w:lineRule="auto"/>
        <w:rPr>
          <w:sz w:val="20"/>
          <w:szCs w:val="20"/>
          <w:color w:val="auto"/>
        </w:rPr>
      </w:pPr>
      <w:r>
        <w:rPr>
          <w:rFonts w:ascii="Times New Roman" w:cs="Times New Roman" w:eastAsia="Times New Roman" w:hAnsi="Times New Roman"/>
          <w:sz w:val="22"/>
          <w:szCs w:val="22"/>
          <w:color w:val="auto"/>
        </w:rPr>
        <w:t>Until the Commitments have expired or terminated and the principal of and interest on each Loan and all fees payable hereunder have been paid in full and all Letters of Credit have expired, been terminated, Cash Collateralized or backstopped and all LC Disbursements shall have been reimbursed, the Borrower covenants and agrees with the Lenders that:</w:t>
      </w:r>
    </w:p>
    <w:p>
      <w:pPr>
        <w:spacing w:after="0" w:line="174"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Subject to the last sentence of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the Borrower will not, nor will it permit any of the Subsidiary Guarantors to, create, incur, assume or permit to exist any Indebtedness, except:</w:t>
      </w:r>
    </w:p>
    <w:p>
      <w:pPr>
        <w:spacing w:after="0" w:line="158" w:lineRule="exact"/>
        <w:rPr>
          <w:sz w:val="20"/>
          <w:szCs w:val="20"/>
          <w:color w:val="auto"/>
        </w:rPr>
      </w:pPr>
    </w:p>
    <w:p>
      <w:pPr>
        <w:ind w:left="2660" w:hanging="897"/>
        <w:spacing w:after="0"/>
        <w:tabs>
          <w:tab w:leader="none" w:pos="266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created hereunder or under any other Loan Document;</w:t>
      </w:r>
    </w:p>
    <w:p>
      <w:pPr>
        <w:spacing w:after="0" w:line="206" w:lineRule="exact"/>
        <w:rPr>
          <w:rFonts w:ascii="Times New Roman" w:cs="Times New Roman" w:eastAsia="Times New Roman" w:hAnsi="Times New Roman"/>
          <w:sz w:val="22"/>
          <w:szCs w:val="22"/>
          <w:color w:val="auto"/>
        </w:rPr>
      </w:pPr>
    </w:p>
    <w:p>
      <w:pPr>
        <w:jc w:val="both"/>
        <w:ind w:firstLine="1763"/>
        <w:spacing w:after="0" w:line="236" w:lineRule="auto"/>
        <w:tabs>
          <w:tab w:leader="none" w:pos="2655"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Secured Longer-Term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Times New Roman" w:cs="Times New Roman" w:eastAsia="Times New Roman" w:hAnsi="Times New Roman"/>
          <w:sz w:val="22"/>
          <w:szCs w:val="22"/>
          <w:u w:val="single" w:color="auto"/>
          <w:color w:val="auto"/>
        </w:rPr>
        <w:t>Sections 6.07(c)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and (iii) prior to and immediately after giving effect to the incurrence of any Secured Longer-Term Indebtedness, the Covered Debt Amount does not or would not exceed the Borrowing Base then in effect;</w:t>
      </w:r>
    </w:p>
    <w:p>
      <w:pPr>
        <w:spacing w:after="0" w:line="182"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Permitted Indebtedness;</w:t>
      </w:r>
    </w:p>
    <w:p>
      <w:pPr>
        <w:spacing w:after="0" w:line="206"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of Indebtedness otherwise permitted hereunder;</w:t>
      </w:r>
    </w:p>
    <w:p>
      <w:pPr>
        <w:spacing w:after="0" w:line="206" w:lineRule="exact"/>
        <w:rPr>
          <w:rFonts w:ascii="Times New Roman" w:cs="Times New Roman" w:eastAsia="Times New Roman" w:hAnsi="Times New Roman"/>
          <w:sz w:val="22"/>
          <w:szCs w:val="22"/>
          <w:color w:val="auto"/>
        </w:rPr>
      </w:pPr>
    </w:p>
    <w:p>
      <w:pPr>
        <w:ind w:firstLine="1763"/>
        <w:spacing w:after="0" w:line="258" w:lineRule="auto"/>
        <w:tabs>
          <w:tab w:leader="none" w:pos="2643"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any Obligor owing to any other Obligor or, if such Indebtedness is subject to subordination terms and conditions that are satisfactory to the Administrative Agent, any other Subsidiary of the Borrower;</w:t>
      </w:r>
    </w:p>
    <w:p>
      <w:pPr>
        <w:spacing w:after="0" w:line="158" w:lineRule="exact"/>
        <w:rPr>
          <w:rFonts w:ascii="Times New Roman" w:cs="Times New Roman" w:eastAsia="Times New Roman" w:hAnsi="Times New Roman"/>
          <w:sz w:val="22"/>
          <w:szCs w:val="22"/>
          <w:color w:val="auto"/>
        </w:rPr>
      </w:pPr>
    </w:p>
    <w:p>
      <w:pPr>
        <w:ind w:left="2620" w:hanging="857"/>
        <w:spacing w:after="0"/>
        <w:tabs>
          <w:tab w:leader="none" w:pos="262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Financing Subsidiaries;</w:t>
      </w:r>
    </w:p>
    <w:p>
      <w:pPr>
        <w:spacing w:after="0" w:line="206"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obligations arising in the ordinary course of business with respect to U.S. Government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w:t>
      </w:r>
    </w:p>
    <w:p>
      <w:pPr>
        <w:spacing w:after="0" w:line="182" w:lineRule="exact"/>
        <w:rPr>
          <w:rFonts w:ascii="Times New Roman" w:cs="Times New Roman" w:eastAsia="Times New Roman" w:hAnsi="Times New Roman"/>
          <w:sz w:val="22"/>
          <w:szCs w:val="22"/>
          <w:color w:val="auto"/>
        </w:rPr>
      </w:pPr>
    </w:p>
    <w:p>
      <w:pPr>
        <w:ind w:firstLine="1763"/>
        <w:spacing w:after="0" w:line="258" w:lineRule="auto"/>
        <w:tabs>
          <w:tab w:leader="none" w:pos="2655"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payable to clearing agencies, brokers or dealers in connection with the purchase or sale of securities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1763"/>
        <w:spacing w:after="0" w:line="236" w:lineRule="auto"/>
        <w:tabs>
          <w:tab w:leader="none" w:pos="2607"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Secured Shorter-Term Indebtedness so long as (i) no Default exists at the time of the incurrence thereof, (ii) the aggregate amount (determined at the time of the incurrence of such Indebtedness) of such Indebtedness does not exceed the greater of (A) $20,000,000 and (B) 5% of Borrower Net Worth, (iii) the aggregate amount of such Indebtedness, taken together with other then-outstanding Indebtedness, does not exceed the amount required to comply with the provisions of </w:t>
      </w:r>
      <w:r>
        <w:rPr>
          <w:rFonts w:ascii="Times New Roman" w:cs="Times New Roman" w:eastAsia="Times New Roman" w:hAnsi="Times New Roman"/>
          <w:sz w:val="22"/>
          <w:szCs w:val="22"/>
          <w:u w:val="single" w:color="auto"/>
          <w:color w:val="auto"/>
        </w:rPr>
        <w:t>Sections 6.07(c)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and (iv) prior to and immediately after giving effect to the incurrence of any such Indebtedness, the Covered Debt Amount does not or would not exceed the Borrowing Base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3773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2">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3773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1"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98</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5" w:name="page256"/>
    <w:bookmarkEnd w:id="255"/>
    <w:p>
      <w:pPr>
        <w:ind w:left="2620" w:hanging="857"/>
        <w:spacing w:after="0"/>
        <w:tabs>
          <w:tab w:leader="none" w:pos="262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(including Guarantees) in respect of Standard Securitization Undertakings;</w:t>
      </w:r>
    </w:p>
    <w:p>
      <w:pPr>
        <w:spacing w:after="0" w:line="206"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SBIC Guarantees;</w:t>
      </w:r>
    </w:p>
    <w:p>
      <w:pPr>
        <w:spacing w:after="0" w:line="206" w:lineRule="exact"/>
        <w:rPr>
          <w:rFonts w:ascii="Times New Roman" w:cs="Times New Roman" w:eastAsia="Times New Roman" w:hAnsi="Times New Roman"/>
          <w:sz w:val="22"/>
          <w:szCs w:val="22"/>
          <w:color w:val="auto"/>
        </w:rPr>
      </w:pPr>
    </w:p>
    <w:p>
      <w:pPr>
        <w:ind w:left="2620" w:hanging="857"/>
        <w:spacing w:after="0"/>
        <w:tabs>
          <w:tab w:leader="none" w:pos="262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pursuant to the 2019 Convertible Notes, the 2022 Convertible Notes, or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2023 Notes;</w:t>
      </w:r>
    </w:p>
    <w:p>
      <w:pPr>
        <w:spacing w:after="0" w:line="182" w:lineRule="exact"/>
        <w:rPr>
          <w:sz w:val="20"/>
          <w:szCs w:val="20"/>
          <w:color w:val="auto"/>
        </w:rPr>
      </w:pPr>
    </w:p>
    <w:p>
      <w:pPr>
        <w:jc w:val="both"/>
        <w:ind w:firstLine="1763"/>
        <w:spacing w:after="0" w:line="234" w:lineRule="auto"/>
        <w:tabs>
          <w:tab w:leader="none" w:pos="2715"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Unsecured Shorter-Term Indebtedness (other than Special Unsecured Indebtedness that would otherwise constitute Unsecured Shorter-Term Indebtedness) so long as (i) no Default exists at the time of the incurrence thereof, (ii) the aggregate amount (determined at the time of the incurrence of such Indebtedness) of such Indebtedness does not exceed $150,000,000, (iii) the aggregate amount (determined at the time of the incurrence of such Indebtedness) of such Indebtedness, taken together with then-outstanding Special Unsecured Indebtedness incurred pursuant to </w:t>
      </w:r>
      <w:r>
        <w:rPr>
          <w:rFonts w:ascii="Times New Roman" w:cs="Times New Roman" w:eastAsia="Times New Roman" w:hAnsi="Times New Roman"/>
          <w:sz w:val="22"/>
          <w:szCs w:val="22"/>
          <w:u w:val="single" w:color="auto"/>
          <w:color w:val="auto"/>
        </w:rPr>
        <w:t>Section 6.01(n)</w:t>
      </w:r>
      <w:r>
        <w:rPr>
          <w:rFonts w:ascii="Times New Roman" w:cs="Times New Roman" w:eastAsia="Times New Roman" w:hAnsi="Times New Roman"/>
          <w:sz w:val="22"/>
          <w:szCs w:val="22"/>
          <w:color w:val="auto"/>
        </w:rPr>
        <w:t xml:space="preserve">, does not exceed $500,000,000, (iv) the aggregate amount of such Indebtedness, taken together with other then-outstanding Indebtedness, does not exceed the amount required to comply with the provisions of </w:t>
      </w:r>
      <w:r>
        <w:rPr>
          <w:rFonts w:ascii="Times New Roman" w:cs="Times New Roman" w:eastAsia="Times New Roman" w:hAnsi="Times New Roman"/>
          <w:sz w:val="22"/>
          <w:szCs w:val="22"/>
          <w:u w:val="single" w:color="auto"/>
          <w:color w:val="auto"/>
        </w:rPr>
        <w:t>Sections 6.07(c)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and (v) prior to and immediately after giving effect to the incurrence of any such Indebtedness, the Covered Debt Amount does not or would not exceed the Borrowing Base then in effect;</w:t>
      </w:r>
    </w:p>
    <w:p>
      <w:pPr>
        <w:spacing w:after="0" w:line="184"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1"/>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Special Unsecured Indebtedness so long as (i) no Default exists at the time of the incurrence thereof,</w:t>
      </w:r>
    </w:p>
    <w:p>
      <w:pPr>
        <w:spacing w:after="0" w:line="25" w:lineRule="exact"/>
        <w:rPr>
          <w:rFonts w:ascii="Times New Roman" w:cs="Times New Roman" w:eastAsia="Times New Roman" w:hAnsi="Times New Roman"/>
          <w:sz w:val="21"/>
          <w:szCs w:val="21"/>
          <w:color w:val="auto"/>
        </w:rPr>
      </w:pPr>
    </w:p>
    <w:p>
      <w:pPr>
        <w:jc w:val="both"/>
        <w:ind w:firstLine="8"/>
        <w:spacing w:after="0" w:line="232" w:lineRule="auto"/>
        <w:tabs>
          <w:tab w:leader="none" w:pos="339"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(determined at the time of the incurrence of such Indebtedness) of such Indebtedness does not exceed $400,000,000, (iii) the aggregate amount (determined at the time of the incurrence of such Indebtedness) of such Indebtedness, taken together with then-outstanding Unsecured Shorter-Term Indebtedness incurred pursuant to </w:t>
      </w:r>
      <w:r>
        <w:rPr>
          <w:rFonts w:ascii="Times New Roman" w:cs="Times New Roman" w:eastAsia="Times New Roman" w:hAnsi="Times New Roman"/>
          <w:sz w:val="22"/>
          <w:szCs w:val="22"/>
          <w:u w:val="single" w:color="auto"/>
          <w:color w:val="auto"/>
        </w:rPr>
        <w:t>Section 6.01(m)</w:t>
      </w:r>
      <w:r>
        <w:rPr>
          <w:rFonts w:ascii="Times New Roman" w:cs="Times New Roman" w:eastAsia="Times New Roman" w:hAnsi="Times New Roman"/>
          <w:sz w:val="22"/>
          <w:szCs w:val="22"/>
          <w:color w:val="auto"/>
        </w:rPr>
        <w:t xml:space="preserve">, does not exceed $500,000,000, (iv) the aggregate amount of such Indebtedness, taken together with other then-outstanding Indebtedness, does not exceed the amount required to comply with the provisions of </w:t>
      </w:r>
      <w:r>
        <w:rPr>
          <w:rFonts w:ascii="Times New Roman" w:cs="Times New Roman" w:eastAsia="Times New Roman" w:hAnsi="Times New Roman"/>
          <w:sz w:val="22"/>
          <w:szCs w:val="22"/>
          <w:u w:val="single" w:color="auto"/>
          <w:color w:val="auto"/>
        </w:rPr>
        <w:t>Sections 6.07(c)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and (v) prior to and immediately after giving effect to the incurrence of any such Indebtedness, the Covered Debt Amount does not or would not exceed the Borrowing Base then in effect; and</w:t>
      </w:r>
    </w:p>
    <w:p>
      <w:pPr>
        <w:spacing w:after="0" w:line="181"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1"/>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Indebtedness not to exceed the greater of (i) $25,000,000 and (ii) 5% of Borrower Net Worth at</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time outstanding.</w:t>
      </w:r>
    </w:p>
    <w:p>
      <w:pPr>
        <w:spacing w:after="0" w:line="182"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spacing w:after="0" w:line="174" w:lineRule="exact"/>
        <w:rPr>
          <w:sz w:val="20"/>
          <w:szCs w:val="20"/>
          <w:color w:val="auto"/>
        </w:rPr>
      </w:pPr>
    </w:p>
    <w:p>
      <w:pPr>
        <w:jc w:val="both"/>
        <w:ind w:firstLine="1763"/>
        <w:spacing w:after="0" w:line="239" w:lineRule="auto"/>
        <w:tabs>
          <w:tab w:leader="none" w:pos="2643"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on any property or asset of the Borrower existing on the Original Effective Date and set forth in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 such Lien shall extend to any other property or asset of the Borrower or any of the Subsidiary Guarantors, and (ii) any such Lien shall secure only those obligations which it secures on the Original Effective Date and extensions, renewals and replacements thereof that do not increase the outstanding principal amount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5">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0" w:lineRule="exact"/>
        <w:rPr>
          <w:sz w:val="20"/>
          <w:szCs w:val="20"/>
          <w:color w:val="auto"/>
        </w:rPr>
      </w:pPr>
    </w:p>
    <w:p>
      <w:pPr>
        <w:spacing w:after="0"/>
        <w:tabs>
          <w:tab w:leader="none" w:pos="560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99</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6" w:name="page257"/>
    <w:bookmarkEnd w:id="256"/>
    <w:p>
      <w:pPr>
        <w:ind w:firstLine="1763"/>
        <w:spacing w:after="0" w:line="282" w:lineRule="auto"/>
        <w:tabs>
          <w:tab w:leader="none" w:pos="2655"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created pursuant to this Agreement (including </w:t>
      </w:r>
      <w:r>
        <w:rPr>
          <w:rFonts w:ascii="Times New Roman" w:cs="Times New Roman" w:eastAsia="Times New Roman" w:hAnsi="Times New Roman"/>
          <w:sz w:val="21"/>
          <w:szCs w:val="21"/>
          <w:u w:val="single" w:color="auto"/>
          <w:color w:val="auto"/>
        </w:rPr>
        <w:t>Section 2.19</w:t>
      </w:r>
      <w:r>
        <w:rPr>
          <w:rFonts w:ascii="Times New Roman" w:cs="Times New Roman" w:eastAsia="Times New Roman" w:hAnsi="Times New Roman"/>
          <w:sz w:val="21"/>
          <w:szCs w:val="21"/>
          <w:color w:val="auto"/>
        </w:rPr>
        <w:t>) or any of the Security Documents (including Liens in favor of the Designated Indebtedness Holders (as defined in the Guarantee and Security Agreement));</w:t>
      </w:r>
    </w:p>
    <w:p>
      <w:pPr>
        <w:spacing w:after="0" w:line="134" w:lineRule="exact"/>
        <w:rPr>
          <w:rFonts w:ascii="Times New Roman" w:cs="Times New Roman" w:eastAsia="Times New Roman" w:hAnsi="Times New Roman"/>
          <w:sz w:val="21"/>
          <w:szCs w:val="21"/>
          <w:color w:val="auto"/>
        </w:rPr>
      </w:pPr>
    </w:p>
    <w:p>
      <w:pPr>
        <w:ind w:left="2660" w:hanging="897"/>
        <w:spacing w:after="0"/>
        <w:tabs>
          <w:tab w:leader="none" w:pos="266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the assets of a Financing Subsidiary securing obligations of such Financing Subsidiary;</w:t>
      </w:r>
    </w:p>
    <w:p>
      <w:pPr>
        <w:spacing w:after="0" w:line="206" w:lineRule="exact"/>
        <w:rPr>
          <w:rFonts w:ascii="Times New Roman" w:cs="Times New Roman" w:eastAsia="Times New Roman" w:hAnsi="Times New Roman"/>
          <w:sz w:val="22"/>
          <w:szCs w:val="22"/>
          <w:color w:val="auto"/>
        </w:rPr>
      </w:pPr>
    </w:p>
    <w:p>
      <w:pPr>
        <w:ind w:firstLine="1763"/>
        <w:spacing w:after="0" w:line="258" w:lineRule="auto"/>
        <w:tabs>
          <w:tab w:leader="none" w:pos="2655"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Special Equity Interests included in the Portfolio Investments of the Borrower but only to the extent securing obligations in the manner provided in the definition of “</w:t>
      </w:r>
      <w:r>
        <w:rPr>
          <w:rFonts w:ascii="Times New Roman" w:cs="Times New Roman" w:eastAsia="Times New Roman" w:hAnsi="Times New Roman"/>
          <w:sz w:val="22"/>
          <w:szCs w:val="22"/>
          <w:u w:val="single" w:color="auto"/>
          <w:color w:val="auto"/>
        </w:rPr>
        <w:t>Special Equity Interests</w:t>
      </w:r>
      <w:r>
        <w:rPr>
          <w:rFonts w:ascii="Times New Roman" w:cs="Times New Roman" w:eastAsia="Times New Roman" w:hAnsi="Times New Roman"/>
          <w:sz w:val="22"/>
          <w:szCs w:val="22"/>
          <w:color w:val="auto"/>
        </w:rPr>
        <w:t xml:space="preserve">”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763"/>
        <w:spacing w:after="0" w:line="236" w:lineRule="auto"/>
        <w:tabs>
          <w:tab w:leader="none" w:pos="2643"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or other obligations in an aggregate principal amount not exceeding the greater of (i) $25,000,000 and (ii) 5% of Borrower Net Worth at any one time outstanding (which may cover Portfolio Investments, but only to the extent released from the Lien in favor of the Collateral Agent pursuant to Section 10.03 of the Guarantee and Security Agreement), so long as at the time of incurrence of such Indebtedness or other obligations, the aggregate amount of Indebtedness permitted under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does not exceed the lesser of (i) the Borrowing Base and (ii) the amount required to comply with the provisions of </w:t>
      </w:r>
      <w:r>
        <w:rPr>
          <w:rFonts w:ascii="Times New Roman" w:cs="Times New Roman" w:eastAsia="Times New Roman" w:hAnsi="Times New Roman"/>
          <w:sz w:val="22"/>
          <w:szCs w:val="22"/>
          <w:u w:val="single" w:color="auto"/>
          <w:color w:val="auto"/>
        </w:rPr>
        <w:t>Sections 6.07(c)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left="2620" w:hanging="857"/>
        <w:spacing w:after="0"/>
        <w:tabs>
          <w:tab w:leader="none" w:pos="262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w:t>
      </w:r>
    </w:p>
    <w:p>
      <w:pPr>
        <w:spacing w:after="0" w:line="206"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Equity Interests in any SBIC Subsidiary created in favor of the SBA;</w:t>
      </w:r>
    </w:p>
    <w:p>
      <w:pPr>
        <w:spacing w:after="0" w:line="206"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1763"/>
        <w:spacing w:after="0" w:line="234" w:lineRule="auto"/>
        <w:tabs>
          <w:tab w:leader="none" w:pos="2607"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(x) Liens securing Hedging Agreements permitted under </w:t>
      </w:r>
      <w:r>
        <w:rPr>
          <w:rFonts w:ascii="Times New Roman" w:cs="Times New Roman" w:eastAsia="Times New Roman" w:hAnsi="Times New Roman"/>
          <w:sz w:val="22"/>
          <w:szCs w:val="22"/>
          <w:u w:val="single" w:color="auto"/>
          <w:color w:val="auto"/>
        </w:rPr>
        <w:t>Section 6.04(c)</w:t>
      </w:r>
      <w:r>
        <w:rPr>
          <w:rFonts w:ascii="Times New Roman" w:cs="Times New Roman" w:eastAsia="Times New Roman" w:hAnsi="Times New Roman"/>
          <w:sz w:val="22"/>
          <w:szCs w:val="22"/>
          <w:color w:val="auto"/>
        </w:rPr>
        <w:t xml:space="preserve"> and not otherwise permitted under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in an aggregate amount not to exceed $15,000,000 at any time and (y) Liens incurred in connection with any Hedging Agreement either 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w:t>
      </w:r>
      <w:r>
        <w:rPr>
          <w:rFonts w:ascii="Times New Roman" w:cs="Times New Roman" w:eastAsia="Times New Roman" w:hAnsi="Times New Roman"/>
          <w:sz w:val="22"/>
          <w:szCs w:val="22"/>
          <w:u w:val="single" w:color="auto"/>
          <w:color w:val="auto"/>
        </w:rPr>
        <w:t>sub-clause (y)</w:t>
      </w:r>
      <w:r>
        <w:rPr>
          <w:rFonts w:ascii="Times New Roman" w:cs="Times New Roman" w:eastAsia="Times New Roman" w:hAnsi="Times New Roman"/>
          <w:sz w:val="22"/>
          <w:szCs w:val="22"/>
          <w:color w:val="auto"/>
        </w:rPr>
        <w:t xml:space="preserve"> even if such Lender has assigned all of its Loans and other interests in the Credit Agreement and thus has ceased to be a Lender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Obligor be permitted to create, incur or assume any Lien pursuant to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increase the aggregate amount of collateral securing any Liens previously permitted under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unless both before and after giving effect to the creation, incurrence or assumption of such Lien or such increase in the aggregate amount of collateral securing such Lien the Covered Debt Amount does not exceed the Borrowing Base (after giving effect to the exclusion of all such collateral from the Borrowing Base); and</w:t>
      </w:r>
    </w:p>
    <w:p>
      <w:pPr>
        <w:spacing w:after="0" w:line="176" w:lineRule="exact"/>
        <w:rPr>
          <w:rFonts w:ascii="Times New Roman" w:cs="Times New Roman" w:eastAsia="Times New Roman" w:hAnsi="Times New Roman"/>
          <w:sz w:val="22"/>
          <w:szCs w:val="22"/>
          <w:color w:val="auto"/>
        </w:rPr>
      </w:pPr>
    </w:p>
    <w:p>
      <w:pPr>
        <w:ind w:left="2620" w:hanging="857"/>
        <w:spacing w:after="0"/>
        <w:tabs>
          <w:tab w:leader="none" w:pos="262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repurchase obligations arising in the ordinary course of business with respect to U.S.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 Securities.</w:t>
      </w:r>
    </w:p>
    <w:p>
      <w:pPr>
        <w:spacing w:after="0" w:line="182"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Fundamental Changes</w:t>
      </w:r>
      <w:r>
        <w:rPr>
          <w:rFonts w:ascii="Times New Roman" w:cs="Times New Roman" w:eastAsia="Times New Roman" w:hAnsi="Times New Roman"/>
          <w:sz w:val="22"/>
          <w:szCs w:val="22"/>
          <w:color w:val="auto"/>
        </w:rPr>
        <w:t>. The Borrower will not, nor will it permit any of the Subsidiary Guarantors to, enter into any transaction of merger or consolidation or amalgamation, or liquidate, wind up or dissolve itself (or suffer any liquidation or dissolution).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3773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3773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100</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7" w:name="page258"/>
    <w:bookmarkEnd w:id="257"/>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Times New Roman" w:cs="Times New Roman" w:eastAsia="Times New Roman" w:hAnsi="Times New Roman"/>
          <w:sz w:val="21"/>
          <w:szCs w:val="21"/>
          <w:u w:val="single" w:color="auto"/>
          <w:color w:val="auto"/>
        </w:rPr>
        <w:t>clauses (d)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below, Portfolio Investments.</w:t>
      </w:r>
    </w:p>
    <w:p>
      <w:pPr>
        <w:spacing w:after="0" w:line="17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Notwithstanding the foregoing provisions of this Section:</w:t>
      </w:r>
    </w:p>
    <w:p>
      <w:pPr>
        <w:spacing w:after="0" w:line="206" w:lineRule="exact"/>
        <w:rPr>
          <w:sz w:val="20"/>
          <w:szCs w:val="20"/>
          <w:color w:val="auto"/>
        </w:rPr>
      </w:pPr>
    </w:p>
    <w:p>
      <w:pPr>
        <w:jc w:val="both"/>
        <w:ind w:firstLine="1763"/>
        <w:spacing w:after="0" w:line="244" w:lineRule="auto"/>
        <w:tabs>
          <w:tab w:leader="none" w:pos="2643"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Guarantor of the Borrower may be merged or consolidated with or into the Borrower or any other Subsidiary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such transaction shall be between a Subsidiary Guarantor and a wholly owned Subsidiary Guarantor, the wholly owned Subsidiary Guarantor shall be the continuing or surviving corporation;</w:t>
      </w:r>
    </w:p>
    <w:p>
      <w:pPr>
        <w:spacing w:after="0" w:line="173" w:lineRule="exact"/>
        <w:rPr>
          <w:rFonts w:ascii="Times New Roman" w:cs="Times New Roman" w:eastAsia="Times New Roman" w:hAnsi="Times New Roman"/>
          <w:sz w:val="22"/>
          <w:szCs w:val="22"/>
          <w:color w:val="auto"/>
        </w:rPr>
      </w:pPr>
    </w:p>
    <w:p>
      <w:pPr>
        <w:jc w:val="both"/>
        <w:ind w:right="20" w:firstLine="1763"/>
        <w:spacing w:after="0" w:line="282" w:lineRule="auto"/>
        <w:tabs>
          <w:tab w:leader="none" w:pos="2655"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Subsidiary Guarantor of the Borrower may sell, lease, transfer or otherwise dispose of any or all of its assets (upon voluntary liquidation or otherwise) to the Borrower or any wholly owned Subsidiary Guarantor of the Borrower;</w:t>
      </w:r>
    </w:p>
    <w:p>
      <w:pPr>
        <w:spacing w:after="0" w:line="134" w:lineRule="exact"/>
        <w:rPr>
          <w:rFonts w:ascii="Times New Roman" w:cs="Times New Roman" w:eastAsia="Times New Roman" w:hAnsi="Times New Roman"/>
          <w:sz w:val="21"/>
          <w:szCs w:val="21"/>
          <w:color w:val="auto"/>
        </w:rPr>
      </w:pPr>
    </w:p>
    <w:p>
      <w:pPr>
        <w:ind w:right="20" w:firstLine="1763"/>
        <w:spacing w:after="0" w:line="258" w:lineRule="auto"/>
        <w:tabs>
          <w:tab w:leader="none" w:pos="2643"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capital stock of any Subsidiary of the Borrower may be sold, transferred or otherwise disposed of to the Borrower or any wholly owned Subsidiary Guarantor of the Borrower;</w:t>
      </w:r>
    </w:p>
    <w:p>
      <w:pPr>
        <w:spacing w:after="0" w:line="158" w:lineRule="exact"/>
        <w:rPr>
          <w:rFonts w:ascii="Times New Roman" w:cs="Times New Roman" w:eastAsia="Times New Roman" w:hAnsi="Times New Roman"/>
          <w:sz w:val="22"/>
          <w:szCs w:val="22"/>
          <w:color w:val="auto"/>
        </w:rPr>
      </w:pPr>
    </w:p>
    <w:p>
      <w:pPr>
        <w:jc w:val="both"/>
        <w:ind w:firstLine="1763"/>
        <w:spacing w:after="0" w:line="239" w:lineRule="auto"/>
        <w:tabs>
          <w:tab w:leader="none" w:pos="2655"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Obligors may sell, transfer or otherwise dispose of Portfolio Investments (other than to a Financing Subsidiary) so long as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w:t>
      </w:r>
    </w:p>
    <w:p>
      <w:pPr>
        <w:spacing w:after="0" w:line="180" w:lineRule="exact"/>
        <w:rPr>
          <w:rFonts w:ascii="Times New Roman" w:cs="Times New Roman" w:eastAsia="Times New Roman" w:hAnsi="Times New Roman"/>
          <w:sz w:val="22"/>
          <w:szCs w:val="22"/>
          <w:color w:val="auto"/>
        </w:rPr>
      </w:pPr>
    </w:p>
    <w:p>
      <w:pPr>
        <w:jc w:val="both"/>
        <w:ind w:firstLine="1763"/>
        <w:spacing w:after="0" w:line="235" w:lineRule="auto"/>
        <w:tabs>
          <w:tab w:leader="none" w:pos="2643"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Obligors may sell, transfer or otherwise dispose of Portfolio Investments to a Financing Subsidiary so long as (i)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83" w:lineRule="exact"/>
        <w:rPr>
          <w:rFonts w:ascii="Times New Roman" w:cs="Times New Roman" w:eastAsia="Times New Roman" w:hAnsi="Times New Roman"/>
          <w:sz w:val="22"/>
          <w:szCs w:val="22"/>
          <w:color w:val="auto"/>
        </w:rPr>
      </w:pPr>
    </w:p>
    <w:p>
      <w:pPr>
        <w:ind w:right="20" w:firstLine="1763"/>
        <w:spacing w:after="0" w:line="258" w:lineRule="auto"/>
        <w:tabs>
          <w:tab w:leader="none" w:pos="2619"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merge or consolidate with, or acquire all or substantially all of the assets of, any other Person so long as (i) the Borrower is the continuing or surviving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3773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1">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3773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7"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101</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8" w:name="page259"/>
    <w:bookmarkEnd w:id="258"/>
    <w:p>
      <w:pPr>
        <w:spacing w:after="0" w:line="258" w:lineRule="auto"/>
        <w:rPr>
          <w:sz w:val="20"/>
          <w:szCs w:val="20"/>
          <w:color w:val="auto"/>
        </w:rPr>
      </w:pPr>
      <w:r>
        <w:rPr>
          <w:rFonts w:ascii="Times New Roman" w:cs="Times New Roman" w:eastAsia="Times New Roman" w:hAnsi="Times New Roman"/>
          <w:sz w:val="22"/>
          <w:szCs w:val="22"/>
          <w:color w:val="auto"/>
        </w:rPr>
        <w:t>entity in such transaction and (ii) at the time thereof and after giving effect thereto, no Default shall have occurred or be continuing; and</w:t>
      </w:r>
    </w:p>
    <w:p>
      <w:pPr>
        <w:spacing w:after="0" w:line="158" w:lineRule="exact"/>
        <w:rPr>
          <w:sz w:val="20"/>
          <w:szCs w:val="20"/>
          <w:color w:val="auto"/>
        </w:rPr>
      </w:pPr>
    </w:p>
    <w:p>
      <w:pPr>
        <w:jc w:val="both"/>
        <w:ind w:firstLine="1763"/>
        <w:spacing w:after="0" w:line="244" w:lineRule="auto"/>
        <w:tabs>
          <w:tab w:leader="none" w:pos="2655"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each of the Subsidiary Guarantors may sell, lease, transfer or otherwise dispose of equipment or other property or assets that do not consist of Portfolio Investments so long as the aggregate amount of all such sales, leases, transfer and dispositions does not exceed $5,000,000 in any fiscal year.</w:t>
      </w:r>
    </w:p>
    <w:p>
      <w:pPr>
        <w:spacing w:after="0" w:line="174" w:lineRule="exact"/>
        <w:rPr>
          <w:sz w:val="20"/>
          <w:szCs w:val="20"/>
          <w:color w:val="auto"/>
        </w:rPr>
      </w:pPr>
    </w:p>
    <w:p>
      <w:pPr>
        <w:ind w:firstLine="1755"/>
        <w:spacing w:after="0" w:line="258"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The Borrower will not, nor will it permit any of the Subsidiary Guarantors to, acquire, make or enter into, or hold, any Investments except:</w:t>
      </w:r>
    </w:p>
    <w:p>
      <w:pPr>
        <w:spacing w:after="0" w:line="158" w:lineRule="exact"/>
        <w:rPr>
          <w:sz w:val="20"/>
          <w:szCs w:val="20"/>
          <w:color w:val="auto"/>
        </w:rPr>
      </w:pPr>
    </w:p>
    <w:p>
      <w:pPr>
        <w:ind w:left="2660" w:hanging="897"/>
        <w:spacing w:after="0"/>
        <w:tabs>
          <w:tab w:leader="none" w:pos="266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deposit accounts with banks;</w:t>
      </w:r>
    </w:p>
    <w:p>
      <w:pPr>
        <w:spacing w:after="0" w:line="206"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the Borrower and the Subsidiary Guarantors in the Borrower and the Subsidiary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Guarantors;</w:t>
      </w:r>
    </w:p>
    <w:p>
      <w:pPr>
        <w:spacing w:after="0" w:line="182" w:lineRule="exact"/>
        <w:rPr>
          <w:sz w:val="20"/>
          <w:szCs w:val="20"/>
          <w:color w:val="auto"/>
        </w:rPr>
      </w:pPr>
    </w:p>
    <w:p>
      <w:pPr>
        <w:ind w:left="2660" w:hanging="897"/>
        <w:spacing w:after="0"/>
        <w:tabs>
          <w:tab w:leader="none" w:pos="2660"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Hedging Agreements entered into in the ordinary course of the Borrower’s financial planning and not</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for speculative purposes;</w:t>
      </w:r>
    </w:p>
    <w:p>
      <w:pPr>
        <w:spacing w:after="0" w:line="182" w:lineRule="exact"/>
        <w:rPr>
          <w:rFonts w:ascii="Times New Roman" w:cs="Times New Roman" w:eastAsia="Times New Roman" w:hAnsi="Times New Roman"/>
          <w:sz w:val="21"/>
          <w:szCs w:val="21"/>
          <w:color w:val="auto"/>
        </w:rPr>
      </w:pPr>
    </w:p>
    <w:p>
      <w:pPr>
        <w:jc w:val="both"/>
        <w:ind w:firstLine="1763"/>
        <w:spacing w:after="0" w:line="244" w:lineRule="auto"/>
        <w:tabs>
          <w:tab w:leader="none" w:pos="2655"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Portfolio Investments by the Borrower and its Subsidiaries to the extent such Portfolio Investments are permitted under the Investment Company Act and the Borrower’s Investment Policies as in effect as of the date such Portfolio Investments are acquired;</w:t>
      </w:r>
    </w:p>
    <w:p>
      <w:pPr>
        <w:spacing w:after="0" w:line="173" w:lineRule="exact"/>
        <w:rPr>
          <w:rFonts w:ascii="Times New Roman" w:cs="Times New Roman" w:eastAsia="Times New Roman" w:hAnsi="Times New Roman"/>
          <w:sz w:val="22"/>
          <w:szCs w:val="22"/>
          <w:color w:val="auto"/>
        </w:rPr>
      </w:pPr>
    </w:p>
    <w:p>
      <w:pPr>
        <w:jc w:val="both"/>
        <w:ind w:firstLine="1763"/>
        <w:spacing w:after="0" w:line="239" w:lineRule="auto"/>
        <w:tabs>
          <w:tab w:leader="none" w:pos="2643"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Financing Subsidiaries so long as, (i) after giving effect to such Investment, the Covered Debt Amount does not exceed the Borrowing Base and (ii) the sum of (x) all Investments under this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that occur after the Extended Commitment Termination Date and (y) all Investments under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below that occur after the Extended Commitment Termination Date, shall not exceed $10,000,000 in the aggregate;</w:t>
      </w:r>
    </w:p>
    <w:p>
      <w:pPr>
        <w:spacing w:after="0" w:line="180" w:lineRule="exact"/>
        <w:rPr>
          <w:rFonts w:ascii="Times New Roman" w:cs="Times New Roman" w:eastAsia="Times New Roman" w:hAnsi="Times New Roman"/>
          <w:sz w:val="22"/>
          <w:szCs w:val="22"/>
          <w:color w:val="auto"/>
        </w:rPr>
      </w:pPr>
    </w:p>
    <w:p>
      <w:pPr>
        <w:jc w:val="both"/>
        <w:ind w:firstLine="1763"/>
        <w:spacing w:after="0" w:line="262" w:lineRule="auto"/>
        <w:tabs>
          <w:tab w:leader="none" w:pos="2619"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additional Investments up to but not exceeding $15,000,000 in the aggregate;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sum of (x) all Investments under this </w:t>
      </w:r>
      <w:r>
        <w:rPr>
          <w:rFonts w:ascii="Times New Roman" w:cs="Times New Roman" w:eastAsia="Times New Roman" w:hAnsi="Times New Roman"/>
          <w:sz w:val="21"/>
          <w:szCs w:val="21"/>
          <w:u w:val="single" w:color="auto"/>
          <w:color w:val="auto"/>
        </w:rPr>
        <w:t>clause (f)</w:t>
      </w:r>
      <w:r>
        <w:rPr>
          <w:rFonts w:ascii="Times New Roman" w:cs="Times New Roman" w:eastAsia="Times New Roman" w:hAnsi="Times New Roman"/>
          <w:sz w:val="21"/>
          <w:szCs w:val="21"/>
          <w:color w:val="auto"/>
        </w:rPr>
        <w:t xml:space="preserve"> that occur after the Extended Commitment Termination Date and (y) all Investments under </w:t>
      </w:r>
      <w:r>
        <w:rPr>
          <w:rFonts w:ascii="Times New Roman" w:cs="Times New Roman" w:eastAsia="Times New Roman" w:hAnsi="Times New Roman"/>
          <w:sz w:val="21"/>
          <w:szCs w:val="21"/>
          <w:u w:val="single" w:color="auto"/>
          <w:color w:val="auto"/>
        </w:rPr>
        <w:t>clause (e)</w:t>
      </w:r>
      <w:r>
        <w:rPr>
          <w:rFonts w:ascii="Times New Roman" w:cs="Times New Roman" w:eastAsia="Times New Roman" w:hAnsi="Times New Roman"/>
          <w:sz w:val="21"/>
          <w:szCs w:val="21"/>
          <w:color w:val="auto"/>
        </w:rPr>
        <w:t xml:space="preserve"> above that occur after the Extended Commitment Termination Date, shall not exceed $10,000,000 in the aggregate;</w:t>
      </w:r>
    </w:p>
    <w:p>
      <w:pPr>
        <w:spacing w:after="0" w:line="154" w:lineRule="exact"/>
        <w:rPr>
          <w:rFonts w:ascii="Times New Roman" w:cs="Times New Roman" w:eastAsia="Times New Roman" w:hAnsi="Times New Roman"/>
          <w:sz w:val="21"/>
          <w:szCs w:val="21"/>
          <w:color w:val="auto"/>
        </w:rPr>
      </w:pPr>
    </w:p>
    <w:p>
      <w:pPr>
        <w:ind w:left="2660" w:hanging="897"/>
        <w:spacing w:after="0"/>
        <w:tabs>
          <w:tab w:leader="none" w:pos="266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and Cash Equivalents;</w:t>
      </w:r>
    </w:p>
    <w:p>
      <w:pPr>
        <w:spacing w:after="0" w:line="206"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described on </w:t>
      </w:r>
      <w:r>
        <w:rPr>
          <w:rFonts w:ascii="Times New Roman" w:cs="Times New Roman" w:eastAsia="Times New Roman" w:hAnsi="Times New Roman"/>
          <w:sz w:val="22"/>
          <w:szCs w:val="22"/>
          <w:u w:val="single" w:color="auto"/>
          <w:color w:val="auto"/>
        </w:rPr>
        <w:t>Schedule 3.12(b)</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620" w:hanging="857"/>
        <w:spacing w:after="0"/>
        <w:tabs>
          <w:tab w:leader="none" w:pos="262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a Financing Subsidiary; and</w:t>
      </w:r>
    </w:p>
    <w:p>
      <w:pPr>
        <w:spacing w:after="0" w:line="206" w:lineRule="exact"/>
        <w:rPr>
          <w:rFonts w:ascii="Times New Roman" w:cs="Times New Roman" w:eastAsia="Times New Roman" w:hAnsi="Times New Roman"/>
          <w:sz w:val="22"/>
          <w:szCs w:val="22"/>
          <w:color w:val="auto"/>
        </w:rPr>
      </w:pPr>
    </w:p>
    <w:p>
      <w:pPr>
        <w:ind w:left="2620" w:hanging="857"/>
        <w:spacing w:after="0"/>
        <w:tabs>
          <w:tab w:leader="none" w:pos="262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the form of Guarantees permitted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For purposes of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aggregate amount of dividends, distributions or other payments received in cash in respect of such Investment;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aggregate amount of such Investment be deemed to be less than zero;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3773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3773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6"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102</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9" w:name="page260"/>
    <w:bookmarkEnd w:id="259"/>
    <w:p>
      <w:pPr>
        <w:jc w:val="both"/>
        <w:spacing w:after="0" w:line="244" w:lineRule="auto"/>
        <w:rPr>
          <w:sz w:val="20"/>
          <w:szCs w:val="20"/>
          <w:color w:val="auto"/>
        </w:rPr>
      </w:pPr>
      <w:r>
        <w:rPr>
          <w:rFonts w:ascii="Times New Roman" w:cs="Times New Roman" w:eastAsia="Times New Roman" w:hAnsi="Times New Roman"/>
          <w:sz w:val="22"/>
          <w:szCs w:val="22"/>
          <w:color w:val="auto"/>
        </w:rPr>
        <w:t>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74" w:lineRule="exact"/>
        <w:rPr>
          <w:sz w:val="20"/>
          <w:szCs w:val="20"/>
          <w:color w:val="auto"/>
        </w:rPr>
      </w:pPr>
    </w:p>
    <w:p>
      <w:pPr>
        <w:jc w:val="both"/>
        <w:ind w:right="20" w:firstLine="1755"/>
        <w:spacing w:after="0" w:line="244"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The Borrower will not, nor will it permit any of the Subsidiary Guarantors to, declare or make, or agree to pay or make, directly or indirectly, any Restricted Payment, except that the Borrower may declare and pay:</w:t>
      </w:r>
    </w:p>
    <w:p>
      <w:pPr>
        <w:spacing w:after="0" w:line="174" w:lineRule="exact"/>
        <w:rPr>
          <w:sz w:val="20"/>
          <w:szCs w:val="20"/>
          <w:color w:val="auto"/>
        </w:rPr>
      </w:pPr>
    </w:p>
    <w:p>
      <w:pPr>
        <w:ind w:left="2660" w:hanging="897"/>
        <w:spacing w:after="0"/>
        <w:tabs>
          <w:tab w:leader="none" w:pos="2660" w:val="left"/>
        </w:tabs>
        <w:numPr>
          <w:ilvl w:val="2"/>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dividends with respect to the capital stock of the Borrower payable solely in additional shares of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Borrower’s common stock;</w:t>
      </w:r>
    </w:p>
    <w:p>
      <w:pPr>
        <w:spacing w:after="0" w:line="182" w:lineRule="exact"/>
        <w:rPr>
          <w:rFonts w:ascii="Times New Roman" w:cs="Times New Roman" w:eastAsia="Times New Roman" w:hAnsi="Times New Roman"/>
          <w:sz w:val="21"/>
          <w:szCs w:val="21"/>
          <w:color w:val="auto"/>
        </w:rPr>
      </w:pPr>
    </w:p>
    <w:p>
      <w:pPr>
        <w:jc w:val="both"/>
        <w:ind w:firstLine="1763"/>
        <w:spacing w:after="0" w:line="239" w:lineRule="auto"/>
        <w:tabs>
          <w:tab w:leader="none" w:pos="2655" w:val="left"/>
        </w:tabs>
        <w:numPr>
          <w:ilvl w:val="2"/>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and distributions in either case in cash or other property (excluding for this purpose the Borrower’s common stock) in any taxable year of the Borrower in amounts not to exceed the amount that is determined in good faith by the Borrower to be required to (i) maintain the status of the Borrower as a RIC, and (ii) avoid federal excise taxes for such taxable year imposed by Section 4982 of the Code;</w:t>
      </w:r>
    </w:p>
    <w:p>
      <w:pPr>
        <w:spacing w:after="0" w:line="180"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43" w:val="left"/>
        </w:tabs>
        <w:numPr>
          <w:ilvl w:val="2"/>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dividends and distributions in each case in cash or other property (excluding for this purpose the Borrower’s common stock) in addition to the dividends and distributions permitted under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so long as on the date of such Restricted Payment and after giving effect thereto:</w:t>
      </w:r>
    </w:p>
    <w:p>
      <w:pPr>
        <w:spacing w:after="0" w:line="173" w:lineRule="exact"/>
        <w:rPr>
          <w:rFonts w:ascii="Times New Roman" w:cs="Times New Roman" w:eastAsia="Times New Roman" w:hAnsi="Times New Roman"/>
          <w:sz w:val="22"/>
          <w:szCs w:val="22"/>
          <w:color w:val="auto"/>
        </w:rPr>
      </w:pPr>
    </w:p>
    <w:p>
      <w:pPr>
        <w:ind w:left="2540" w:hanging="844"/>
        <w:spacing w:after="0"/>
        <w:tabs>
          <w:tab w:leader="none" w:pos="254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shall have occurred and be continuing or would result therefrom; and</w:t>
      </w:r>
    </w:p>
    <w:p>
      <w:pPr>
        <w:spacing w:after="0" w:line="206" w:lineRule="exact"/>
        <w:rPr>
          <w:rFonts w:ascii="Times New Roman" w:cs="Times New Roman" w:eastAsia="Times New Roman" w:hAnsi="Times New Roman"/>
          <w:sz w:val="22"/>
          <w:szCs w:val="22"/>
          <w:color w:val="auto"/>
        </w:rPr>
      </w:pPr>
    </w:p>
    <w:p>
      <w:pPr>
        <w:jc w:val="both"/>
        <w:ind w:left="880" w:firstLine="816"/>
        <w:spacing w:after="0" w:line="249" w:lineRule="auto"/>
        <w:tabs>
          <w:tab w:leader="none" w:pos="2602" w:val="left"/>
        </w:tabs>
        <w:numPr>
          <w:ilvl w:val="1"/>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amount of Restricted Payments made during any taxable year of the Borrower after the date hereof under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shall not exceed the difference of (x) an amount equal to 10% of the taxable income of the Borrower for such taxable year determined under section 852(b)(2) of the Code, but without regard to </w:t>
      </w:r>
      <w:r>
        <w:rPr>
          <w:rFonts w:ascii="Times New Roman" w:cs="Times New Roman" w:eastAsia="Times New Roman" w:hAnsi="Times New Roman"/>
          <w:sz w:val="21"/>
          <w:szCs w:val="21"/>
          <w:u w:val="single" w:color="auto"/>
          <w:color w:val="auto"/>
        </w:rPr>
        <w:t>subparagraphs</w:t>
      </w:r>
    </w:p>
    <w:p>
      <w:pPr>
        <w:spacing w:after="0" w:line="1" w:lineRule="exact"/>
        <w:rPr>
          <w:rFonts w:ascii="Times New Roman" w:cs="Times New Roman" w:eastAsia="Times New Roman" w:hAnsi="Times New Roman"/>
          <w:sz w:val="21"/>
          <w:szCs w:val="21"/>
          <w:color w:val="auto"/>
        </w:rPr>
      </w:pPr>
    </w:p>
    <w:p>
      <w:pPr>
        <w:jc w:val="both"/>
        <w:ind w:left="88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thereof,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(y) the amount, if any, by which dividends and distributions made during such taxable year pursuant to the foregoing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(whether in respect of such taxable year or the previous taxable year) based upon the Borrower’s estimate of taxable income exceeded the actual amounts specified in </w:t>
      </w:r>
      <w:r>
        <w:rPr>
          <w:rFonts w:ascii="Times New Roman" w:cs="Times New Roman" w:eastAsia="Times New Roman" w:hAnsi="Times New Roman"/>
          <w:sz w:val="22"/>
          <w:szCs w:val="22"/>
          <w:u w:val="single" w:color="auto"/>
          <w:color w:val="auto"/>
        </w:rPr>
        <w:t>subclauses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such foregoing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for such taxable year.</w:t>
      </w:r>
    </w:p>
    <w:p>
      <w:pPr>
        <w:spacing w:after="0" w:line="177" w:lineRule="exact"/>
        <w:rPr>
          <w:rFonts w:ascii="Times New Roman" w:cs="Times New Roman" w:eastAsia="Times New Roman" w:hAnsi="Times New Roman"/>
          <w:sz w:val="21"/>
          <w:szCs w:val="21"/>
          <w:color w:val="auto"/>
        </w:rPr>
      </w:pPr>
    </w:p>
    <w:p>
      <w:pPr>
        <w:jc w:val="both"/>
        <w:ind w:firstLine="1763"/>
        <w:spacing w:after="0" w:line="247" w:lineRule="auto"/>
        <w:tabs>
          <w:tab w:leader="none" w:pos="2655" w:val="left"/>
        </w:tabs>
        <w:numPr>
          <w:ilvl w:val="2"/>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Restricted Payments so long as (i) on the date of such other Restricted Payment and after giving effect thereto (x) the Covered Debt Amount does not exceed 90% of the Borrowing Base and (y) no Default shall have occurred and be continuing or would result therefrom and (ii) on the date of such other Restricted Payment the Borrower delivers to the Administrative Agent and each Lender a Borrowing Base Certificate as at such date demonstrating compliance with </w:t>
      </w:r>
      <w:r>
        <w:rPr>
          <w:rFonts w:ascii="Times New Roman" w:cs="Times New Roman" w:eastAsia="Times New Roman" w:hAnsi="Times New Roman"/>
          <w:sz w:val="21"/>
          <w:szCs w:val="21"/>
          <w:u w:val="single" w:color="auto"/>
          <w:color w:val="auto"/>
        </w:rPr>
        <w:t>subclause</w:t>
      </w:r>
    </w:p>
    <w:p>
      <w:pPr>
        <w:spacing w:after="0" w:line="2" w:lineRule="exact"/>
        <w:rPr>
          <w:rFonts w:ascii="Times New Roman" w:cs="Times New Roman" w:eastAsia="Times New Roman" w:hAnsi="Times New Roman"/>
          <w:sz w:val="21"/>
          <w:szCs w:val="21"/>
          <w:color w:val="auto"/>
        </w:rPr>
      </w:pPr>
    </w:p>
    <w:p>
      <w:pPr>
        <w:jc w:val="both"/>
        <w:ind w:firstLine="8"/>
        <w:spacing w:after="0" w:line="233" w:lineRule="auto"/>
        <w:tabs>
          <w:tab w:leader="none" w:pos="313" w:val="left"/>
        </w:tabs>
        <w:numPr>
          <w:ilvl w:val="0"/>
          <w:numId w:val="23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after giving effect to such Restricted Payment. For purposes of preparing such Borrowing Base Certificate, (A) the fair market value of Portfolio Investments for which market quotations are readily available shall be the most recent quotation available for such Portfolio Investment and (B) the fair market value of Portfolio Investments for which market quotations are not readily available shall be the Value set forth in the Borrowing Base Certificate most recently delivered by the Borrower to the Administrative Agent and the Lenders pursuant to </w:t>
      </w:r>
      <w:r>
        <w:rPr>
          <w:rFonts w:ascii="Times New Roman" w:cs="Times New Roman" w:eastAsia="Times New Roman" w:hAnsi="Times New Roman"/>
          <w:sz w:val="22"/>
          <w:szCs w:val="22"/>
          <w:u w:val="single" w:color="auto"/>
          <w:color w:val="auto"/>
        </w:rPr>
        <w:t>Section 5.01(d)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reduce the Value of any Portfolio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3773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7">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3773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6"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103</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60" w:name="page261"/>
    <w:bookmarkEnd w:id="260"/>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referred to in this </w:t>
      </w:r>
      <w:r>
        <w:rPr>
          <w:rFonts w:ascii="Times New Roman" w:cs="Times New Roman" w:eastAsia="Times New Roman" w:hAnsi="Times New Roman"/>
          <w:sz w:val="22"/>
          <w:szCs w:val="22"/>
          <w:u w:val="single" w:color="auto"/>
          <w:color w:val="auto"/>
        </w:rPr>
        <w:t>sub-clause (B)</w:t>
      </w:r>
      <w:r>
        <w:rPr>
          <w:rFonts w:ascii="Times New Roman" w:cs="Times New Roman" w:eastAsia="Times New Roman" w:hAnsi="Times New Roman"/>
          <w:sz w:val="22"/>
          <w:szCs w:val="22"/>
          <w:color w:val="auto"/>
        </w:rPr>
        <w:t xml:space="preserve"> to the extent necessary to take into account any events of which the Borrower has knowledge that adversely affect the value of such Portfolio Investment.</w:t>
      </w:r>
    </w:p>
    <w:p>
      <w:pPr>
        <w:spacing w:after="0" w:line="158" w:lineRule="exact"/>
        <w:rPr>
          <w:sz w:val="20"/>
          <w:szCs w:val="20"/>
          <w:color w:val="auto"/>
        </w:rPr>
      </w:pPr>
    </w:p>
    <w:p>
      <w:pPr>
        <w:jc w:val="both"/>
        <w:ind w:right="20" w:firstLine="1755"/>
        <w:spacing w:after="0" w:line="258" w:lineRule="auto"/>
        <w:rPr>
          <w:sz w:val="20"/>
          <w:szCs w:val="20"/>
          <w:color w:val="auto"/>
        </w:rPr>
      </w:pPr>
      <w:r>
        <w:rPr>
          <w:rFonts w:ascii="Times New Roman" w:cs="Times New Roman" w:eastAsia="Times New Roman" w:hAnsi="Times New Roman"/>
          <w:sz w:val="22"/>
          <w:szCs w:val="22"/>
          <w:color w:val="auto"/>
        </w:rPr>
        <w:t>Nothing herein shall be deemed to prohibit the payment of Restricted Payments by any Subsidiary of the Borrower to the Borrower or to any other Subsidiary Guarantor.</w:t>
      </w:r>
    </w:p>
    <w:p>
      <w:pPr>
        <w:spacing w:after="0" w:line="158" w:lineRule="exact"/>
        <w:rPr>
          <w:sz w:val="20"/>
          <w:szCs w:val="20"/>
          <w:color w:val="auto"/>
        </w:rPr>
      </w:pPr>
    </w:p>
    <w:p>
      <w:pPr>
        <w:jc w:val="both"/>
        <w:ind w:firstLine="1755"/>
        <w:spacing w:after="0" w:line="245" w:lineRule="auto"/>
        <w:rPr>
          <w:sz w:val="20"/>
          <w:szCs w:val="20"/>
          <w:color w:val="auto"/>
        </w:rPr>
      </w:pPr>
      <w:r>
        <w:rPr>
          <w:rFonts w:ascii="Times New Roman" w:cs="Times New Roman" w:eastAsia="Times New Roman" w:hAnsi="Times New Roman"/>
          <w:sz w:val="21"/>
          <w:szCs w:val="21"/>
          <w:color w:val="auto"/>
        </w:rPr>
        <w:t xml:space="preserve">SECTION 6.06. </w:t>
      </w:r>
      <w:r>
        <w:rPr>
          <w:rFonts w:ascii="Times New Roman" w:cs="Times New Roman" w:eastAsia="Times New Roman" w:hAnsi="Times New Roman"/>
          <w:sz w:val="21"/>
          <w:szCs w:val="21"/>
          <w:u w:val="single" w:color="auto"/>
          <w:color w:val="auto"/>
        </w:rPr>
        <w:t>Certain Restrictions on Subsidiaries</w:t>
      </w:r>
      <w:r>
        <w:rPr>
          <w:rFonts w:ascii="Times New Roman" w:cs="Times New Roman" w:eastAsia="Times New Roman" w:hAnsi="Times New Roman"/>
          <w:sz w:val="21"/>
          <w:szCs w:val="21"/>
          <w:color w:val="auto"/>
        </w:rPr>
        <w:t xml:space="preserve">.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spacing w:after="0" w:line="17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Certain Financial Covenants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9" w:lineRule="auto"/>
        <w:tabs>
          <w:tab w:leader="none" w:pos="2643"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Shareholders’ Equity</w:t>
      </w:r>
      <w:r>
        <w:rPr>
          <w:rFonts w:ascii="Times New Roman" w:cs="Times New Roman" w:eastAsia="Times New Roman" w:hAnsi="Times New Roman"/>
          <w:sz w:val="22"/>
          <w:szCs w:val="22"/>
          <w:color w:val="auto"/>
        </w:rPr>
        <w:t>. The Borrower will not permit Shareholders’ Equity at the last day of any fiscal quarter of the Borrower to be less than $500,000,000 plus 25% of the net proceeds of the sale of Equity Interests by the Borrower and its Subsidiaries after the Eighth Amendment Effective Date (other than proceeds of sales of Equity Interests by and among the Borrower and its Subsidiaries).</w:t>
      </w:r>
    </w:p>
    <w:p>
      <w:pPr>
        <w:spacing w:after="0" w:line="180" w:lineRule="exact"/>
        <w:rPr>
          <w:rFonts w:ascii="Times New Roman" w:cs="Times New Roman" w:eastAsia="Times New Roman" w:hAnsi="Times New Roman"/>
          <w:sz w:val="22"/>
          <w:szCs w:val="22"/>
          <w:color w:val="auto"/>
        </w:rPr>
      </w:pPr>
    </w:p>
    <w:p>
      <w:pPr>
        <w:ind w:firstLine="1763"/>
        <w:spacing w:after="0" w:line="258" w:lineRule="auto"/>
        <w:tabs>
          <w:tab w:leader="none" w:pos="2655"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Borrower Net Worth</w:t>
      </w:r>
      <w:r>
        <w:rPr>
          <w:rFonts w:ascii="Times New Roman" w:cs="Times New Roman" w:eastAsia="Times New Roman" w:hAnsi="Times New Roman"/>
          <w:sz w:val="22"/>
          <w:szCs w:val="22"/>
          <w:color w:val="auto"/>
        </w:rPr>
        <w:t>. The Borrower will not permit Borrower Net Worth at the last day of any fiscal quarter of the Borrower to be less than $350,000,000.</w:t>
      </w:r>
    </w:p>
    <w:p>
      <w:pPr>
        <w:spacing w:after="0" w:line="158" w:lineRule="exact"/>
        <w:rPr>
          <w:rFonts w:ascii="Times New Roman" w:cs="Times New Roman" w:eastAsia="Times New Roman" w:hAnsi="Times New Roman"/>
          <w:sz w:val="22"/>
          <w:szCs w:val="22"/>
          <w:color w:val="auto"/>
        </w:rPr>
      </w:pPr>
    </w:p>
    <w:p>
      <w:pPr>
        <w:ind w:firstLine="1763"/>
        <w:spacing w:after="0" w:line="258" w:lineRule="auto"/>
        <w:tabs>
          <w:tab w:leader="none" w:pos="2643"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Borrower Asset Coverage Ratio</w:t>
      </w:r>
      <w:r>
        <w:rPr>
          <w:rFonts w:ascii="Times New Roman" w:cs="Times New Roman" w:eastAsia="Times New Roman" w:hAnsi="Times New Roman"/>
          <w:sz w:val="22"/>
          <w:szCs w:val="22"/>
          <w:color w:val="auto"/>
        </w:rPr>
        <w:t>. The Borrower will not permit the Borrower Asset Coverage Ratio at the last day of any fiscal quarter of the Borrower to be less than 2.00 to 1 at any time.</w:t>
      </w:r>
    </w:p>
    <w:p>
      <w:pPr>
        <w:spacing w:after="0" w:line="158" w:lineRule="exact"/>
        <w:rPr>
          <w:rFonts w:ascii="Times New Roman" w:cs="Times New Roman" w:eastAsia="Times New Roman" w:hAnsi="Times New Roman"/>
          <w:sz w:val="22"/>
          <w:szCs w:val="22"/>
          <w:color w:val="auto"/>
        </w:rPr>
      </w:pPr>
    </w:p>
    <w:p>
      <w:pPr>
        <w:ind w:firstLine="1763"/>
        <w:spacing w:after="0" w:line="258" w:lineRule="auto"/>
        <w:tabs>
          <w:tab w:leader="none" w:pos="2655"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Consolidated Asset Coverage Ratio</w:t>
      </w:r>
      <w:r>
        <w:rPr>
          <w:rFonts w:ascii="Times New Roman" w:cs="Times New Roman" w:eastAsia="Times New Roman" w:hAnsi="Times New Roman"/>
          <w:sz w:val="22"/>
          <w:szCs w:val="22"/>
          <w:color w:val="auto"/>
        </w:rPr>
        <w:t>. The Borrower will not permit the Consolidated Asset Coverage Ratio at the last day of any fiscal quarter of the Borrower to be less than 1.50 to 1 at any time.</w:t>
      </w:r>
    </w:p>
    <w:p>
      <w:pPr>
        <w:spacing w:after="0" w:line="158" w:lineRule="exact"/>
        <w:rPr>
          <w:rFonts w:ascii="Times New Roman" w:cs="Times New Roman" w:eastAsia="Times New Roman" w:hAnsi="Times New Roman"/>
          <w:sz w:val="22"/>
          <w:szCs w:val="22"/>
          <w:color w:val="auto"/>
        </w:rPr>
      </w:pPr>
    </w:p>
    <w:p>
      <w:pPr>
        <w:jc w:val="both"/>
        <w:ind w:firstLine="1763"/>
        <w:spacing w:after="0" w:line="236" w:lineRule="auto"/>
        <w:tabs>
          <w:tab w:leader="none" w:pos="2643"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Liquidity Test</w:t>
      </w:r>
      <w:r>
        <w:rPr>
          <w:rFonts w:ascii="Times New Roman" w:cs="Times New Roman" w:eastAsia="Times New Roman" w:hAnsi="Times New Roman"/>
          <w:sz w:val="22"/>
          <w:szCs w:val="22"/>
          <w:color w:val="auto"/>
        </w:rPr>
        <w:t>. The Borrower will not permit (a) the sum of (i) the aggregate Value of the Portfolio Investments that are Cash (excluding Cash Collateral for outstanding Letters of Credit) or that can be converted to Cash in fewer than 10 Business Days without more than a 5% change in price, plus (ii) the aggregate amount of Relevant Available Funds that can be converted to Cash in fewer than 10 Business Days, to be less than (b) 10% of the Covered Debt Amount, for more than 30 consecutive Business Days during any period when the Adjusted Covered Debt Balance is greater than 90% of the Adjusted Borrowing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3773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3773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1"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104</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61" w:name="page262"/>
    <w:bookmarkEnd w:id="261"/>
    <w:p>
      <w:pPr>
        <w:ind w:right="20" w:firstLine="1755"/>
        <w:spacing w:after="0" w:line="242"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The Borrower will not, and will not permit any of its Subsidiaries to enter into any transactions with any of its Affiliates, even if otherwise permitted under this Agreement, except</w:t>
      </w:r>
    </w:p>
    <w:p>
      <w:pPr>
        <w:jc w:val="both"/>
        <w:ind w:firstLine="8"/>
        <w:spacing w:after="0" w:line="230" w:lineRule="auto"/>
        <w:tabs>
          <w:tab w:leader="none" w:pos="301"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in the ordinary course of business at prices and on terms and conditions not less favorable to the Borrower or such Subsidiary (other than a SBIC Subsidiary) than could be obtained on an arm’s-length basis from unrelated third parties,</w:t>
      </w:r>
    </w:p>
    <w:p>
      <w:pPr>
        <w:spacing w:after="0" w:line="1" w:lineRule="exact"/>
        <w:rPr>
          <w:rFonts w:ascii="Times New Roman" w:cs="Times New Roman" w:eastAsia="Times New Roman" w:hAnsi="Times New Roman"/>
          <w:sz w:val="22"/>
          <w:szCs w:val="22"/>
          <w:color w:val="auto"/>
        </w:rPr>
      </w:pPr>
    </w:p>
    <w:p>
      <w:pPr>
        <w:jc w:val="both"/>
        <w:ind w:right="20" w:firstLine="8"/>
        <w:spacing w:after="0" w:line="230" w:lineRule="auto"/>
        <w:tabs>
          <w:tab w:leader="none" w:pos="332"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transactions between or among the Borrower and its Subsidiaries not involving any other Affiliate, (c) Restricted Payments permitted by </w:t>
      </w:r>
      <w:r>
        <w:rPr>
          <w:rFonts w:ascii="Times New Roman" w:cs="Times New Roman" w:eastAsia="Times New Roman" w:hAnsi="Times New Roman"/>
          <w:sz w:val="22"/>
          <w:szCs w:val="22"/>
          <w:u w:val="single" w:color="auto"/>
          <w:color w:val="auto"/>
        </w:rPr>
        <w:t>Section 6.05</w:t>
      </w:r>
      <w:r>
        <w:rPr>
          <w:rFonts w:ascii="Times New Roman" w:cs="Times New Roman" w:eastAsia="Times New Roman" w:hAnsi="Times New Roman"/>
          <w:sz w:val="22"/>
          <w:szCs w:val="22"/>
          <w:color w:val="auto"/>
        </w:rPr>
        <w:t xml:space="preserve">, (d) the transactions provided in the Affiliate Agreements, (e) transactions described on </w:t>
      </w:r>
      <w:r>
        <w:rPr>
          <w:rFonts w:ascii="Times New Roman" w:cs="Times New Roman" w:eastAsia="Times New Roman" w:hAnsi="Times New Roman"/>
          <w:sz w:val="22"/>
          <w:szCs w:val="22"/>
          <w:u w:val="single" w:color="auto"/>
          <w:color w:val="auto"/>
        </w:rPr>
        <w:t>Schedule 6.08</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jc w:val="both"/>
        <w:ind w:firstLine="8"/>
        <w:spacing w:after="0" w:line="234" w:lineRule="auto"/>
        <w:tabs>
          <w:tab w:leader="none" w:pos="298"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could be obtained at the time on an arm’s-length basis from unrelated third parties.</w:t>
      </w:r>
    </w:p>
    <w:p>
      <w:pPr>
        <w:spacing w:after="0" w:line="178"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 xml:space="preserve">SECTION 6.09. </w:t>
      </w:r>
      <w:r>
        <w:rPr>
          <w:rFonts w:ascii="Times New Roman" w:cs="Times New Roman" w:eastAsia="Times New Roman" w:hAnsi="Times New Roman"/>
          <w:sz w:val="22"/>
          <w:szCs w:val="22"/>
          <w:u w:val="single" w:color="auto"/>
          <w:color w:val="auto"/>
        </w:rPr>
        <w:t>Lines of Business</w:t>
      </w:r>
      <w:r>
        <w:rPr>
          <w:rFonts w:ascii="Times New Roman" w:cs="Times New Roman" w:eastAsia="Times New Roman" w:hAnsi="Times New Roman"/>
          <w:sz w:val="22"/>
          <w:szCs w:val="22"/>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81" w:lineRule="exact"/>
        <w:rPr>
          <w:sz w:val="20"/>
          <w:szCs w:val="20"/>
          <w:color w:val="auto"/>
        </w:rPr>
      </w:pPr>
    </w:p>
    <w:p>
      <w:pPr>
        <w:jc w:val="both"/>
        <w:ind w:firstLine="1755"/>
        <w:spacing w:after="0" w:line="246" w:lineRule="auto"/>
        <w:rPr>
          <w:sz w:val="20"/>
          <w:szCs w:val="20"/>
          <w:color w:val="auto"/>
        </w:rPr>
      </w:pPr>
      <w:r>
        <w:rPr>
          <w:rFonts w:ascii="Times New Roman" w:cs="Times New Roman" w:eastAsia="Times New Roman" w:hAnsi="Times New Roman"/>
          <w:sz w:val="21"/>
          <w:szCs w:val="21"/>
          <w:color w:val="auto"/>
        </w:rPr>
        <w:t xml:space="preserve">SECTION 6.10. </w:t>
      </w:r>
      <w:r>
        <w:rPr>
          <w:rFonts w:ascii="Times New Roman" w:cs="Times New Roman" w:eastAsia="Times New Roman" w:hAnsi="Times New Roman"/>
          <w:sz w:val="21"/>
          <w:szCs w:val="21"/>
          <w:u w:val="single" w:color="auto"/>
          <w:color w:val="auto"/>
        </w:rPr>
        <w:t>No Further Negative Pledge</w:t>
      </w:r>
      <w:r>
        <w:rPr>
          <w:rFonts w:ascii="Times New Roman" w:cs="Times New Roman" w:eastAsia="Times New Roman" w:hAnsi="Times New Roman"/>
          <w:sz w:val="21"/>
          <w:szCs w:val="21"/>
          <w:color w:val="auto"/>
        </w:rPr>
        <w:t xml:space="preserve">. The Borrower will not, and will not permit any of the Subsidiary Guarantors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Times New Roman" w:cs="Times New Roman" w:eastAsia="Times New Roman" w:hAnsi="Times New Roman"/>
          <w:sz w:val="21"/>
          <w:szCs w:val="21"/>
          <w:u w:val="single" w:color="auto"/>
          <w:color w:val="auto"/>
        </w:rPr>
        <w:t>Section 6.01(b),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(n)</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8"/>
        <w:spacing w:after="0" w:line="232" w:lineRule="auto"/>
        <w:tabs>
          <w:tab w:leader="none" w:pos="37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covenants in documents creating Liens permitted by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 (d) any such agreement that imposes restrictions on investments or other interests in Financing Subsidiaries (but no other assets of any Obligor); and (e)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80" w:lineRule="exact"/>
        <w:rPr>
          <w:sz w:val="20"/>
          <w:szCs w:val="20"/>
          <w:color w:val="auto"/>
        </w:rPr>
      </w:pPr>
    </w:p>
    <w:p>
      <w:pPr>
        <w:ind w:firstLine="1755"/>
        <w:spacing w:after="0" w:line="258"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Modifications of Longer-Term Indebtedness Documents</w:t>
      </w:r>
      <w:r>
        <w:rPr>
          <w:rFonts w:ascii="Times New Roman" w:cs="Times New Roman" w:eastAsia="Times New Roman" w:hAnsi="Times New Roman"/>
          <w:sz w:val="22"/>
          <w:szCs w:val="22"/>
          <w:color w:val="auto"/>
        </w:rPr>
        <w:t>. The Borrower will not consent to any modification, supplement or waiver of:</w:t>
      </w:r>
    </w:p>
    <w:p>
      <w:pPr>
        <w:spacing w:after="0" w:line="158" w:lineRule="exact"/>
        <w:rPr>
          <w:sz w:val="20"/>
          <w:szCs w:val="20"/>
          <w:color w:val="auto"/>
        </w:rPr>
      </w:pPr>
    </w:p>
    <w:p>
      <w:pPr>
        <w:jc w:val="both"/>
        <w:ind w:firstLine="1763"/>
        <w:spacing w:after="0" w:line="238" w:lineRule="auto"/>
        <w:tabs>
          <w:tab w:leader="none" w:pos="2638"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Secured Indebtedness” and “Unsecured Longer-Term Indebtedness”, as applicable, set forth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this Agreement, unless (i) in the case of Secured Longer Term Indebtedness, such Indebtedness would have been permitted to be incurred as Secured Shorter-Term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3773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3">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3773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6"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105</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62" w:name="page263"/>
    <w:bookmarkEnd w:id="262"/>
    <w:p>
      <w:pPr>
        <w:jc w:val="both"/>
        <w:spacing w:after="0" w:line="249" w:lineRule="auto"/>
        <w:rPr>
          <w:sz w:val="20"/>
          <w:szCs w:val="20"/>
          <w:color w:val="auto"/>
        </w:rPr>
      </w:pPr>
      <w:r>
        <w:rPr>
          <w:rFonts w:ascii="Times New Roman" w:cs="Times New Roman" w:eastAsia="Times New Roman" w:hAnsi="Times New Roman"/>
          <w:sz w:val="21"/>
          <w:szCs w:val="21"/>
          <w:color w:val="auto"/>
        </w:rPr>
        <w:t>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71" w:lineRule="exact"/>
        <w:rPr>
          <w:sz w:val="20"/>
          <w:szCs w:val="20"/>
          <w:color w:val="auto"/>
        </w:rPr>
      </w:pPr>
    </w:p>
    <w:p>
      <w:pPr>
        <w:jc w:val="both"/>
        <w:ind w:firstLine="1763"/>
        <w:spacing w:after="0" w:line="244" w:lineRule="auto"/>
        <w:tabs>
          <w:tab w:leader="none" w:pos="2655"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74" w:lineRule="exact"/>
        <w:rPr>
          <w:sz w:val="20"/>
          <w:szCs w:val="20"/>
          <w:color w:val="auto"/>
        </w:rPr>
      </w:pPr>
    </w:p>
    <w:p>
      <w:pPr>
        <w:jc w:val="both"/>
        <w:ind w:firstLine="1755"/>
        <w:spacing w:after="0" w:line="243" w:lineRule="auto"/>
        <w:rPr>
          <w:sz w:val="20"/>
          <w:szCs w:val="20"/>
          <w:color w:val="auto"/>
        </w:rPr>
      </w:pPr>
      <w:r>
        <w:rPr>
          <w:rFonts w:ascii="Times New Roman" w:cs="Times New Roman" w:eastAsia="Times New Roman" w:hAnsi="Times New Roman"/>
          <w:sz w:val="21"/>
          <w:szCs w:val="21"/>
          <w:color w:val="auto"/>
        </w:rPr>
        <w:t xml:space="preserve">SECTION 6.12. </w:t>
      </w:r>
      <w:r>
        <w:rPr>
          <w:rFonts w:ascii="Times New Roman" w:cs="Times New Roman" w:eastAsia="Times New Roman" w:hAnsi="Times New Roman"/>
          <w:sz w:val="21"/>
          <w:szCs w:val="21"/>
          <w:u w:val="single" w:color="auto"/>
          <w:color w:val="auto"/>
        </w:rPr>
        <w:t>Payments of Longer-Term Indebtedness, 2019 Convertible Notes, the 2022 Convertible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Notes, and 2023 Notes</w:t>
      </w:r>
      <w:r>
        <w:rPr>
          <w:rFonts w:ascii="Times New Roman" w:cs="Times New Roman" w:eastAsia="Times New Roman" w:hAnsi="Times New Roman"/>
          <w:sz w:val="21"/>
          <w:szCs w:val="21"/>
          <w:color w:val="auto"/>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Special Unsecured Indebtedness, the 2019 Convertible Notes, the 2022 Convertible Notes, or the 2023 Notes (other than the refinancing of Secured Longer-Term Indebtedness, Unsecured Longer-Term Indebtedness, Special Unsecured Indebtedness, the 2019 Convertible Notes, the 2022 Convertible Notes, or the 2023 Notes with Indebtedness permitted under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except for (a) regularly scheduled payments, prepayments or redemptions of principal and interest in respect thereof required pursuant to the instruments evidencing such Indebtedness (it being understood that: (w) the conversion features into Permitted Equity Interests under convertible notes; (x) the triggering of such conversion and/or settlement thereof solely with Permitted Equity Interests; and (y) any cash payment on account of interest or expenses on such convertible notes made by the Borrower in respect of such triggering and/or settlement thereof shall be permitted under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(b) so long as no Default shall exist or be continuing, any payment that, if treated as a Restricted Payment for purposes of </w:t>
      </w:r>
      <w:r>
        <w:rPr>
          <w:rFonts w:ascii="Times New Roman" w:cs="Times New Roman" w:eastAsia="Times New Roman" w:hAnsi="Times New Roman"/>
          <w:sz w:val="21"/>
          <w:szCs w:val="21"/>
          <w:u w:val="single" w:color="auto"/>
          <w:color w:val="auto"/>
        </w:rPr>
        <w:t>Section 6.05(d)</w:t>
      </w:r>
      <w:r>
        <w:rPr>
          <w:rFonts w:ascii="Times New Roman" w:cs="Times New Roman" w:eastAsia="Times New Roman" w:hAnsi="Times New Roman"/>
          <w:sz w:val="21"/>
          <w:szCs w:val="21"/>
          <w:color w:val="auto"/>
        </w:rPr>
        <w:t xml:space="preserve">, would be permitted to be made pursuant to the provisions set forth in </w:t>
      </w:r>
      <w:r>
        <w:rPr>
          <w:rFonts w:ascii="Times New Roman" w:cs="Times New Roman" w:eastAsia="Times New Roman" w:hAnsi="Times New Roman"/>
          <w:sz w:val="21"/>
          <w:szCs w:val="21"/>
          <w:u w:val="single" w:color="auto"/>
          <w:color w:val="auto"/>
        </w:rPr>
        <w:t>Section 6.05(d)</w:t>
      </w:r>
      <w:r>
        <w:rPr>
          <w:rFonts w:ascii="Times New Roman" w:cs="Times New Roman" w:eastAsia="Times New Roman" w:hAnsi="Times New Roman"/>
          <w:sz w:val="21"/>
          <w:szCs w:val="21"/>
          <w:color w:val="auto"/>
        </w:rPr>
        <w:t xml:space="preserve">; (c) voluntary payments or prepayments of Secured Longer-Term Indebtedness, so long as both before and after giving effect to such voluntary payment or prepayment (i) the Borrower is in pro forma compliance with the financial covenants set forth in </w:t>
      </w:r>
      <w:r>
        <w:rPr>
          <w:rFonts w:ascii="Times New Roman" w:cs="Times New Roman" w:eastAsia="Times New Roman" w:hAnsi="Times New Roman"/>
          <w:sz w:val="21"/>
          <w:szCs w:val="21"/>
          <w:u w:val="single" w:color="auto"/>
          <w:color w:val="auto"/>
        </w:rPr>
        <w:t>Section 6.07</w:t>
      </w:r>
      <w:r>
        <w:rPr>
          <w:rFonts w:ascii="Times New Roman" w:cs="Times New Roman" w:eastAsia="Times New Roman" w:hAnsi="Times New Roman"/>
          <w:sz w:val="21"/>
          <w:szCs w:val="21"/>
          <w:color w:val="auto"/>
        </w:rPr>
        <w:t xml:space="preserve"> and (ii) no Default shall exist or be continuing; (d) mandatory payments, required prepayments or mandatory redemptions of the 2019 Convertible Notes, the 2022 Convertible Notes, any other convertible notes constituting Unsecured Longer-Term Indebtedness or Special Unsecured Indebtedness in Cash (including any cash payment elected to be paid in connection with the settlement by the Borrower of any conversion at the option of any holder of such 2019 Convertible Notes, the 2022 Convertible Notes or other convertible notes pursuant to the conversion features thereunder) and the 2023 Notes, so long as both before and after giving effect to such payment (i) no Event of Default shall exist or be continuing and (ii) the Covered Debt Amount does not exceed the Borrowing Base; and (e) payments or prepayments of Secured Longer-Term Indebtedness, Unsecured Longer-Term Indebtedness or Special Unsecured Indebtedness solely from the proceeds of any issuance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3773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6">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3773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1"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106</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63" w:name="page264"/>
    <w:bookmarkEnd w:id="263"/>
    <w:p>
      <w:pPr>
        <w:jc w:val="both"/>
        <w:spacing w:after="0" w:line="258" w:lineRule="auto"/>
        <w:rPr>
          <w:sz w:val="20"/>
          <w:szCs w:val="20"/>
          <w:color w:val="auto"/>
        </w:rPr>
      </w:pPr>
      <w:r>
        <w:rPr>
          <w:rFonts w:ascii="Times New Roman" w:cs="Times New Roman" w:eastAsia="Times New Roman" w:hAnsi="Times New Roman"/>
          <w:sz w:val="22"/>
          <w:szCs w:val="22"/>
          <w:color w:val="auto"/>
        </w:rPr>
        <w:t>Equity Interests, so long as both before and after giving effect to such payment (i) no Default shall exist or be continuing and (ii) the Covered Debt Amount does not exceed the Borrowing Base.</w:t>
      </w:r>
    </w:p>
    <w:p>
      <w:pPr>
        <w:spacing w:after="0" w:line="158"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u w:val="single" w:color="auto"/>
          <w:color w:val="auto"/>
        </w:rPr>
        <w:t>Accounting Changes</w:t>
      </w:r>
      <w:r>
        <w:rPr>
          <w:rFonts w:ascii="Times New Roman" w:cs="Times New Roman" w:eastAsia="Times New Roman" w:hAnsi="Times New Roman"/>
          <w:sz w:val="22"/>
          <w:szCs w:val="22"/>
          <w:color w:val="auto"/>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spacing w:after="0" w:line="174"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 xml:space="preserve">SECTION 6.14. </w:t>
      </w:r>
      <w:r>
        <w:rPr>
          <w:rFonts w:ascii="Times New Roman" w:cs="Times New Roman" w:eastAsia="Times New Roman" w:hAnsi="Times New Roman"/>
          <w:sz w:val="22"/>
          <w:szCs w:val="22"/>
          <w:u w:val="single" w:color="auto"/>
          <w:color w:val="auto"/>
        </w:rPr>
        <w:t>SBIC Guarantee</w:t>
      </w:r>
      <w:r>
        <w:rPr>
          <w:rFonts w:ascii="Times New Roman" w:cs="Times New Roman" w:eastAsia="Times New Roman" w:hAnsi="Times New Roman"/>
          <w:sz w:val="22"/>
          <w:szCs w:val="22"/>
          <w:color w:val="auto"/>
        </w:rPr>
        <w:t>. The Borrower will not, nor will it permit any of its Subsidiaries to, cause or permit the occurrence of any event or condition that would result in any recourse to any Obligor under any Permitted SBIC Guarantee.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3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u w:val="single" w:color="auto"/>
          <w:color w:val="auto"/>
        </w:rPr>
        <w:t>EVENTS OF DEFAULT</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If any of the following events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shall occur and be continuing:</w:t>
      </w:r>
    </w:p>
    <w:p>
      <w:pPr>
        <w:spacing w:after="0" w:line="206" w:lineRule="exact"/>
        <w:rPr>
          <w:sz w:val="20"/>
          <w:szCs w:val="20"/>
          <w:color w:val="auto"/>
        </w:rPr>
      </w:pPr>
    </w:p>
    <w:p>
      <w:pPr>
        <w:jc w:val="both"/>
        <w:ind w:firstLine="1763"/>
        <w:spacing w:after="0" w:line="255" w:lineRule="auto"/>
        <w:tabs>
          <w:tab w:leader="none" w:pos="2643" w:val="left"/>
        </w:tabs>
        <w:numPr>
          <w:ilvl w:val="1"/>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on the Extended Commitment Termination Date or as required by </w:t>
      </w:r>
      <w:r>
        <w:rPr>
          <w:rFonts w:ascii="Times New Roman" w:cs="Times New Roman" w:eastAsia="Times New Roman" w:hAnsi="Times New Roman"/>
          <w:sz w:val="21"/>
          <w:szCs w:val="21"/>
          <w:u w:val="single" w:color="auto"/>
          <w:color w:val="auto"/>
        </w:rPr>
        <w:t>Section 2.20(b)</w:t>
      </w:r>
      <w:r>
        <w:rPr>
          <w:rFonts w:ascii="Times New Roman" w:cs="Times New Roman" w:eastAsia="Times New Roman" w:hAnsi="Times New Roman"/>
          <w:sz w:val="21"/>
          <w:szCs w:val="21"/>
          <w:color w:val="auto"/>
        </w:rPr>
        <w:t xml:space="preserve"> on the date so required;</w:t>
      </w:r>
    </w:p>
    <w:p>
      <w:pPr>
        <w:spacing w:after="0" w:line="162" w:lineRule="exact"/>
        <w:rPr>
          <w:rFonts w:ascii="Times New Roman" w:cs="Times New Roman" w:eastAsia="Times New Roman" w:hAnsi="Times New Roman"/>
          <w:sz w:val="21"/>
          <w:szCs w:val="21"/>
          <w:color w:val="auto"/>
        </w:rPr>
      </w:pPr>
    </w:p>
    <w:p>
      <w:pPr>
        <w:jc w:val="both"/>
        <w:ind w:firstLine="1763"/>
        <w:spacing w:after="0" w:line="262" w:lineRule="auto"/>
        <w:tabs>
          <w:tab w:leader="none" w:pos="2655" w:val="left"/>
        </w:tabs>
        <w:numPr>
          <w:ilvl w:val="1"/>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fail to pay any interest on any Loan or any fee or any other amount (other than an amount referred to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of this Article) payable under this Agreement or under any other Loan Document, when and as the same shall become due and payable, and such failure shall continue unremedied for a period of five or more Business Days;</w:t>
      </w:r>
    </w:p>
    <w:p>
      <w:pPr>
        <w:spacing w:after="0" w:line="154" w:lineRule="exact"/>
        <w:rPr>
          <w:rFonts w:ascii="Times New Roman" w:cs="Times New Roman" w:eastAsia="Times New Roman" w:hAnsi="Times New Roman"/>
          <w:sz w:val="21"/>
          <w:szCs w:val="21"/>
          <w:color w:val="auto"/>
        </w:rPr>
      </w:pPr>
    </w:p>
    <w:p>
      <w:pPr>
        <w:jc w:val="both"/>
        <w:ind w:firstLine="1763"/>
        <w:spacing w:after="0" w:line="238" w:lineRule="auto"/>
        <w:tabs>
          <w:tab w:leader="none" w:pos="2643"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warranty or certification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177"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observe or perform any covenant, condition or agreement contained in</w:t>
      </w:r>
    </w:p>
    <w:p>
      <w:pPr>
        <w:spacing w:after="0" w:line="14" w:lineRule="exact"/>
        <w:rPr>
          <w:rFonts w:ascii="Times New Roman" w:cs="Times New Roman" w:eastAsia="Times New Roman" w:hAnsi="Times New Roman"/>
          <w:sz w:val="22"/>
          <w:szCs w:val="22"/>
          <w:color w:val="auto"/>
        </w:rPr>
      </w:pPr>
    </w:p>
    <w:p>
      <w:pPr>
        <w:jc w:val="both"/>
        <w:ind w:firstLine="8"/>
        <w:spacing w:after="0" w:line="230" w:lineRule="auto"/>
        <w:tabs>
          <w:tab w:leader="none" w:pos="258"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(with respect to the Borrower’s existence) or </w:t>
      </w:r>
      <w:r>
        <w:rPr>
          <w:rFonts w:ascii="Times New Roman" w:cs="Times New Roman" w:eastAsia="Times New Roman" w:hAnsi="Times New Roman"/>
          <w:sz w:val="22"/>
          <w:szCs w:val="22"/>
          <w:u w:val="single" w:color="auto"/>
          <w:color w:val="auto"/>
        </w:rPr>
        <w:t>Sections 5.08(a)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or any Obligor shall default in the performance of any of its obligations contained in Sections 3 and 7 of the Guarantee and Security Agreement or</w:t>
      </w:r>
    </w:p>
    <w:p>
      <w:pPr>
        <w:spacing w:after="0" w:line="1" w:lineRule="exact"/>
        <w:rPr>
          <w:rFonts w:ascii="Times New Roman" w:cs="Times New Roman" w:eastAsia="Times New Roman" w:hAnsi="Times New Roman"/>
          <w:sz w:val="22"/>
          <w:szCs w:val="22"/>
          <w:color w:val="auto"/>
        </w:rPr>
      </w:pPr>
    </w:p>
    <w:p>
      <w:pPr>
        <w:ind w:firstLine="8"/>
        <w:spacing w:after="0" w:line="237" w:lineRule="auto"/>
        <w:tabs>
          <w:tab w:leader="none" w:pos="318"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Sections 5.01(e)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5.02</w:t>
      </w:r>
      <w:r>
        <w:rPr>
          <w:rFonts w:ascii="Times New Roman" w:cs="Times New Roman" w:eastAsia="Times New Roman" w:hAnsi="Times New Roman"/>
          <w:sz w:val="22"/>
          <w:szCs w:val="22"/>
          <w:color w:val="auto"/>
        </w:rPr>
        <w:t xml:space="preserve"> and such failure shall continue unremedied for a period of five or more days after notice thereof by the Administrative Agent (given at the request of any Lender) to the Borrower;</w:t>
      </w:r>
    </w:p>
    <w:p>
      <w:pPr>
        <w:spacing w:after="0" w:line="178"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43"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Borrowing Base Deficiency shall occur and continue unremedied for a period of five or more Business Days after delivery of a Borrowing Base Certificate demonstrating such Borrowing Base Deficiency pursuant to </w:t>
      </w:r>
      <w:r>
        <w:rPr>
          <w:rFonts w:ascii="Times New Roman" w:cs="Times New Roman" w:eastAsia="Times New Roman" w:hAnsi="Times New Roman"/>
          <w:sz w:val="22"/>
          <w:szCs w:val="22"/>
          <w:u w:val="single" w:color="auto"/>
          <w:color w:val="auto"/>
        </w:rPr>
        <w:t>Section 5.01(e)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it shall not be an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3773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9">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3773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107</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64" w:name="page265"/>
    <w:bookmarkEnd w:id="264"/>
    <w:p>
      <w:pPr>
        <w:jc w:val="both"/>
        <w:spacing w:after="0" w:line="239" w:lineRule="auto"/>
        <w:rPr>
          <w:sz w:val="20"/>
          <w:szCs w:val="20"/>
          <w:color w:val="auto"/>
        </w:rPr>
      </w:pPr>
      <w:r>
        <w:rPr>
          <w:rFonts w:ascii="Times New Roman" w:cs="Times New Roman" w:eastAsia="Times New Roman" w:hAnsi="Times New Roman"/>
          <w:sz w:val="22"/>
          <w:szCs w:val="22"/>
          <w:color w:val="auto"/>
        </w:rPr>
        <w:t>of Default hereunder if the Borrower shall present the Administrative Agent with a reasonably feasible plan acceptable to the Required Lenders in their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181" w:lineRule="exact"/>
        <w:rPr>
          <w:sz w:val="20"/>
          <w:szCs w:val="20"/>
          <w:color w:val="auto"/>
        </w:rPr>
      </w:pPr>
    </w:p>
    <w:p>
      <w:pPr>
        <w:jc w:val="both"/>
        <w:ind w:firstLine="1763"/>
        <w:spacing w:after="0" w:line="239" w:lineRule="auto"/>
        <w:tabs>
          <w:tab w:leader="none" w:pos="2619"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or any Obligor, as applicable, shall fail to observe or perform any covenant, condition or agreement contained in this Agreement (other than those specified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80"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55"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73" w:lineRule="exact"/>
        <w:rPr>
          <w:rFonts w:ascii="Times New Roman" w:cs="Times New Roman" w:eastAsia="Times New Roman" w:hAnsi="Times New Roman"/>
          <w:sz w:val="22"/>
          <w:szCs w:val="22"/>
          <w:color w:val="auto"/>
        </w:rPr>
      </w:pPr>
    </w:p>
    <w:p>
      <w:pPr>
        <w:jc w:val="both"/>
        <w:ind w:firstLine="1763"/>
        <w:spacing w:after="0" w:line="234" w:lineRule="auto"/>
        <w:tabs>
          <w:tab w:leader="none" w:pos="2655"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other than as permitted under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and that is not a result of a breach, default or other violation or failure in respect of such Material Indebtedness by the Borrower or any of its Subsidiaries after giving effect to any applicable grace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clause (h)</w:t>
      </w:r>
      <w:r>
        <w:rPr>
          <w:rFonts w:ascii="Times New Roman" w:cs="Times New Roman" w:eastAsia="Times New Roman" w:hAnsi="Times New Roman"/>
          <w:sz w:val="22"/>
          <w:szCs w:val="22"/>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spacing w:after="0" w:line="180" w:lineRule="exact"/>
        <w:rPr>
          <w:rFonts w:ascii="Times New Roman" w:cs="Times New Roman" w:eastAsia="Times New Roman" w:hAnsi="Times New Roman"/>
          <w:sz w:val="22"/>
          <w:szCs w:val="22"/>
          <w:color w:val="auto"/>
        </w:rPr>
      </w:pPr>
    </w:p>
    <w:p>
      <w:pPr>
        <w:ind w:left="2620" w:hanging="857"/>
        <w:spacing w:after="0"/>
        <w:tabs>
          <w:tab w:leader="none" w:pos="2620"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proceeding shall be commenced or an involuntary petition shall be filed seeking</w:t>
      </w:r>
    </w:p>
    <w:p>
      <w:pPr>
        <w:spacing w:after="0" w:line="14" w:lineRule="exact"/>
        <w:rPr>
          <w:rFonts w:ascii="Times New Roman" w:cs="Times New Roman" w:eastAsia="Times New Roman" w:hAnsi="Times New Roman"/>
          <w:sz w:val="22"/>
          <w:szCs w:val="22"/>
          <w:color w:val="auto"/>
        </w:rPr>
      </w:pPr>
    </w:p>
    <w:p>
      <w:pPr>
        <w:jc w:val="both"/>
        <w:ind w:firstLine="8"/>
        <w:spacing w:after="0" w:line="233" w:lineRule="auto"/>
        <w:tabs>
          <w:tab w:leader="none" w:pos="319"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77" w:lineRule="exact"/>
        <w:rPr>
          <w:rFonts w:ascii="Times New Roman" w:cs="Times New Roman" w:eastAsia="Times New Roman" w:hAnsi="Times New Roman"/>
          <w:sz w:val="22"/>
          <w:szCs w:val="22"/>
          <w:color w:val="auto"/>
        </w:rPr>
      </w:pPr>
    </w:p>
    <w:p>
      <w:pPr>
        <w:jc w:val="both"/>
        <w:ind w:firstLine="1763"/>
        <w:spacing w:after="0" w:line="238" w:lineRule="auto"/>
        <w:tabs>
          <w:tab w:leader="none" w:pos="2607"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this Article, (iii) apply for or consent to the appointment of a receiver, trustee, custodian,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3773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2">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3773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6"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108</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65" w:name="page266"/>
    <w:bookmarkEnd w:id="265"/>
    <w:p>
      <w:pPr>
        <w:jc w:val="both"/>
        <w:spacing w:after="0" w:line="239" w:lineRule="auto"/>
        <w:rPr>
          <w:sz w:val="20"/>
          <w:szCs w:val="20"/>
          <w:color w:val="auto"/>
        </w:rPr>
      </w:pPr>
      <w:r>
        <w:rPr>
          <w:rFonts w:ascii="Times New Roman" w:cs="Times New Roman" w:eastAsia="Times New Roman" w:hAnsi="Times New Roman"/>
          <w:sz w:val="22"/>
          <w:szCs w:val="22"/>
          <w:color w:val="auto"/>
        </w:rPr>
        <w:t>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1" w:lineRule="exact"/>
        <w:rPr>
          <w:sz w:val="20"/>
          <w:szCs w:val="20"/>
          <w:color w:val="auto"/>
        </w:rPr>
      </w:pPr>
    </w:p>
    <w:p>
      <w:pPr>
        <w:ind w:firstLine="1763"/>
        <w:spacing w:after="0" w:line="258" w:lineRule="auto"/>
        <w:tabs>
          <w:tab w:leader="none" w:pos="2655"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of its Subsidiaries (other than Immaterial Subsidiaries) shall become unable, admit in writing its inability or fail generally to pay its debts as they become due;</w:t>
      </w:r>
    </w:p>
    <w:p>
      <w:pPr>
        <w:spacing w:after="0" w:line="158" w:lineRule="exact"/>
        <w:rPr>
          <w:rFonts w:ascii="Times New Roman" w:cs="Times New Roman" w:eastAsia="Times New Roman" w:hAnsi="Times New Roman"/>
          <w:sz w:val="22"/>
          <w:szCs w:val="22"/>
          <w:color w:val="auto"/>
        </w:rPr>
      </w:pPr>
    </w:p>
    <w:p>
      <w:pPr>
        <w:jc w:val="both"/>
        <w:ind w:firstLine="1763"/>
        <w:spacing w:after="0" w:line="238" w:lineRule="auto"/>
        <w:tabs>
          <w:tab w:leader="none" w:pos="2607"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judgments for the payment of money in an aggregate amount in excess of $25,000,000 shall be rendered against the Borrower or any of its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77" w:lineRule="exact"/>
        <w:rPr>
          <w:rFonts w:ascii="Times New Roman" w:cs="Times New Roman" w:eastAsia="Times New Roman" w:hAnsi="Times New Roman"/>
          <w:sz w:val="22"/>
          <w:szCs w:val="22"/>
          <w:color w:val="auto"/>
        </w:rPr>
      </w:pPr>
    </w:p>
    <w:p>
      <w:pPr>
        <w:ind w:firstLine="1763"/>
        <w:spacing w:after="0" w:line="258" w:lineRule="auto"/>
        <w:tabs>
          <w:tab w:leader="none" w:pos="2715"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have occurred that, in the opinion of the Required Lenders, when taken together with all other ERISA Events that have occurred, could reasonably be expected to result in a Material Adverse Effect;</w:t>
      </w:r>
    </w:p>
    <w:p>
      <w:pPr>
        <w:spacing w:after="0" w:line="158"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occur;</w:t>
      </w:r>
    </w:p>
    <w:p>
      <w:pPr>
        <w:spacing w:after="0" w:line="206"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cease to be managed by the External Manager or an Affiliate thereof;</w:t>
      </w:r>
    </w:p>
    <w:p>
      <w:pPr>
        <w:spacing w:after="0" w:line="206" w:lineRule="exact"/>
        <w:rPr>
          <w:rFonts w:ascii="Times New Roman" w:cs="Times New Roman" w:eastAsia="Times New Roman" w:hAnsi="Times New Roman"/>
          <w:sz w:val="22"/>
          <w:szCs w:val="22"/>
          <w:color w:val="auto"/>
        </w:rPr>
      </w:pPr>
    </w:p>
    <w:p>
      <w:pPr>
        <w:jc w:val="both"/>
        <w:ind w:firstLine="1763"/>
        <w:spacing w:after="0" w:line="236" w:lineRule="auto"/>
        <w:tabs>
          <w:tab w:leader="none" w:pos="2655"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Extended Final Maturity Date, both of the principals of the External Manager (who initially will be Alan Waxman and Joshua Easterly) fail to remain actively involved in the investment activities of the Borrower and the other investment vehicles managed by TSSP Management Holdings, L.P.;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spacing w:after="0" w:line="182" w:lineRule="exact"/>
        <w:rPr>
          <w:rFonts w:ascii="Times New Roman" w:cs="Times New Roman" w:eastAsia="Times New Roman" w:hAnsi="Times New Roman"/>
          <w:sz w:val="22"/>
          <w:szCs w:val="22"/>
          <w:color w:val="auto"/>
        </w:rPr>
      </w:pPr>
    </w:p>
    <w:p>
      <w:pPr>
        <w:jc w:val="both"/>
        <w:ind w:firstLine="1763"/>
        <w:spacing w:after="0" w:line="236" w:lineRule="auto"/>
        <w:tabs>
          <w:tab w:leader="none" w:pos="2655"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Administrative Agent, free and clear of all other Liens (other than Liens permitted under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82" w:lineRule="exact"/>
        <w:rPr>
          <w:rFonts w:ascii="Times New Roman" w:cs="Times New Roman" w:eastAsia="Times New Roman" w:hAnsi="Times New Roman"/>
          <w:sz w:val="22"/>
          <w:szCs w:val="22"/>
          <w:color w:val="auto"/>
        </w:rPr>
      </w:pPr>
    </w:p>
    <w:p>
      <w:pPr>
        <w:jc w:val="both"/>
        <w:ind w:firstLine="1763"/>
        <w:spacing w:after="0" w:line="244" w:lineRule="auto"/>
        <w:tabs>
          <w:tab w:leader="none" w:pos="2619"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expiration in accordance with its terms, any of the Loan Documents shall for whatever reason be terminated or cease to be in full force and effect in any material respect, or the enforceability thereof shall be contested by the Borrower or any other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3773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5">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3773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109</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66" w:name="page267"/>
    <w:bookmarkEnd w:id="266"/>
    <w:p>
      <w:pPr>
        <w:jc w:val="both"/>
        <w:ind w:firstLine="1763"/>
        <w:spacing w:after="0" w:line="239" w:lineRule="auto"/>
        <w:tabs>
          <w:tab w:leader="none" w:pos="2631"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Obligors shall at any time, without the consent of the Required Lenders fail to comply with the covenant contained in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180" w:lineRule="exact"/>
        <w:rPr>
          <w:rFonts w:ascii="Times New Roman" w:cs="Times New Roman" w:eastAsia="Times New Roman" w:hAnsi="Times New Roman"/>
          <w:sz w:val="22"/>
          <w:szCs w:val="22"/>
          <w:color w:val="auto"/>
        </w:rPr>
      </w:pPr>
    </w:p>
    <w:p>
      <w:pPr>
        <w:ind w:firstLine="1763"/>
        <w:spacing w:after="0" w:line="258" w:lineRule="auto"/>
        <w:tabs>
          <w:tab w:leader="none" w:pos="2607"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of its Subsidiaries shall cause or permit the occurrence of any condition or event that would result in any recourse to any Obligor under any Permitted SBIC Guarantee;</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then, and in every such event (other than an event with respect to the Borrower described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(j)</w:t>
      </w:r>
      <w:r>
        <w:rPr>
          <w:rFonts w:ascii="Times New Roman" w:cs="Times New Roman" w:eastAsia="Times New Roman" w:hAnsi="Times New Roman"/>
          <w:sz w:val="21"/>
          <w:szCs w:val="21"/>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(j)</w:t>
      </w:r>
      <w:r>
        <w:rPr>
          <w:rFonts w:ascii="Times New Roman" w:cs="Times New Roman" w:eastAsia="Times New Roman" w:hAnsi="Times New Roman"/>
          <w:sz w:val="21"/>
          <w:szCs w:val="21"/>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75"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any accrued and unpaid interest thereon;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of this Article.</w:t>
      </w:r>
    </w:p>
    <w:p>
      <w:pPr>
        <w:spacing w:after="0" w:line="184"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herein, on the CAM Exchange Date, to the extent not otherwise prohibited by law, (a) 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Times New Roman" w:cs="Times New Roman" w:eastAsia="Times New Roman" w:hAnsi="Times New Roman"/>
          <w:sz w:val="22"/>
          <w:szCs w:val="22"/>
          <w:u w:val="single" w:color="auto"/>
          <w:color w:val="auto"/>
        </w:rPr>
        <w:t>clause</w:t>
      </w:r>
    </w:p>
    <w:p>
      <w:pPr>
        <w:spacing w:after="0" w:line="1" w:lineRule="exact"/>
        <w:rPr>
          <w:sz w:val="20"/>
          <w:szCs w:val="20"/>
          <w:color w:val="auto"/>
        </w:rPr>
      </w:pPr>
    </w:p>
    <w:p>
      <w:pPr>
        <w:ind w:firstLine="8"/>
        <w:spacing w:after="0" w:line="237" w:lineRule="auto"/>
        <w:tabs>
          <w:tab w:leader="none" w:pos="319" w:val="left"/>
        </w:tabs>
        <w:numPr>
          <w:ilvl w:val="0"/>
          <w:numId w:val="25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above, the interests in the Designated Obligations to be received in such deemed exchange shall, automatically and with no further action required, be converted into the Dollar Equivalent of such amount (as of the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3773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23773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8"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110</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67" w:name="page268"/>
    <w:bookmarkEnd w:id="267"/>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ADMINISTRATIVE AGENT</w:t>
      </w:r>
    </w:p>
    <w:p>
      <w:pPr>
        <w:spacing w:after="0" w:line="206"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Appointment of the Administrative Agent</w:t>
      </w:r>
      <w:r>
        <w:rPr>
          <w:rFonts w:ascii="Times New Roman" w:cs="Times New Roman" w:eastAsia="Times New Roman" w:hAnsi="Times New Roman"/>
          <w:sz w:val="22"/>
          <w:szCs w:val="22"/>
          <w:color w:val="auto"/>
        </w:rPr>
        <w:t>. Each of the Lenders and the Issuing Banks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Banks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84" w:lineRule="exact"/>
        <w:rPr>
          <w:sz w:val="20"/>
          <w:szCs w:val="20"/>
          <w:color w:val="auto"/>
        </w:rPr>
      </w:pPr>
    </w:p>
    <w:p>
      <w:pPr>
        <w:jc w:val="both"/>
        <w:ind w:firstLine="1755"/>
        <w:spacing w:after="0" w:line="255" w:lineRule="auto"/>
        <w:rPr>
          <w:sz w:val="20"/>
          <w:szCs w:val="20"/>
          <w:color w:val="auto"/>
        </w:rPr>
      </w:pPr>
      <w:r>
        <w:rPr>
          <w:rFonts w:ascii="Times New Roman" w:cs="Times New Roman" w:eastAsia="Times New Roman" w:hAnsi="Times New Roman"/>
          <w:sz w:val="21"/>
          <w:szCs w:val="21"/>
          <w:color w:val="auto"/>
        </w:rPr>
        <w:t xml:space="preserve">SECTION 8.02. </w:t>
      </w:r>
      <w:r>
        <w:rPr>
          <w:rFonts w:ascii="Times New Roman" w:cs="Times New Roman" w:eastAsia="Times New Roman" w:hAnsi="Times New Roman"/>
          <w:sz w:val="21"/>
          <w:szCs w:val="21"/>
          <w:u w:val="single" w:color="auto"/>
          <w:color w:val="auto"/>
        </w:rPr>
        <w:t>Capacity as Lender</w:t>
      </w:r>
      <w:r>
        <w:rPr>
          <w:rFonts w:ascii="Times New Roman" w:cs="Times New Roman" w:eastAsia="Times New Roman" w:hAnsi="Times New Roman"/>
          <w:sz w:val="21"/>
          <w:szCs w:val="21"/>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62"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Limitation of Duties; Exculpation</w:t>
      </w:r>
      <w:r>
        <w:rPr>
          <w:rFonts w:ascii="Times New Roman" w:cs="Times New Roman" w:eastAsia="Times New Roman" w:hAnsi="Times New Roman"/>
          <w:sz w:val="22"/>
          <w:szCs w:val="22"/>
          <w:color w:val="auto"/>
        </w:rPr>
        <w:t>.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3773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1">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3773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3" w:lineRule="exact"/>
        <w:rPr>
          <w:sz w:val="20"/>
          <w:szCs w:val="20"/>
          <w:color w:val="auto"/>
        </w:rPr>
      </w:pPr>
    </w:p>
    <w:p>
      <w:pPr>
        <w:spacing w:after="0"/>
        <w:tabs>
          <w:tab w:leader="none" w:pos="558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111</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68" w:name="page269"/>
    <w:bookmarkEnd w:id="268"/>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elsewhere herein or therein, other than to confirm receipt of items expressly required to be delivered to the Administrative Agent.</w:t>
      </w:r>
    </w:p>
    <w:p>
      <w:pPr>
        <w:spacing w:after="0" w:line="184" w:lineRule="exact"/>
        <w:rPr>
          <w:sz w:val="20"/>
          <w:szCs w:val="20"/>
          <w:color w:val="auto"/>
        </w:rPr>
      </w:pPr>
    </w:p>
    <w:p>
      <w:pPr>
        <w:jc w:val="both"/>
        <w:ind w:firstLine="1755"/>
        <w:spacing w:after="0" w:line="248" w:lineRule="auto"/>
        <w:rPr>
          <w:sz w:val="20"/>
          <w:szCs w:val="20"/>
          <w:color w:val="auto"/>
        </w:rPr>
      </w:pPr>
      <w:r>
        <w:rPr>
          <w:rFonts w:ascii="Times New Roman" w:cs="Times New Roman" w:eastAsia="Times New Roman" w:hAnsi="Times New Roman"/>
          <w:sz w:val="21"/>
          <w:szCs w:val="21"/>
          <w:color w:val="auto"/>
        </w:rPr>
        <w:t xml:space="preserve">SECTION 8.04. </w:t>
      </w:r>
      <w:r>
        <w:rPr>
          <w:rFonts w:ascii="Times New Roman" w:cs="Times New Roman" w:eastAsia="Times New Roman" w:hAnsi="Times New Roman"/>
          <w:sz w:val="21"/>
          <w:szCs w:val="21"/>
          <w:u w:val="single" w:color="auto"/>
          <w:color w:val="auto"/>
        </w:rPr>
        <w:t>Reliance</w:t>
      </w:r>
      <w:r>
        <w:rPr>
          <w:rFonts w:ascii="Times New Roman" w:cs="Times New Roman" w:eastAsia="Times New Roman" w:hAnsi="Times New Roman"/>
          <w:sz w:val="21"/>
          <w:szCs w:val="21"/>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1"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Sub-Agents</w:t>
      </w:r>
      <w:r>
        <w:rPr>
          <w:rFonts w:ascii="Times New Roman" w:cs="Times New Roman" w:eastAsia="Times New Roman" w:hAnsi="Times New Roman"/>
          <w:sz w:val="22"/>
          <w:szCs w:val="22"/>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count of competent jurisdiction determines in a final and non-appealable judgment that the Administrative Agent acted with fraud, gross negligence or willful misconduct in the selection of such sub-agents.</w:t>
      </w:r>
    </w:p>
    <w:p>
      <w:pPr>
        <w:spacing w:after="0" w:line="184"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Resignation; Successor Administrative Agent</w:t>
      </w:r>
      <w:r>
        <w:rPr>
          <w:rFonts w:ascii="Times New Roman" w:cs="Times New Roman" w:eastAsia="Times New Roman" w:hAnsi="Times New Roman"/>
          <w:sz w:val="22"/>
          <w:szCs w:val="22"/>
          <w:color w:val="auto"/>
        </w:rPr>
        <w:t>. The Administrative Agent may resign at any time by notifying the Lenders, the Issuing Banks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3773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3773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6"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112</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69" w:name="page270"/>
    <w:bookmarkEnd w:id="269"/>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days after the retiring Administrative Agent gives notice of its resignation, then the retiring Administrative Agent’s resignation shall nonetheless become effective and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shall continue in effect for its benefit in respect of any actions taken or omitted to be taken by it while it was acting as Administrative Agent.</w:t>
      </w:r>
    </w:p>
    <w:p>
      <w:pPr>
        <w:spacing w:after="0" w:line="186" w:lineRule="exact"/>
        <w:rPr>
          <w:sz w:val="20"/>
          <w:szCs w:val="20"/>
          <w:color w:val="auto"/>
        </w:rPr>
      </w:pPr>
    </w:p>
    <w:p>
      <w:pPr>
        <w:jc w:val="both"/>
        <w:ind w:firstLine="877"/>
        <w:spacing w:after="0" w:line="248" w:lineRule="auto"/>
        <w:rPr>
          <w:sz w:val="20"/>
          <w:szCs w:val="20"/>
          <w:color w:val="auto"/>
        </w:rPr>
      </w:pPr>
      <w:r>
        <w:rPr>
          <w:rFonts w:ascii="Times New Roman" w:cs="Times New Roman" w:eastAsia="Times New Roman" w:hAnsi="Times New Roman"/>
          <w:sz w:val="21"/>
          <w:szCs w:val="21"/>
          <w:color w:val="auto"/>
        </w:rPr>
        <w:t>Any resignation by SunTrust as Administrative Agent pursuant to this Section shall also constitute its resignation as an Issuing Bank and a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71"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color w:val="auto"/>
        </w:rPr>
        <w:t xml:space="preserve">SECTION 8.07. </w:t>
      </w:r>
      <w:r>
        <w:rPr>
          <w:rFonts w:ascii="Times New Roman" w:cs="Times New Roman" w:eastAsia="Times New Roman" w:hAnsi="Times New Roman"/>
          <w:sz w:val="22"/>
          <w:szCs w:val="22"/>
          <w:u w:val="single" w:color="auto"/>
          <w:color w:val="auto"/>
        </w:rPr>
        <w:t>Reliance by Lenders</w:t>
      </w:r>
      <w:r>
        <w:rPr>
          <w:rFonts w:ascii="Times New Roman" w:cs="Times New Roman" w:eastAsia="Times New Roman" w:hAnsi="Times New Roman"/>
          <w:sz w:val="22"/>
          <w:szCs w:val="22"/>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77"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3773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7">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3773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113</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70" w:name="page271"/>
    <w:bookmarkEnd w:id="270"/>
    <w:p>
      <w:pPr>
        <w:jc w:val="both"/>
        <w:ind w:firstLine="1755"/>
        <w:spacing w:after="0" w:line="246" w:lineRule="auto"/>
        <w:rPr>
          <w:sz w:val="20"/>
          <w:szCs w:val="20"/>
          <w:color w:val="auto"/>
        </w:rPr>
      </w:pPr>
      <w:r>
        <w:rPr>
          <w:rFonts w:ascii="Times New Roman" w:cs="Times New Roman" w:eastAsia="Times New Roman" w:hAnsi="Times New Roman"/>
          <w:sz w:val="21"/>
          <w:szCs w:val="21"/>
          <w:color w:val="auto"/>
        </w:rPr>
        <w:t xml:space="preserve">SECTION 8.08. </w:t>
      </w:r>
      <w:r>
        <w:rPr>
          <w:rFonts w:ascii="Times New Roman" w:cs="Times New Roman" w:eastAsia="Times New Roman" w:hAnsi="Times New Roman"/>
          <w:sz w:val="21"/>
          <w:szCs w:val="21"/>
          <w:u w:val="single" w:color="auto"/>
          <w:color w:val="auto"/>
        </w:rPr>
        <w:t>Modifications to Loan Documents</w:t>
      </w:r>
      <w:r>
        <w:rPr>
          <w:rFonts w:ascii="Times New Roman" w:cs="Times New Roman" w:eastAsia="Times New Roman" w:hAnsi="Times New Roman"/>
          <w:sz w:val="21"/>
          <w:szCs w:val="21"/>
          <w:color w:val="auto"/>
        </w:rPr>
        <w:t xml:space="preserve">. Except as otherwise provided in </w:t>
      </w:r>
      <w:r>
        <w:rPr>
          <w:rFonts w:ascii="Times New Roman" w:cs="Times New Roman" w:eastAsia="Times New Roman" w:hAnsi="Times New Roman"/>
          <w:sz w:val="21"/>
          <w:szCs w:val="21"/>
          <w:u w:val="single" w:color="auto"/>
          <w:color w:val="auto"/>
        </w:rPr>
        <w:t>Section 2.13(b)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9.02(b)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to release any Lien covering property that is the subject of either a disposition of property permitted hereunder or a disposition to which the Required Lenders have consented.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IX</w:t>
      </w:r>
    </w:p>
    <w:p>
      <w:pPr>
        <w:spacing w:after="0" w:line="23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u w:val="single" w:color="auto"/>
          <w:color w:val="auto"/>
        </w:rPr>
        <w:t>Notices; Electronic Communications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44" w:lineRule="auto"/>
        <w:tabs>
          <w:tab w:leader="none" w:pos="2643"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Generally</w:t>
      </w:r>
      <w:r>
        <w:rPr>
          <w:rFonts w:ascii="Times New Roman" w:cs="Times New Roman" w:eastAsia="Times New Roman" w:hAnsi="Times New Roman"/>
          <w:sz w:val="22"/>
          <w:szCs w:val="22"/>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173" w:lineRule="exact"/>
        <w:rPr>
          <w:rFonts w:ascii="Times New Roman" w:cs="Times New Roman" w:eastAsia="Times New Roman" w:hAnsi="Times New Roman"/>
          <w:sz w:val="22"/>
          <w:szCs w:val="22"/>
          <w:color w:val="auto"/>
        </w:rPr>
      </w:pPr>
    </w:p>
    <w:p>
      <w:pPr>
        <w:ind w:left="2540" w:hanging="844"/>
        <w:spacing w:after="0"/>
        <w:tabs>
          <w:tab w:leader="none" w:pos="254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 to it at:</w:t>
      </w:r>
    </w:p>
    <w:p>
      <w:pPr>
        <w:spacing w:after="0" w:line="20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TPG Specialty Lending, Inc.</w:t>
      </w:r>
    </w:p>
    <w:p>
      <w:pPr>
        <w:spacing w:after="0" w:line="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888 Seventh Avenue, 35</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Floor</w:t>
      </w:r>
    </w:p>
    <w:p>
      <w:pPr>
        <w:ind w:left="3520"/>
        <w:spacing w:after="0" w:line="230" w:lineRule="auto"/>
        <w:rPr>
          <w:sz w:val="20"/>
          <w:szCs w:val="20"/>
          <w:color w:val="auto"/>
        </w:rPr>
      </w:pPr>
      <w:r>
        <w:rPr>
          <w:rFonts w:ascii="Times New Roman" w:cs="Times New Roman" w:eastAsia="Times New Roman" w:hAnsi="Times New Roman"/>
          <w:sz w:val="22"/>
          <w:szCs w:val="22"/>
          <w:color w:val="auto"/>
        </w:rPr>
        <w:t>New York, New York 10019</w:t>
      </w:r>
    </w:p>
    <w:p>
      <w:pPr>
        <w:ind w:left="3520"/>
        <w:spacing w:after="0" w:line="231" w:lineRule="auto"/>
        <w:rPr>
          <w:sz w:val="20"/>
          <w:szCs w:val="20"/>
          <w:color w:val="auto"/>
        </w:rPr>
      </w:pPr>
      <w:r>
        <w:rPr>
          <w:rFonts w:ascii="Times New Roman" w:cs="Times New Roman" w:eastAsia="Times New Roman" w:hAnsi="Times New Roman"/>
          <w:sz w:val="22"/>
          <w:szCs w:val="22"/>
          <w:color w:val="auto"/>
        </w:rPr>
        <w:t>Attention: Ian Simmonds</w:t>
      </w:r>
    </w:p>
    <w:p>
      <w:pPr>
        <w:ind w:left="3520"/>
        <w:spacing w:after="0" w:line="230" w:lineRule="auto"/>
        <w:rPr>
          <w:sz w:val="20"/>
          <w:szCs w:val="20"/>
          <w:color w:val="auto"/>
        </w:rPr>
      </w:pPr>
      <w:r>
        <w:rPr>
          <w:rFonts w:ascii="Times New Roman" w:cs="Times New Roman" w:eastAsia="Times New Roman" w:hAnsi="Times New Roman"/>
          <w:sz w:val="22"/>
          <w:szCs w:val="22"/>
          <w:color w:val="auto"/>
        </w:rPr>
        <w:t>Telecopy Number: (212) 430-4639</w:t>
      </w:r>
    </w:p>
    <w:p>
      <w:pPr>
        <w:spacing w:after="0" w:line="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Telephone: (212) 601-4739</w:t>
      </w:r>
    </w:p>
    <w:p>
      <w:pPr>
        <w:spacing w:after="0" w:line="182" w:lineRule="exact"/>
        <w:rPr>
          <w:sz w:val="20"/>
          <w:szCs w:val="20"/>
          <w:color w:val="auto"/>
        </w:rPr>
      </w:pPr>
    </w:p>
    <w:p>
      <w:pPr>
        <w:ind w:left="2600" w:hanging="904"/>
        <w:spacing w:after="0"/>
        <w:tabs>
          <w:tab w:leader="none" w:pos="260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or SunTrust, in its capacity as a Swingline Lender, to it at:</w:t>
      </w:r>
    </w:p>
    <w:p>
      <w:pPr>
        <w:spacing w:after="0" w:line="20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SunTrust Bank</w:t>
      </w:r>
    </w:p>
    <w:p>
      <w:pPr>
        <w:spacing w:after="0" w:line="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3333 Peachtree Road, 7th Floor</w:t>
      </w:r>
    </w:p>
    <w:p>
      <w:pPr>
        <w:ind w:left="3520"/>
        <w:spacing w:after="0" w:line="230" w:lineRule="auto"/>
        <w:rPr>
          <w:sz w:val="20"/>
          <w:szCs w:val="20"/>
          <w:color w:val="auto"/>
        </w:rPr>
      </w:pPr>
      <w:r>
        <w:rPr>
          <w:rFonts w:ascii="Times New Roman" w:cs="Times New Roman" w:eastAsia="Times New Roman" w:hAnsi="Times New Roman"/>
          <w:sz w:val="22"/>
          <w:szCs w:val="22"/>
          <w:color w:val="auto"/>
        </w:rPr>
        <w:t>Atlanta, Georgia 30326</w:t>
      </w:r>
    </w:p>
    <w:p>
      <w:pPr>
        <w:ind w:left="3520"/>
        <w:spacing w:after="0" w:line="231" w:lineRule="auto"/>
        <w:rPr>
          <w:sz w:val="20"/>
          <w:szCs w:val="20"/>
          <w:color w:val="auto"/>
        </w:rPr>
      </w:pPr>
      <w:r>
        <w:rPr>
          <w:rFonts w:ascii="Times New Roman" w:cs="Times New Roman" w:eastAsia="Times New Roman" w:hAnsi="Times New Roman"/>
          <w:sz w:val="22"/>
          <w:szCs w:val="22"/>
          <w:color w:val="auto"/>
        </w:rPr>
        <w:t>Attention: Doug Kennedy</w:t>
      </w:r>
    </w:p>
    <w:p>
      <w:pPr>
        <w:ind w:left="3520"/>
        <w:spacing w:after="0"/>
        <w:rPr>
          <w:sz w:val="20"/>
          <w:szCs w:val="20"/>
          <w:color w:val="auto"/>
        </w:rPr>
      </w:pPr>
      <w:r>
        <w:rPr>
          <w:rFonts w:ascii="Times New Roman" w:cs="Times New Roman" w:eastAsia="Times New Roman" w:hAnsi="Times New Roman"/>
          <w:sz w:val="22"/>
          <w:szCs w:val="22"/>
          <w:color w:val="auto"/>
        </w:rPr>
        <w:t>Telecopy Number: (404) 739-7390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3773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3773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1"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114</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71" w:name="page272"/>
    <w:bookmarkEnd w:id="271"/>
    <w:p>
      <w:pPr>
        <w:ind w:left="352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SunTrust Bank</w:t>
      </w:r>
    </w:p>
    <w:p>
      <w:pPr>
        <w:spacing w:after="0" w:line="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Agency Services</w:t>
      </w:r>
    </w:p>
    <w:p>
      <w:pPr>
        <w:ind w:left="3520"/>
        <w:spacing w:after="0" w:line="230" w:lineRule="auto"/>
        <w:rPr>
          <w:sz w:val="20"/>
          <w:szCs w:val="20"/>
          <w:color w:val="auto"/>
        </w:rPr>
      </w:pPr>
      <w:r>
        <w:rPr>
          <w:rFonts w:ascii="Times New Roman" w:cs="Times New Roman" w:eastAsia="Times New Roman" w:hAnsi="Times New Roman"/>
          <w:sz w:val="22"/>
          <w:szCs w:val="22"/>
          <w:color w:val="auto"/>
        </w:rPr>
        <w:t>303 Peachtree Street, N. E./ 25th Floor</w:t>
      </w:r>
    </w:p>
    <w:p>
      <w:pPr>
        <w:ind w:left="3520"/>
        <w:spacing w:after="0" w:line="231" w:lineRule="auto"/>
        <w:rPr>
          <w:sz w:val="20"/>
          <w:szCs w:val="20"/>
          <w:color w:val="auto"/>
        </w:rPr>
      </w:pPr>
      <w:r>
        <w:rPr>
          <w:rFonts w:ascii="Times New Roman" w:cs="Times New Roman" w:eastAsia="Times New Roman" w:hAnsi="Times New Roman"/>
          <w:sz w:val="22"/>
          <w:szCs w:val="22"/>
          <w:color w:val="auto"/>
        </w:rPr>
        <w:t>Atlanta, Georgia 30308</w:t>
      </w:r>
    </w:p>
    <w:p>
      <w:pPr>
        <w:ind w:left="3520"/>
        <w:spacing w:after="0" w:line="230" w:lineRule="auto"/>
        <w:rPr>
          <w:sz w:val="20"/>
          <w:szCs w:val="20"/>
          <w:color w:val="auto"/>
        </w:rPr>
      </w:pPr>
      <w:r>
        <w:rPr>
          <w:rFonts w:ascii="Times New Roman" w:cs="Times New Roman" w:eastAsia="Times New Roman" w:hAnsi="Times New Roman"/>
          <w:sz w:val="22"/>
          <w:szCs w:val="22"/>
          <w:color w:val="auto"/>
        </w:rPr>
        <w:t>Attention: Wanda Gregory</w:t>
      </w:r>
    </w:p>
    <w:p>
      <w:pPr>
        <w:spacing w:after="0" w:line="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Telecopy Number: (404) 658-4906</w:t>
      </w:r>
    </w:p>
    <w:p>
      <w:pPr>
        <w:spacing w:after="0" w:line="182" w:lineRule="exact"/>
        <w:rPr>
          <w:sz w:val="20"/>
          <w:szCs w:val="20"/>
          <w:color w:val="auto"/>
        </w:rPr>
      </w:pPr>
    </w:p>
    <w:p>
      <w:pPr>
        <w:ind w:left="2660" w:hanging="964"/>
        <w:spacing w:after="0"/>
        <w:tabs>
          <w:tab w:leader="none" w:pos="266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SunTrust, in its capacity as Issuing Bank, to it at:</w:t>
      </w:r>
    </w:p>
    <w:p>
      <w:pPr>
        <w:spacing w:after="0" w:line="20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SunTrust Bank</w:t>
      </w:r>
    </w:p>
    <w:p>
      <w:pPr>
        <w:spacing w:after="0" w:line="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303 Peachtree Street, N. E./ 25th Floor</w:t>
      </w:r>
    </w:p>
    <w:p>
      <w:pPr>
        <w:ind w:left="3520"/>
        <w:spacing w:after="0" w:line="230" w:lineRule="auto"/>
        <w:rPr>
          <w:sz w:val="20"/>
          <w:szCs w:val="20"/>
          <w:color w:val="auto"/>
        </w:rPr>
      </w:pPr>
      <w:r>
        <w:rPr>
          <w:rFonts w:ascii="Times New Roman" w:cs="Times New Roman" w:eastAsia="Times New Roman" w:hAnsi="Times New Roman"/>
          <w:sz w:val="22"/>
          <w:szCs w:val="22"/>
          <w:color w:val="auto"/>
        </w:rPr>
        <w:t>Atlanta, Georgia 30308</w:t>
      </w:r>
    </w:p>
    <w:p>
      <w:pPr>
        <w:ind w:left="3520"/>
        <w:spacing w:after="0" w:line="231" w:lineRule="auto"/>
        <w:rPr>
          <w:sz w:val="20"/>
          <w:szCs w:val="20"/>
          <w:color w:val="auto"/>
        </w:rPr>
      </w:pPr>
      <w:r>
        <w:rPr>
          <w:rFonts w:ascii="Times New Roman" w:cs="Times New Roman" w:eastAsia="Times New Roman" w:hAnsi="Times New Roman"/>
          <w:sz w:val="22"/>
          <w:szCs w:val="22"/>
          <w:color w:val="auto"/>
        </w:rPr>
        <w:t>Attention: Wanda Gregory</w:t>
      </w:r>
    </w:p>
    <w:p>
      <w:pPr>
        <w:ind w:left="3520"/>
        <w:spacing w:after="0"/>
        <w:rPr>
          <w:sz w:val="20"/>
          <w:szCs w:val="20"/>
          <w:color w:val="auto"/>
        </w:rPr>
      </w:pPr>
      <w:r>
        <w:rPr>
          <w:rFonts w:ascii="Times New Roman" w:cs="Times New Roman" w:eastAsia="Times New Roman" w:hAnsi="Times New Roman"/>
          <w:sz w:val="22"/>
          <w:szCs w:val="22"/>
          <w:color w:val="auto"/>
        </w:rPr>
        <w:t>Telecopy Number: (404) 658-4906</w:t>
      </w:r>
    </w:p>
    <w:p>
      <w:pPr>
        <w:spacing w:after="0" w:line="182" w:lineRule="exact"/>
        <w:rPr>
          <w:sz w:val="20"/>
          <w:szCs w:val="20"/>
          <w:color w:val="auto"/>
        </w:rPr>
      </w:pPr>
    </w:p>
    <w:p>
      <w:pPr>
        <w:ind w:left="2660" w:hanging="964"/>
        <w:spacing w:after="0"/>
        <w:tabs>
          <w:tab w:leader="none" w:pos="266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JPMorgan Chase Bank, N.A., in its capacity as a Swingline Lender and an Issuing Bank:</w:t>
      </w:r>
    </w:p>
    <w:p>
      <w:pPr>
        <w:spacing w:after="0" w:line="20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Ground floor, 1st to 6th floors, Platina 3, Kodbis, Floor 03</w:t>
      </w:r>
    </w:p>
    <w:p>
      <w:pPr>
        <w:ind w:left="3520"/>
        <w:spacing w:after="0" w:line="230" w:lineRule="auto"/>
        <w:rPr>
          <w:sz w:val="20"/>
          <w:szCs w:val="20"/>
          <w:color w:val="auto"/>
        </w:rPr>
      </w:pPr>
      <w:r>
        <w:rPr>
          <w:rFonts w:ascii="Times New Roman" w:cs="Times New Roman" w:eastAsia="Times New Roman" w:hAnsi="Times New Roman"/>
          <w:sz w:val="22"/>
          <w:szCs w:val="22"/>
          <w:color w:val="auto"/>
        </w:rPr>
        <w:t>Bengaluru, 560 103, India</w:t>
      </w:r>
    </w:p>
    <w:p>
      <w:pPr>
        <w:ind w:left="3520"/>
        <w:spacing w:after="0" w:line="231" w:lineRule="auto"/>
        <w:rPr>
          <w:sz w:val="20"/>
          <w:szCs w:val="20"/>
          <w:color w:val="auto"/>
        </w:rPr>
      </w:pPr>
      <w:r>
        <w:rPr>
          <w:rFonts w:ascii="Times New Roman" w:cs="Times New Roman" w:eastAsia="Times New Roman" w:hAnsi="Times New Roman"/>
          <w:sz w:val="22"/>
          <w:szCs w:val="22"/>
          <w:color w:val="auto"/>
        </w:rPr>
        <w:t>Attention: Sneha Machani</w:t>
      </w:r>
    </w:p>
    <w:p>
      <w:pPr>
        <w:ind w:left="3520"/>
        <w:spacing w:after="0"/>
        <w:rPr>
          <w:sz w:val="20"/>
          <w:szCs w:val="20"/>
          <w:color w:val="auto"/>
        </w:rPr>
      </w:pPr>
      <w:r>
        <w:rPr>
          <w:rFonts w:ascii="Times New Roman" w:cs="Times New Roman" w:eastAsia="Times New Roman" w:hAnsi="Times New Roman"/>
          <w:sz w:val="22"/>
          <w:szCs w:val="22"/>
          <w:color w:val="auto"/>
        </w:rPr>
        <w:t>Telecopy Number: (201) 244-3885</w:t>
      </w:r>
    </w:p>
    <w:p>
      <w:pPr>
        <w:spacing w:after="0" w:line="182" w:lineRule="exact"/>
        <w:rPr>
          <w:sz w:val="20"/>
          <w:szCs w:val="20"/>
          <w:color w:val="auto"/>
        </w:rPr>
      </w:pPr>
    </w:p>
    <w:p>
      <w:pPr>
        <w:ind w:left="2600" w:hanging="904"/>
        <w:spacing w:after="0"/>
        <w:tabs>
          <w:tab w:leader="none" w:pos="260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Lender, to it at its address (or telecopy number) set forth in its Administrative</w:t>
      </w:r>
    </w:p>
    <w:p>
      <w:pPr>
        <w:spacing w:after="0" w:line="14" w:lineRule="exact"/>
        <w:rPr>
          <w:rFonts w:ascii="Times New Roman" w:cs="Times New Roman" w:eastAsia="Times New Roman" w:hAnsi="Times New Roman"/>
          <w:sz w:val="22"/>
          <w:szCs w:val="22"/>
          <w:color w:val="auto"/>
        </w:rPr>
      </w:pPr>
    </w:p>
    <w:p>
      <w:pPr>
        <w:ind w:left="8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Questionnaire.</w:t>
      </w:r>
    </w:p>
    <w:p>
      <w:pPr>
        <w:spacing w:after="0" w:line="182"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below, shall be effective as provided in said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763"/>
        <w:spacing w:after="0" w:line="235" w:lineRule="auto"/>
        <w:tabs>
          <w:tab w:leader="none" w:pos="2655"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xml:space="preserve">. Notices and other communications to the Lenders and the Issuing Banks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to any Lender or any Issuing Bank pursuant to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3773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3">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3773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8"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115</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72" w:name="page273"/>
    <w:bookmarkEnd w:id="272"/>
    <w:p>
      <w:pPr>
        <w:jc w:val="both"/>
        <w:ind w:firstLine="1763"/>
        <w:spacing w:after="0" w:line="235" w:lineRule="auto"/>
        <w:tabs>
          <w:tab w:leader="none" w:pos="2005"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notification that such notice or communication is available and identifying the website address therefor.</w:t>
      </w:r>
    </w:p>
    <w:p>
      <w:pPr>
        <w:spacing w:after="0" w:line="184"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the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77" w:lineRule="exact"/>
        <w:rPr>
          <w:sz w:val="20"/>
          <w:szCs w:val="20"/>
          <w:color w:val="auto"/>
        </w:rPr>
      </w:pPr>
    </w:p>
    <w:p>
      <w:pPr>
        <w:jc w:val="both"/>
        <w:ind w:firstLine="1763"/>
        <w:spacing w:after="0" w:line="234" w:lineRule="auto"/>
        <w:tabs>
          <w:tab w:leader="none" w:pos="2643"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Private Side Information Contacts</w:t>
      </w:r>
      <w:r>
        <w:rPr>
          <w:rFonts w:ascii="Times New Roman" w:cs="Times New Roman" w:eastAsia="Times New Roman" w:hAnsi="Times New Roman"/>
          <w:sz w:val="22"/>
          <w:szCs w:val="22"/>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80" w:lineRule="exact"/>
        <w:rPr>
          <w:rFonts w:ascii="Times New Roman" w:cs="Times New Roman" w:eastAsia="Times New Roman" w:hAnsi="Times New Roman"/>
          <w:sz w:val="22"/>
          <w:szCs w:val="22"/>
          <w:color w:val="auto"/>
        </w:rPr>
      </w:pPr>
    </w:p>
    <w:p>
      <w:pPr>
        <w:jc w:val="both"/>
        <w:ind w:firstLine="1763"/>
        <w:spacing w:after="0" w:line="236" w:lineRule="auto"/>
        <w:tabs>
          <w:tab w:leader="none" w:pos="2655"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Documents to be Delivered under Sections 5.01 and 5.12(a)</w:t>
      </w:r>
      <w:r>
        <w:rPr>
          <w:rFonts w:ascii="Times New Roman" w:cs="Times New Roman" w:eastAsia="Times New Roman" w:hAnsi="Times New Roman"/>
          <w:sz w:val="22"/>
          <w:szCs w:val="22"/>
          <w:color w:val="auto"/>
        </w:rPr>
        <w:t xml:space="preserve">. For so long as an Intralinks™ or equivalent website is available to each of the Lenders hereunder, the Borrower may satisfy its obligation to deliver documents to the Administrative Agent or the Lenders under </w:t>
      </w:r>
      <w:r>
        <w:rPr>
          <w:rFonts w:ascii="Times New Roman" w:cs="Times New Roman" w:eastAsia="Times New Roman" w:hAnsi="Times New Roman"/>
          <w:sz w:val="22"/>
          <w:szCs w:val="22"/>
          <w:u w:val="single" w:color="auto"/>
          <w:color w:val="auto"/>
        </w:rPr>
        <w:t>Sections 5.01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5.12(a)</w:t>
      </w:r>
      <w:r>
        <w:rPr>
          <w:rFonts w:ascii="Times New Roman" w:cs="Times New Roman" w:eastAsia="Times New Roman" w:hAnsi="Times New Roman"/>
          <w:sz w:val="22"/>
          <w:szCs w:val="22"/>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have no responsibility to maintain access to Intralinks™ or an equivalent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3773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6">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3773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1"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116</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73" w:name="page274"/>
    <w:bookmarkEnd w:id="273"/>
    <w:p>
      <w:pPr>
        <w:ind w:left="1760"/>
        <w:spacing w:after="0"/>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Waivers; Amendments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4" w:lineRule="auto"/>
        <w:tabs>
          <w:tab w:leader="none" w:pos="2643"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Deemed Waivers Remedies Cumulative</w:t>
      </w:r>
      <w:r>
        <w:rPr>
          <w:rFonts w:ascii="Times New Roman" w:cs="Times New Roman" w:eastAsia="Times New Roman" w:hAnsi="Times New Roman"/>
          <w:sz w:val="22"/>
          <w:szCs w:val="22"/>
          <w:color w:val="auto"/>
        </w:rPr>
        <w:t xml:space="preserve">. No failure or delay by the Administrative Agent, any Issuing Bank, any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the Swingline Lenders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any Swingline Lender, any Lender or any Issuing Bank may have had notice or knowledge of such Default at the time.</w:t>
      </w:r>
    </w:p>
    <w:p>
      <w:pPr>
        <w:spacing w:after="0" w:line="176" w:lineRule="exact"/>
        <w:rPr>
          <w:rFonts w:ascii="Times New Roman" w:cs="Times New Roman" w:eastAsia="Times New Roman" w:hAnsi="Times New Roman"/>
          <w:sz w:val="22"/>
          <w:szCs w:val="22"/>
          <w:color w:val="auto"/>
        </w:rPr>
      </w:pPr>
    </w:p>
    <w:p>
      <w:pPr>
        <w:jc w:val="both"/>
        <w:ind w:firstLine="1763"/>
        <w:spacing w:after="0" w:line="239" w:lineRule="auto"/>
        <w:tabs>
          <w:tab w:leader="none" w:pos="2655"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this Agreement</w:t>
      </w:r>
      <w:r>
        <w:rPr>
          <w:rFonts w:ascii="Times New Roman" w:cs="Times New Roman" w:eastAsia="Times New Roman" w:hAnsi="Times New Roman"/>
          <w:sz w:val="22"/>
          <w:szCs w:val="22"/>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agreement shall:</w:t>
      </w:r>
    </w:p>
    <w:p>
      <w:pPr>
        <w:spacing w:after="0" w:line="180" w:lineRule="exact"/>
        <w:rPr>
          <w:rFonts w:ascii="Times New Roman" w:cs="Times New Roman" w:eastAsia="Times New Roman" w:hAnsi="Times New Roman"/>
          <w:sz w:val="22"/>
          <w:szCs w:val="22"/>
          <w:color w:val="auto"/>
        </w:rPr>
      </w:pPr>
    </w:p>
    <w:p>
      <w:pPr>
        <w:ind w:left="2540" w:hanging="844"/>
        <w:spacing w:after="0"/>
        <w:tabs>
          <w:tab w:leader="none" w:pos="254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Commitment of any Lender without the written consent of such Lender,</w:t>
      </w:r>
    </w:p>
    <w:p>
      <w:pPr>
        <w:spacing w:after="0" w:line="206" w:lineRule="exact"/>
        <w:rPr>
          <w:rFonts w:ascii="Times New Roman" w:cs="Times New Roman" w:eastAsia="Times New Roman" w:hAnsi="Times New Roman"/>
          <w:sz w:val="22"/>
          <w:szCs w:val="22"/>
          <w:color w:val="auto"/>
        </w:rPr>
      </w:pPr>
    </w:p>
    <w:p>
      <w:pPr>
        <w:ind w:left="880" w:firstLine="816"/>
        <w:spacing w:after="0" w:line="258" w:lineRule="auto"/>
        <w:tabs>
          <w:tab w:leader="none" w:pos="2602"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amount of any Loan or LC Disbursement or reduce the rate of interest thereon, or reduce any fees payable hereunder, without the written consent of each Lender affected thereby,</w:t>
      </w:r>
    </w:p>
    <w:p>
      <w:pPr>
        <w:spacing w:after="0" w:line="158" w:lineRule="exact"/>
        <w:rPr>
          <w:rFonts w:ascii="Times New Roman" w:cs="Times New Roman" w:eastAsia="Times New Roman" w:hAnsi="Times New Roman"/>
          <w:sz w:val="22"/>
          <w:szCs w:val="22"/>
          <w:color w:val="auto"/>
        </w:rPr>
      </w:pPr>
    </w:p>
    <w:p>
      <w:pPr>
        <w:jc w:val="both"/>
        <w:ind w:left="880" w:firstLine="816"/>
        <w:spacing w:after="0" w:line="239" w:lineRule="auto"/>
        <w:tabs>
          <w:tab w:leader="none" w:pos="2662"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180" w:lineRule="exact"/>
        <w:rPr>
          <w:rFonts w:ascii="Times New Roman" w:cs="Times New Roman" w:eastAsia="Times New Roman" w:hAnsi="Times New Roman"/>
          <w:sz w:val="22"/>
          <w:szCs w:val="22"/>
          <w:color w:val="auto"/>
        </w:rPr>
      </w:pPr>
    </w:p>
    <w:p>
      <w:pPr>
        <w:ind w:left="880" w:firstLine="816"/>
        <w:spacing w:after="0" w:line="258" w:lineRule="auto"/>
        <w:tabs>
          <w:tab w:leader="none" w:pos="265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w:t>
      </w:r>
      <w:r>
        <w:rPr>
          <w:rFonts w:ascii="Times New Roman" w:cs="Times New Roman" w:eastAsia="Times New Roman" w:hAnsi="Times New Roman"/>
          <w:sz w:val="22"/>
          <w:szCs w:val="22"/>
          <w:u w:val="single" w:color="auto"/>
          <w:color w:val="auto"/>
        </w:rPr>
        <w:t>Section 2.17(b)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in a manner that would alter the pro rata sharing of payments required thereby without the written consent of each Lender affected thereby, or</w:t>
      </w:r>
    </w:p>
    <w:p>
      <w:pPr>
        <w:spacing w:after="0" w:line="158" w:lineRule="exact"/>
        <w:rPr>
          <w:rFonts w:ascii="Times New Roman" w:cs="Times New Roman" w:eastAsia="Times New Roman" w:hAnsi="Times New Roman"/>
          <w:sz w:val="22"/>
          <w:szCs w:val="22"/>
          <w:color w:val="auto"/>
        </w:rPr>
      </w:pPr>
    </w:p>
    <w:p>
      <w:pPr>
        <w:jc w:val="both"/>
        <w:ind w:left="880" w:firstLine="816"/>
        <w:spacing w:after="0" w:line="239" w:lineRule="auto"/>
        <w:tabs>
          <w:tab w:leader="none" w:pos="259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(x) no such agreement shall amend, modify or otherwise affect the rights or duties of the Administrative Agent, the Issuing Banks or the Swingline Lenders hereunder without the prior written consent of the Administrative Agent, the Issuing Banks or the Swingline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3773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9">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3773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117</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74" w:name="page275"/>
    <w:bookmarkEnd w:id="274"/>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as the case may be and (y) the consent of Lenders holding not less than two-thirds of the Revolving Credit Exposure and unused Commitments will be required (A) for any adverse change affecting the provisions of this Agreement relating to the determination of the Borrowing Base (excluding changes to the provisions of </w:t>
      </w:r>
      <w:r>
        <w:rPr>
          <w:rFonts w:ascii="Times New Roman" w:cs="Times New Roman" w:eastAsia="Times New Roman" w:hAnsi="Times New Roman"/>
          <w:sz w:val="21"/>
          <w:szCs w:val="21"/>
          <w:u w:val="single" w:color="auto"/>
          <w:color w:val="auto"/>
        </w:rPr>
        <w:t>Section 5.12(b)(ii)(E)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but including changes to the provisions of </w:t>
      </w:r>
      <w:r>
        <w:rPr>
          <w:rFonts w:ascii="Times New Roman" w:cs="Times New Roman" w:eastAsia="Times New Roman" w:hAnsi="Times New Roman"/>
          <w:sz w:val="21"/>
          <w:szCs w:val="21"/>
          <w:u w:val="single" w:color="auto"/>
          <w:color w:val="auto"/>
        </w:rPr>
        <w:t>Section 5.12(c)(ii)</w:t>
      </w:r>
      <w:r>
        <w:rPr>
          <w:rFonts w:ascii="Times New Roman" w:cs="Times New Roman" w:eastAsia="Times New Roman" w:hAnsi="Times New Roman"/>
          <w:sz w:val="21"/>
          <w:szCs w:val="21"/>
          <w:color w:val="auto"/>
        </w:rPr>
        <w:t xml:space="preserve"> and the definitions set forth in </w:t>
      </w:r>
      <w:r>
        <w:rPr>
          <w:rFonts w:ascii="Times New Roman" w:cs="Times New Roman" w:eastAsia="Times New Roman" w:hAnsi="Times New Roman"/>
          <w:sz w:val="21"/>
          <w:szCs w:val="21"/>
          <w:u w:val="single" w:color="auto"/>
          <w:color w:val="auto"/>
        </w:rPr>
        <w:t>Section 5.13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for any release of any material portion of the Collateral other than for fair value or as otherwise permitted hereunder or under the other Loan Documents.</w:t>
      </w:r>
    </w:p>
    <w:p>
      <w:pPr>
        <w:spacing w:after="0" w:line="169"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 Anything in this Agreement to the contrary notwithstanding, this Agreement may be amended by the Borrower with the consent of the Administrative Agent and any Non-Extending Lender (but without the consent of the Required Lenders) for the sole purpose of extending the Commitments of such Non-Extending Lender so that such Non-Extending Lender becomes an Extending Lender hereunder.</w:t>
      </w:r>
    </w:p>
    <w:p>
      <w:pPr>
        <w:spacing w:after="0" w:line="184" w:lineRule="exact"/>
        <w:rPr>
          <w:sz w:val="20"/>
          <w:szCs w:val="20"/>
          <w:color w:val="auto"/>
        </w:rPr>
      </w:pPr>
    </w:p>
    <w:p>
      <w:pPr>
        <w:jc w:val="both"/>
        <w:ind w:firstLine="1763"/>
        <w:spacing w:after="0" w:line="234" w:lineRule="auto"/>
        <w:tabs>
          <w:tab w:leader="none" w:pos="2643"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Security Documents</w:t>
      </w:r>
      <w:r>
        <w:rPr>
          <w:rFonts w:ascii="Times New Roman" w:cs="Times New Roman" w:eastAsia="Times New Roman" w:hAnsi="Times New Roman"/>
          <w:sz w:val="22"/>
          <w:szCs w:val="22"/>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Times New Roman" w:cs="Times New Roman" w:eastAsia="Times New Roman" w:hAnsi="Times New Roman"/>
          <w:sz w:val="22"/>
          <w:szCs w:val="22"/>
          <w:u w:val="single" w:color="auto"/>
          <w:color w:val="auto"/>
        </w:rPr>
        <w:t>Section 2.08(e)</w:t>
      </w:r>
      <w:r>
        <w:rPr>
          <w:rFonts w:ascii="Times New Roman" w:cs="Times New Roman" w:eastAsia="Times New Roman" w:hAnsi="Times New Roman"/>
          <w:sz w:val="22"/>
          <w:szCs w:val="22"/>
          <w:color w:val="auto"/>
        </w:rPr>
        <w:t xml:space="preserve"> to an amount not greater than $1,500,000,000) except pursuant to an agreement or agreements in writing entered into by the Borrower, and by the Collateral Agent with the consent of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without the written consent of each Lender, no such agreement shall release all or substantially all of the Obligors from their respective obligations under the Security Documents and</w:t>
      </w:r>
    </w:p>
    <w:p>
      <w:pPr>
        <w:spacing w:after="0" w:line="2" w:lineRule="exact"/>
        <w:rPr>
          <w:rFonts w:ascii="Times New Roman" w:cs="Times New Roman" w:eastAsia="Times New Roman" w:hAnsi="Times New Roman"/>
          <w:sz w:val="22"/>
          <w:szCs w:val="22"/>
          <w:color w:val="auto"/>
        </w:rPr>
      </w:pPr>
    </w:p>
    <w:p>
      <w:pPr>
        <w:jc w:val="both"/>
        <w:ind w:firstLine="8"/>
        <w:spacing w:after="0" w:line="231" w:lineRule="auto"/>
        <w:tabs>
          <w:tab w:leader="none" w:pos="33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(x) to release any Lien covering property (and to release any such guarantor) that is the subject of either a disposition of property permitted hereunder or a disposition to which the Required Lenders have consented, (y) to release any Lien and/or guarantee obligation in accordance with the Guarantee and Security Agreement and (z) to release (and to acknowledge the release of) all Liens and guarantees of Obligors upon the termination of this Agreement (including in connection with a complete refinancing).</w:t>
      </w:r>
    </w:p>
    <w:p>
      <w:pPr>
        <w:spacing w:after="0" w:line="187" w:lineRule="exact"/>
        <w:rPr>
          <w:rFonts w:ascii="Times New Roman" w:cs="Times New Roman" w:eastAsia="Times New Roman" w:hAnsi="Times New Roman"/>
          <w:sz w:val="22"/>
          <w:szCs w:val="22"/>
          <w:color w:val="auto"/>
        </w:rPr>
      </w:pPr>
    </w:p>
    <w:p>
      <w:pPr>
        <w:jc w:val="both"/>
        <w:ind w:firstLine="1763"/>
        <w:spacing w:after="0" w:line="239" w:lineRule="auto"/>
        <w:tabs>
          <w:tab w:leader="none" w:pos="2655"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Non-Consenting Lender</w:t>
      </w:r>
      <w:r>
        <w:rPr>
          <w:rFonts w:ascii="Times New Roman" w:cs="Times New Roman" w:eastAsia="Times New Roman" w:hAnsi="Times New Roman"/>
          <w:sz w:val="22"/>
          <w:szCs w:val="22"/>
          <w:color w:val="auto"/>
        </w:rPr>
        <w:t xml:space="preserve">. If, in connection with any proposed change, waiver, discharge or termination to any of the provisions of this Agreement as contemplated by this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the consent of the Required Lenders shall have been obtained but the consent of one or more Lenders (each a “Non-Consenting Lender”) whose consent is required for such proposed change, waiver, discharge or termination is not obtained, then (so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2">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0"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118</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75" w:name="page276"/>
    <w:bookmarkEnd w:id="275"/>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as no Event of Default has occurred and is continuing) the Borrower shall have the right, at its sole cost and expense, to replace each such Non-Consenting Lender or Lenders with one or more replacement Lenders pursuant to </w:t>
      </w:r>
      <w:r>
        <w:rPr>
          <w:rFonts w:ascii="Times New Roman" w:cs="Times New Roman" w:eastAsia="Times New Roman" w:hAnsi="Times New Roman"/>
          <w:sz w:val="22"/>
          <w:szCs w:val="22"/>
          <w:u w:val="single" w:color="auto"/>
          <w:color w:val="auto"/>
        </w:rPr>
        <w:t>Section 2.18(b)</w:t>
      </w:r>
      <w:r>
        <w:rPr>
          <w:rFonts w:ascii="Times New Roman" w:cs="Times New Roman" w:eastAsia="Times New Roman" w:hAnsi="Times New Roman"/>
          <w:sz w:val="22"/>
          <w:szCs w:val="22"/>
          <w:color w:val="auto"/>
        </w:rPr>
        <w:t xml:space="preserve"> so long as at the time of such replacement, each such replacement Lender consents to the proposed change, waiver, discharge or termination.</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u w:val="single" w:color="auto"/>
          <w:color w:val="auto"/>
        </w:rPr>
        <w:t>Expenses; Indemnity; Damage Waiver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2" w:lineRule="auto"/>
        <w:tabs>
          <w:tab w:leader="none" w:pos="2643"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by such Issuing Bank or any demand for payment thereunder, (iii) all documented out-of-pocket expenses incurred by the Administrative Agent, any Issuing Bank, any Swingline Lender or any Lender, including the reasonable and documented fees, charges and disbursements of one outside counsel for the Administrative Agent, each Issuing Bank and each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spacing w:after="0" w:line="192" w:lineRule="exact"/>
        <w:rPr>
          <w:rFonts w:ascii="Times New Roman" w:cs="Times New Roman" w:eastAsia="Times New Roman" w:hAnsi="Times New Roman"/>
          <w:sz w:val="22"/>
          <w:szCs w:val="22"/>
          <w:color w:val="auto"/>
        </w:rPr>
      </w:pPr>
    </w:p>
    <w:p>
      <w:pPr>
        <w:jc w:val="both"/>
        <w:ind w:firstLine="1763"/>
        <w:spacing w:after="0" w:line="233" w:lineRule="auto"/>
        <w:tabs>
          <w:tab w:leader="none" w:pos="2655"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Borrower</w:t>
      </w:r>
      <w:r>
        <w:rPr>
          <w:rFonts w:ascii="Times New Roman" w:cs="Times New Roman" w:eastAsia="Times New Roman" w:hAnsi="Times New Roman"/>
          <w:sz w:val="22"/>
          <w:szCs w:val="22"/>
          <w:color w:val="auto"/>
        </w:rPr>
        <w:t xml:space="preserve">. The Borrower shall indemnify the Administrative Agent, each Issuing Bank, each Swingline Lender and each Lender, and each Related Party of any of the foregoing Persons (each such Person being called an “Indemnitee”)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5">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0"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119</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76" w:name="page277"/>
    <w:bookmarkEnd w:id="276"/>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fraud, willful misconduct or gross negligence of such Indemnitee. Notwithstanding the foregoing, it is understood and agreed that indemnification for Taxes is subject to the provisions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limitation shall not be deemed to impair or affect the Obligations of the Borrower under the preceding provisions of this subsection.</w:t>
      </w:r>
    </w:p>
    <w:p>
      <w:pPr>
        <w:spacing w:after="0" w:line="181" w:lineRule="exact"/>
        <w:rPr>
          <w:sz w:val="20"/>
          <w:szCs w:val="20"/>
          <w:color w:val="auto"/>
        </w:rPr>
      </w:pPr>
    </w:p>
    <w:p>
      <w:pPr>
        <w:jc w:val="both"/>
        <w:ind w:firstLine="1763"/>
        <w:spacing w:after="0" w:line="235" w:lineRule="auto"/>
        <w:tabs>
          <w:tab w:leader="none" w:pos="2643"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by Lenders</w:t>
      </w:r>
      <w:r>
        <w:rPr>
          <w:rFonts w:ascii="Times New Roman" w:cs="Times New Roman" w:eastAsia="Times New Roman" w:hAnsi="Times New Roman"/>
          <w:sz w:val="22"/>
          <w:szCs w:val="22"/>
          <w:color w:val="auto"/>
        </w:rPr>
        <w:t xml:space="preserve">. To the extent that the Borrower fails to pay any amount required to be paid by it to the Administrative Agent, any Issuing Bank or any Swingline Lender under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each Lender severally agrees to pay to the Administrative Agent, the applicable Issuing Bank or the applicable Swingline Lender,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Administrative Agent, the applicable Issuing Bank or the applicable Swingline Lender in its capacity as such.</w:t>
      </w:r>
    </w:p>
    <w:p>
      <w:pPr>
        <w:spacing w:after="0" w:line="183" w:lineRule="exact"/>
        <w:rPr>
          <w:rFonts w:ascii="Times New Roman" w:cs="Times New Roman" w:eastAsia="Times New Roman" w:hAnsi="Times New Roman"/>
          <w:sz w:val="22"/>
          <w:szCs w:val="22"/>
          <w:color w:val="auto"/>
        </w:rPr>
      </w:pPr>
    </w:p>
    <w:p>
      <w:pPr>
        <w:jc w:val="both"/>
        <w:ind w:firstLine="1763"/>
        <w:spacing w:after="0" w:line="235" w:lineRule="auto"/>
        <w:tabs>
          <w:tab w:leader="none" w:pos="2655"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Consequential Damages, Etc</w:t>
      </w:r>
      <w:r>
        <w:rPr>
          <w:rFonts w:ascii="Times New Roman" w:cs="Times New Roman" w:eastAsia="Times New Roman" w:hAnsi="Times New Roman"/>
          <w:sz w:val="22"/>
          <w:szCs w:val="22"/>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3773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3773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8"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120</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22"/>
          <w:szCs w:val="22"/>
          <w:color w:val="auto"/>
        </w:rPr>
        <w:t>Indemnitee, as determined by a final, non-appealable judgment of a court of competent jurisdiction.</w:t>
      </w:r>
    </w:p>
    <w:p>
      <w:pPr>
        <w:spacing w:after="0" w:line="206" w:lineRule="exact"/>
        <w:rPr>
          <w:sz w:val="20"/>
          <w:szCs w:val="20"/>
          <w:color w:val="auto"/>
        </w:rPr>
      </w:pPr>
    </w:p>
    <w:p>
      <w:pPr>
        <w:ind w:left="1760"/>
        <w:spacing w:after="0"/>
        <w:tabs>
          <w:tab w:leader="none" w:pos="2640" w:val="left"/>
          <w:tab w:leader="none" w:pos="37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All amounts due under this Section shall be payable promptly after written demand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therefor.</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4" w:lineRule="auto"/>
        <w:tabs>
          <w:tab w:leader="none" w:pos="2643"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Generally</w:t>
      </w:r>
      <w:r>
        <w:rPr>
          <w:rFonts w:ascii="Times New Roman" w:cs="Times New Roman" w:eastAsia="Times New Roman" w:hAnsi="Times New Roman"/>
          <w:sz w:val="22"/>
          <w:szCs w:val="22"/>
          <w:color w:val="auto"/>
        </w:rPr>
        <w:t>.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and, to the extent expressly contemplated hereby, the Related Parties of each of the Administrative Agent, the Issuing Banks and the Lenders) any legal or equitable right, remedy or claim under or by reason of this Agreement.</w:t>
      </w:r>
    </w:p>
    <w:p>
      <w:pPr>
        <w:spacing w:after="0" w:line="180"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80" w:firstLine="816"/>
        <w:spacing w:after="0" w:line="239" w:lineRule="auto"/>
        <w:tabs>
          <w:tab w:leader="none" w:pos="2542"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Generally</w:t>
      </w:r>
      <w:r>
        <w:rPr>
          <w:rFonts w:ascii="Times New Roman" w:cs="Times New Roman" w:eastAsia="Times New Roman" w:hAnsi="Times New Roman"/>
          <w:sz w:val="22"/>
          <w:szCs w:val="22"/>
          <w:color w:val="auto"/>
        </w:rPr>
        <w:t xml:space="preserve">. Subject to the conditions set forth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below, any Lender may assign to one or more assignees (other than natural persons 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180" w:lineRule="exact"/>
        <w:rPr>
          <w:rFonts w:ascii="Times New Roman" w:cs="Times New Roman" w:eastAsia="Times New Roman" w:hAnsi="Times New Roman"/>
          <w:sz w:val="22"/>
          <w:szCs w:val="22"/>
          <w:color w:val="auto"/>
        </w:rPr>
      </w:pPr>
    </w:p>
    <w:p>
      <w:pPr>
        <w:jc w:val="both"/>
        <w:ind w:left="1760" w:firstLine="746"/>
        <w:spacing w:after="0" w:line="238" w:lineRule="auto"/>
        <w:tabs>
          <w:tab w:leader="none" w:pos="3451" w:val="left"/>
        </w:tabs>
        <w:numPr>
          <w:ilvl w:val="2"/>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Borrower shall be required for an assignment to a Lender, an Affiliate of a Lender, or, if an Event of Default has occurred and is continuing, any other assignee;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Borrower shall be deemed to have consented to any such assignment unless it shall have objected thereto by written notice to the Administrative Agent within ten Business Days after having received notice thereof; and</w:t>
      </w:r>
    </w:p>
    <w:p>
      <w:pPr>
        <w:spacing w:after="0" w:line="177" w:lineRule="exact"/>
        <w:rPr>
          <w:rFonts w:ascii="Times New Roman" w:cs="Times New Roman" w:eastAsia="Times New Roman" w:hAnsi="Times New Roman"/>
          <w:sz w:val="22"/>
          <w:szCs w:val="22"/>
          <w:color w:val="auto"/>
        </w:rPr>
      </w:pPr>
    </w:p>
    <w:p>
      <w:pPr>
        <w:jc w:val="both"/>
        <w:ind w:left="1760" w:firstLine="746"/>
        <w:spacing w:after="0" w:line="244" w:lineRule="auto"/>
        <w:tabs>
          <w:tab w:leader="none" w:pos="3439" w:val="left"/>
        </w:tabs>
        <w:numPr>
          <w:ilvl w:val="2"/>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and each Issuing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Administrative Agent or the Issuing Banks shall be required for an assignment by a Lender to an Affiliate of such Lender.</w:t>
      </w:r>
    </w:p>
    <w:p>
      <w:pPr>
        <w:spacing w:after="0" w:line="173" w:lineRule="exact"/>
        <w:rPr>
          <w:rFonts w:ascii="Times New Roman" w:cs="Times New Roman" w:eastAsia="Times New Roman" w:hAnsi="Times New Roman"/>
          <w:sz w:val="22"/>
          <w:szCs w:val="22"/>
          <w:color w:val="auto"/>
        </w:rPr>
      </w:pPr>
    </w:p>
    <w:p>
      <w:pPr>
        <w:ind w:left="2600" w:hanging="904"/>
        <w:spacing w:after="0"/>
        <w:tabs>
          <w:tab w:leader="none" w:pos="260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Conditions to Assignments</w:t>
      </w:r>
      <w:r>
        <w:rPr>
          <w:rFonts w:ascii="Times New Roman" w:cs="Times New Roman" w:eastAsia="Times New Roman" w:hAnsi="Times New Roman"/>
          <w:sz w:val="22"/>
          <w:szCs w:val="22"/>
          <w:color w:val="auto"/>
        </w:rPr>
        <w:t>.  Assignments shall be subject to the following additional</w:t>
      </w:r>
    </w:p>
    <w:p>
      <w:pPr>
        <w:spacing w:after="0" w:line="14" w:lineRule="exact"/>
        <w:rPr>
          <w:rFonts w:ascii="Times New Roman" w:cs="Times New Roman" w:eastAsia="Times New Roman" w:hAnsi="Times New Roman"/>
          <w:sz w:val="22"/>
          <w:szCs w:val="22"/>
          <w:color w:val="auto"/>
        </w:rPr>
      </w:pPr>
    </w:p>
    <w:p>
      <w:pPr>
        <w:ind w:left="8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conditions:</w:t>
      </w:r>
    </w:p>
    <w:p>
      <w:pPr>
        <w:spacing w:after="0" w:line="182" w:lineRule="exact"/>
        <w:rPr>
          <w:rFonts w:ascii="Times New Roman" w:cs="Times New Roman" w:eastAsia="Times New Roman" w:hAnsi="Times New Roman"/>
          <w:sz w:val="22"/>
          <w:szCs w:val="22"/>
          <w:color w:val="auto"/>
        </w:rPr>
      </w:pPr>
    </w:p>
    <w:p>
      <w:pPr>
        <w:jc w:val="both"/>
        <w:ind w:left="1760" w:firstLine="746"/>
        <w:spacing w:after="0" w:line="244" w:lineRule="auto"/>
        <w:tabs>
          <w:tab w:leader="none" w:pos="3451" w:val="left"/>
        </w:tabs>
        <w:numPr>
          <w:ilvl w:val="2"/>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an Assignment to a Lender or an Affiliate of a Lender or an assignment of the entire remaining amount of the assigning Lender’s Commitment or Loans and LC Exposure of a Class, the amount of the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3773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1">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3773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121</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78" w:name="page279"/>
    <w:bookmarkEnd w:id="278"/>
    <w:p>
      <w:pPr>
        <w:jc w:val="both"/>
        <w:ind w:left="1760"/>
        <w:spacing w:after="0" w:line="238" w:lineRule="auto"/>
        <w:rPr>
          <w:sz w:val="20"/>
          <w:szCs w:val="20"/>
          <w:color w:val="auto"/>
        </w:rPr>
      </w:pPr>
      <w:r>
        <w:rPr>
          <w:rFonts w:ascii="Times New Roman" w:cs="Times New Roman" w:eastAsia="Times New Roman" w:hAnsi="Times New Roman"/>
          <w:sz w:val="22"/>
          <w:szCs w:val="22"/>
          <w:color w:val="auto"/>
        </w:rPr>
        <w:t xml:space="preserve">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consent of the Borrower shall be required if an Event of Default has occurred and is continuing;</w:t>
      </w:r>
    </w:p>
    <w:p>
      <w:pPr>
        <w:spacing w:after="0" w:line="177" w:lineRule="exact"/>
        <w:rPr>
          <w:sz w:val="20"/>
          <w:szCs w:val="20"/>
          <w:color w:val="auto"/>
        </w:rPr>
      </w:pPr>
    </w:p>
    <w:p>
      <w:pPr>
        <w:jc w:val="both"/>
        <w:ind w:left="1760" w:firstLine="746"/>
        <w:spacing w:after="0" w:line="244" w:lineRule="auto"/>
        <w:tabs>
          <w:tab w:leader="none" w:pos="3439" w:val="left"/>
        </w:tabs>
        <w:numPr>
          <w:ilvl w:val="2"/>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173" w:lineRule="exact"/>
        <w:rPr>
          <w:rFonts w:ascii="Times New Roman" w:cs="Times New Roman" w:eastAsia="Times New Roman" w:hAnsi="Times New Roman"/>
          <w:sz w:val="22"/>
          <w:szCs w:val="22"/>
          <w:color w:val="auto"/>
        </w:rPr>
      </w:pPr>
    </w:p>
    <w:p>
      <w:pPr>
        <w:jc w:val="both"/>
        <w:ind w:left="1760" w:firstLine="746"/>
        <w:spacing w:after="0" w:line="239" w:lineRule="auto"/>
        <w:tabs>
          <w:tab w:leader="none" w:pos="3439" w:val="left"/>
        </w:tabs>
        <w:numPr>
          <w:ilvl w:val="2"/>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to each assignment shall execute and deliver to the Administrative Agent an Assignment and Assumption in substantially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together with a processing and recordation fee of U.S. $3,500 (which fee shall not be payable in connection with an assignment to a Lender or to an Affiliate of a Lender), for which the Borrower and the Guarantors shall not be obligated;</w:t>
      </w:r>
    </w:p>
    <w:p>
      <w:pPr>
        <w:spacing w:after="0" w:line="180" w:lineRule="exact"/>
        <w:rPr>
          <w:rFonts w:ascii="Times New Roman" w:cs="Times New Roman" w:eastAsia="Times New Roman" w:hAnsi="Times New Roman"/>
          <w:sz w:val="22"/>
          <w:szCs w:val="22"/>
          <w:color w:val="auto"/>
        </w:rPr>
      </w:pPr>
    </w:p>
    <w:p>
      <w:pPr>
        <w:ind w:left="1760" w:firstLine="746"/>
        <w:spacing w:after="0" w:line="258" w:lineRule="auto"/>
        <w:tabs>
          <w:tab w:leader="none" w:pos="3451" w:val="left"/>
        </w:tabs>
        <w:numPr>
          <w:ilvl w:val="2"/>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shall not already be a Lender of the applicable Class, shall deliver to the Administrative Agent an Administrative Questionnaire; and</w:t>
      </w:r>
    </w:p>
    <w:p>
      <w:pPr>
        <w:spacing w:after="0" w:line="158" w:lineRule="exact"/>
        <w:rPr>
          <w:rFonts w:ascii="Times New Roman" w:cs="Times New Roman" w:eastAsia="Times New Roman" w:hAnsi="Times New Roman"/>
          <w:sz w:val="22"/>
          <w:szCs w:val="22"/>
          <w:color w:val="auto"/>
        </w:rPr>
      </w:pPr>
    </w:p>
    <w:p>
      <w:pPr>
        <w:ind w:left="1760" w:firstLine="746"/>
        <w:spacing w:after="0" w:line="258" w:lineRule="auto"/>
        <w:tabs>
          <w:tab w:leader="none" w:pos="3427" w:val="left"/>
        </w:tabs>
        <w:numPr>
          <w:ilvl w:val="2"/>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shall deliver to the Borrower and the Administrative Agent those documents specified in Section 2.16(f).</w:t>
      </w:r>
    </w:p>
    <w:p>
      <w:pPr>
        <w:spacing w:after="0" w:line="158" w:lineRule="exact"/>
        <w:rPr>
          <w:rFonts w:ascii="Times New Roman" w:cs="Times New Roman" w:eastAsia="Times New Roman" w:hAnsi="Times New Roman"/>
          <w:sz w:val="22"/>
          <w:szCs w:val="22"/>
          <w:color w:val="auto"/>
        </w:rPr>
      </w:pPr>
    </w:p>
    <w:p>
      <w:pPr>
        <w:ind w:left="2660" w:hanging="964"/>
        <w:spacing w:after="0"/>
        <w:tabs>
          <w:tab w:leader="none" w:pos="2660" w:val="left"/>
        </w:tabs>
        <w:numPr>
          <w:ilvl w:val="1"/>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Assignments</w:t>
      </w:r>
      <w:r>
        <w:rPr>
          <w:rFonts w:ascii="Times New Roman" w:cs="Times New Roman" w:eastAsia="Times New Roman" w:hAnsi="Times New Roman"/>
          <w:sz w:val="22"/>
          <w:szCs w:val="22"/>
          <w:color w:val="auto"/>
        </w:rPr>
        <w:t xml:space="preserve">.  Subject to acceptance and recording thereof pursuant to </w:t>
      </w:r>
      <w:r>
        <w:rPr>
          <w:rFonts w:ascii="Times New Roman" w:cs="Times New Roman" w:eastAsia="Times New Roman" w:hAnsi="Times New Roman"/>
          <w:sz w:val="22"/>
          <w:szCs w:val="22"/>
          <w:u w:val="single" w:color="auto"/>
          <w:color w:val="auto"/>
        </w:rPr>
        <w:t>paragraph</w:t>
      </w:r>
    </w:p>
    <w:p>
      <w:pPr>
        <w:spacing w:after="0" w:line="14" w:lineRule="exact"/>
        <w:rPr>
          <w:rFonts w:ascii="Times New Roman" w:cs="Times New Roman" w:eastAsia="Times New Roman" w:hAnsi="Times New Roman"/>
          <w:sz w:val="22"/>
          <w:szCs w:val="22"/>
          <w:color w:val="auto"/>
        </w:rPr>
      </w:pPr>
    </w:p>
    <w:p>
      <w:pPr>
        <w:jc w:val="both"/>
        <w:ind w:left="880" w:firstLine="5"/>
        <w:spacing w:after="0" w:line="242" w:lineRule="auto"/>
        <w:tabs>
          <w:tab w:leader="none" w:pos="1229" w:val="left"/>
        </w:tabs>
        <w:numPr>
          <w:ilvl w:val="0"/>
          <w:numId w:val="27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1"/>
          <w:szCs w:val="21"/>
          <w:u w:val="single" w:color="auto"/>
          <w:color w:val="auto"/>
        </w:rPr>
        <w:t>Sections 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9.03</w:t>
      </w:r>
      <w:r>
        <w:rPr>
          <w:rFonts w:ascii="Times New Roman" w:cs="Times New Roman" w:eastAsia="Times New Roman" w:hAnsi="Times New Roman"/>
          <w:sz w:val="21"/>
          <w:szCs w:val="21"/>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1"/>
          <w:szCs w:val="21"/>
          <w:u w:val="single" w:color="auto"/>
          <w:color w:val="auto"/>
        </w:rPr>
        <w:t>paragraph (e)</w:t>
      </w:r>
      <w:r>
        <w:rPr>
          <w:rFonts w:ascii="Times New Roman" w:cs="Times New Roman" w:eastAsia="Times New Roman" w:hAnsi="Times New Roman"/>
          <w:sz w:val="21"/>
          <w:szCs w:val="21"/>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Times New Roman" w:cs="Times New Roman" w:eastAsia="Times New Roman" w:hAnsi="Times New Roman"/>
          <w:sz w:val="21"/>
          <w:szCs w:val="21"/>
          <w:u w:val="single" w:color="auto"/>
          <w:color w:val="auto"/>
        </w:rPr>
        <w:t>Section 9.04(b)(ii)</w:t>
      </w:r>
      <w:r>
        <w:rPr>
          <w:rFonts w:ascii="Times New Roman" w:cs="Times New Roman" w:eastAsia="Times New Roman" w:hAnsi="Times New Roman"/>
          <w:sz w:val="21"/>
          <w:szCs w:val="21"/>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3773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3773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5"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122</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79" w:name="page280"/>
    <w:bookmarkEnd w:id="279"/>
    <w:p>
      <w:pPr>
        <w:jc w:val="both"/>
        <w:ind w:left="880"/>
        <w:spacing w:after="0" w:line="235" w:lineRule="auto"/>
        <w:rPr>
          <w:sz w:val="20"/>
          <w:szCs w:val="20"/>
          <w:color w:val="auto"/>
        </w:rPr>
      </w:pPr>
      <w:r>
        <w:rPr>
          <w:rFonts w:ascii="Times New Roman" w:cs="Times New Roman" w:eastAsia="Times New Roman" w:hAnsi="Times New Roman"/>
          <w:sz w:val="22"/>
          <w:szCs w:val="22"/>
          <w:color w:val="auto"/>
        </w:rPr>
        <w:t>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each Issuing Bank, each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9" w:lineRule="exact"/>
        <w:rPr>
          <w:sz w:val="20"/>
          <w:szCs w:val="20"/>
          <w:color w:val="auto"/>
        </w:rPr>
      </w:pPr>
    </w:p>
    <w:p>
      <w:pPr>
        <w:jc w:val="both"/>
        <w:ind w:firstLine="1763"/>
        <w:spacing w:after="0" w:line="234" w:lineRule="auto"/>
        <w:tabs>
          <w:tab w:leader="none" w:pos="2643"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Registers by Administrative Agent</w:t>
      </w:r>
      <w:r>
        <w:rPr>
          <w:rFonts w:ascii="Times New Roman" w:cs="Times New Roman" w:eastAsia="Times New Roman" w:hAnsi="Times New Roman"/>
          <w:sz w:val="22"/>
          <w:szCs w:val="22"/>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cs="Times New Roman" w:eastAsia="Times New Roman" w:hAnsi="Times New Roman"/>
          <w:sz w:val="22"/>
          <w:szCs w:val="22"/>
          <w:u w:val="single" w:color="auto"/>
          <w:color w:val="auto"/>
        </w:rPr>
        <w:t>Registers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Registers shall be conclusive absent manifest error, and the Borrower, the Administrative Agent, the Issuing Banks and the Lenders may treat each Person whose name is recorded in the Registers pursuant to the terms hereof as a Lender hereunder for all purposes of this Agreement, notwithstanding notice to the contrary. The Registers shall be available for inspection by the Borrower, any Issuing Bank and any Lender, at any reasonable time and from time to time upon reasonable prior notice.</w:t>
      </w:r>
    </w:p>
    <w:p>
      <w:pPr>
        <w:spacing w:after="0" w:line="184" w:lineRule="exact"/>
        <w:rPr>
          <w:rFonts w:ascii="Times New Roman" w:cs="Times New Roman" w:eastAsia="Times New Roman" w:hAnsi="Times New Roman"/>
          <w:sz w:val="22"/>
          <w:szCs w:val="22"/>
          <w:color w:val="auto"/>
        </w:rPr>
      </w:pPr>
    </w:p>
    <w:p>
      <w:pPr>
        <w:jc w:val="both"/>
        <w:ind w:firstLine="1763"/>
        <w:spacing w:after="0" w:line="249" w:lineRule="auto"/>
        <w:tabs>
          <w:tab w:leader="none" w:pos="2655" w:val="left"/>
        </w:tabs>
        <w:numPr>
          <w:ilvl w:val="1"/>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Acceptance of Assignments by Administrative Agent</w:t>
      </w:r>
      <w:r>
        <w:rPr>
          <w:rFonts w:ascii="Times New Roman" w:cs="Times New Roman" w:eastAsia="Times New Roman" w:hAnsi="Times New Roman"/>
          <w:sz w:val="21"/>
          <w:szCs w:val="21"/>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21"/>
          <w:szCs w:val="21"/>
          <w:u w:val="single" w:color="auto"/>
          <w:color w:val="auto"/>
        </w:rPr>
        <w:t>paragraph</w:t>
      </w:r>
    </w:p>
    <w:p>
      <w:pPr>
        <w:spacing w:after="0" w:line="1" w:lineRule="exact"/>
        <w:rPr>
          <w:rFonts w:ascii="Times New Roman" w:cs="Times New Roman" w:eastAsia="Times New Roman" w:hAnsi="Times New Roman"/>
          <w:sz w:val="21"/>
          <w:szCs w:val="21"/>
          <w:color w:val="auto"/>
        </w:rPr>
      </w:pPr>
    </w:p>
    <w:p>
      <w:pPr>
        <w:jc w:val="both"/>
        <w:ind w:firstLine="8"/>
        <w:spacing w:after="0" w:line="250" w:lineRule="auto"/>
        <w:tabs>
          <w:tab w:leader="none" w:pos="314" w:val="left"/>
        </w:tabs>
        <w:numPr>
          <w:ilvl w:val="0"/>
          <w:numId w:val="273"/>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of this Section and any written consent to such assignment required by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66" w:lineRule="exact"/>
        <w:rPr>
          <w:rFonts w:ascii="Times New Roman" w:cs="Times New Roman" w:eastAsia="Times New Roman" w:hAnsi="Times New Roman"/>
          <w:sz w:val="21"/>
          <w:szCs w:val="21"/>
          <w:u w:val="single" w:color="auto"/>
          <w:color w:val="auto"/>
        </w:rPr>
      </w:pPr>
    </w:p>
    <w:p>
      <w:pPr>
        <w:jc w:val="both"/>
        <w:ind w:firstLine="1763"/>
        <w:spacing w:after="0" w:line="234" w:lineRule="auto"/>
        <w:tabs>
          <w:tab w:leader="none" w:pos="2643"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Purposes Vehicles</w:t>
      </w:r>
      <w:r>
        <w:rPr>
          <w:rFonts w:ascii="Times New Roman" w:cs="Times New Roman" w:eastAsia="Times New Roman" w:hAnsi="Times New Roman"/>
          <w:sz w:val="22"/>
          <w:szCs w:val="22"/>
          <w:color w:val="auto"/>
        </w:rPr>
        <w:t>. Notwithstanding anything to the contrary contained herein, any Lender (a “</w:t>
      </w:r>
      <w:r>
        <w:rPr>
          <w:rFonts w:ascii="Times New Roman" w:cs="Times New Roman" w:eastAsia="Times New Roman" w:hAnsi="Times New Roman"/>
          <w:sz w:val="22"/>
          <w:szCs w:val="22"/>
          <w:u w:val="single" w:color="auto"/>
          <w:color w:val="auto"/>
        </w:rPr>
        <w:t>Granting Lender</w:t>
      </w:r>
      <w:r>
        <w:rPr>
          <w:rFonts w:ascii="Times New Roman" w:cs="Times New Roman" w:eastAsia="Times New Roman" w:hAnsi="Times New Roman"/>
          <w:sz w:val="22"/>
          <w:szCs w:val="22"/>
          <w:color w:val="auto"/>
        </w:rPr>
        <w:t>”) may grant to a special purpose funding vehicle (an “</w:t>
      </w:r>
      <w:r>
        <w:rPr>
          <w:rFonts w:ascii="Times New Roman" w:cs="Times New Roman" w:eastAsia="Times New Roman" w:hAnsi="Times New Roman"/>
          <w:sz w:val="22"/>
          <w:szCs w:val="22"/>
          <w:u w:val="single" w:color="auto"/>
          <w:color w:val="auto"/>
        </w:rPr>
        <w:t>SPC</w:t>
      </w:r>
      <w:r>
        <w:rPr>
          <w:rFonts w:ascii="Times New Roman" w:cs="Times New Roman" w:eastAsia="Times New Roman" w:hAnsi="Times New Roman"/>
          <w:sz w:val="22"/>
          <w:szCs w:val="22"/>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Times New Roman" w:cs="Times New Roman" w:eastAsia="Times New Roman" w:hAnsi="Times New Roman"/>
          <w:sz w:val="22"/>
          <w:szCs w:val="22"/>
          <w:u w:val="single" w:color="auto"/>
          <w:color w:val="auto"/>
        </w:rPr>
        <w:t>Sections 2.14</w:t>
      </w:r>
      <w:r>
        <w:rPr>
          <w:rFonts w:ascii="Times New Roman" w:cs="Times New Roman" w:eastAsia="Times New Roman" w:hAnsi="Times New Roman"/>
          <w:sz w:val="22"/>
          <w:szCs w:val="22"/>
          <w:color w:val="auto"/>
        </w:rPr>
        <w:t xml:space="preserve"> (or any other increased costs protection provision), 2.15 or 2.16. Each SPC shall be conclusively presumed to have made arrangements with its Granting Lender for the exercise of voting and other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7">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9"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123</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80" w:name="page281"/>
    <w:bookmarkEnd w:id="280"/>
    <w:p>
      <w:pPr>
        <w:jc w:val="both"/>
        <w:spacing w:after="0" w:line="239" w:lineRule="auto"/>
        <w:rPr>
          <w:sz w:val="20"/>
          <w:szCs w:val="20"/>
          <w:color w:val="auto"/>
        </w:rPr>
      </w:pPr>
      <w:r>
        <w:rPr>
          <w:rFonts w:ascii="Times New Roman" w:cs="Times New Roman" w:eastAsia="Times New Roman" w:hAnsi="Times New Roman"/>
          <w:sz w:val="22"/>
          <w:szCs w:val="22"/>
          <w:color w:val="auto"/>
        </w:rPr>
        <w:t>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81" w:lineRule="exact"/>
        <w:rPr>
          <w:sz w:val="20"/>
          <w:szCs w:val="20"/>
          <w:color w:val="auto"/>
        </w:rPr>
      </w:pPr>
    </w:p>
    <w:p>
      <w:pPr>
        <w:jc w:val="both"/>
        <w:ind w:firstLine="1755"/>
        <w:spacing w:after="0" w:line="243" w:lineRule="auto"/>
        <w:rPr>
          <w:sz w:val="20"/>
          <w:szCs w:val="20"/>
          <w:color w:val="auto"/>
        </w:rPr>
      </w:pPr>
      <w:r>
        <w:rPr>
          <w:rFonts w:ascii="Times New Roman" w:cs="Times New Roman" w:eastAsia="Times New Roman" w:hAnsi="Times New Roman"/>
          <w:sz w:val="21"/>
          <w:szCs w:val="21"/>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neither the consent of the SPC or of any such assignee shall be required for amendments or waivers hereunder except for those amendments or waivers for which the consent of participants is required under </w:t>
      </w:r>
      <w:r>
        <w:rPr>
          <w:rFonts w:ascii="Times New Roman" w:cs="Times New Roman" w:eastAsia="Times New Roman" w:hAnsi="Times New Roman"/>
          <w:sz w:val="21"/>
          <w:szCs w:val="21"/>
          <w:u w:val="single" w:color="auto"/>
          <w:color w:val="auto"/>
        </w:rPr>
        <w:t>paragraph (f)</w:t>
      </w:r>
      <w:r>
        <w:rPr>
          <w:rFonts w:ascii="Times New Roman" w:cs="Times New Roman" w:eastAsia="Times New Roman" w:hAnsi="Times New Roman"/>
          <w:sz w:val="21"/>
          <w:szCs w:val="21"/>
          <w:color w:val="auto"/>
        </w:rPr>
        <w:t xml:space="preserve"> below, and</w:t>
      </w:r>
    </w:p>
    <w:p>
      <w:pPr>
        <w:spacing w:after="0" w:line="6" w:lineRule="exact"/>
        <w:rPr>
          <w:sz w:val="20"/>
          <w:szCs w:val="20"/>
          <w:color w:val="auto"/>
        </w:rPr>
      </w:pPr>
    </w:p>
    <w:p>
      <w:pPr>
        <w:jc w:val="both"/>
        <w:ind w:firstLine="8"/>
        <w:spacing w:after="0" w:line="235" w:lineRule="auto"/>
        <w:tabs>
          <w:tab w:leader="none" w:pos="339"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disclose on a confidential basis (in the same manner described in </w:t>
      </w:r>
      <w:r>
        <w:rPr>
          <w:rFonts w:ascii="Times New Roman" w:cs="Times New Roman" w:eastAsia="Times New Roman" w:hAnsi="Times New Roman"/>
          <w:sz w:val="22"/>
          <w:szCs w:val="22"/>
          <w:u w:val="single" w:color="auto"/>
          <w:color w:val="auto"/>
        </w:rPr>
        <w:t>Section 9.13(b)</w:t>
      </w:r>
      <w:r>
        <w:rPr>
          <w:rFonts w:ascii="Times New Roman" w:cs="Times New Roman" w:eastAsia="Times New Roman" w:hAnsi="Times New Roman"/>
          <w:sz w:val="22"/>
          <w:szCs w:val="22"/>
          <w:color w:val="auto"/>
        </w:rPr>
        <w:t>) any non-public information relating to its Loans to any rating agency, commercial paper dealer or provider of a surety, guarantee or credit or liquidity enhancement to such SPC.</w:t>
      </w:r>
    </w:p>
    <w:p>
      <w:pPr>
        <w:spacing w:after="0" w:line="178" w:lineRule="exact"/>
        <w:rPr>
          <w:rFonts w:ascii="Times New Roman" w:cs="Times New Roman" w:eastAsia="Times New Roman" w:hAnsi="Times New Roman"/>
          <w:sz w:val="22"/>
          <w:szCs w:val="22"/>
          <w:color w:val="auto"/>
        </w:rPr>
      </w:pPr>
    </w:p>
    <w:p>
      <w:pPr>
        <w:jc w:val="both"/>
        <w:ind w:firstLine="1763"/>
        <w:spacing w:after="0" w:line="233" w:lineRule="auto"/>
        <w:tabs>
          <w:tab w:leader="none" w:pos="2619"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Any Lender may, with the consent of the Borrower (such consent not to be unreasonably withheld or delayed), sell participations to one or more banks or other entities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 obligations under this Agreement and the other Loan Documents (including all or a portion of its Commitments and the Loans and LC Disbursements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and (iv) the Borrower, the Administrative Agent, the Issuing Banks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modification or waiver described in the first proviso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3773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23773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7"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124</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81" w:name="page282"/>
    <w:bookmarkEnd w:id="281"/>
    <w:p>
      <w:pPr>
        <w:jc w:val="both"/>
        <w:spacing w:after="0" w:line="243" w:lineRule="auto"/>
        <w:rPr>
          <w:sz w:val="20"/>
          <w:szCs w:val="20"/>
          <w:color w:val="auto"/>
        </w:rPr>
      </w:pPr>
      <w:r>
        <w:rPr>
          <w:rFonts w:ascii="Times New Roman" w:cs="Times New Roman" w:eastAsia="Times New Roman" w:hAnsi="Times New Roman"/>
          <w:sz w:val="21"/>
          <w:szCs w:val="21"/>
          <w:u w:val="single" w:color="auto"/>
          <w:color w:val="auto"/>
        </w:rPr>
        <w:t>Section 9.02(b)</w:t>
      </w:r>
      <w:r>
        <w:rPr>
          <w:rFonts w:ascii="Times New Roman" w:cs="Times New Roman" w:eastAsia="Times New Roman" w:hAnsi="Times New Roman"/>
          <w:sz w:val="21"/>
          <w:szCs w:val="21"/>
          <w:color w:val="auto"/>
        </w:rPr>
        <w:t xml:space="preserve"> that affects such Participant. Subject to </w:t>
      </w:r>
      <w:r>
        <w:rPr>
          <w:rFonts w:ascii="Times New Roman" w:cs="Times New Roman" w:eastAsia="Times New Roman" w:hAnsi="Times New Roman"/>
          <w:sz w:val="21"/>
          <w:szCs w:val="21"/>
          <w:u w:val="single" w:color="auto"/>
          <w:color w:val="auto"/>
        </w:rPr>
        <w:t>paragraph (g)</w:t>
      </w:r>
      <w:r>
        <w:rPr>
          <w:rFonts w:ascii="Times New Roman" w:cs="Times New Roman" w:eastAsia="Times New Roman" w:hAnsi="Times New Roman"/>
          <w:sz w:val="21"/>
          <w:szCs w:val="21"/>
          <w:color w:val="auto"/>
        </w:rPr>
        <w:t xml:space="preserve"> of this Section, the Borrower agrees that each Participant shall be entitled to the benefits of </w:t>
      </w:r>
      <w:r>
        <w:rPr>
          <w:rFonts w:ascii="Times New Roman" w:cs="Times New Roman" w:eastAsia="Times New Roman" w:hAnsi="Times New Roman"/>
          <w:sz w:val="21"/>
          <w:szCs w:val="21"/>
          <w:u w:val="single" w:color="auto"/>
          <w:color w:val="auto"/>
        </w:rPr>
        <w:t>Sections 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to the same extent as if it were a Lender and had acquired its interest by assignment pursuant to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Section;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shall not be entitled to receive any greater payment under </w:t>
      </w:r>
      <w:r>
        <w:rPr>
          <w:rFonts w:ascii="Times New Roman" w:cs="Times New Roman" w:eastAsia="Times New Roman" w:hAnsi="Times New Roman"/>
          <w:sz w:val="21"/>
          <w:szCs w:val="21"/>
          <w:u w:val="single" w:color="auto"/>
          <w:color w:val="auto"/>
        </w:rPr>
        <w:t>Sections 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 Participant shall be entitled to the benefits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unless the Borrower is notified of the participation granted to such Participant and such Participant shall have complied with the requirements of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as if such Participant is a Lender. To the extent permitted by law, each Participant also shall be entitled to the benefits of </w:t>
      </w:r>
      <w:r>
        <w:rPr>
          <w:rFonts w:ascii="Times New Roman" w:cs="Times New Roman" w:eastAsia="Times New Roman" w:hAnsi="Times New Roman"/>
          <w:sz w:val="21"/>
          <w:szCs w:val="21"/>
          <w:u w:val="single" w:color="auto"/>
          <w:color w:val="auto"/>
        </w:rPr>
        <w:t>Section 9.08</w:t>
      </w:r>
      <w:r>
        <w:rPr>
          <w:rFonts w:ascii="Times New Roman" w:cs="Times New Roman" w:eastAsia="Times New Roman" w:hAnsi="Times New Roman"/>
          <w:sz w:val="21"/>
          <w:szCs w:val="21"/>
          <w:color w:val="auto"/>
        </w:rPr>
        <w:t xml:space="preserve"> as though it were a Lender; provided such Participant agrees to be subject to </w:t>
      </w:r>
      <w:r>
        <w:rPr>
          <w:rFonts w:ascii="Times New Roman" w:cs="Times New Roman" w:eastAsia="Times New Roman" w:hAnsi="Times New Roman"/>
          <w:sz w:val="21"/>
          <w:szCs w:val="21"/>
          <w:u w:val="single" w:color="auto"/>
          <w:color w:val="auto"/>
        </w:rPr>
        <w:t>Section 2.17(d)</w:t>
      </w:r>
      <w:r>
        <w:rPr>
          <w:rFonts w:ascii="Times New Roman" w:cs="Times New Roman" w:eastAsia="Times New Roman" w:hAnsi="Times New Roman"/>
          <w:sz w:val="21"/>
          <w:szCs w:val="21"/>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8" w:lineRule="exact"/>
        <w:rPr>
          <w:sz w:val="20"/>
          <w:szCs w:val="20"/>
          <w:color w:val="auto"/>
        </w:rPr>
      </w:pPr>
    </w:p>
    <w:p>
      <w:pPr>
        <w:jc w:val="both"/>
        <w:ind w:firstLine="1763"/>
        <w:spacing w:after="0" w:line="234" w:lineRule="auto"/>
        <w:tabs>
          <w:tab w:leader="none" w:pos="2655"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Rights of Participants</w:t>
      </w:r>
      <w:r>
        <w:rPr>
          <w:rFonts w:ascii="Times New Roman" w:cs="Times New Roman" w:eastAsia="Times New Roman" w:hAnsi="Times New Roman"/>
          <w:sz w:val="22"/>
          <w:szCs w:val="22"/>
          <w:color w:val="auto"/>
        </w:rPr>
        <w:t xml:space="preserve">. A Participant shall not be entitled to receive any greater payment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22"/>
          <w:szCs w:val="22"/>
          <w:u w:val="single" w:color="auto"/>
          <w:color w:val="auto"/>
        </w:rPr>
        <w:t>paragraphs (e)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184" w:lineRule="exact"/>
        <w:rPr>
          <w:rFonts w:ascii="Times New Roman" w:cs="Times New Roman" w:eastAsia="Times New Roman" w:hAnsi="Times New Roman"/>
          <w:sz w:val="22"/>
          <w:szCs w:val="22"/>
          <w:color w:val="auto"/>
        </w:rPr>
      </w:pPr>
    </w:p>
    <w:p>
      <w:pPr>
        <w:jc w:val="both"/>
        <w:ind w:firstLine="1763"/>
        <w:spacing w:after="0" w:line="239" w:lineRule="auto"/>
        <w:tabs>
          <w:tab w:leader="none" w:pos="2655"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Pledges</w:t>
      </w:r>
      <w:r>
        <w:rPr>
          <w:rFonts w:ascii="Times New Roman" w:cs="Times New Roman" w:eastAsia="Times New Roman" w:hAnsi="Times New Roman"/>
          <w:sz w:val="22"/>
          <w:szCs w:val="22"/>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of a security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3">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0"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125</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22"/>
          <w:szCs w:val="22"/>
          <w:color w:val="auto"/>
        </w:rPr>
        <w:t>shall release a Lender from any of its obligations hereunder or substitute any such assignee for such Lender as a party hereto.</w:t>
      </w:r>
    </w:p>
    <w:p>
      <w:pPr>
        <w:spacing w:after="0" w:line="206" w:lineRule="exact"/>
        <w:rPr>
          <w:sz w:val="20"/>
          <w:szCs w:val="20"/>
          <w:color w:val="auto"/>
        </w:rPr>
      </w:pPr>
    </w:p>
    <w:p>
      <w:pPr>
        <w:jc w:val="both"/>
        <w:ind w:firstLine="1763"/>
        <w:spacing w:after="0" w:line="244" w:lineRule="auto"/>
        <w:tabs>
          <w:tab w:leader="none" w:pos="2607"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 to the Borrower or Affiliates</w:t>
      </w:r>
      <w:r>
        <w:rPr>
          <w:rFonts w:ascii="Times New Roman" w:cs="Times New Roman" w:eastAsia="Times New Roman" w:hAnsi="Times New Roman"/>
          <w:sz w:val="22"/>
          <w:szCs w:val="22"/>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174" w:lineRule="exact"/>
        <w:rPr>
          <w:sz w:val="20"/>
          <w:szCs w:val="20"/>
          <w:color w:val="auto"/>
        </w:rPr>
      </w:pPr>
    </w:p>
    <w:p>
      <w:pPr>
        <w:jc w:val="both"/>
        <w:ind w:firstLine="1755"/>
        <w:spacing w:after="0" w:line="233"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22"/>
          <w:szCs w:val="22"/>
          <w:u w:val="single" w:color="auto"/>
          <w:color w:val="auto"/>
        </w:rPr>
        <w:t>Sections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8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9.06. </w:t>
      </w:r>
      <w:r>
        <w:rPr>
          <w:rFonts w:ascii="Times New Roman" w:cs="Times New Roman" w:eastAsia="Times New Roman" w:hAnsi="Times New Roman"/>
          <w:sz w:val="22"/>
          <w:szCs w:val="22"/>
          <w:u w:val="single" w:color="auto"/>
          <w:color w:val="auto"/>
        </w:rPr>
        <w:t>Counterparts; Integration; Effectiveness; Electronic Execution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4" w:lineRule="auto"/>
        <w:tabs>
          <w:tab w:leader="none" w:pos="2643"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Integration; Effectiveness</w:t>
      </w:r>
      <w:r>
        <w:rPr>
          <w:rFonts w:ascii="Times New Roman" w:cs="Times New Roman" w:eastAsia="Times New Roman" w:hAnsi="Times New Roman"/>
          <w:sz w:val="22"/>
          <w:szCs w:val="22"/>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180" w:lineRule="exact"/>
        <w:rPr>
          <w:rFonts w:ascii="Times New Roman" w:cs="Times New Roman" w:eastAsia="Times New Roman" w:hAnsi="Times New Roman"/>
          <w:sz w:val="22"/>
          <w:szCs w:val="22"/>
          <w:color w:val="auto"/>
        </w:rPr>
      </w:pPr>
    </w:p>
    <w:p>
      <w:pPr>
        <w:jc w:val="both"/>
        <w:ind w:firstLine="1763"/>
        <w:spacing w:after="0" w:line="238" w:lineRule="auto"/>
        <w:tabs>
          <w:tab w:leader="none" w:pos="2655"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Execution of Assignments</w:t>
      </w:r>
      <w:r>
        <w:rPr>
          <w:rFonts w:ascii="Times New Roman" w:cs="Times New Roman" w:eastAsia="Times New Roman" w:hAnsi="Times New Roman"/>
          <w:sz w:val="22"/>
          <w:szCs w:val="22"/>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3773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6">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3773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6"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126</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83" w:name="page284"/>
    <w:bookmarkEnd w:id="283"/>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New York State Electronic Signatures and Records Act, or any other similar state laws based on the Uniform Electronic Transactions Act.</w:t>
      </w:r>
    </w:p>
    <w:p>
      <w:pPr>
        <w:spacing w:after="0" w:line="158"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 xml:space="preserve">SECTION 9.07.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1"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1"/>
          <w:szCs w:val="21"/>
          <w:color w:val="auto"/>
        </w:rPr>
        <w:t xml:space="preserve">SECTION 9.08. </w:t>
      </w:r>
      <w:r>
        <w:rPr>
          <w:rFonts w:ascii="Times New Roman" w:cs="Times New Roman" w:eastAsia="Times New Roman" w:hAnsi="Times New Roman"/>
          <w:sz w:val="21"/>
          <w:szCs w:val="21"/>
          <w:u w:val="single" w:color="auto"/>
          <w:color w:val="auto"/>
        </w:rPr>
        <w:t>Right of Setoff</w:t>
      </w:r>
      <w:r>
        <w:rPr>
          <w:rFonts w:ascii="Times New Roman" w:cs="Times New Roman" w:eastAsia="Times New Roman" w:hAnsi="Times New Roman"/>
          <w:sz w:val="21"/>
          <w:szCs w:val="21"/>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Times New Roman" w:cs="Times New Roman" w:eastAsia="Times New Roman" w:hAnsi="Times New Roman"/>
          <w:sz w:val="21"/>
          <w:szCs w:val="21"/>
          <w:u w:val="single" w:color="auto"/>
          <w:color w:val="auto"/>
        </w:rPr>
        <w:t>Sections 2.17(d)</w:t>
      </w:r>
      <w:r>
        <w:rPr>
          <w:rFonts w:ascii="Times New Roman" w:cs="Times New Roman" w:eastAsia="Times New Roman" w:hAnsi="Times New Roman"/>
          <w:sz w:val="21"/>
          <w:szCs w:val="21"/>
          <w:color w:val="auto"/>
        </w:rPr>
        <w:t xml:space="preserve"> and, pending such payment, shall be segregated by such Defaulting Lender from its other funds and deemed held in trust for the benefit of Administrative Agent, the Issuing Banks,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give such notice shall not affect the validity of such setoff and application.</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9.09. </w:t>
      </w:r>
      <w:r>
        <w:rPr>
          <w:rFonts w:ascii="Times New Roman" w:cs="Times New Roman" w:eastAsia="Times New Roman" w:hAnsi="Times New Roman"/>
          <w:sz w:val="22"/>
          <w:szCs w:val="22"/>
          <w:u w:val="single" w:color="auto"/>
          <w:color w:val="auto"/>
        </w:rPr>
        <w:t>Governing Law; Jurisdiction; Etc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660" w:hanging="897"/>
        <w:spacing w:after="0"/>
        <w:tabs>
          <w:tab w:leader="none" w:pos="2660"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in accordance with and governed by the law of</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State of New York.</w:t>
      </w:r>
    </w:p>
    <w:p>
      <w:pPr>
        <w:spacing w:after="0" w:line="182" w:lineRule="exact"/>
        <w:rPr>
          <w:rFonts w:ascii="Times New Roman" w:cs="Times New Roman" w:eastAsia="Times New Roman" w:hAnsi="Times New Roman"/>
          <w:sz w:val="22"/>
          <w:szCs w:val="22"/>
          <w:color w:val="auto"/>
        </w:rPr>
      </w:pPr>
    </w:p>
    <w:p>
      <w:pPr>
        <w:jc w:val="both"/>
        <w:ind w:firstLine="1763"/>
        <w:spacing w:after="0" w:line="234" w:lineRule="auto"/>
        <w:tabs>
          <w:tab w:leader="none" w:pos="2655"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the Borrower or its properties in the courts of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9">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9"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127</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84" w:name="page285"/>
    <w:bookmarkEnd w:id="284"/>
    <w:p>
      <w:pPr>
        <w:jc w:val="both"/>
        <w:ind w:firstLine="1763"/>
        <w:spacing w:after="0" w:line="238" w:lineRule="auto"/>
        <w:tabs>
          <w:tab w:leader="none" w:pos="2643"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Venue</w:t>
      </w:r>
      <w:r>
        <w:rPr>
          <w:rFonts w:ascii="Times New Roman" w:cs="Times New Roman" w:eastAsia="Times New Roman" w:hAnsi="Times New Roman"/>
          <w:sz w:val="22"/>
          <w:szCs w:val="22"/>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77" w:lineRule="exact"/>
        <w:rPr>
          <w:rFonts w:ascii="Times New Roman" w:cs="Times New Roman" w:eastAsia="Times New Roman" w:hAnsi="Times New Roman"/>
          <w:sz w:val="22"/>
          <w:szCs w:val="22"/>
          <w:color w:val="auto"/>
        </w:rPr>
      </w:pPr>
    </w:p>
    <w:p>
      <w:pPr>
        <w:jc w:val="both"/>
        <w:ind w:firstLine="1763"/>
        <w:spacing w:after="0" w:line="238" w:lineRule="auto"/>
        <w:tabs>
          <w:tab w:leader="none" w:pos="2655"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of Process</w:t>
      </w:r>
      <w:r>
        <w:rPr>
          <w:rFonts w:ascii="Times New Roman" w:cs="Times New Roman" w:eastAsia="Times New Roman" w:hAnsi="Times New Roman"/>
          <w:sz w:val="22"/>
          <w:szCs w:val="22"/>
          <w:color w:val="auto"/>
        </w:rPr>
        <w:t xml:space="preserve">. Each party to this Agreement (i) irrevocably consents to service of process in the manner provided for notices in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and (ii) agrees that service as provided in the manner provided for notices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9.01</w:t>
      </w:r>
      <w:r>
        <w:rPr>
          <w:rFonts w:ascii="Times New Roman" w:cs="Times New Roman" w:eastAsia="Times New Roman" w:hAnsi="Times New Roman"/>
          <w:sz w:val="22"/>
          <w:szCs w:val="22"/>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77" w:lineRule="exact"/>
        <w:rPr>
          <w:sz w:val="20"/>
          <w:szCs w:val="20"/>
          <w:color w:val="auto"/>
        </w:rPr>
      </w:pPr>
    </w:p>
    <w:p>
      <w:pPr>
        <w:jc w:val="both"/>
        <w:ind w:firstLine="1755"/>
        <w:spacing w:after="0" w:line="233"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6" w:lineRule="exact"/>
        <w:rPr>
          <w:sz w:val="20"/>
          <w:szCs w:val="20"/>
          <w:color w:val="auto"/>
        </w:rPr>
      </w:pPr>
    </w:p>
    <w:p>
      <w:pPr>
        <w:ind w:firstLine="8"/>
        <w:spacing w:after="0" w:line="237" w:lineRule="auto"/>
        <w:tabs>
          <w:tab w:leader="none" w:pos="355"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IT AND THE OTHER PARTIES HERETO HAVE BEEN INDUCED TO ENTER INTO THIS AGREEMENT BY, AMONG OTHER THINGS. THE MUTUAL WAIVERS AND CERTIFICATIONS IN THIS SECTION.</w:t>
      </w:r>
    </w:p>
    <w:p>
      <w:pPr>
        <w:spacing w:after="0" w:line="179" w:lineRule="exact"/>
        <w:rPr>
          <w:sz w:val="20"/>
          <w:szCs w:val="20"/>
          <w:color w:val="auto"/>
        </w:rPr>
      </w:pPr>
    </w:p>
    <w:p>
      <w:pPr>
        <w:jc w:val="both"/>
        <w:ind w:firstLine="1755"/>
        <w:spacing w:after="0" w:line="232"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This is an international loan transaction in which the specification of Dollars or any Foreign Currency, as the case may be (the “</w:t>
      </w:r>
      <w:r>
        <w:rPr>
          <w:rFonts w:ascii="Times New Roman" w:cs="Times New Roman" w:eastAsia="Times New Roman" w:hAnsi="Times New Roman"/>
          <w:sz w:val="22"/>
          <w:szCs w:val="22"/>
          <w:u w:val="single" w:color="auto"/>
          <w:color w:val="auto"/>
        </w:rPr>
        <w:t>Specified Currency</w:t>
      </w:r>
      <w:r>
        <w:rPr>
          <w:rFonts w:ascii="Times New Roman" w:cs="Times New Roman" w:eastAsia="Times New Roman" w:hAnsi="Times New Roman"/>
          <w:sz w:val="22"/>
          <w:szCs w:val="22"/>
          <w:color w:val="auto"/>
        </w:rPr>
        <w:t>”), and payment in New York City or the country of the Specified Currency, as the case may be (the “</w:t>
      </w:r>
      <w:r>
        <w:rPr>
          <w:rFonts w:ascii="Times New Roman" w:cs="Times New Roman" w:eastAsia="Times New Roman" w:hAnsi="Times New Roman"/>
          <w:sz w:val="22"/>
          <w:szCs w:val="22"/>
          <w:u w:val="single" w:color="auto"/>
          <w:color w:val="auto"/>
        </w:rPr>
        <w:t>Specified Place</w:t>
      </w:r>
      <w:r>
        <w:rPr>
          <w:rFonts w:ascii="Times New Roman" w:cs="Times New Roman" w:eastAsia="Times New Roman" w:hAnsi="Times New Roman"/>
          <w:sz w:val="22"/>
          <w:szCs w:val="22"/>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Times New Roman" w:cs="Times New Roman" w:eastAsia="Times New Roman" w:hAnsi="Times New Roman"/>
          <w:sz w:val="22"/>
          <w:szCs w:val="22"/>
          <w:u w:val="single" w:color="auto"/>
          <w:color w:val="auto"/>
        </w:rPr>
        <w:t>Second Currency</w:t>
      </w:r>
      <w:r>
        <w:rPr>
          <w:rFonts w:ascii="Times New Roman" w:cs="Times New Roman" w:eastAsia="Times New Roman" w:hAnsi="Times New Roman"/>
          <w:sz w:val="22"/>
          <w:szCs w:val="22"/>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Times New Roman" w:cs="Times New Roman" w:eastAsia="Times New Roman" w:hAnsi="Times New Roman"/>
          <w:sz w:val="22"/>
          <w:szCs w:val="22"/>
          <w:u w:val="single" w:color="auto"/>
          <w:color w:val="auto"/>
        </w:rPr>
        <w:t>Entitled Person</w:t>
      </w:r>
      <w:r>
        <w:rPr>
          <w:rFonts w:ascii="Times New Roman" w:cs="Times New Roman" w:eastAsia="Times New Roman" w:hAnsi="Times New Roman"/>
          <w:sz w:val="22"/>
          <w:szCs w:val="22"/>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3773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2">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23773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42"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128</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85" w:name="page286"/>
    <w:bookmarkEnd w:id="285"/>
    <w:p>
      <w:pPr>
        <w:jc w:val="both"/>
        <w:spacing w:after="0" w:line="239" w:lineRule="auto"/>
        <w:rPr>
          <w:sz w:val="20"/>
          <w:szCs w:val="20"/>
          <w:color w:val="auto"/>
        </w:rPr>
      </w:pPr>
      <w:r>
        <w:rPr>
          <w:rFonts w:ascii="Times New Roman" w:cs="Times New Roman" w:eastAsia="Times New Roman" w:hAnsi="Times New Roman"/>
          <w:sz w:val="22"/>
          <w:szCs w:val="22"/>
          <w:color w:val="auto"/>
        </w:rPr>
        <w:t>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81"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 xml:space="preserve">SECTION 9.12.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9.13. </w:t>
      </w:r>
      <w:r>
        <w:rPr>
          <w:rFonts w:ascii="Times New Roman" w:cs="Times New Roman" w:eastAsia="Times New Roman" w:hAnsi="Times New Roman"/>
          <w:sz w:val="22"/>
          <w:szCs w:val="22"/>
          <w:u w:val="single" w:color="auto"/>
          <w:color w:val="auto"/>
        </w:rPr>
        <w:t>Treatment of Certain Information; No Fiduciary Duty; Confidentiality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43" w:lineRule="auto"/>
        <w:tabs>
          <w:tab w:leader="none" w:pos="2643"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Certain Information; No Fiduciary Duty; No Conflicts</w:t>
      </w:r>
      <w:r>
        <w:rPr>
          <w:rFonts w:ascii="Times New Roman" w:cs="Times New Roman" w:eastAsia="Times New Roman" w:hAnsi="Times New Roman"/>
          <w:sz w:val="21"/>
          <w:szCs w:val="21"/>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3773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5">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3773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30"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129</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86" w:name="page287"/>
    <w:bookmarkEnd w:id="286"/>
    <w:p>
      <w:pPr>
        <w:jc w:val="both"/>
        <w:spacing w:after="0" w:line="238" w:lineRule="auto"/>
        <w:rPr>
          <w:sz w:val="20"/>
          <w:szCs w:val="20"/>
          <w:color w:val="auto"/>
        </w:rPr>
      </w:pPr>
      <w:r>
        <w:rPr>
          <w:rFonts w:ascii="Times New Roman" w:cs="Times New Roman" w:eastAsia="Times New Roman" w:hAnsi="Times New Roman"/>
          <w:sz w:val="22"/>
          <w:szCs w:val="22"/>
          <w:color w:val="auto"/>
        </w:rPr>
        <w:t>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177" w:lineRule="exact"/>
        <w:rPr>
          <w:sz w:val="20"/>
          <w:szCs w:val="20"/>
          <w:color w:val="auto"/>
        </w:rPr>
      </w:pPr>
    </w:p>
    <w:p>
      <w:pPr>
        <w:jc w:val="both"/>
        <w:ind w:firstLine="1763"/>
        <w:spacing w:after="0" w:line="232" w:lineRule="auto"/>
        <w:tabs>
          <w:tab w:leader="none" w:pos="2655"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Each of the Administrative Agent, the Lenders, the Swingline Lenders and the Issuing Banks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(viii) 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w:t>
      </w:r>
    </w:p>
    <w:p>
      <w:pPr>
        <w:spacing w:after="0" w:line="191"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For purposes of this Section,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any Issuing Bank on a nonconfidential basis prior to disclosure by the Borrower or any of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9" w:lineRule="exact"/>
        <w:rPr>
          <w:sz w:val="20"/>
          <w:szCs w:val="20"/>
          <w:color w:val="auto"/>
        </w:rPr>
      </w:pPr>
    </w:p>
    <w:p>
      <w:pPr>
        <w:jc w:val="both"/>
        <w:ind w:firstLine="1755"/>
        <w:spacing w:after="0" w:line="257" w:lineRule="exact"/>
        <w:rPr>
          <w:sz w:val="20"/>
          <w:szCs w:val="20"/>
          <w:color w:val="auto"/>
        </w:rPr>
      </w:pPr>
      <w:r>
        <w:rPr>
          <w:rFonts w:ascii="Times New Roman" w:cs="Times New Roman" w:eastAsia="Times New Roman" w:hAnsi="Times New Roman"/>
          <w:sz w:val="22"/>
          <w:szCs w:val="22"/>
          <w:color w:val="auto"/>
        </w:rPr>
        <w:t xml:space="preserve">SECTION 9.14.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Each Lender hereby notifies the Borrower that pursuant to the requirements of the USA PATRIOT Act (Title III of Pub. L. 107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56 (signed into law October 26, 2001)), it is required to obtain, verify and record information that identifies the Borrower, each other Obligor and each designee of a Letter of Credit, which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3773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3773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6"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130</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87" w:name="page288"/>
    <w:bookmarkEnd w:id="287"/>
    <w:p>
      <w:pPr>
        <w:jc w:val="both"/>
        <w:spacing w:after="0" w:line="244" w:lineRule="auto"/>
        <w:rPr>
          <w:sz w:val="20"/>
          <w:szCs w:val="20"/>
          <w:color w:val="auto"/>
        </w:rPr>
      </w:pPr>
      <w:r>
        <w:rPr>
          <w:rFonts w:ascii="Times New Roman" w:cs="Times New Roman" w:eastAsia="Times New Roman" w:hAnsi="Times New Roman"/>
          <w:sz w:val="22"/>
          <w:szCs w:val="22"/>
          <w:color w:val="auto"/>
        </w:rPr>
        <w:t>includes the name and address of the Borrower, each other Obligor and each designee of a Letter of Credit and other information that will allow such Lender to identify Borrower, each other Obligor and each designee of a Letter of Credit in accordance with said Act.</w:t>
      </w:r>
    </w:p>
    <w:p>
      <w:pPr>
        <w:spacing w:after="0" w:line="174"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color w:val="auto"/>
        </w:rPr>
        <w:t xml:space="preserve">SECTION 9.15. </w:t>
      </w:r>
      <w:r>
        <w:rPr>
          <w:rFonts w:ascii="Times New Roman" w:cs="Times New Roman" w:eastAsia="Times New Roman" w:hAnsi="Times New Roman"/>
          <w:sz w:val="22"/>
          <w:szCs w:val="22"/>
          <w:u w:val="single" w:color="auto"/>
          <w:color w:val="auto"/>
        </w:rPr>
        <w:t>Effect of Amendment and Restatement of the Existing Credit Agreement</w:t>
      </w:r>
      <w:r>
        <w:rPr>
          <w:rFonts w:ascii="Times New Roman" w:cs="Times New Roman" w:eastAsia="Times New Roman" w:hAnsi="Times New Roman"/>
          <w:sz w:val="22"/>
          <w:szCs w:val="22"/>
          <w:color w:val="auto"/>
        </w:rPr>
        <w:t>. On the Effective Date, the 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Credit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84" w:lineRule="exact"/>
        <w:rPr>
          <w:sz w:val="20"/>
          <w:szCs w:val="20"/>
          <w:color w:val="auto"/>
        </w:rPr>
      </w:pPr>
    </w:p>
    <w:p>
      <w:pPr>
        <w:jc w:val="both"/>
        <w:ind w:firstLine="1755"/>
        <w:spacing w:after="0" w:line="262" w:lineRule="auto"/>
        <w:rPr>
          <w:sz w:val="20"/>
          <w:szCs w:val="20"/>
          <w:color w:val="auto"/>
        </w:rPr>
      </w:pPr>
      <w:r>
        <w:rPr>
          <w:rFonts w:ascii="Times New Roman" w:cs="Times New Roman" w:eastAsia="Times New Roman" w:hAnsi="Times New Roman"/>
          <w:sz w:val="21"/>
          <w:szCs w:val="21"/>
          <w:color w:val="auto"/>
        </w:rPr>
        <w:t xml:space="preserve">SECTION 9.16. </w:t>
      </w:r>
      <w:r>
        <w:rPr>
          <w:rFonts w:ascii="Times New Roman" w:cs="Times New Roman" w:eastAsia="Times New Roman" w:hAnsi="Times New Roman"/>
          <w:sz w:val="21"/>
          <w:szCs w:val="21"/>
          <w:u w:val="single" w:color="auto"/>
          <w:color w:val="auto"/>
        </w:rPr>
        <w:t>Reaffirmation of Guarantee and Security Agreement</w:t>
      </w:r>
      <w:r>
        <w:rPr>
          <w:rFonts w:ascii="Times New Roman" w:cs="Times New Roman" w:eastAsia="Times New Roman" w:hAnsi="Times New Roman"/>
          <w:sz w:val="21"/>
          <w:szCs w:val="21"/>
          <w:color w:val="auto"/>
        </w:rPr>
        <w:t>. TC Lending, LLC hereby consents to the terms of this Agreement, confirms that its Guarantee under the Guarantee and Security Agreement remains unaltered and in full force and effect and hereby reaffirms, ratifies and confirms the terms and conditions of the Guarantee and Security Agreement.</w:t>
      </w:r>
    </w:p>
    <w:p>
      <w:pPr>
        <w:spacing w:after="0" w:line="155"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SECTION 9.17. </w:t>
      </w:r>
      <w:r>
        <w:rPr>
          <w:rFonts w:ascii="Times New Roman" w:cs="Times New Roman" w:eastAsia="Times New Roman" w:hAnsi="Times New Roman"/>
          <w:sz w:val="22"/>
          <w:szCs w:val="22"/>
          <w:u w:val="single" w:color="auto"/>
          <w:color w:val="auto"/>
        </w:rPr>
        <w:t>Acknowledgement and Consent to Bail-In of EEA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7" w:lineRule="exact"/>
        <w:rPr>
          <w:sz w:val="20"/>
          <w:szCs w:val="20"/>
          <w:color w:val="auto"/>
        </w:rPr>
      </w:pPr>
    </w:p>
    <w:p>
      <w:pPr>
        <w:ind w:firstLine="1763"/>
        <w:spacing w:after="0" w:line="258" w:lineRule="auto"/>
        <w:tabs>
          <w:tab w:leader="none" w:pos="2643"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an EEA Resolution Authority to any such liabilities arising hereunder which may be payable to it by any party hereto that is an EEA Financial Institution; and</w:t>
      </w:r>
    </w:p>
    <w:p>
      <w:pPr>
        <w:spacing w:after="0" w:line="158"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06" w:lineRule="exact"/>
        <w:rPr>
          <w:rFonts w:ascii="Times New Roman" w:cs="Times New Roman" w:eastAsia="Times New Roman" w:hAnsi="Times New Roman"/>
          <w:sz w:val="22"/>
          <w:szCs w:val="22"/>
          <w:color w:val="auto"/>
        </w:rPr>
      </w:pPr>
    </w:p>
    <w:p>
      <w:pPr>
        <w:ind w:left="3360" w:hanging="854"/>
        <w:spacing w:after="0"/>
        <w:tabs>
          <w:tab w:leader="none" w:pos="3360"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6" w:lineRule="exact"/>
        <w:rPr>
          <w:rFonts w:ascii="Times New Roman" w:cs="Times New Roman" w:eastAsia="Times New Roman" w:hAnsi="Times New Roman"/>
          <w:sz w:val="22"/>
          <w:szCs w:val="22"/>
          <w:color w:val="auto"/>
        </w:rPr>
      </w:pPr>
    </w:p>
    <w:p>
      <w:pPr>
        <w:jc w:val="both"/>
        <w:ind w:left="1760" w:firstLine="746"/>
        <w:spacing w:after="0" w:line="255" w:lineRule="auto"/>
        <w:tabs>
          <w:tab w:leader="none" w:pos="3415" w:val="left"/>
        </w:tabs>
        <w:numPr>
          <w:ilvl w:val="1"/>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2" w:lineRule="exact"/>
        <w:rPr>
          <w:rFonts w:ascii="Times New Roman" w:cs="Times New Roman" w:eastAsia="Times New Roman" w:hAnsi="Times New Roman"/>
          <w:sz w:val="21"/>
          <w:szCs w:val="21"/>
          <w:color w:val="auto"/>
        </w:rPr>
      </w:pPr>
    </w:p>
    <w:p>
      <w:pPr>
        <w:ind w:left="1760" w:firstLine="746"/>
        <w:spacing w:after="0" w:line="258" w:lineRule="auto"/>
        <w:tabs>
          <w:tab w:leader="none" w:pos="3475"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any EEA 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3773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1">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3773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7"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131</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88" w:name="page289"/>
    <w:bookmarkEnd w:id="288"/>
    <w:p>
      <w:pPr>
        <w:ind w:left="1760"/>
        <w:spacing w:after="0"/>
        <w:rPr>
          <w:sz w:val="20"/>
          <w:szCs w:val="20"/>
          <w:color w:val="auto"/>
        </w:rPr>
      </w:pPr>
      <w:r>
        <w:rPr>
          <w:rFonts w:ascii="Times New Roman" w:cs="Times New Roman" w:eastAsia="Times New Roman" w:hAnsi="Times New Roman"/>
          <w:sz w:val="22"/>
          <w:szCs w:val="22"/>
          <w:color w:val="auto"/>
        </w:rPr>
        <w:t xml:space="preserve">SECTION 9.18. </w:t>
      </w:r>
      <w:r>
        <w:rPr>
          <w:rFonts w:ascii="Times New Roman" w:cs="Times New Roman" w:eastAsia="Times New Roman" w:hAnsi="Times New Roman"/>
          <w:sz w:val="22"/>
          <w:szCs w:val="22"/>
          <w:u w:val="single" w:color="auto"/>
          <w:color w:val="auto"/>
        </w:rPr>
        <w:t>Certain ERISA Matters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63"/>
        <w:spacing w:after="0" w:line="238" w:lineRule="auto"/>
        <w:tabs>
          <w:tab w:leader="none" w:pos="2643" w:val="left"/>
        </w:tabs>
        <w:numPr>
          <w:ilvl w:val="2"/>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(x) represents and warrants, as of the later of the date such Person became a Lender party hereto and the Eighth Amendment Effective Date, to, and (y) covenants, from such date to the date such Person ceases being a Lender party hereto, for the benefit of, the Administrative Agent, each Joint Lead Arranger, and their respective Affiliates, and not, for the avoidance of doubt, to or for the benefit of the Borrower or any other Obligor, that at least one of the following is and will be true:</w:t>
      </w:r>
    </w:p>
    <w:p>
      <w:pPr>
        <w:spacing w:after="0" w:line="177" w:lineRule="exact"/>
        <w:rPr>
          <w:rFonts w:ascii="Times New Roman" w:cs="Times New Roman" w:eastAsia="Times New Roman" w:hAnsi="Times New Roman"/>
          <w:sz w:val="22"/>
          <w:szCs w:val="22"/>
          <w:color w:val="auto"/>
        </w:rPr>
      </w:pPr>
    </w:p>
    <w:p>
      <w:pPr>
        <w:jc w:val="both"/>
        <w:ind w:left="880" w:firstLine="816"/>
        <w:spacing w:after="0" w:line="244" w:lineRule="auto"/>
        <w:tabs>
          <w:tab w:leader="none" w:pos="2542"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29 CFR § 2510.3-101, as modified by Section 3(42) of ERISA) of one or more Benefit Plans in connection with the Loans, the Letters of Credit or the Commitments,</w:t>
      </w:r>
    </w:p>
    <w:p>
      <w:pPr>
        <w:spacing w:after="0" w:line="173" w:lineRule="exact"/>
        <w:rPr>
          <w:rFonts w:ascii="Times New Roman" w:cs="Times New Roman" w:eastAsia="Times New Roman" w:hAnsi="Times New Roman"/>
          <w:sz w:val="22"/>
          <w:szCs w:val="22"/>
          <w:color w:val="auto"/>
        </w:rPr>
      </w:pPr>
    </w:p>
    <w:p>
      <w:pPr>
        <w:jc w:val="both"/>
        <w:ind w:left="880" w:firstLine="816"/>
        <w:spacing w:after="0" w:line="235" w:lineRule="auto"/>
        <w:tabs>
          <w:tab w:leader="none" w:pos="2602"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3" w:lineRule="exact"/>
        <w:rPr>
          <w:rFonts w:ascii="Times New Roman" w:cs="Times New Roman" w:eastAsia="Times New Roman" w:hAnsi="Times New Roman"/>
          <w:sz w:val="22"/>
          <w:szCs w:val="22"/>
          <w:color w:val="auto"/>
        </w:rPr>
      </w:pPr>
    </w:p>
    <w:p>
      <w:pPr>
        <w:jc w:val="both"/>
        <w:ind w:left="880" w:firstLine="816"/>
        <w:spacing w:after="0" w:line="246" w:lineRule="auto"/>
        <w:tabs>
          <w:tab w:leader="none" w:pos="2662" w:val="left"/>
        </w:tabs>
        <w:numPr>
          <w:ilvl w:val="1"/>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w:t>
      </w:r>
    </w:p>
    <w:p>
      <w:pPr>
        <w:spacing w:after="0" w:line="1" w:lineRule="exact"/>
        <w:rPr>
          <w:rFonts w:ascii="Times New Roman" w:cs="Times New Roman" w:eastAsia="Times New Roman" w:hAnsi="Times New Roman"/>
          <w:sz w:val="21"/>
          <w:szCs w:val="21"/>
          <w:color w:val="auto"/>
        </w:rPr>
      </w:pPr>
    </w:p>
    <w:p>
      <w:pPr>
        <w:jc w:val="both"/>
        <w:ind w:left="880" w:firstLine="5"/>
        <w:spacing w:after="0" w:line="235" w:lineRule="auto"/>
        <w:tabs>
          <w:tab w:leader="none" w:pos="1196"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8" w:lineRule="exact"/>
        <w:rPr>
          <w:rFonts w:ascii="Times New Roman" w:cs="Times New Roman" w:eastAsia="Times New Roman" w:hAnsi="Times New Roman"/>
          <w:sz w:val="22"/>
          <w:szCs w:val="22"/>
          <w:color w:val="auto"/>
        </w:rPr>
      </w:pPr>
    </w:p>
    <w:p>
      <w:pPr>
        <w:ind w:left="880" w:firstLine="816"/>
        <w:spacing w:after="0" w:line="258" w:lineRule="auto"/>
        <w:tabs>
          <w:tab w:leader="none" w:pos="2650"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 with respect to the Loan Documents.</w:t>
      </w:r>
    </w:p>
    <w:p>
      <w:pPr>
        <w:spacing w:after="0" w:line="158" w:lineRule="exact"/>
        <w:rPr>
          <w:rFonts w:ascii="Times New Roman" w:cs="Times New Roman" w:eastAsia="Times New Roman" w:hAnsi="Times New Roman"/>
          <w:sz w:val="22"/>
          <w:szCs w:val="22"/>
          <w:color w:val="auto"/>
        </w:rPr>
      </w:pPr>
    </w:p>
    <w:p>
      <w:pPr>
        <w:jc w:val="both"/>
        <w:ind w:firstLine="1763"/>
        <w:spacing w:after="0" w:line="238" w:lineRule="auto"/>
        <w:tabs>
          <w:tab w:leader="none" w:pos="2655" w:val="left"/>
        </w:tabs>
        <w:numPr>
          <w:ilvl w:val="2"/>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unless </w:t>
      </w:r>
      <w:r>
        <w:rPr>
          <w:rFonts w:ascii="Times New Roman" w:cs="Times New Roman" w:eastAsia="Times New Roman" w:hAnsi="Times New Roman"/>
          <w:sz w:val="22"/>
          <w:szCs w:val="22"/>
          <w:u w:val="single" w:color="auto"/>
          <w:color w:val="auto"/>
        </w:rPr>
        <w:t>sub-clause (i)</w:t>
      </w:r>
      <w:r>
        <w:rPr>
          <w:rFonts w:ascii="Times New Roman" w:cs="Times New Roman" w:eastAsia="Times New Roman" w:hAnsi="Times New Roman"/>
          <w:sz w:val="22"/>
          <w:szCs w:val="22"/>
          <w:color w:val="auto"/>
        </w:rPr>
        <w:t xml:space="preserve"> in the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is true with respect to a Lender or such Lender has not provided another representation, warranty and covenant as provided in </w:t>
      </w:r>
      <w:r>
        <w:rPr>
          <w:rFonts w:ascii="Times New Roman" w:cs="Times New Roman" w:eastAsia="Times New Roman" w:hAnsi="Times New Roman"/>
          <w:sz w:val="22"/>
          <w:szCs w:val="22"/>
          <w:u w:val="single" w:color="auto"/>
          <w:color w:val="auto"/>
        </w:rPr>
        <w:t>sub-clause (iv)</w:t>
      </w:r>
      <w:r>
        <w:rPr>
          <w:rFonts w:ascii="Times New Roman" w:cs="Times New Roman" w:eastAsia="Times New Roman" w:hAnsi="Times New Roman"/>
          <w:sz w:val="22"/>
          <w:szCs w:val="22"/>
          <w:color w:val="auto"/>
        </w:rPr>
        <w:t xml:space="preserve"> in the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such Lender further (x) represents and warrants, as of the later of the date such Person became a Lender party hereto and the Eighth Amendment Effective Date, to, and (y) covenants, from such date to the date such Person ceases being a Lender party hereto, for the benefit of, the Administrative Agent,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3773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3773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6"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132</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89" w:name="page290"/>
    <w:bookmarkEnd w:id="289"/>
    <w:p>
      <w:pPr>
        <w:spacing w:after="0" w:line="258" w:lineRule="auto"/>
        <w:rPr>
          <w:sz w:val="20"/>
          <w:szCs w:val="20"/>
          <w:color w:val="auto"/>
        </w:rPr>
      </w:pPr>
      <w:r>
        <w:rPr>
          <w:rFonts w:ascii="Times New Roman" w:cs="Times New Roman" w:eastAsia="Times New Roman" w:hAnsi="Times New Roman"/>
          <w:sz w:val="22"/>
          <w:szCs w:val="22"/>
          <w:color w:val="auto"/>
        </w:rPr>
        <w:t>Joint Lead Arranger, and their respective Affiliates, and not, for the avoidance of doubt, to or for the benefit of the Borrower or any other Obligor, that:</w:t>
      </w:r>
    </w:p>
    <w:p>
      <w:pPr>
        <w:spacing w:after="0" w:line="158" w:lineRule="exact"/>
        <w:rPr>
          <w:sz w:val="20"/>
          <w:szCs w:val="20"/>
          <w:color w:val="auto"/>
        </w:rPr>
      </w:pPr>
    </w:p>
    <w:p>
      <w:pPr>
        <w:jc w:val="both"/>
        <w:ind w:left="880" w:firstLine="816"/>
        <w:spacing w:after="0" w:line="248" w:lineRule="auto"/>
        <w:tabs>
          <w:tab w:leader="none" w:pos="2531"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Administrative Agent, the Joint Lead Arrangers,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56" w:lineRule="exact"/>
        <w:rPr>
          <w:rFonts w:ascii="Times New Roman" w:cs="Times New Roman" w:eastAsia="Times New Roman" w:hAnsi="Times New Roman"/>
          <w:sz w:val="21"/>
          <w:szCs w:val="21"/>
          <w:color w:val="auto"/>
        </w:rPr>
      </w:pPr>
    </w:p>
    <w:p>
      <w:pPr>
        <w:jc w:val="both"/>
        <w:ind w:left="880" w:firstLine="816"/>
        <w:spacing w:after="0" w:line="227" w:lineRule="auto"/>
        <w:tabs>
          <w:tab w:leader="none" w:pos="2588"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67" w:lineRule="exact"/>
        <w:rPr>
          <w:rFonts w:ascii="Times New Roman" w:cs="Times New Roman" w:eastAsia="Times New Roman" w:hAnsi="Times New Roman"/>
          <w:sz w:val="22"/>
          <w:szCs w:val="22"/>
          <w:color w:val="auto"/>
        </w:rPr>
      </w:pPr>
    </w:p>
    <w:p>
      <w:pPr>
        <w:jc w:val="both"/>
        <w:ind w:left="880" w:firstLine="816"/>
        <w:spacing w:after="0" w:line="275" w:lineRule="auto"/>
        <w:tabs>
          <w:tab w:leader="none" w:pos="2644"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Secured Obligations (as defined in the Guarantee and Security Agreement)),</w:t>
      </w:r>
    </w:p>
    <w:p>
      <w:pPr>
        <w:spacing w:after="0" w:line="133" w:lineRule="exact"/>
        <w:rPr>
          <w:rFonts w:ascii="Times New Roman" w:cs="Times New Roman" w:eastAsia="Times New Roman" w:hAnsi="Times New Roman"/>
          <w:sz w:val="19"/>
          <w:szCs w:val="19"/>
          <w:color w:val="auto"/>
        </w:rPr>
      </w:pPr>
    </w:p>
    <w:p>
      <w:pPr>
        <w:jc w:val="both"/>
        <w:ind w:left="880" w:firstLine="816"/>
        <w:spacing w:after="0" w:line="241" w:lineRule="auto"/>
        <w:tabs>
          <w:tab w:leader="none" w:pos="2636"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64" w:lineRule="exact"/>
        <w:rPr>
          <w:rFonts w:ascii="Times New Roman" w:cs="Times New Roman" w:eastAsia="Times New Roman" w:hAnsi="Times New Roman"/>
          <w:sz w:val="21"/>
          <w:szCs w:val="21"/>
          <w:color w:val="auto"/>
        </w:rPr>
      </w:pPr>
    </w:p>
    <w:p>
      <w:pPr>
        <w:jc w:val="both"/>
        <w:ind w:left="880" w:firstLine="816"/>
        <w:spacing w:after="0" w:line="234" w:lineRule="auto"/>
        <w:tabs>
          <w:tab w:leader="none" w:pos="259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fee or other compensation is being paid directly to the Administrative Agent, any Joint Lead Arranger or any their respective Affiliates for investment advice (as opposed to other services) in connection with the Loans, the Letters of Credit, the Commitments or this Agreement.</w:t>
      </w:r>
    </w:p>
    <w:p>
      <w:pPr>
        <w:spacing w:after="0" w:line="164" w:lineRule="exact"/>
        <w:rPr>
          <w:rFonts w:ascii="Times New Roman" w:cs="Times New Roman" w:eastAsia="Times New Roman" w:hAnsi="Times New Roman"/>
          <w:sz w:val="22"/>
          <w:szCs w:val="22"/>
          <w:color w:val="auto"/>
        </w:rPr>
      </w:pPr>
    </w:p>
    <w:p>
      <w:pPr>
        <w:jc w:val="both"/>
        <w:ind w:firstLine="1763"/>
        <w:spacing w:after="0" w:line="222" w:lineRule="auto"/>
        <w:tabs>
          <w:tab w:leader="none" w:pos="2632"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each Joint Lead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3773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7">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wp:posOffset>
            </wp:positionV>
            <wp:extent cx="723773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tabs>
          <w:tab w:leader="none" w:pos="5560" w:val="left"/>
          <w:tab w:leader="none" w:pos="9360" w:val="left"/>
        </w:tabs>
        <w:rPr>
          <w:sz w:val="20"/>
          <w:szCs w:val="20"/>
          <w:color w:val="auto"/>
        </w:rPr>
      </w:pPr>
      <w:r>
        <w:rPr>
          <w:rFonts w:ascii="Times New Roman" w:cs="Times New Roman" w:eastAsia="Times New Roman" w:hAnsi="Times New Roman"/>
          <w:sz w:val="28"/>
          <w:szCs w:val="28"/>
          <w:color w:val="auto"/>
          <w:vertAlign w:val="subscript"/>
        </w:rPr>
        <w:t>731105340 11299570</w:t>
      </w:r>
      <w:r>
        <w:rPr>
          <w:sz w:val="20"/>
          <w:szCs w:val="20"/>
          <w:color w:val="auto"/>
        </w:rPr>
        <w:tab/>
      </w:r>
      <w:r>
        <w:rPr>
          <w:rFonts w:ascii="Times New Roman" w:cs="Times New Roman" w:eastAsia="Times New Roman" w:hAnsi="Times New Roman"/>
          <w:sz w:val="29"/>
          <w:szCs w:val="29"/>
          <w:color w:val="auto"/>
          <w:vertAlign w:val="subscript"/>
        </w:rPr>
        <w:t>133</w:t>
      </w:r>
      <w:r>
        <w:rPr>
          <w:sz w:val="20"/>
          <w:szCs w:val="20"/>
          <w:color w:val="auto"/>
        </w:rPr>
        <w:tab/>
      </w: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8916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87"/>
        </w:trPr>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EXHIBIT B</w:t>
            </w:r>
          </w:p>
        </w:tc>
        <w:tc>
          <w:tcPr>
            <w:tcW w:w="0" w:type="dxa"/>
            <w:vAlign w:val="bottom"/>
          </w:tcPr>
          <w:p>
            <w:pPr>
              <w:spacing w:after="0"/>
              <w:rPr>
                <w:sz w:val="1"/>
                <w:szCs w:val="1"/>
                <w:color w:val="auto"/>
              </w:rPr>
            </w:pPr>
          </w:p>
        </w:tc>
      </w:tr>
      <w:tr>
        <w:trPr>
          <w:trHeight w:val="407"/>
        </w:trPr>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40" w:type="dxa"/>
            <w:vAlign w:val="bottom"/>
            <w:gridSpan w:val="5"/>
          </w:tcPr>
          <w:p>
            <w:pPr>
              <w:jc w:val="right"/>
              <w:ind w:right="668"/>
              <w:spacing w:after="0"/>
              <w:rPr>
                <w:sz w:val="20"/>
                <w:szCs w:val="20"/>
                <w:color w:val="auto"/>
              </w:rPr>
            </w:pPr>
            <w:r>
              <w:rPr>
                <w:rFonts w:ascii="Times New Roman" w:cs="Times New Roman" w:eastAsia="Times New Roman" w:hAnsi="Times New Roman"/>
                <w:sz w:val="22"/>
                <w:szCs w:val="22"/>
                <w:color w:val="auto"/>
              </w:rPr>
              <w:t>Schedule 1.01(b)</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560" w:type="dxa"/>
            <w:vAlign w:val="bottom"/>
            <w:shd w:val="clear" w:color="auto" w:fill="E1E1E1"/>
          </w:tcPr>
          <w:p>
            <w:pPr>
              <w:spacing w:after="0"/>
              <w:rPr>
                <w:sz w:val="10"/>
                <w:szCs w:val="10"/>
                <w:color w:val="auto"/>
              </w:rPr>
            </w:pPr>
          </w:p>
        </w:tc>
        <w:tc>
          <w:tcPr>
            <w:tcW w:w="220" w:type="dxa"/>
            <w:vAlign w:val="bottom"/>
            <w:shd w:val="clear" w:color="auto" w:fill="E1E1E1"/>
          </w:tcPr>
          <w:p>
            <w:pPr>
              <w:spacing w:after="0"/>
              <w:rPr>
                <w:sz w:val="10"/>
                <w:szCs w:val="10"/>
                <w:color w:val="auto"/>
              </w:rPr>
            </w:pPr>
          </w:p>
        </w:tc>
        <w:tc>
          <w:tcPr>
            <w:tcW w:w="280" w:type="dxa"/>
            <w:vAlign w:val="bottom"/>
            <w:shd w:val="clear" w:color="auto" w:fill="E1E1E1"/>
          </w:tcPr>
          <w:p>
            <w:pPr>
              <w:spacing w:after="0"/>
              <w:rPr>
                <w:sz w:val="10"/>
                <w:szCs w:val="10"/>
                <w:color w:val="auto"/>
              </w:rPr>
            </w:pPr>
          </w:p>
        </w:tc>
        <w:tc>
          <w:tcPr>
            <w:tcW w:w="160" w:type="dxa"/>
            <w:vAlign w:val="bottom"/>
            <w:shd w:val="clear" w:color="auto" w:fill="E1E1E1"/>
          </w:tcPr>
          <w:p>
            <w:pPr>
              <w:spacing w:after="0"/>
              <w:rPr>
                <w:sz w:val="10"/>
                <w:szCs w:val="10"/>
                <w:color w:val="auto"/>
              </w:rPr>
            </w:pPr>
          </w:p>
        </w:tc>
        <w:tc>
          <w:tcPr>
            <w:tcW w:w="1200" w:type="dxa"/>
            <w:vAlign w:val="bottom"/>
            <w:shd w:val="clear" w:color="auto" w:fill="E1E1E1"/>
          </w:tcPr>
          <w:p>
            <w:pPr>
              <w:jc w:val="center"/>
              <w:ind w:left="128"/>
              <w:spacing w:after="0" w:line="124" w:lineRule="exact"/>
              <w:rPr>
                <w:sz w:val="20"/>
                <w:szCs w:val="20"/>
                <w:color w:val="auto"/>
              </w:rPr>
            </w:pPr>
            <w:r>
              <w:rPr>
                <w:rFonts w:ascii="Times New Roman" w:cs="Times New Roman" w:eastAsia="Times New Roman" w:hAnsi="Times New Roman"/>
                <w:sz w:val="14"/>
                <w:szCs w:val="14"/>
                <w:b w:val="1"/>
                <w:bCs w:val="1"/>
                <w:color w:val="auto"/>
              </w:rPr>
              <w:t>Non-Extended</w:t>
            </w:r>
          </w:p>
        </w:tc>
        <w:tc>
          <w:tcPr>
            <w:tcW w:w="720" w:type="dxa"/>
            <w:vAlign w:val="bottom"/>
            <w:shd w:val="clear" w:color="auto" w:fill="E1E1E1"/>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Non-</w:t>
            </w:r>
          </w:p>
        </w:tc>
        <w:tc>
          <w:tcPr>
            <w:tcW w:w="1020" w:type="dxa"/>
            <w:vAlign w:val="bottom"/>
            <w:shd w:val="clear" w:color="auto" w:fill="E1E1E1"/>
          </w:tcPr>
          <w:p>
            <w:pPr>
              <w:spacing w:after="0"/>
              <w:rPr>
                <w:sz w:val="10"/>
                <w:szCs w:val="10"/>
                <w:color w:val="auto"/>
              </w:rPr>
            </w:pPr>
          </w:p>
        </w:tc>
        <w:tc>
          <w:tcPr>
            <w:tcW w:w="1060" w:type="dxa"/>
            <w:vAlign w:val="bottom"/>
            <w:gridSpan w:val="2"/>
            <w:vMerge w:val="restart"/>
            <w:shd w:val="clear" w:color="auto" w:fill="E1E1E1"/>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Applicable Non-</w:t>
            </w:r>
          </w:p>
        </w:tc>
        <w:tc>
          <w:tcPr>
            <w:tcW w:w="1120" w:type="dxa"/>
            <w:vAlign w:val="bottom"/>
            <w:shd w:val="clear" w:color="auto" w:fill="E1E1E1"/>
          </w:tcPr>
          <w:p>
            <w:pPr>
              <w:spacing w:after="0"/>
              <w:rPr>
                <w:sz w:val="10"/>
                <w:szCs w:val="10"/>
                <w:color w:val="auto"/>
              </w:rPr>
            </w:pPr>
          </w:p>
        </w:tc>
        <w:tc>
          <w:tcPr>
            <w:tcW w:w="860" w:type="dxa"/>
            <w:vAlign w:val="bottom"/>
            <w:gridSpan w:val="2"/>
            <w:vMerge w:val="restart"/>
            <w:shd w:val="clear" w:color="auto" w:fill="E1E1E1"/>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080" w:type="dxa"/>
            <w:vAlign w:val="bottom"/>
            <w:shd w:val="clear" w:color="auto" w:fill="E1E1E1"/>
          </w:tcPr>
          <w:p>
            <w:pPr>
              <w:spacing w:after="0"/>
              <w:rPr>
                <w:sz w:val="10"/>
                <w:szCs w:val="10"/>
                <w:color w:val="auto"/>
              </w:rPr>
            </w:pPr>
          </w:p>
        </w:tc>
        <w:tc>
          <w:tcPr>
            <w:tcW w:w="1040" w:type="dxa"/>
            <w:vAlign w:val="bottom"/>
            <w:vMerge w:val="restart"/>
            <w:shd w:val="clear" w:color="auto" w:fill="E1E1E1"/>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160" w:type="dxa"/>
            <w:vAlign w:val="bottom"/>
            <w:shd w:val="clear" w:color="auto" w:fill="E1E1E1"/>
          </w:tcPr>
          <w:p>
            <w:pPr>
              <w:spacing w:after="0"/>
              <w:rPr>
                <w:sz w:val="10"/>
                <w:szCs w:val="10"/>
                <w:color w:val="auto"/>
              </w:rPr>
            </w:pPr>
          </w:p>
        </w:tc>
        <w:tc>
          <w:tcPr>
            <w:tcW w:w="940" w:type="dxa"/>
            <w:vAlign w:val="bottom"/>
            <w:shd w:val="clear" w:color="auto" w:fill="E1E1E1"/>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0" w:type="dxa"/>
            <w:vAlign w:val="bottom"/>
            <w:shd w:val="clear" w:color="auto" w:fill="E1E1E1"/>
          </w:tcPr>
          <w:p>
            <w:pPr>
              <w:spacing w:after="0"/>
              <w:rPr>
                <w:sz w:val="12"/>
                <w:szCs w:val="12"/>
                <w:color w:val="auto"/>
              </w:rPr>
            </w:pPr>
          </w:p>
        </w:tc>
        <w:tc>
          <w:tcPr>
            <w:tcW w:w="220" w:type="dxa"/>
            <w:vAlign w:val="bottom"/>
            <w:shd w:val="clear" w:color="auto" w:fill="E1E1E1"/>
          </w:tcPr>
          <w:p>
            <w:pPr>
              <w:spacing w:after="0"/>
              <w:rPr>
                <w:sz w:val="12"/>
                <w:szCs w:val="12"/>
                <w:color w:val="auto"/>
              </w:rPr>
            </w:pPr>
          </w:p>
        </w:tc>
        <w:tc>
          <w:tcPr>
            <w:tcW w:w="280" w:type="dxa"/>
            <w:vAlign w:val="bottom"/>
            <w:shd w:val="clear" w:color="auto" w:fill="E1E1E1"/>
          </w:tcPr>
          <w:p>
            <w:pPr>
              <w:spacing w:after="0"/>
              <w:rPr>
                <w:sz w:val="12"/>
                <w:szCs w:val="12"/>
                <w:color w:val="auto"/>
              </w:rPr>
            </w:pPr>
          </w:p>
        </w:tc>
        <w:tc>
          <w:tcPr>
            <w:tcW w:w="160" w:type="dxa"/>
            <w:vAlign w:val="bottom"/>
            <w:shd w:val="clear" w:color="auto" w:fill="E1E1E1"/>
          </w:tcPr>
          <w:p>
            <w:pPr>
              <w:spacing w:after="0"/>
              <w:rPr>
                <w:sz w:val="12"/>
                <w:szCs w:val="12"/>
                <w:color w:val="auto"/>
              </w:rPr>
            </w:pPr>
          </w:p>
        </w:tc>
        <w:tc>
          <w:tcPr>
            <w:tcW w:w="1200" w:type="dxa"/>
            <w:vAlign w:val="bottom"/>
            <w:shd w:val="clear" w:color="auto" w:fill="E1E1E1"/>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720" w:type="dxa"/>
            <w:vAlign w:val="bottom"/>
            <w:shd w:val="clear" w:color="auto" w:fill="E1E1E1"/>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Extended</w:t>
            </w:r>
          </w:p>
        </w:tc>
        <w:tc>
          <w:tcPr>
            <w:tcW w:w="1020" w:type="dxa"/>
            <w:vAlign w:val="bottom"/>
            <w:vMerge w:val="restart"/>
            <w:shd w:val="clear" w:color="auto" w:fill="E1E1E1"/>
          </w:tcPr>
          <w:p>
            <w:pPr>
              <w:jc w:val="center"/>
              <w:spacing w:after="0"/>
              <w:rPr>
                <w:sz w:val="20"/>
                <w:szCs w:val="20"/>
                <w:color w:val="auto"/>
              </w:rPr>
            </w:pPr>
            <w:r>
              <w:rPr>
                <w:rFonts w:ascii="Times New Roman" w:cs="Times New Roman" w:eastAsia="Times New Roman" w:hAnsi="Times New Roman"/>
                <w:sz w:val="14"/>
                <w:szCs w:val="14"/>
                <w:b w:val="1"/>
                <w:bCs w:val="1"/>
                <w:color w:val="auto"/>
              </w:rPr>
              <w:t>Non-Extended</w:t>
            </w:r>
          </w:p>
        </w:tc>
        <w:tc>
          <w:tcPr>
            <w:tcW w:w="1060" w:type="dxa"/>
            <w:vAlign w:val="bottom"/>
            <w:gridSpan w:val="2"/>
            <w:vMerge w:val="continue"/>
            <w:shd w:val="clear" w:color="auto" w:fill="E1E1E1"/>
          </w:tcPr>
          <w:p>
            <w:pPr>
              <w:spacing w:after="0"/>
              <w:rPr>
                <w:sz w:val="12"/>
                <w:szCs w:val="12"/>
                <w:color w:val="auto"/>
              </w:rPr>
            </w:pPr>
          </w:p>
        </w:tc>
        <w:tc>
          <w:tcPr>
            <w:tcW w:w="1120" w:type="dxa"/>
            <w:vAlign w:val="bottom"/>
            <w:shd w:val="clear" w:color="auto" w:fill="E1E1E1"/>
          </w:tcPr>
          <w:p>
            <w:pPr>
              <w:spacing w:after="0"/>
              <w:rPr>
                <w:sz w:val="12"/>
                <w:szCs w:val="12"/>
                <w:color w:val="auto"/>
              </w:rPr>
            </w:pPr>
          </w:p>
        </w:tc>
        <w:tc>
          <w:tcPr>
            <w:tcW w:w="860" w:type="dxa"/>
            <w:vAlign w:val="bottom"/>
            <w:gridSpan w:val="2"/>
            <w:vMerge w:val="continue"/>
            <w:shd w:val="clear" w:color="auto" w:fill="E1E1E1"/>
          </w:tcPr>
          <w:p>
            <w:pPr>
              <w:spacing w:after="0"/>
              <w:rPr>
                <w:sz w:val="12"/>
                <w:szCs w:val="12"/>
                <w:color w:val="auto"/>
              </w:rPr>
            </w:pPr>
          </w:p>
        </w:tc>
        <w:tc>
          <w:tcPr>
            <w:tcW w:w="1080" w:type="dxa"/>
            <w:vAlign w:val="bottom"/>
            <w:vMerge w:val="restart"/>
            <w:shd w:val="clear" w:color="auto" w:fill="E1E1E1"/>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Extended</w:t>
            </w:r>
          </w:p>
        </w:tc>
        <w:tc>
          <w:tcPr>
            <w:tcW w:w="1040" w:type="dxa"/>
            <w:vAlign w:val="bottom"/>
            <w:vMerge w:val="continue"/>
            <w:shd w:val="clear" w:color="auto" w:fill="E1E1E1"/>
          </w:tcPr>
          <w:p>
            <w:pPr>
              <w:spacing w:after="0"/>
              <w:rPr>
                <w:sz w:val="12"/>
                <w:szCs w:val="12"/>
                <w:color w:val="auto"/>
              </w:rPr>
            </w:pPr>
          </w:p>
        </w:tc>
        <w:tc>
          <w:tcPr>
            <w:tcW w:w="1160" w:type="dxa"/>
            <w:vAlign w:val="bottom"/>
            <w:shd w:val="clear" w:color="auto" w:fill="E1E1E1"/>
          </w:tcPr>
          <w:p>
            <w:pPr>
              <w:spacing w:after="0"/>
              <w:rPr>
                <w:sz w:val="12"/>
                <w:szCs w:val="12"/>
                <w:color w:val="auto"/>
              </w:rPr>
            </w:pPr>
          </w:p>
        </w:tc>
        <w:tc>
          <w:tcPr>
            <w:tcW w:w="940" w:type="dxa"/>
            <w:vAlign w:val="bottom"/>
            <w:vMerge w:val="restart"/>
            <w:shd w:val="clear" w:color="auto" w:fill="E1E1E1"/>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60" w:type="dxa"/>
            <w:vAlign w:val="bottom"/>
            <w:shd w:val="clear" w:color="auto" w:fill="E1E1E1"/>
          </w:tcPr>
          <w:p>
            <w:pPr>
              <w:spacing w:after="0"/>
              <w:rPr>
                <w:sz w:val="12"/>
                <w:szCs w:val="12"/>
                <w:color w:val="auto"/>
              </w:rPr>
            </w:pPr>
          </w:p>
        </w:tc>
        <w:tc>
          <w:tcPr>
            <w:tcW w:w="220" w:type="dxa"/>
            <w:vAlign w:val="bottom"/>
            <w:shd w:val="clear" w:color="auto" w:fill="E1E1E1"/>
          </w:tcPr>
          <w:p>
            <w:pPr>
              <w:spacing w:after="0"/>
              <w:rPr>
                <w:sz w:val="12"/>
                <w:szCs w:val="12"/>
                <w:color w:val="auto"/>
              </w:rPr>
            </w:pPr>
          </w:p>
        </w:tc>
        <w:tc>
          <w:tcPr>
            <w:tcW w:w="280" w:type="dxa"/>
            <w:vAlign w:val="bottom"/>
            <w:shd w:val="clear" w:color="auto" w:fill="E1E1E1"/>
          </w:tcPr>
          <w:p>
            <w:pPr>
              <w:spacing w:after="0"/>
              <w:rPr>
                <w:sz w:val="12"/>
                <w:szCs w:val="12"/>
                <w:color w:val="auto"/>
              </w:rPr>
            </w:pPr>
          </w:p>
        </w:tc>
        <w:tc>
          <w:tcPr>
            <w:tcW w:w="160" w:type="dxa"/>
            <w:vAlign w:val="bottom"/>
            <w:shd w:val="clear" w:color="auto" w:fill="E1E1E1"/>
          </w:tcPr>
          <w:p>
            <w:pPr>
              <w:spacing w:after="0"/>
              <w:rPr>
                <w:sz w:val="12"/>
                <w:szCs w:val="12"/>
                <w:color w:val="auto"/>
              </w:rPr>
            </w:pPr>
          </w:p>
        </w:tc>
        <w:tc>
          <w:tcPr>
            <w:tcW w:w="1200" w:type="dxa"/>
            <w:vAlign w:val="bottom"/>
            <w:shd w:val="clear" w:color="auto" w:fill="E1E1E1"/>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720" w:type="dxa"/>
            <w:vAlign w:val="bottom"/>
            <w:shd w:val="clear" w:color="auto" w:fill="E1E1E1"/>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Final</w:t>
            </w:r>
          </w:p>
        </w:tc>
        <w:tc>
          <w:tcPr>
            <w:tcW w:w="1020" w:type="dxa"/>
            <w:vAlign w:val="bottom"/>
            <w:vMerge w:val="continue"/>
            <w:shd w:val="clear" w:color="auto" w:fill="E1E1E1"/>
          </w:tcPr>
          <w:p>
            <w:pPr>
              <w:spacing w:after="0"/>
              <w:rPr>
                <w:sz w:val="12"/>
                <w:szCs w:val="12"/>
                <w:color w:val="auto"/>
              </w:rPr>
            </w:pPr>
          </w:p>
        </w:tc>
        <w:tc>
          <w:tcPr>
            <w:tcW w:w="1060" w:type="dxa"/>
            <w:vAlign w:val="bottom"/>
            <w:gridSpan w:val="2"/>
            <w:shd w:val="clear" w:color="auto" w:fill="E1E1E1"/>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Extended</w:t>
            </w:r>
          </w:p>
        </w:tc>
        <w:tc>
          <w:tcPr>
            <w:tcW w:w="1120" w:type="dxa"/>
            <w:vAlign w:val="bottom"/>
            <w:vMerge w:val="restart"/>
            <w:shd w:val="clear" w:color="auto" w:fill="E1E1E1"/>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Extended Dollar</w:t>
            </w:r>
          </w:p>
        </w:tc>
        <w:tc>
          <w:tcPr>
            <w:tcW w:w="860" w:type="dxa"/>
            <w:vAlign w:val="bottom"/>
            <w:gridSpan w:val="2"/>
            <w:shd w:val="clear" w:color="auto" w:fill="E1E1E1"/>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Extended</w:t>
            </w:r>
          </w:p>
        </w:tc>
        <w:tc>
          <w:tcPr>
            <w:tcW w:w="1080" w:type="dxa"/>
            <w:vAlign w:val="bottom"/>
            <w:vMerge w:val="continue"/>
            <w:shd w:val="clear" w:color="auto" w:fill="E1E1E1"/>
          </w:tcPr>
          <w:p>
            <w:pPr>
              <w:spacing w:after="0"/>
              <w:rPr>
                <w:sz w:val="12"/>
                <w:szCs w:val="12"/>
                <w:color w:val="auto"/>
              </w:rPr>
            </w:pPr>
          </w:p>
        </w:tc>
        <w:tc>
          <w:tcPr>
            <w:tcW w:w="1040" w:type="dxa"/>
            <w:vAlign w:val="bottom"/>
            <w:shd w:val="clear" w:color="auto" w:fill="E1E1E1"/>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Extended</w:t>
            </w:r>
          </w:p>
        </w:tc>
        <w:tc>
          <w:tcPr>
            <w:tcW w:w="1160" w:type="dxa"/>
            <w:vAlign w:val="bottom"/>
            <w:vMerge w:val="restart"/>
            <w:shd w:val="clear" w:color="auto" w:fill="E1E1E1"/>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940" w:type="dxa"/>
            <w:vAlign w:val="bottom"/>
            <w:vMerge w:val="continue"/>
            <w:shd w:val="clear" w:color="auto" w:fill="E1E1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gridSpan w:val="3"/>
            <w:vMerge w:val="restart"/>
            <w:shd w:val="clear" w:color="auto" w:fill="E1E1E1"/>
          </w:tcPr>
          <w:p>
            <w:pPr>
              <w:ind w:left="480"/>
              <w:spacing w:after="0"/>
              <w:rPr>
                <w:sz w:val="20"/>
                <w:szCs w:val="20"/>
                <w:color w:val="auto"/>
              </w:rPr>
            </w:pPr>
            <w:r>
              <w:rPr>
                <w:rFonts w:ascii="Times New Roman" w:cs="Times New Roman" w:eastAsia="Times New Roman" w:hAnsi="Times New Roman"/>
                <w:sz w:val="14"/>
                <w:szCs w:val="14"/>
                <w:b w:val="1"/>
                <w:bCs w:val="1"/>
                <w:color w:val="auto"/>
              </w:rPr>
              <w:t>Lenders</w:t>
            </w:r>
          </w:p>
        </w:tc>
        <w:tc>
          <w:tcPr>
            <w:tcW w:w="160" w:type="dxa"/>
            <w:vAlign w:val="bottom"/>
            <w:shd w:val="clear" w:color="auto" w:fill="E1E1E1"/>
          </w:tcPr>
          <w:p>
            <w:pPr>
              <w:spacing w:after="0"/>
              <w:rPr>
                <w:sz w:val="12"/>
                <w:szCs w:val="12"/>
                <w:color w:val="auto"/>
              </w:rPr>
            </w:pPr>
          </w:p>
        </w:tc>
        <w:tc>
          <w:tcPr>
            <w:tcW w:w="1200" w:type="dxa"/>
            <w:vAlign w:val="bottom"/>
            <w:shd w:val="clear" w:color="auto" w:fill="E1E1E1"/>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720" w:type="dxa"/>
            <w:vAlign w:val="bottom"/>
            <w:shd w:val="clear" w:color="auto" w:fill="E1E1E1"/>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020" w:type="dxa"/>
            <w:vAlign w:val="bottom"/>
            <w:shd w:val="clear" w:color="auto" w:fill="E1E1E1"/>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Multicurrency</w:t>
            </w:r>
          </w:p>
        </w:tc>
        <w:tc>
          <w:tcPr>
            <w:tcW w:w="1060" w:type="dxa"/>
            <w:vAlign w:val="bottom"/>
            <w:gridSpan w:val="2"/>
            <w:shd w:val="clear" w:color="auto" w:fill="E1E1E1"/>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Multicurrency</w:t>
            </w:r>
          </w:p>
        </w:tc>
        <w:tc>
          <w:tcPr>
            <w:tcW w:w="1120" w:type="dxa"/>
            <w:vAlign w:val="bottom"/>
            <w:vMerge w:val="continue"/>
            <w:shd w:val="clear" w:color="auto" w:fill="E1E1E1"/>
          </w:tcPr>
          <w:p>
            <w:pPr>
              <w:spacing w:after="0"/>
              <w:rPr>
                <w:sz w:val="12"/>
                <w:szCs w:val="12"/>
                <w:color w:val="auto"/>
              </w:rPr>
            </w:pPr>
          </w:p>
        </w:tc>
        <w:tc>
          <w:tcPr>
            <w:tcW w:w="120" w:type="dxa"/>
            <w:vAlign w:val="bottom"/>
            <w:shd w:val="clear" w:color="auto" w:fill="E1E1E1"/>
          </w:tcPr>
          <w:p>
            <w:pPr>
              <w:spacing w:after="0"/>
              <w:rPr>
                <w:sz w:val="12"/>
                <w:szCs w:val="12"/>
                <w:color w:val="auto"/>
              </w:rPr>
            </w:pPr>
          </w:p>
        </w:tc>
        <w:tc>
          <w:tcPr>
            <w:tcW w:w="740" w:type="dxa"/>
            <w:vAlign w:val="bottom"/>
            <w:shd w:val="clear" w:color="auto" w:fill="E1E1E1"/>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Dollar</w:t>
            </w:r>
          </w:p>
        </w:tc>
        <w:tc>
          <w:tcPr>
            <w:tcW w:w="1080" w:type="dxa"/>
            <w:vAlign w:val="bottom"/>
            <w:shd w:val="clear" w:color="auto" w:fill="E1E1E1"/>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Multicurrency</w:t>
            </w:r>
          </w:p>
        </w:tc>
        <w:tc>
          <w:tcPr>
            <w:tcW w:w="1040" w:type="dxa"/>
            <w:vAlign w:val="bottom"/>
            <w:shd w:val="clear" w:color="auto" w:fill="E1E1E1"/>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Multicurrency</w:t>
            </w:r>
          </w:p>
        </w:tc>
        <w:tc>
          <w:tcPr>
            <w:tcW w:w="1160" w:type="dxa"/>
            <w:vAlign w:val="bottom"/>
            <w:vMerge w:val="continue"/>
            <w:shd w:val="clear" w:color="auto" w:fill="E1E1E1"/>
          </w:tcPr>
          <w:p>
            <w:pPr>
              <w:spacing w:after="0"/>
              <w:rPr>
                <w:sz w:val="12"/>
                <w:szCs w:val="12"/>
                <w:color w:val="auto"/>
              </w:rPr>
            </w:pPr>
          </w:p>
        </w:tc>
        <w:tc>
          <w:tcPr>
            <w:tcW w:w="940" w:type="dxa"/>
            <w:vAlign w:val="bottom"/>
            <w:shd w:val="clear" w:color="auto" w:fill="E1E1E1"/>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0" w:type="dxa"/>
            <w:vAlign w:val="bottom"/>
          </w:tcPr>
          <w:p>
            <w:pPr>
              <w:spacing w:after="0"/>
              <w:rPr>
                <w:sz w:val="1"/>
                <w:szCs w:val="1"/>
                <w:color w:val="auto"/>
              </w:rPr>
            </w:pPr>
          </w:p>
        </w:tc>
      </w:tr>
      <w:tr>
        <w:trPr>
          <w:trHeight w:val="173"/>
        </w:trPr>
        <w:tc>
          <w:tcPr>
            <w:tcW w:w="1060" w:type="dxa"/>
            <w:vAlign w:val="bottom"/>
            <w:tcBorders>
              <w:bottom w:val="single" w:sz="8" w:color="auto"/>
            </w:tcBorders>
            <w:gridSpan w:val="3"/>
            <w:vMerge w:val="continue"/>
            <w:shd w:val="clear" w:color="auto" w:fill="E1E1E1"/>
          </w:tcPr>
          <w:p>
            <w:pPr>
              <w:spacing w:after="0"/>
              <w:rPr>
                <w:sz w:val="15"/>
                <w:szCs w:val="15"/>
                <w:color w:val="auto"/>
              </w:rPr>
            </w:pPr>
          </w:p>
        </w:tc>
        <w:tc>
          <w:tcPr>
            <w:tcW w:w="160" w:type="dxa"/>
            <w:vAlign w:val="bottom"/>
            <w:tcBorders>
              <w:bottom w:val="single" w:sz="8" w:color="auto"/>
            </w:tcBorders>
            <w:shd w:val="clear" w:color="auto" w:fill="E1E1E1"/>
          </w:tcPr>
          <w:p>
            <w:pPr>
              <w:spacing w:after="0"/>
              <w:rPr>
                <w:sz w:val="15"/>
                <w:szCs w:val="15"/>
                <w:color w:val="auto"/>
              </w:rPr>
            </w:pPr>
          </w:p>
        </w:tc>
        <w:tc>
          <w:tcPr>
            <w:tcW w:w="1200" w:type="dxa"/>
            <w:vAlign w:val="bottom"/>
            <w:tcBorders>
              <w:bottom w:val="single" w:sz="8" w:color="auto"/>
            </w:tcBorders>
            <w:shd w:val="clear" w:color="auto" w:fill="E1E1E1"/>
          </w:tcPr>
          <w:p>
            <w:pPr>
              <w:spacing w:after="0"/>
              <w:rPr>
                <w:sz w:val="15"/>
                <w:szCs w:val="15"/>
                <w:color w:val="auto"/>
              </w:rPr>
            </w:pPr>
          </w:p>
        </w:tc>
        <w:tc>
          <w:tcPr>
            <w:tcW w:w="720" w:type="dxa"/>
            <w:vAlign w:val="bottom"/>
            <w:tcBorders>
              <w:bottom w:val="single" w:sz="8" w:color="auto"/>
            </w:tcBorders>
            <w:shd w:val="clear" w:color="auto" w:fill="E1E1E1"/>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20" w:type="dxa"/>
            <w:vAlign w:val="bottom"/>
            <w:tcBorders>
              <w:bottom w:val="single" w:sz="8" w:color="auto"/>
            </w:tcBorders>
            <w:shd w:val="clear" w:color="auto" w:fill="E1E1E1"/>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060" w:type="dxa"/>
            <w:vAlign w:val="bottom"/>
            <w:tcBorders>
              <w:bottom w:val="single" w:sz="8" w:color="auto"/>
            </w:tcBorders>
            <w:gridSpan w:val="2"/>
            <w:shd w:val="clear" w:color="auto" w:fill="E1E1E1"/>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20" w:type="dxa"/>
            <w:vAlign w:val="bottom"/>
            <w:tcBorders>
              <w:bottom w:val="single" w:sz="8" w:color="auto"/>
            </w:tcBorders>
            <w:shd w:val="clear" w:color="auto" w:fill="E1E1E1"/>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860" w:type="dxa"/>
            <w:vAlign w:val="bottom"/>
            <w:tcBorders>
              <w:bottom w:val="single" w:sz="8" w:color="auto"/>
            </w:tcBorders>
            <w:gridSpan w:val="2"/>
            <w:shd w:val="clear" w:color="auto" w:fill="E1E1E1"/>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80" w:type="dxa"/>
            <w:vAlign w:val="bottom"/>
            <w:tcBorders>
              <w:bottom w:val="single" w:sz="8" w:color="auto"/>
            </w:tcBorders>
            <w:shd w:val="clear" w:color="auto" w:fill="E1E1E1"/>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040" w:type="dxa"/>
            <w:vAlign w:val="bottom"/>
            <w:tcBorders>
              <w:bottom w:val="single" w:sz="8" w:color="auto"/>
            </w:tcBorders>
            <w:shd w:val="clear" w:color="auto" w:fill="E1E1E1"/>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60" w:type="dxa"/>
            <w:vAlign w:val="bottom"/>
            <w:tcBorders>
              <w:bottom w:val="single" w:sz="8" w:color="auto"/>
            </w:tcBorders>
            <w:shd w:val="clear" w:color="auto" w:fill="E1E1E1"/>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940" w:type="dxa"/>
            <w:vAlign w:val="bottom"/>
            <w:tcBorders>
              <w:bottom w:val="single" w:sz="8" w:color="auto"/>
            </w:tcBorders>
            <w:shd w:val="clear" w:color="auto" w:fill="E1E1E1"/>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335"/>
        </w:trPr>
        <w:tc>
          <w:tcPr>
            <w:tcW w:w="2420" w:type="dxa"/>
            <w:vAlign w:val="bottom"/>
            <w:gridSpan w:val="5"/>
          </w:tcPr>
          <w:p>
            <w:pPr>
              <w:spacing w:after="0"/>
              <w:rPr>
                <w:sz w:val="20"/>
                <w:szCs w:val="20"/>
                <w:color w:val="auto"/>
              </w:rPr>
            </w:pPr>
            <w:r>
              <w:rPr>
                <w:rFonts w:ascii="Times New Roman" w:cs="Times New Roman" w:eastAsia="Times New Roman" w:hAnsi="Times New Roman"/>
                <w:sz w:val="14"/>
                <w:szCs w:val="14"/>
                <w:color w:val="414042"/>
              </w:rPr>
              <w:t>JPMorgan Chase Bank,</w:t>
            </w:r>
          </w:p>
        </w:tc>
        <w:tc>
          <w:tcPr>
            <w:tcW w:w="72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vMerge w:val="restart"/>
          </w:tcPr>
          <w:p>
            <w:pPr>
              <w:jc w:val="center"/>
              <w:ind w:left="16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w w:val="84"/>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$120,000,000.00</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12.31%</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$120,000,000.00</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10.26%</w:t>
            </w:r>
          </w:p>
        </w:tc>
        <w:tc>
          <w:tcPr>
            <w:tcW w:w="0" w:type="dxa"/>
            <w:vAlign w:val="bottom"/>
          </w:tcPr>
          <w:p>
            <w:pPr>
              <w:spacing w:after="0"/>
              <w:rPr>
                <w:sz w:val="1"/>
                <w:szCs w:val="1"/>
                <w:color w:val="auto"/>
              </w:rPr>
            </w:pPr>
          </w:p>
        </w:tc>
      </w:tr>
      <w:tr>
        <w:trPr>
          <w:trHeight w:val="107"/>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color w:val="414042"/>
              </w:rPr>
              <w:t>N.A.</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414042"/>
              </w:rPr>
              <w:t>State  Street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414042"/>
              </w:rPr>
              <w:t>Bank</w:t>
            </w:r>
          </w:p>
        </w:tc>
        <w:tc>
          <w:tcPr>
            <w:tcW w:w="120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414042"/>
                <w:w w:val="98"/>
              </w:rPr>
              <w:t>and</w:t>
            </w:r>
          </w:p>
        </w:tc>
        <w:tc>
          <w:tcPr>
            <w:tcW w:w="72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vMerge w:val="restart"/>
          </w:tcPr>
          <w:p>
            <w:pPr>
              <w:jc w:val="center"/>
              <w:ind w:left="16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w w:val="84"/>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$120,000,000.00</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12.31%</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$120,000,000.00</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10.26%</w:t>
            </w:r>
          </w:p>
        </w:tc>
        <w:tc>
          <w:tcPr>
            <w:tcW w:w="0" w:type="dxa"/>
            <w:vAlign w:val="bottom"/>
          </w:tcPr>
          <w:p>
            <w:pPr>
              <w:spacing w:after="0"/>
              <w:rPr>
                <w:sz w:val="1"/>
                <w:szCs w:val="1"/>
                <w:color w:val="auto"/>
              </w:rPr>
            </w:pPr>
          </w:p>
        </w:tc>
      </w:tr>
      <w:tr>
        <w:trPr>
          <w:trHeight w:val="107"/>
        </w:trPr>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414042"/>
              </w:rPr>
              <w:t>Trust Company</w:t>
            </w: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414042"/>
              </w:rPr>
              <w:t>SunTrust Bank</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Pr>
          <w:p>
            <w:pPr>
              <w:jc w:val="center"/>
              <w:ind w:left="16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color w:val="auto"/>
                <w:w w:val="8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$120,000,000.00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12.31%</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$120,000,000.00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10.26%</w:t>
            </w:r>
          </w:p>
        </w:tc>
        <w:tc>
          <w:tcPr>
            <w:tcW w:w="0" w:type="dxa"/>
            <w:vAlign w:val="bottom"/>
          </w:tcPr>
          <w:p>
            <w:pPr>
              <w:spacing w:after="0"/>
              <w:rPr>
                <w:sz w:val="1"/>
                <w:szCs w:val="1"/>
                <w:color w:val="auto"/>
              </w:rPr>
            </w:pPr>
          </w:p>
        </w:tc>
      </w:tr>
      <w:tr>
        <w:trPr>
          <w:trHeight w:val="284"/>
        </w:trPr>
        <w:tc>
          <w:tcPr>
            <w:tcW w:w="2420" w:type="dxa"/>
            <w:vAlign w:val="bottom"/>
            <w:gridSpan w:val="5"/>
          </w:tcPr>
          <w:p>
            <w:pPr>
              <w:spacing w:after="0"/>
              <w:rPr>
                <w:sz w:val="20"/>
                <w:szCs w:val="20"/>
                <w:color w:val="auto"/>
              </w:rPr>
            </w:pPr>
            <w:r>
              <w:rPr>
                <w:rFonts w:ascii="Times New Roman" w:cs="Times New Roman" w:eastAsia="Times New Roman" w:hAnsi="Times New Roman"/>
                <w:sz w:val="14"/>
                <w:szCs w:val="14"/>
                <w:color w:val="414042"/>
              </w:rPr>
              <w:t>Bank of America, N.A.</w:t>
            </w:r>
          </w:p>
        </w:tc>
        <w:tc>
          <w:tcPr>
            <w:tcW w:w="7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Pr>
          <w:p>
            <w:pPr>
              <w:jc w:val="center"/>
              <w:ind w:left="16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color w:val="auto"/>
                <w:w w:val="8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$100,000,000.00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10.26%</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$100,000,000.00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8.55%</w:t>
            </w:r>
          </w:p>
        </w:tc>
        <w:tc>
          <w:tcPr>
            <w:tcW w:w="0" w:type="dxa"/>
            <w:vAlign w:val="bottom"/>
          </w:tcPr>
          <w:p>
            <w:pPr>
              <w:spacing w:after="0"/>
              <w:rPr>
                <w:sz w:val="1"/>
                <w:szCs w:val="1"/>
                <w:color w:val="auto"/>
              </w:rPr>
            </w:pPr>
          </w:p>
        </w:tc>
      </w:tr>
      <w:tr>
        <w:trPr>
          <w:trHeight w:val="21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414042"/>
              </w:rPr>
              <w:t>Sumitomo</w:t>
            </w:r>
          </w:p>
        </w:tc>
        <w:tc>
          <w:tcPr>
            <w:tcW w:w="280" w:type="dxa"/>
            <w:vAlign w:val="bottom"/>
          </w:tcPr>
          <w:p>
            <w:pPr>
              <w:spacing w:after="0"/>
              <w:rPr>
                <w:sz w:val="18"/>
                <w:szCs w:val="18"/>
                <w:color w:val="auto"/>
              </w:rPr>
            </w:pPr>
          </w:p>
        </w:tc>
        <w:tc>
          <w:tcPr>
            <w:tcW w:w="1360" w:type="dxa"/>
            <w:vAlign w:val="bottom"/>
            <w:gridSpan w:val="2"/>
          </w:tcPr>
          <w:p>
            <w:pPr>
              <w:jc w:val="right"/>
              <w:ind w:right="888"/>
              <w:spacing w:after="0"/>
              <w:rPr>
                <w:sz w:val="20"/>
                <w:szCs w:val="20"/>
                <w:color w:val="auto"/>
              </w:rPr>
            </w:pPr>
            <w:r>
              <w:rPr>
                <w:rFonts w:ascii="Times New Roman" w:cs="Times New Roman" w:eastAsia="Times New Roman" w:hAnsi="Times New Roman"/>
                <w:sz w:val="14"/>
                <w:szCs w:val="14"/>
                <w:color w:val="414042"/>
              </w:rPr>
              <w:t>Mitsui</w:t>
            </w:r>
          </w:p>
        </w:tc>
        <w:tc>
          <w:tcPr>
            <w:tcW w:w="72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vMerge w:val="restart"/>
          </w:tcPr>
          <w:p>
            <w:pPr>
              <w:jc w:val="center"/>
              <w:ind w:left="16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$50,000,000.00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414042"/>
              </w:rPr>
              <w:t>25.64%</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$50,000,000.00</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5.13%</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$100,000,000.00</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8.55%</w:t>
            </w:r>
          </w:p>
        </w:tc>
        <w:tc>
          <w:tcPr>
            <w:tcW w:w="0" w:type="dxa"/>
            <w:vAlign w:val="bottom"/>
          </w:tcPr>
          <w:p>
            <w:pPr>
              <w:spacing w:after="0"/>
              <w:rPr>
                <w:sz w:val="1"/>
                <w:szCs w:val="1"/>
                <w:color w:val="auto"/>
              </w:rPr>
            </w:pPr>
          </w:p>
        </w:tc>
      </w:tr>
      <w:tr>
        <w:trPr>
          <w:trHeight w:val="107"/>
        </w:trPr>
        <w:tc>
          <w:tcPr>
            <w:tcW w:w="12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414042"/>
              </w:rPr>
              <w:t>Banking Corporation</w:t>
            </w: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20" w:type="dxa"/>
            <w:vAlign w:val="bottom"/>
            <w:gridSpan w:val="4"/>
            <w:vMerge w:val="continue"/>
          </w:tcPr>
          <w:p>
            <w:pPr>
              <w:spacing w:after="0"/>
              <w:rPr>
                <w:sz w:val="7"/>
                <w:szCs w:val="7"/>
                <w:color w:val="auto"/>
              </w:rPr>
            </w:pPr>
          </w:p>
        </w:tc>
        <w:tc>
          <w:tcPr>
            <w:tcW w:w="1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414042"/>
              </w:rPr>
              <w:t>Industrial</w:t>
            </w:r>
          </w:p>
        </w:tc>
        <w:tc>
          <w:tcPr>
            <w:tcW w:w="220" w:type="dxa"/>
            <w:vAlign w:val="bottom"/>
          </w:tcPr>
          <w:p>
            <w:pPr>
              <w:spacing w:after="0"/>
              <w:rPr>
                <w:sz w:val="15"/>
                <w:szCs w:val="15"/>
                <w:color w:val="auto"/>
              </w:rPr>
            </w:pPr>
          </w:p>
        </w:tc>
        <w:tc>
          <w:tcPr>
            <w:tcW w:w="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414042"/>
              </w:rPr>
              <w:t>Bank</w:t>
            </w:r>
          </w:p>
        </w:tc>
        <w:tc>
          <w:tcPr>
            <w:tcW w:w="120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414042"/>
              </w:rPr>
              <w:t>and</w:t>
            </w:r>
          </w:p>
        </w:tc>
        <w:tc>
          <w:tcPr>
            <w:tcW w:w="72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vMerge w:val="restart"/>
          </w:tcPr>
          <w:p>
            <w:pPr>
              <w:jc w:val="center"/>
              <w:ind w:left="16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w w:val="84"/>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$75,000,000.00</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7.69%</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$75,000,000.00</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6.41%</w:t>
            </w:r>
          </w:p>
        </w:tc>
        <w:tc>
          <w:tcPr>
            <w:tcW w:w="0" w:type="dxa"/>
            <w:vAlign w:val="bottom"/>
          </w:tcPr>
          <w:p>
            <w:pPr>
              <w:spacing w:after="0"/>
              <w:rPr>
                <w:sz w:val="1"/>
                <w:szCs w:val="1"/>
                <w:color w:val="auto"/>
              </w:rPr>
            </w:pPr>
          </w:p>
        </w:tc>
      </w:tr>
      <w:tr>
        <w:trPr>
          <w:trHeight w:val="149"/>
        </w:trPr>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414042"/>
              </w:rPr>
              <w:t>Commercial</w:t>
            </w:r>
          </w:p>
        </w:tc>
        <w:tc>
          <w:tcPr>
            <w:tcW w:w="440" w:type="dxa"/>
            <w:vAlign w:val="bottom"/>
            <w:gridSpan w:val="2"/>
            <w:vMerge w:val="continue"/>
          </w:tcPr>
          <w:p>
            <w:pPr>
              <w:spacing w:after="0"/>
              <w:rPr>
                <w:sz w:val="12"/>
                <w:szCs w:val="12"/>
                <w:color w:val="auto"/>
              </w:rPr>
            </w:pPr>
          </w:p>
        </w:tc>
        <w:tc>
          <w:tcPr>
            <w:tcW w:w="1200" w:type="dxa"/>
            <w:vAlign w:val="bottom"/>
          </w:tcPr>
          <w:p>
            <w:pPr>
              <w:jc w:val="right"/>
              <w:ind w:right="908"/>
              <w:spacing w:after="0" w:line="149" w:lineRule="exact"/>
              <w:rPr>
                <w:sz w:val="20"/>
                <w:szCs w:val="20"/>
                <w:color w:val="auto"/>
              </w:rPr>
            </w:pPr>
            <w:r>
              <w:rPr>
                <w:rFonts w:ascii="Times New Roman" w:cs="Times New Roman" w:eastAsia="Times New Roman" w:hAnsi="Times New Roman"/>
                <w:sz w:val="14"/>
                <w:szCs w:val="14"/>
                <w:color w:val="414042"/>
              </w:rPr>
              <w:t>of</w:t>
            </w:r>
          </w:p>
        </w:tc>
        <w:tc>
          <w:tcPr>
            <w:tcW w:w="7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414042"/>
              </w:rPr>
              <w:t>China Limited</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color w:val="414042"/>
              </w:rPr>
              <w:t>Mizuho Bank, Ltd.</w:t>
            </w: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Pr>
          <w:p>
            <w:pPr>
              <w:jc w:val="center"/>
              <w:ind w:left="16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color w:val="auto"/>
                <w:w w:val="8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$75,000,000.00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7.69%</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$75,000,000.00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6.41%</w:t>
            </w:r>
          </w:p>
        </w:tc>
        <w:tc>
          <w:tcPr>
            <w:tcW w:w="0" w:type="dxa"/>
            <w:vAlign w:val="bottom"/>
          </w:tcPr>
          <w:p>
            <w:pPr>
              <w:spacing w:after="0"/>
              <w:rPr>
                <w:sz w:val="1"/>
                <w:szCs w:val="1"/>
                <w:color w:val="auto"/>
              </w:rPr>
            </w:pPr>
          </w:p>
        </w:tc>
      </w:tr>
      <w:tr>
        <w:trPr>
          <w:trHeight w:val="284"/>
        </w:trPr>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color w:val="414042"/>
              </w:rPr>
              <w:t>Santander Bank, NA</w:t>
            </w: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Pr>
          <w:p>
            <w:pPr>
              <w:jc w:val="center"/>
              <w:ind w:left="16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color w:val="auto"/>
                <w:w w:val="8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$75,000,000.00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7.69%</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$75,000,000.00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6.41%</w:t>
            </w:r>
          </w:p>
        </w:tc>
        <w:tc>
          <w:tcPr>
            <w:tcW w:w="0" w:type="dxa"/>
            <w:vAlign w:val="bottom"/>
          </w:tcPr>
          <w:p>
            <w:pPr>
              <w:spacing w:after="0"/>
              <w:rPr>
                <w:sz w:val="1"/>
                <w:szCs w:val="1"/>
                <w:color w:val="auto"/>
              </w:rPr>
            </w:pPr>
          </w:p>
        </w:tc>
      </w:tr>
      <w:tr>
        <w:trPr>
          <w:trHeight w:val="284"/>
        </w:trPr>
        <w:tc>
          <w:tcPr>
            <w:tcW w:w="2420" w:type="dxa"/>
            <w:vAlign w:val="bottom"/>
            <w:gridSpan w:val="5"/>
          </w:tcPr>
          <w:p>
            <w:pPr>
              <w:spacing w:after="0"/>
              <w:rPr>
                <w:sz w:val="20"/>
                <w:szCs w:val="20"/>
                <w:color w:val="auto"/>
              </w:rPr>
            </w:pPr>
            <w:r>
              <w:rPr>
                <w:rFonts w:ascii="Times New Roman" w:cs="Times New Roman" w:eastAsia="Times New Roman" w:hAnsi="Times New Roman"/>
                <w:sz w:val="14"/>
                <w:szCs w:val="14"/>
                <w:color w:val="414042"/>
              </w:rPr>
              <w:t>HSBC Bank USA, N.A.</w:t>
            </w:r>
          </w:p>
        </w:tc>
        <w:tc>
          <w:tcPr>
            <w:tcW w:w="7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Pr>
          <w:p>
            <w:pPr>
              <w:jc w:val="center"/>
              <w:ind w:left="16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color w:val="auto"/>
                <w:w w:val="8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$70,000,000.00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7.18%</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$70,000,000.00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5.98%</w:t>
            </w:r>
          </w:p>
        </w:tc>
        <w:tc>
          <w:tcPr>
            <w:tcW w:w="0" w:type="dxa"/>
            <w:vAlign w:val="bottom"/>
          </w:tcPr>
          <w:p>
            <w:pPr>
              <w:spacing w:after="0"/>
              <w:rPr>
                <w:sz w:val="1"/>
                <w:szCs w:val="1"/>
                <w:color w:val="auto"/>
              </w:rPr>
            </w:pPr>
          </w:p>
        </w:tc>
      </w:tr>
      <w:tr>
        <w:trPr>
          <w:trHeight w:val="284"/>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414042"/>
              </w:rPr>
              <w:t>Citibank, N.A.</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Pr>
          <w:p>
            <w:pPr>
              <w:jc w:val="center"/>
              <w:ind w:left="16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color w:val="auto"/>
                <w:w w:val="8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$60,000,000.00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6.15%</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$60,000,000.00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5.13%</w:t>
            </w:r>
          </w:p>
        </w:tc>
        <w:tc>
          <w:tcPr>
            <w:tcW w:w="0" w:type="dxa"/>
            <w:vAlign w:val="bottom"/>
          </w:tcPr>
          <w:p>
            <w:pPr>
              <w:spacing w:after="0"/>
              <w:rPr>
                <w:sz w:val="1"/>
                <w:szCs w:val="1"/>
                <w:color w:val="auto"/>
              </w:rPr>
            </w:pPr>
          </w:p>
        </w:tc>
      </w:tr>
      <w:tr>
        <w:trPr>
          <w:trHeight w:val="284"/>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414042"/>
              </w:rPr>
              <w:t>CIT Finance LLC</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Pr>
          <w:p>
            <w:pPr>
              <w:jc w:val="center"/>
              <w:ind w:left="16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$50,000,000.00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414042"/>
              </w:rPr>
              <w:t>25.64%</w:t>
            </w:r>
          </w:p>
        </w:tc>
        <w:tc>
          <w:tcPr>
            <w:tcW w:w="10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8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$50,000,000.00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4.27%</w:t>
            </w:r>
          </w:p>
        </w:tc>
        <w:tc>
          <w:tcPr>
            <w:tcW w:w="0" w:type="dxa"/>
            <w:vAlign w:val="bottom"/>
          </w:tcPr>
          <w:p>
            <w:pPr>
              <w:spacing w:after="0"/>
              <w:rPr>
                <w:sz w:val="1"/>
                <w:szCs w:val="1"/>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414042"/>
              </w:rPr>
              <w:t>Goldman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414042"/>
              </w:rPr>
              <w:t>Sachs</w:t>
            </w:r>
          </w:p>
        </w:tc>
        <w:tc>
          <w:tcPr>
            <w:tcW w:w="1360" w:type="dxa"/>
            <w:vAlign w:val="bottom"/>
            <w:gridSpan w:val="2"/>
          </w:tcPr>
          <w:p>
            <w:pPr>
              <w:jc w:val="right"/>
              <w:ind w:right="908"/>
              <w:spacing w:after="0"/>
              <w:rPr>
                <w:sz w:val="20"/>
                <w:szCs w:val="20"/>
                <w:color w:val="auto"/>
              </w:rPr>
            </w:pPr>
            <w:r>
              <w:rPr>
                <w:rFonts w:ascii="Times New Roman" w:cs="Times New Roman" w:eastAsia="Times New Roman" w:hAnsi="Times New Roman"/>
                <w:sz w:val="14"/>
                <w:szCs w:val="14"/>
                <w:color w:val="414042"/>
              </w:rPr>
              <w:t>Bank</w:t>
            </w:r>
          </w:p>
        </w:tc>
        <w:tc>
          <w:tcPr>
            <w:tcW w:w="72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vMerge w:val="restart"/>
          </w:tcPr>
          <w:p>
            <w:pPr>
              <w:jc w:val="center"/>
              <w:ind w:left="16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11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w w:val="84"/>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$50,000,000.00</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5.13%</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$50,000,000.00</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4.27%</w:t>
            </w:r>
          </w:p>
        </w:tc>
        <w:tc>
          <w:tcPr>
            <w:tcW w:w="0" w:type="dxa"/>
            <w:vAlign w:val="bottom"/>
          </w:tcPr>
          <w:p>
            <w:pPr>
              <w:spacing w:after="0"/>
              <w:rPr>
                <w:sz w:val="1"/>
                <w:szCs w:val="1"/>
                <w:color w:val="auto"/>
              </w:rPr>
            </w:pPr>
          </w:p>
        </w:tc>
      </w:tr>
      <w:tr>
        <w:trPr>
          <w:trHeight w:val="107"/>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color w:val="414042"/>
              </w:rPr>
              <w:t>USA</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414042"/>
              </w:rPr>
              <w:t>Morgan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414042"/>
                <w:w w:val="99"/>
              </w:rPr>
              <w:t>Stanley</w:t>
            </w:r>
          </w:p>
        </w:tc>
        <w:tc>
          <w:tcPr>
            <w:tcW w:w="1360" w:type="dxa"/>
            <w:vAlign w:val="bottom"/>
            <w:gridSpan w:val="2"/>
          </w:tcPr>
          <w:p>
            <w:pPr>
              <w:jc w:val="right"/>
              <w:ind w:right="888"/>
              <w:spacing w:after="0"/>
              <w:rPr>
                <w:sz w:val="20"/>
                <w:szCs w:val="20"/>
                <w:color w:val="auto"/>
              </w:rPr>
            </w:pPr>
            <w:r>
              <w:rPr>
                <w:rFonts w:ascii="Times New Roman" w:cs="Times New Roman" w:eastAsia="Times New Roman" w:hAnsi="Times New Roman"/>
                <w:sz w:val="14"/>
                <w:szCs w:val="14"/>
                <w:color w:val="414042"/>
              </w:rPr>
              <w:t>Bank,</w:t>
            </w:r>
          </w:p>
        </w:tc>
        <w:tc>
          <w:tcPr>
            <w:tcW w:w="72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vMerge w:val="restart"/>
          </w:tcPr>
          <w:p>
            <w:pPr>
              <w:jc w:val="center"/>
              <w:ind w:left="16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$50,000,000.00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414042"/>
              </w:rPr>
              <w:t>25.64%</w:t>
            </w:r>
          </w:p>
        </w:tc>
        <w:tc>
          <w:tcPr>
            <w:tcW w:w="10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84"/>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$50,000,000.00</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414042"/>
              </w:rPr>
              <w:t>4.27%</w:t>
            </w:r>
          </w:p>
        </w:tc>
        <w:tc>
          <w:tcPr>
            <w:tcW w:w="0" w:type="dxa"/>
            <w:vAlign w:val="bottom"/>
          </w:tcPr>
          <w:p>
            <w:pPr>
              <w:spacing w:after="0"/>
              <w:rPr>
                <w:sz w:val="1"/>
                <w:szCs w:val="1"/>
                <w:color w:val="auto"/>
              </w:rPr>
            </w:pPr>
          </w:p>
        </w:tc>
      </w:tr>
      <w:tr>
        <w:trPr>
          <w:trHeight w:val="107"/>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color w:val="414042"/>
              </w:rPr>
              <w:t>N.A.</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414042"/>
              </w:rPr>
              <w:t>BankUnited, N.A.</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Pr>
          <w:p>
            <w:pPr>
              <w:jc w:val="center"/>
              <w:ind w:left="16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$25,000,000.00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414042"/>
              </w:rPr>
              <w:t>12.82%</w:t>
            </w:r>
          </w:p>
        </w:tc>
        <w:tc>
          <w:tcPr>
            <w:tcW w:w="10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8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$25,000,000.00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2.14%</w:t>
            </w:r>
          </w:p>
        </w:tc>
        <w:tc>
          <w:tcPr>
            <w:tcW w:w="0" w:type="dxa"/>
            <w:vAlign w:val="bottom"/>
          </w:tcPr>
          <w:p>
            <w:pPr>
              <w:spacing w:after="0"/>
              <w:rPr>
                <w:sz w:val="1"/>
                <w:szCs w:val="1"/>
                <w:color w:val="auto"/>
              </w:rPr>
            </w:pPr>
          </w:p>
        </w:tc>
      </w:tr>
      <w:tr>
        <w:trPr>
          <w:trHeight w:val="284"/>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414042"/>
              </w:rPr>
              <w:t>Signature Bank</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Pr>
          <w:p>
            <w:pPr>
              <w:jc w:val="center"/>
              <w:ind w:left="16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color w:val="auto"/>
                <w:w w:val="8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$25,000,000.00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2.56%</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$25,000,000.00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2.14%</w:t>
            </w:r>
          </w:p>
        </w:tc>
        <w:tc>
          <w:tcPr>
            <w:tcW w:w="0" w:type="dxa"/>
            <w:vAlign w:val="bottom"/>
          </w:tcPr>
          <w:p>
            <w:pPr>
              <w:spacing w:after="0"/>
              <w:rPr>
                <w:sz w:val="1"/>
                <w:szCs w:val="1"/>
                <w:color w:val="auto"/>
              </w:rPr>
            </w:pPr>
          </w:p>
        </w:tc>
      </w:tr>
      <w:tr>
        <w:trPr>
          <w:trHeight w:val="284"/>
        </w:trPr>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414042"/>
              </w:rPr>
              <w:t>Comerica Bank</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Pr>
          <w:p>
            <w:pPr>
              <w:jc w:val="center"/>
              <w:ind w:left="16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color w:val="auto"/>
                <w:w w:val="8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$20,000,000.00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2.05%</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$20,000,000.00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1.71%</w:t>
            </w:r>
          </w:p>
        </w:tc>
        <w:tc>
          <w:tcPr>
            <w:tcW w:w="0" w:type="dxa"/>
            <w:vAlign w:val="bottom"/>
          </w:tcPr>
          <w:p>
            <w:pPr>
              <w:spacing w:after="0"/>
              <w:rPr>
                <w:sz w:val="1"/>
                <w:szCs w:val="1"/>
                <w:color w:val="auto"/>
              </w:rPr>
            </w:pPr>
          </w:p>
        </w:tc>
      </w:tr>
      <w:tr>
        <w:trPr>
          <w:trHeight w:val="284"/>
        </w:trPr>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color w:val="414042"/>
              </w:rPr>
              <w:t>Stifel Bank &amp; Trust</w:t>
            </w: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Pr>
          <w:p>
            <w:pPr>
              <w:jc w:val="center"/>
              <w:ind w:left="16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$20,000,000.00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414042"/>
              </w:rPr>
              <w:t>10.26%</w:t>
            </w:r>
          </w:p>
        </w:tc>
        <w:tc>
          <w:tcPr>
            <w:tcW w:w="10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414042"/>
                <w:w w:val="8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$20,000,000.00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414042"/>
              </w:rPr>
              <w:t>1.71%</w:t>
            </w:r>
          </w:p>
        </w:tc>
        <w:tc>
          <w:tcPr>
            <w:tcW w:w="0" w:type="dxa"/>
            <w:vAlign w:val="bottom"/>
          </w:tcPr>
          <w:p>
            <w:pPr>
              <w:spacing w:after="0"/>
              <w:rPr>
                <w:sz w:val="1"/>
                <w:szCs w:val="1"/>
                <w:color w:val="auto"/>
              </w:rPr>
            </w:pPr>
          </w:p>
        </w:tc>
      </w:tr>
      <w:tr>
        <w:trPr>
          <w:trHeight w:val="240"/>
        </w:trPr>
        <w:tc>
          <w:tcPr>
            <w:tcW w:w="1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414042"/>
              </w:rPr>
              <w:t>City National Bank</w:t>
            </w:r>
          </w:p>
        </w:tc>
        <w:tc>
          <w:tcPr>
            <w:tcW w:w="1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Borders>
              <w:bottom w:val="single" w:sz="8" w:color="auto"/>
            </w:tcBorders>
          </w:tcPr>
          <w:p>
            <w:pPr>
              <w:jc w:val="center"/>
              <w:ind w:left="16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tcBorders>
              <w:bottom w:val="single" w:sz="8" w:color="auto"/>
            </w:tcBorders>
            <w:gridSpan w:val="2"/>
          </w:tcPr>
          <w:p>
            <w:pPr>
              <w:jc w:val="center"/>
              <w:ind w:right="28"/>
              <w:spacing w:after="0"/>
              <w:rPr>
                <w:sz w:val="20"/>
                <w:szCs w:val="20"/>
                <w:color w:val="auto"/>
              </w:rPr>
            </w:pPr>
            <w:r>
              <w:rPr>
                <w:rFonts w:ascii="Times New Roman" w:cs="Times New Roman" w:eastAsia="Times New Roman" w:hAnsi="Times New Roman"/>
                <w:sz w:val="14"/>
                <w:szCs w:val="14"/>
                <w:color w:val="auto"/>
                <w:w w:val="8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414042"/>
              </w:rPr>
              <w:t>$15,000,000.00</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414042"/>
              </w:rPr>
              <w:t>1.54%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414042"/>
              </w:rPr>
              <w:t>$15,000,000.00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414042"/>
              </w:rPr>
              <w:t>1.28%</w:t>
            </w: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shd w:val="clear" w:color="auto" w:fill="E1E1E1"/>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shd w:val="clear" w:color="auto" w:fill="E1E1E1"/>
          </w:tcPr>
          <w:p>
            <w:pPr>
              <w:spacing w:after="0"/>
              <w:rPr>
                <w:sz w:val="18"/>
                <w:szCs w:val="18"/>
                <w:color w:val="auto"/>
              </w:rPr>
            </w:pPr>
          </w:p>
        </w:tc>
        <w:tc>
          <w:tcPr>
            <w:tcW w:w="280" w:type="dxa"/>
            <w:vAlign w:val="bottom"/>
            <w:tcBorders>
              <w:bottom w:val="single" w:sz="8" w:color="auto"/>
            </w:tcBorders>
            <w:shd w:val="clear" w:color="auto" w:fill="E1E1E1"/>
          </w:tcPr>
          <w:p>
            <w:pPr>
              <w:spacing w:after="0"/>
              <w:rPr>
                <w:sz w:val="18"/>
                <w:szCs w:val="18"/>
                <w:color w:val="auto"/>
              </w:rPr>
            </w:pPr>
          </w:p>
        </w:tc>
        <w:tc>
          <w:tcPr>
            <w:tcW w:w="160" w:type="dxa"/>
            <w:vAlign w:val="bottom"/>
            <w:tcBorders>
              <w:bottom w:val="single" w:sz="8" w:color="auto"/>
            </w:tcBorders>
            <w:shd w:val="clear" w:color="auto" w:fill="E1E1E1"/>
          </w:tcPr>
          <w:p>
            <w:pPr>
              <w:spacing w:after="0"/>
              <w:rPr>
                <w:sz w:val="18"/>
                <w:szCs w:val="18"/>
                <w:color w:val="auto"/>
              </w:rPr>
            </w:pPr>
          </w:p>
        </w:tc>
        <w:tc>
          <w:tcPr>
            <w:tcW w:w="1200" w:type="dxa"/>
            <w:vAlign w:val="bottom"/>
            <w:tcBorders>
              <w:bottom w:val="single" w:sz="8" w:color="auto"/>
            </w:tcBorders>
            <w:shd w:val="clear" w:color="auto" w:fill="E1E1E1"/>
          </w:tcPr>
          <w:p>
            <w:pPr>
              <w:spacing w:after="0"/>
              <w:rPr>
                <w:sz w:val="18"/>
                <w:szCs w:val="18"/>
                <w:color w:val="auto"/>
              </w:rPr>
            </w:pPr>
          </w:p>
        </w:tc>
        <w:tc>
          <w:tcPr>
            <w:tcW w:w="720" w:type="dxa"/>
            <w:vAlign w:val="bottom"/>
            <w:tcBorders>
              <w:bottom w:val="single" w:sz="8" w:color="auto"/>
            </w:tcBorders>
            <w:shd w:val="clear" w:color="auto" w:fill="E1E1E1"/>
          </w:tcPr>
          <w:p>
            <w:pPr>
              <w:spacing w:after="0"/>
              <w:rPr>
                <w:sz w:val="18"/>
                <w:szCs w:val="18"/>
                <w:color w:val="auto"/>
              </w:rPr>
            </w:pPr>
          </w:p>
        </w:tc>
        <w:tc>
          <w:tcPr>
            <w:tcW w:w="1020" w:type="dxa"/>
            <w:vAlign w:val="bottom"/>
            <w:tcBorders>
              <w:bottom w:val="single" w:sz="8" w:color="auto"/>
            </w:tcBorders>
            <w:shd w:val="clear" w:color="auto" w:fill="E1E1E1"/>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820" w:type="dxa"/>
            <w:vAlign w:val="bottom"/>
            <w:tcBorders>
              <w:bottom w:val="single" w:sz="8" w:color="auto"/>
            </w:tcBorders>
            <w:shd w:val="clear" w:color="auto" w:fill="E1E1E1"/>
          </w:tcPr>
          <w:p>
            <w:pPr>
              <w:jc w:val="center"/>
              <w:ind w:left="167"/>
              <w:spacing w:after="0"/>
              <w:rPr>
                <w:sz w:val="20"/>
                <w:szCs w:val="20"/>
                <w:color w:val="auto"/>
              </w:rPr>
            </w:pPr>
            <w:r>
              <w:rPr>
                <w:rFonts w:ascii="Times New Roman" w:cs="Times New Roman" w:eastAsia="Times New Roman" w:hAnsi="Times New Roman"/>
                <w:sz w:val="14"/>
                <w:szCs w:val="14"/>
                <w:b w:val="1"/>
                <w:bCs w:val="1"/>
                <w:color w:val="414042"/>
              </w:rPr>
              <w:t>-</w:t>
            </w:r>
          </w:p>
        </w:tc>
        <w:tc>
          <w:tcPr>
            <w:tcW w:w="240" w:type="dxa"/>
            <w:vAlign w:val="bottom"/>
            <w:tcBorders>
              <w:bottom w:val="single" w:sz="8" w:color="auto"/>
            </w:tcBorders>
            <w:shd w:val="clear" w:color="auto" w:fill="E1E1E1"/>
          </w:tcPr>
          <w:p>
            <w:pPr>
              <w:spacing w:after="0"/>
              <w:rPr>
                <w:sz w:val="18"/>
                <w:szCs w:val="18"/>
                <w:color w:val="auto"/>
              </w:rPr>
            </w:pPr>
          </w:p>
        </w:tc>
        <w:tc>
          <w:tcPr>
            <w:tcW w:w="1120" w:type="dxa"/>
            <w:vAlign w:val="bottom"/>
            <w:tcBorders>
              <w:bottom w:val="single" w:sz="8" w:color="auto"/>
            </w:tcBorders>
            <w:shd w:val="clear" w:color="auto" w:fill="E1E1E1"/>
          </w:tcPr>
          <w:p>
            <w:pPr>
              <w:jc w:val="right"/>
              <w:spacing w:after="0"/>
              <w:rPr>
                <w:sz w:val="20"/>
                <w:szCs w:val="20"/>
                <w:color w:val="auto"/>
              </w:rPr>
            </w:pPr>
            <w:r>
              <w:rPr>
                <w:rFonts w:ascii="Times New Roman" w:cs="Times New Roman" w:eastAsia="Times New Roman" w:hAnsi="Times New Roman"/>
                <w:sz w:val="14"/>
                <w:szCs w:val="14"/>
                <w:b w:val="1"/>
                <w:bCs w:val="1"/>
                <w:color w:val="auto"/>
              </w:rPr>
              <w:t>$195,000,000.00</w:t>
            </w:r>
          </w:p>
        </w:tc>
        <w:tc>
          <w:tcPr>
            <w:tcW w:w="860" w:type="dxa"/>
            <w:vAlign w:val="bottom"/>
            <w:tcBorders>
              <w:bottom w:val="single" w:sz="8" w:color="auto"/>
            </w:tcBorders>
            <w:gridSpan w:val="2"/>
            <w:shd w:val="clear" w:color="auto" w:fill="E1E1E1"/>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1080" w:type="dxa"/>
            <w:vAlign w:val="bottom"/>
            <w:tcBorders>
              <w:bottom w:val="single" w:sz="8" w:color="auto"/>
            </w:tcBorders>
            <w:shd w:val="clear" w:color="auto" w:fill="E1E1E1"/>
          </w:tcPr>
          <w:p>
            <w:pPr>
              <w:jc w:val="right"/>
              <w:spacing w:after="0"/>
              <w:rPr>
                <w:sz w:val="20"/>
                <w:szCs w:val="20"/>
                <w:color w:val="auto"/>
              </w:rPr>
            </w:pPr>
            <w:r>
              <w:rPr>
                <w:rFonts w:ascii="Times New Roman" w:cs="Times New Roman" w:eastAsia="Times New Roman" w:hAnsi="Times New Roman"/>
                <w:sz w:val="14"/>
                <w:szCs w:val="14"/>
                <w:b w:val="1"/>
                <w:bCs w:val="1"/>
                <w:color w:val="auto"/>
              </w:rPr>
              <w:t>$975,000,000.00</w:t>
            </w:r>
          </w:p>
        </w:tc>
        <w:tc>
          <w:tcPr>
            <w:tcW w:w="1040" w:type="dxa"/>
            <w:vAlign w:val="bottom"/>
            <w:tcBorders>
              <w:bottom w:val="single" w:sz="8" w:color="auto"/>
            </w:tcBorders>
            <w:shd w:val="clear" w:color="auto" w:fill="E1E1E1"/>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1160" w:type="dxa"/>
            <w:vAlign w:val="bottom"/>
            <w:tcBorders>
              <w:bottom w:val="single" w:sz="8" w:color="auto"/>
            </w:tcBorders>
            <w:shd w:val="clear" w:color="auto" w:fill="E1E1E1"/>
          </w:tcPr>
          <w:p>
            <w:pPr>
              <w:jc w:val="right"/>
              <w:spacing w:after="0"/>
              <w:rPr>
                <w:sz w:val="20"/>
                <w:szCs w:val="20"/>
                <w:color w:val="auto"/>
              </w:rPr>
            </w:pPr>
            <w:r>
              <w:rPr>
                <w:rFonts w:ascii="Times New Roman" w:cs="Times New Roman" w:eastAsia="Times New Roman" w:hAnsi="Times New Roman"/>
                <w:sz w:val="14"/>
                <w:szCs w:val="14"/>
                <w:b w:val="1"/>
                <w:bCs w:val="1"/>
                <w:color w:val="auto"/>
              </w:rPr>
              <w:t>$1,170,000,000.00</w:t>
            </w:r>
          </w:p>
        </w:tc>
        <w:tc>
          <w:tcPr>
            <w:tcW w:w="940" w:type="dxa"/>
            <w:vAlign w:val="bottom"/>
            <w:tcBorders>
              <w:bottom w:val="single" w:sz="8" w:color="auto"/>
            </w:tcBorders>
            <w:shd w:val="clear" w:color="auto" w:fill="E1E1E1"/>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gridSpan w:val="5"/>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24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731146884 11299570</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1" w:right="23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96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SUBSIDIARIES OF TPG SPECIALTY LENDING, INC.</w:t>
            </w:r>
          </w:p>
        </w:tc>
      </w:tr>
      <w:tr>
        <w:trPr>
          <w:trHeight w:val="365"/>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191"/>
        </w:trPr>
        <w:tc>
          <w:tcPr>
            <w:tcW w:w="20" w:type="dxa"/>
            <w:vAlign w:val="bottom"/>
          </w:tcPr>
          <w:p>
            <w:pPr>
              <w:spacing w:after="0"/>
              <w:rPr>
                <w:sz w:val="16"/>
                <w:szCs w:val="16"/>
                <w:color w:val="auto"/>
              </w:rPr>
            </w:pPr>
          </w:p>
        </w:tc>
        <w:tc>
          <w:tcPr>
            <w:tcW w:w="2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TC Lending, LLC</w:t>
            </w:r>
          </w:p>
        </w:tc>
        <w:tc>
          <w:tcPr>
            <w:tcW w:w="3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TPG SL SPV, LLC</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TSL MR, LLC</w:t>
            </w: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420"/>
          </w:cols>
          <w:pgMar w:left="240" w:top="334" w:right="23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Easterly, certify that:</w:t>
      </w:r>
    </w:p>
    <w:p>
      <w:pPr>
        <w:spacing w:after="0" w:line="117" w:lineRule="exact"/>
        <w:rPr>
          <w:sz w:val="20"/>
          <w:szCs w:val="20"/>
          <w:color w:val="auto"/>
        </w:rPr>
      </w:pPr>
    </w:p>
    <w:p>
      <w:pPr>
        <w:ind w:left="780" w:hanging="515"/>
        <w:spacing w:after="0"/>
        <w:tabs>
          <w:tab w:leader="none" w:pos="7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2018, of TPG Specialty Lending, Inc.;</w:t>
      </w:r>
    </w:p>
    <w:p>
      <w:pPr>
        <w:spacing w:after="0" w:line="117" w:lineRule="exact"/>
        <w:rPr>
          <w:rFonts w:ascii="Times New Roman" w:cs="Times New Roman" w:eastAsia="Times New Roman" w:hAnsi="Times New Roman"/>
          <w:sz w:val="18"/>
          <w:szCs w:val="18"/>
          <w:color w:val="auto"/>
        </w:rPr>
      </w:pPr>
    </w:p>
    <w:p>
      <w:pPr>
        <w:jc w:val="both"/>
        <w:ind w:left="780" w:right="180" w:hanging="515"/>
        <w:spacing w:after="0" w:line="266" w:lineRule="auto"/>
        <w:tabs>
          <w:tab w:leader="none" w:pos="7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780" w:right="140" w:hanging="515"/>
        <w:spacing w:after="0" w:line="282" w:lineRule="auto"/>
        <w:tabs>
          <w:tab w:leader="none" w:pos="7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160" w:hanging="515"/>
        <w:spacing w:after="0" w:line="266" w:lineRule="auto"/>
        <w:tabs>
          <w:tab w:leader="none" w:pos="7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100" w:hanging="522"/>
        <w:spacing w:after="0" w:line="266" w:lineRule="auto"/>
        <w:tabs>
          <w:tab w:leader="none" w:pos="130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40" w:hanging="522"/>
        <w:spacing w:after="0" w:line="266" w:lineRule="auto"/>
        <w:tabs>
          <w:tab w:leader="none" w:pos="130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rFonts w:ascii="Times New Roman" w:cs="Times New Roman" w:eastAsia="Times New Roman" w:hAnsi="Times New Roman"/>
          <w:sz w:val="18"/>
          <w:szCs w:val="18"/>
          <w:color w:val="auto"/>
        </w:rPr>
      </w:pPr>
    </w:p>
    <w:p>
      <w:pPr>
        <w:jc w:val="both"/>
        <w:ind w:left="1300" w:right="400" w:hanging="522"/>
        <w:spacing w:after="0" w:line="313" w:lineRule="auto"/>
        <w:tabs>
          <w:tab w:leader="none" w:pos="1300" w:val="left"/>
        </w:tabs>
        <w:numPr>
          <w:ilvl w:val="1"/>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300" w:right="260" w:hanging="522"/>
        <w:spacing w:after="0" w:line="266" w:lineRule="auto"/>
        <w:tabs>
          <w:tab w:leader="none" w:pos="130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780" w:right="60" w:hanging="515"/>
        <w:spacing w:after="0" w:line="282" w:lineRule="auto"/>
        <w:tabs>
          <w:tab w:leader="none" w:pos="7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40" w:hanging="522"/>
        <w:spacing w:after="0" w:line="282" w:lineRule="auto"/>
        <w:tabs>
          <w:tab w:leader="none" w:pos="130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40" w:hanging="522"/>
        <w:spacing w:after="0" w:line="282" w:lineRule="auto"/>
        <w:tabs>
          <w:tab w:leader="none" w:pos="130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2019</w:t>
      </w:r>
    </w:p>
    <w:p>
      <w:pPr>
        <w:spacing w:after="0" w:line="225" w:lineRule="exact"/>
        <w:rPr>
          <w:sz w:val="20"/>
          <w:szCs w:val="20"/>
          <w:color w:val="auto"/>
        </w:rPr>
      </w:pPr>
    </w:p>
    <w:p>
      <w:pPr>
        <w:ind w:left="6280"/>
        <w:spacing w:after="0"/>
        <w:tabs>
          <w:tab w:leader="none" w:pos="6760" w:val="left"/>
        </w:tabs>
        <w:rPr>
          <w:sz w:val="20"/>
          <w:szCs w:val="20"/>
          <w:color w:val="auto"/>
        </w:rPr>
      </w:pPr>
      <w:r>
        <w:rPr>
          <w:rFonts w:ascii="Times New Roman" w:cs="Times New Roman" w:eastAsia="Times New Roman" w:hAnsi="Times New Roman"/>
          <w:sz w:val="18"/>
          <w:szCs w:val="18"/>
          <w:color w:val="auto"/>
        </w:rPr>
        <w:t>By:</w:t>
        <w:tab/>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3"/>
          <w:szCs w:val="13"/>
          <w:color w:val="auto"/>
        </w:rPr>
        <w:t>OSHUA</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3"/>
          <w:szCs w:val="13"/>
          <w:color w:val="auto"/>
        </w:rPr>
        <w:t>ASTERLY</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-130810</wp:posOffset>
            </wp:positionV>
            <wp:extent cx="297561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333" w:right="23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Simmonds, certify that:</w:t>
      </w:r>
    </w:p>
    <w:p>
      <w:pPr>
        <w:spacing w:after="0" w:line="117" w:lineRule="exact"/>
        <w:rPr>
          <w:sz w:val="20"/>
          <w:szCs w:val="20"/>
          <w:color w:val="auto"/>
        </w:rPr>
      </w:pPr>
    </w:p>
    <w:p>
      <w:pPr>
        <w:ind w:left="780" w:hanging="515"/>
        <w:spacing w:after="0"/>
        <w:tabs>
          <w:tab w:leader="none" w:pos="7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2018, of TPG Specialty Lending, Inc.;</w:t>
      </w:r>
    </w:p>
    <w:p>
      <w:pPr>
        <w:spacing w:after="0" w:line="117" w:lineRule="exact"/>
        <w:rPr>
          <w:rFonts w:ascii="Times New Roman" w:cs="Times New Roman" w:eastAsia="Times New Roman" w:hAnsi="Times New Roman"/>
          <w:sz w:val="18"/>
          <w:szCs w:val="18"/>
          <w:color w:val="auto"/>
        </w:rPr>
      </w:pPr>
    </w:p>
    <w:p>
      <w:pPr>
        <w:jc w:val="both"/>
        <w:ind w:left="780" w:right="180" w:hanging="515"/>
        <w:spacing w:after="0" w:line="266" w:lineRule="auto"/>
        <w:tabs>
          <w:tab w:leader="none" w:pos="7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780" w:right="140" w:hanging="515"/>
        <w:spacing w:after="0" w:line="282" w:lineRule="auto"/>
        <w:tabs>
          <w:tab w:leader="none" w:pos="7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160" w:hanging="515"/>
        <w:spacing w:after="0" w:line="266" w:lineRule="auto"/>
        <w:tabs>
          <w:tab w:leader="none" w:pos="7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100" w:hanging="522"/>
        <w:spacing w:after="0" w:line="266" w:lineRule="auto"/>
        <w:tabs>
          <w:tab w:leader="none" w:pos="130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40" w:hanging="522"/>
        <w:spacing w:after="0" w:line="266" w:lineRule="auto"/>
        <w:tabs>
          <w:tab w:leader="none" w:pos="130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rFonts w:ascii="Times New Roman" w:cs="Times New Roman" w:eastAsia="Times New Roman" w:hAnsi="Times New Roman"/>
          <w:sz w:val="18"/>
          <w:szCs w:val="18"/>
          <w:color w:val="auto"/>
        </w:rPr>
      </w:pPr>
    </w:p>
    <w:p>
      <w:pPr>
        <w:jc w:val="both"/>
        <w:ind w:left="1300" w:right="400" w:hanging="522"/>
        <w:spacing w:after="0" w:line="313" w:lineRule="auto"/>
        <w:tabs>
          <w:tab w:leader="none" w:pos="1300" w:val="left"/>
        </w:tabs>
        <w:numPr>
          <w:ilvl w:val="1"/>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300" w:right="260" w:hanging="522"/>
        <w:spacing w:after="0" w:line="266" w:lineRule="auto"/>
        <w:tabs>
          <w:tab w:leader="none" w:pos="130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780" w:right="60" w:hanging="515"/>
        <w:spacing w:after="0" w:line="282" w:lineRule="auto"/>
        <w:tabs>
          <w:tab w:leader="none" w:pos="7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40" w:hanging="522"/>
        <w:spacing w:after="0" w:line="282" w:lineRule="auto"/>
        <w:tabs>
          <w:tab w:leader="none" w:pos="130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40" w:hanging="522"/>
        <w:spacing w:after="0" w:line="282" w:lineRule="auto"/>
        <w:tabs>
          <w:tab w:leader="none" w:pos="130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2019</w:t>
      </w:r>
    </w:p>
    <w:p>
      <w:pPr>
        <w:spacing w:after="0" w:line="22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IMMONDS</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-130810</wp:posOffset>
            </wp:positionV>
            <wp:extent cx="30187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1">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334" w:right="2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TPG Specialty Lending, Inc. (the “Company”) for the annual period ended December 31, 2018,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2" w:lineRule="exact"/>
        <w:rPr>
          <w:sz w:val="20"/>
          <w:szCs w:val="20"/>
          <w:color w:val="auto"/>
        </w:rPr>
      </w:pPr>
    </w:p>
    <w:p>
      <w:pPr>
        <w:ind w:left="780" w:hanging="515"/>
        <w:spacing w:after="0"/>
        <w:tabs>
          <w:tab w:leader="none" w:pos="7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7" w:lineRule="exact"/>
        <w:rPr>
          <w:rFonts w:ascii="Times New Roman" w:cs="Times New Roman" w:eastAsia="Times New Roman" w:hAnsi="Times New Roman"/>
          <w:sz w:val="18"/>
          <w:szCs w:val="18"/>
          <w:color w:val="auto"/>
        </w:rPr>
      </w:pPr>
    </w:p>
    <w:p>
      <w:pPr>
        <w:ind w:left="780" w:hanging="515"/>
        <w:spacing w:after="0"/>
        <w:tabs>
          <w:tab w:leader="none" w:pos="7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3"/>
          <w:szCs w:val="13"/>
          <w:color w:val="auto"/>
        </w:rPr>
        <w:t>OSHUA</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3"/>
          <w:szCs w:val="13"/>
          <w:color w:val="auto"/>
        </w:rPr>
        <w:t>ASTERLY</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2019</w:t>
      </w:r>
    </w:p>
    <w:p>
      <w:pPr>
        <w:spacing w:after="0" w:line="27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IMMONDS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2019</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3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F819E7F"/>
    <w:multiLevelType w:val="hybridMultilevel"/>
    <w:lvl w:ilvl="0">
      <w:lvlJc w:val="left"/>
      <w:lvlText w:val="☒"/>
      <w:numFmt w:val="bullet"/>
      <w:start w:val="1"/>
    </w:lvl>
  </w:abstractNum>
  <w:abstractNum w:abstractNumId="1">
    <w:nsid w:val="57C7D42D"/>
    <w:multiLevelType w:val="hybridMultilevel"/>
    <w:lvl w:ilvl="0">
      <w:lvlJc w:val="left"/>
      <w:lvlText w:val="☐"/>
      <w:numFmt w:val="bullet"/>
      <w:start w:val="1"/>
    </w:lvl>
  </w:abstractNum>
  <w:abstractNum w:abstractNumId="2">
    <w:nsid w:val="312167AD"/>
    <w:multiLevelType w:val="hybridMultilevel"/>
    <w:lvl w:ilvl="0">
      <w:lvlJc w:val="left"/>
      <w:lvlText w:val="•"/>
      <w:numFmt w:val="bullet"/>
      <w:start w:val="1"/>
    </w:lvl>
  </w:abstractNum>
  <w:abstractNum w:abstractNumId="3">
    <w:nsid w:val="631B64D4"/>
    <w:multiLevelType w:val="hybridMultilevel"/>
    <w:lvl w:ilvl="0">
      <w:lvlJc w:val="left"/>
      <w:lvlText w:val="•"/>
      <w:numFmt w:val="bullet"/>
      <w:start w:val="1"/>
    </w:lvl>
  </w:abstractNum>
  <w:abstractNum w:abstractNumId="4">
    <w:nsid w:val="78B5E776"/>
    <w:multiLevelType w:val="hybridMultilevel"/>
    <w:lvl w:ilvl="0">
      <w:lvlJc w:val="left"/>
      <w:lvlText w:val="•"/>
      <w:numFmt w:val="bullet"/>
      <w:start w:val="1"/>
    </w:lvl>
  </w:abstractNum>
  <w:abstractNum w:abstractNumId="5">
    <w:nsid w:val="75486E47"/>
    <w:multiLevelType w:val="hybridMultilevel"/>
    <w:lvl w:ilvl="0">
      <w:lvlJc w:val="left"/>
      <w:lvlText w:val="•"/>
      <w:numFmt w:val="bullet"/>
      <w:start w:val="1"/>
    </w:lvl>
  </w:abstractNum>
  <w:abstractNum w:abstractNumId="6">
    <w:nsid w:val="6E534CDE"/>
    <w:multiLevelType w:val="hybridMultilevel"/>
    <w:lvl w:ilvl="0">
      <w:lvlJc w:val="left"/>
      <w:lvlText w:val="•"/>
      <w:numFmt w:val="bullet"/>
      <w:start w:val="1"/>
    </w:lvl>
  </w:abstractNum>
  <w:abstractNum w:abstractNumId="7">
    <w:nsid w:val="1A0DDE32"/>
    <w:multiLevelType w:val="hybridMultilevel"/>
    <w:lvl w:ilvl="0">
      <w:lvlJc w:val="left"/>
      <w:lvlText w:val="•"/>
      <w:numFmt w:val="bullet"/>
      <w:start w:val="1"/>
    </w:lvl>
  </w:abstractNum>
  <w:abstractNum w:abstractNumId="8">
    <w:nsid w:val="65968C1C"/>
    <w:multiLevelType w:val="hybridMultilevel"/>
    <w:lvl w:ilvl="0">
      <w:lvlJc w:val="left"/>
      <w:lvlText w:val="•"/>
      <w:numFmt w:val="bullet"/>
      <w:start w:val="1"/>
    </w:lvl>
  </w:abstractNum>
  <w:abstractNum w:abstractNumId="9">
    <w:nsid w:val="46263DEC"/>
    <w:multiLevelType w:val="hybridMultilevel"/>
    <w:lvl w:ilvl="0">
      <w:lvlJc w:val="left"/>
      <w:lvlText w:val="•"/>
      <w:numFmt w:val="bullet"/>
      <w:start w:val="1"/>
    </w:lvl>
  </w:abstractNum>
  <w:abstractNum w:abstractNumId="10">
    <w:nsid w:val="260D8C4A"/>
    <w:multiLevelType w:val="hybridMultilevel"/>
    <w:lvl w:ilvl="0">
      <w:lvlJc w:val="left"/>
      <w:lvlText w:val="•"/>
      <w:numFmt w:val="bullet"/>
      <w:start w:val="1"/>
    </w:lvl>
  </w:abstractNum>
  <w:abstractNum w:abstractNumId="11">
    <w:nsid w:val="73D4D3C4"/>
    <w:multiLevelType w:val="hybridMultilevel"/>
    <w:lvl w:ilvl="0">
      <w:lvlJc w:val="left"/>
      <w:lvlText w:val="•"/>
      <w:numFmt w:val="bullet"/>
      <w:start w:val="1"/>
    </w:lvl>
  </w:abstractNum>
  <w:abstractNum w:abstractNumId="12">
    <w:nsid w:val="746F2E30"/>
    <w:multiLevelType w:val="hybridMultilevel"/>
    <w:lvl w:ilvl="0">
      <w:lvlJc w:val="left"/>
      <w:lvlText w:val="•"/>
      <w:numFmt w:val="bullet"/>
      <w:start w:val="1"/>
    </w:lvl>
  </w:abstractNum>
  <w:abstractNum w:abstractNumId="13">
    <w:nsid w:val="6FDE8AF6"/>
    <w:multiLevelType w:val="hybridMultilevel"/>
    <w:lvl w:ilvl="0">
      <w:lvlJc w:val="left"/>
      <w:lvlText w:val="(%1)"/>
      <w:numFmt w:val="decimal"/>
      <w:start w:val="1"/>
    </w:lvl>
  </w:abstractNum>
  <w:abstractNum w:abstractNumId="14">
    <w:nsid w:val="3FC32E20"/>
    <w:multiLevelType w:val="hybridMultilevel"/>
    <w:lvl w:ilvl="0">
      <w:lvlJc w:val="left"/>
      <w:lvlText w:val="(%1)"/>
      <w:numFmt w:val="decimal"/>
      <w:start w:val="1"/>
    </w:lvl>
  </w:abstractNum>
  <w:abstractNum w:abstractNumId="15">
    <w:nsid w:val="49C0E823"/>
    <w:multiLevelType w:val="hybridMultilevel"/>
    <w:lvl w:ilvl="0">
      <w:lvlJc w:val="left"/>
      <w:lvlText w:val="(%1)"/>
      <w:numFmt w:val="decimal"/>
      <w:start w:val="1"/>
    </w:lvl>
  </w:abstractNum>
  <w:abstractNum w:abstractNumId="16">
    <w:nsid w:val="14D53685"/>
    <w:multiLevelType w:val="hybridMultilevel"/>
    <w:lvl w:ilvl="0">
      <w:lvlJc w:val="left"/>
      <w:lvlText w:val="•"/>
      <w:numFmt w:val="bullet"/>
      <w:start w:val="1"/>
    </w:lvl>
  </w:abstractNum>
  <w:abstractNum w:abstractNumId="17">
    <w:nsid w:val="230F856C"/>
    <w:multiLevelType w:val="hybridMultilevel"/>
    <w:lvl w:ilvl="0">
      <w:lvlJc w:val="left"/>
      <w:lvlText w:val="•"/>
      <w:numFmt w:val="bullet"/>
      <w:start w:val="1"/>
    </w:lvl>
  </w:abstractNum>
  <w:abstractNum w:abstractNumId="18">
    <w:nsid w:val="6EAA85FB"/>
    <w:multiLevelType w:val="hybridMultilevel"/>
    <w:lvl w:ilvl="0">
      <w:lvlJc w:val="left"/>
      <w:lvlText w:val="(%1)"/>
      <w:numFmt w:val="lowerRoman"/>
      <w:start w:val="1"/>
    </w:lvl>
  </w:abstractNum>
  <w:abstractNum w:abstractNumId="19">
    <w:nsid w:val="3F06ECB2"/>
    <w:multiLevelType w:val="hybridMultilevel"/>
    <w:lvl w:ilvl="0">
      <w:lvlJc w:val="left"/>
      <w:lvlText w:val="="/>
      <w:numFmt w:val="bullet"/>
      <w:start w:val="1"/>
    </w:lvl>
  </w:abstractNum>
  <w:abstractNum w:abstractNumId="20">
    <w:nsid w:val="3B594807"/>
    <w:multiLevelType w:val="hybridMultilevel"/>
    <w:lvl w:ilvl="0">
      <w:lvlJc w:val="left"/>
      <w:lvlText w:val="(%1)"/>
      <w:numFmt w:val="decimal"/>
    </w:lvl>
    <w:lvl w:ilvl="1">
      <w:lvlJc w:val="left"/>
      <w:lvlText w:val="="/>
      <w:numFmt w:val="bullet"/>
      <w:start w:val="1"/>
    </w:lvl>
  </w:abstractNum>
  <w:abstractNum w:abstractNumId="21">
    <w:nsid w:val="6CAA2304"/>
    <w:multiLevelType w:val="hybridMultilevel"/>
    <w:lvl w:ilvl="0">
      <w:lvlJc w:val="left"/>
      <w:lvlText w:val="(*)"/>
      <w:numFmt w:val="bullet"/>
      <w:start w:val="1"/>
    </w:lvl>
  </w:abstractNum>
  <w:abstractNum w:abstractNumId="22">
    <w:nsid w:val="3F7C2FF4"/>
    <w:multiLevelType w:val="hybridMultilevel"/>
    <w:lvl w:ilvl="0">
      <w:lvlJc w:val="left"/>
      <w:lvlText w:val="•"/>
      <w:numFmt w:val="bullet"/>
      <w:start w:val="1"/>
    </w:lvl>
  </w:abstractNum>
  <w:abstractNum w:abstractNumId="23">
    <w:nsid w:val="25413BEC"/>
    <w:multiLevelType w:val="hybridMultilevel"/>
    <w:lvl w:ilvl="0">
      <w:lvlJc w:val="left"/>
      <w:lvlText w:val="•"/>
      <w:numFmt w:val="bullet"/>
      <w:start w:val="1"/>
    </w:lvl>
  </w:abstractNum>
  <w:abstractNum w:abstractNumId="24">
    <w:nsid w:val="17180B0B"/>
    <w:multiLevelType w:val="hybridMultilevel"/>
    <w:lvl w:ilvl="0">
      <w:lvlJc w:val="left"/>
      <w:lvlText w:val="•"/>
      <w:numFmt w:val="bullet"/>
      <w:start w:val="1"/>
    </w:lvl>
  </w:abstractNum>
  <w:abstractNum w:abstractNumId="25">
    <w:nsid w:val="579328B9"/>
    <w:multiLevelType w:val="hybridMultilevel"/>
    <w:lvl w:ilvl="0">
      <w:lvlJc w:val="left"/>
      <w:lvlText w:val="•"/>
      <w:numFmt w:val="bullet"/>
      <w:start w:val="1"/>
    </w:lvl>
  </w:abstractNum>
  <w:abstractNum w:abstractNumId="26">
    <w:nsid w:val="5D205E20"/>
    <w:multiLevelType w:val="hybridMultilevel"/>
    <w:lvl w:ilvl="0">
      <w:lvlJc w:val="left"/>
      <w:lvlText w:val="•"/>
      <w:numFmt w:val="bullet"/>
      <w:start w:val="1"/>
    </w:lvl>
  </w:abstractNum>
  <w:abstractNum w:abstractNumId="27">
    <w:nsid w:val="11CCA8BA"/>
    <w:multiLevelType w:val="hybridMultilevel"/>
    <w:lvl w:ilvl="0">
      <w:lvlJc w:val="left"/>
      <w:lvlText w:val="•"/>
      <w:numFmt w:val="bullet"/>
      <w:start w:val="1"/>
    </w:lvl>
  </w:abstractNum>
  <w:abstractNum w:abstractNumId="28">
    <w:nsid w:val="4D32AB86"/>
    <w:multiLevelType w:val="hybridMultilevel"/>
    <w:lvl w:ilvl="0">
      <w:lvlJc w:val="left"/>
      <w:lvlText w:val="•"/>
      <w:numFmt w:val="bullet"/>
      <w:start w:val="1"/>
    </w:lvl>
  </w:abstractNum>
  <w:abstractNum w:abstractNumId="29">
    <w:nsid w:val="3F07ACC3"/>
    <w:multiLevelType w:val="hybridMultilevel"/>
    <w:lvl w:ilvl="0">
      <w:lvlJc w:val="left"/>
      <w:lvlText w:val="•"/>
      <w:numFmt w:val="bullet"/>
      <w:start w:val="1"/>
    </w:lvl>
  </w:abstractNum>
  <w:abstractNum w:abstractNumId="30">
    <w:nsid w:val="6B47F63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1">
    <w:nsid w:val="5CB44A05"/>
    <w:multiLevelType w:val="hybridMultilevel"/>
    <w:lvl w:ilvl="0">
      <w:lvlJc w:val="left"/>
      <w:lvlText w:val="•"/>
      <w:numFmt w:val="bullet"/>
      <w:start w:val="1"/>
    </w:lvl>
  </w:abstractNum>
  <w:abstractNum w:abstractNumId="32">
    <w:nsid w:val="16CF80F1"/>
    <w:multiLevelType w:val="hybridMultilevel"/>
    <w:lvl w:ilvl="0">
      <w:lvlJc w:val="left"/>
      <w:lvlText w:val="•"/>
      <w:numFmt w:val="bullet"/>
      <w:start w:val="1"/>
    </w:lvl>
    <w:lvl w:ilvl="1">
      <w:lvlJc w:val="left"/>
      <w:lvlText w:val="•"/>
      <w:numFmt w:val="bullet"/>
      <w:start w:val="1"/>
    </w:lvl>
  </w:abstractNum>
  <w:abstractNum w:abstractNumId="33">
    <w:nsid w:val="1C695DEC"/>
    <w:multiLevelType w:val="hybridMultilevel"/>
    <w:lvl w:ilvl="0">
      <w:lvlJc w:val="left"/>
      <w:lvlText w:val="•"/>
      <w:numFmt w:val="bullet"/>
      <w:start w:val="1"/>
    </w:lvl>
  </w:abstractNum>
  <w:abstractNum w:abstractNumId="34">
    <w:nsid w:val="3FCFAED9"/>
    <w:multiLevelType w:val="hybridMultilevel"/>
    <w:lvl w:ilvl="0">
      <w:lvlJc w:val="left"/>
      <w:lvlText w:val="•"/>
      <w:numFmt w:val="bullet"/>
      <w:start w:val="1"/>
    </w:lvl>
  </w:abstractNum>
  <w:abstractNum w:abstractNumId="35">
    <w:nsid w:val="F856867"/>
    <w:multiLevelType w:val="hybridMultilevel"/>
    <w:lvl w:ilvl="0">
      <w:lvlJc w:val="left"/>
      <w:lvlText w:val="(%1)"/>
      <w:numFmt w:val="decimal"/>
      <w:start w:val="1"/>
    </w:lvl>
  </w:abstractNum>
  <w:abstractNum w:abstractNumId="36">
    <w:nsid w:val="11B1CC33"/>
    <w:multiLevelType w:val="hybridMultilevel"/>
    <w:lvl w:ilvl="0">
      <w:lvlJc w:val="left"/>
      <w:lvlText w:val="•"/>
      <w:numFmt w:val="bullet"/>
      <w:start w:val="1"/>
    </w:lvl>
  </w:abstractNum>
  <w:abstractNum w:abstractNumId="37">
    <w:nsid w:val="2E22FBB7"/>
    <w:multiLevelType w:val="hybridMultilevel"/>
    <w:lvl w:ilvl="0">
      <w:lvlJc w:val="left"/>
      <w:lvlText w:val="•"/>
      <w:numFmt w:val="bullet"/>
      <w:start w:val="1"/>
    </w:lvl>
  </w:abstractNum>
  <w:abstractNum w:abstractNumId="38">
    <w:nsid w:val="29934699"/>
    <w:multiLevelType w:val="hybridMultilevel"/>
    <w:lvl w:ilvl="0">
      <w:lvlJc w:val="left"/>
      <w:lvlText w:val="•"/>
      <w:numFmt w:val="bullet"/>
      <w:start w:val="1"/>
    </w:lvl>
  </w:abstractNum>
  <w:abstractNum w:abstractNumId="39">
    <w:nsid w:val="77485850"/>
    <w:multiLevelType w:val="hybridMultilevel"/>
    <w:lvl w:ilvl="0">
      <w:lvlJc w:val="left"/>
      <w:lvlText w:val="•"/>
      <w:numFmt w:val="bullet"/>
      <w:start w:val="1"/>
    </w:lvl>
  </w:abstractNum>
  <w:abstractNum w:abstractNumId="40">
    <w:nsid w:val="744939A3"/>
    <w:multiLevelType w:val="hybridMultilevel"/>
    <w:lvl w:ilvl="0">
      <w:lvlJc w:val="left"/>
      <w:lvlText w:val="•"/>
      <w:numFmt w:val="bullet"/>
      <w:start w:val="1"/>
    </w:lvl>
  </w:abstractNum>
  <w:abstractNum w:abstractNumId="41">
    <w:nsid w:val="4FA0D2E3"/>
    <w:multiLevelType w:val="hybridMultilevel"/>
    <w:lvl w:ilvl="0">
      <w:lvlJc w:val="left"/>
      <w:lvlText w:val="•"/>
      <w:numFmt w:val="bullet"/>
      <w:start w:val="1"/>
    </w:lvl>
  </w:abstractNum>
  <w:abstractNum w:abstractNumId="42">
    <w:nsid w:val="6B1D2C14"/>
    <w:multiLevelType w:val="hybridMultilevel"/>
    <w:lvl w:ilvl="0">
      <w:lvlJc w:val="left"/>
      <w:lvlText w:val="•"/>
      <w:numFmt w:val="bullet"/>
      <w:start w:val="1"/>
    </w:lvl>
  </w:abstractNum>
  <w:abstractNum w:abstractNumId="43">
    <w:nsid w:val="68B867D3"/>
    <w:multiLevelType w:val="hybridMultilevel"/>
    <w:lvl w:ilvl="0">
      <w:lvlJc w:val="left"/>
      <w:lvlText w:val="•"/>
      <w:numFmt w:val="bullet"/>
      <w:start w:val="1"/>
    </w:lvl>
  </w:abstractNum>
  <w:abstractNum w:abstractNumId="44">
    <w:nsid w:val="3F7F5DD9"/>
    <w:multiLevelType w:val="hybridMultilevel"/>
    <w:lvl w:ilvl="0">
      <w:lvlJc w:val="left"/>
      <w:lvlText w:val="•"/>
      <w:numFmt w:val="bullet"/>
      <w:start w:val="1"/>
    </w:lvl>
  </w:abstractNum>
  <w:abstractNum w:abstractNumId="45">
    <w:nsid w:val="2AE05A34"/>
    <w:multiLevelType w:val="hybridMultilevel"/>
    <w:lvl w:ilvl="0">
      <w:lvlJc w:val="left"/>
      <w:lvlText w:val="(%1)"/>
      <w:numFmt w:val="decimal"/>
      <w:start w:val="1"/>
    </w:lvl>
  </w:abstractNum>
  <w:abstractNum w:abstractNumId="46">
    <w:nsid w:val="32794FF7"/>
    <w:multiLevelType w:val="hybridMultilevel"/>
    <w:lvl w:ilvl="0">
      <w:lvlJc w:val="left"/>
      <w:lvlText w:val="•"/>
      <w:numFmt w:val="bullet"/>
      <w:start w:val="1"/>
    </w:lvl>
  </w:abstractNum>
  <w:abstractNum w:abstractNumId="47">
    <w:nsid w:val="5454945E"/>
    <w:multiLevelType w:val="hybridMultilevel"/>
    <w:lvl w:ilvl="0">
      <w:lvlJc w:val="left"/>
      <w:lvlText w:val="•"/>
      <w:numFmt w:val="bullet"/>
      <w:start w:val="1"/>
    </w:lvl>
  </w:abstractNum>
  <w:abstractNum w:abstractNumId="48">
    <w:nsid w:val="4DEFDFA0"/>
    <w:multiLevelType w:val="hybridMultilevel"/>
    <w:lvl w:ilvl="0">
      <w:lvlJc w:val="left"/>
      <w:lvlText w:val="•"/>
      <w:numFmt w:val="bullet"/>
      <w:start w:val="1"/>
    </w:lvl>
  </w:abstractNum>
  <w:abstractNum w:abstractNumId="49">
    <w:nsid w:val="2123D5F2"/>
    <w:multiLevelType w:val="hybridMultilevel"/>
    <w:lvl w:ilvl="0">
      <w:lvlJc w:val="left"/>
      <w:lvlText w:val="(%1)"/>
      <w:numFmt w:val="decimal"/>
      <w:start w:val="1"/>
    </w:lvl>
  </w:abstractNum>
  <w:abstractNum w:abstractNumId="50">
    <w:nsid w:val="135B8110"/>
    <w:multiLevelType w:val="hybridMultilevel"/>
    <w:lvl w:ilvl="0">
      <w:lvlJc w:val="left"/>
      <w:lvlText w:val="(%1)"/>
      <w:numFmt w:val="decimal"/>
      <w:start w:val="1"/>
    </w:lvl>
  </w:abstractNum>
  <w:abstractNum w:abstractNumId="51">
    <w:nsid w:val="94927A8"/>
    <w:multiLevelType w:val="hybridMultilevel"/>
    <w:lvl w:ilvl="0">
      <w:lvlJc w:val="left"/>
      <w:lvlText w:val="(%1)"/>
      <w:numFmt w:val="decimal"/>
      <w:start w:val="1"/>
    </w:lvl>
  </w:abstractNum>
  <w:abstractNum w:abstractNumId="52">
    <w:nsid w:val="DCDF8F6"/>
    <w:multiLevelType w:val="hybridMultilevel"/>
    <w:lvl w:ilvl="0">
      <w:lvlJc w:val="left"/>
      <w:lvlText w:val="•"/>
      <w:numFmt w:val="bullet"/>
      <w:start w:val="1"/>
    </w:lvl>
  </w:abstractNum>
  <w:abstractNum w:abstractNumId="53">
    <w:nsid w:val="52D7B105"/>
    <w:multiLevelType w:val="hybridMultilevel"/>
    <w:lvl w:ilvl="0">
      <w:lvlJc w:val="left"/>
      <w:lvlText w:val="•"/>
      <w:numFmt w:val="bullet"/>
      <w:start w:val="1"/>
    </w:lvl>
  </w:abstractNum>
  <w:abstractNum w:abstractNumId="54">
    <w:nsid w:val="2E8A6394"/>
    <w:multiLevelType w:val="hybridMultilevel"/>
    <w:lvl w:ilvl="0">
      <w:lvlJc w:val="left"/>
      <w:lvlText w:val="•"/>
      <w:numFmt w:val="bullet"/>
      <w:start w:val="1"/>
    </w:lvl>
  </w:abstractNum>
  <w:abstractNum w:abstractNumId="55">
    <w:nsid w:val="24E60401"/>
    <w:multiLevelType w:val="hybridMultilevel"/>
    <w:lvl w:ilvl="0">
      <w:lvlJc w:val="left"/>
      <w:lvlText w:val="•"/>
      <w:numFmt w:val="bullet"/>
      <w:start w:val="1"/>
    </w:lvl>
  </w:abstractNum>
  <w:abstractNum w:abstractNumId="56">
    <w:nsid w:val="2A6AD9BE"/>
    <w:multiLevelType w:val="hybridMultilevel"/>
    <w:lvl w:ilvl="0">
      <w:lvlJc w:val="left"/>
      <w:lvlText w:val="(%1)"/>
      <w:numFmt w:val="decimal"/>
      <w:start w:val="1"/>
    </w:lvl>
  </w:abstractNum>
  <w:abstractNum w:abstractNumId="57">
    <w:nsid w:val="BAAC1B4"/>
    <w:multiLevelType w:val="hybridMultilevel"/>
    <w:lvl w:ilvl="0">
      <w:lvlJc w:val="left"/>
      <w:lvlText w:val="(%1)"/>
      <w:numFmt w:val="decimal"/>
      <w:start w:val="1"/>
    </w:lvl>
  </w:abstractNum>
  <w:abstractNum w:abstractNumId="58">
    <w:nsid w:val="36B2ACBC"/>
    <w:multiLevelType w:val="hybridMultilevel"/>
    <w:lvl w:ilvl="0">
      <w:lvlJc w:val="left"/>
      <w:lvlText w:val="•"/>
      <w:numFmt w:val="bullet"/>
      <w:start w:val="1"/>
    </w:lvl>
  </w:abstractNum>
  <w:abstractNum w:abstractNumId="59">
    <w:nsid w:val="779D8544"/>
    <w:multiLevelType w:val="hybridMultilevel"/>
    <w:lvl w:ilvl="0">
      <w:lvlJc w:val="left"/>
      <w:lvlText w:val="•"/>
      <w:numFmt w:val="bullet"/>
      <w:start w:val="1"/>
    </w:lvl>
  </w:abstractNum>
  <w:abstractNum w:abstractNumId="60">
    <w:nsid w:val="4AB26E78"/>
    <w:multiLevelType w:val="hybridMultilevel"/>
    <w:lvl w:ilvl="0">
      <w:lvlJc w:val="left"/>
      <w:lvlText w:val="•"/>
      <w:numFmt w:val="bullet"/>
      <w:start w:val="1"/>
    </w:lvl>
  </w:abstractNum>
  <w:abstractNum w:abstractNumId="61">
    <w:nsid w:val="21FAA2FA"/>
    <w:multiLevelType w:val="hybridMultilevel"/>
    <w:lvl w:ilvl="0">
      <w:lvlJc w:val="left"/>
      <w:lvlText w:val="•"/>
      <w:numFmt w:val="bullet"/>
      <w:start w:val="1"/>
    </w:lvl>
  </w:abstractNum>
  <w:abstractNum w:abstractNumId="62">
    <w:nsid w:val="5451CF49"/>
    <w:multiLevelType w:val="hybridMultilevel"/>
    <w:lvl w:ilvl="0">
      <w:lvlJc w:val="left"/>
      <w:lvlText w:val="•"/>
      <w:numFmt w:val="bullet"/>
      <w:start w:val="1"/>
    </w:lvl>
  </w:abstractNum>
  <w:abstractNum w:abstractNumId="63">
    <w:nsid w:val="6181EF69"/>
    <w:multiLevelType w:val="hybridMultilevel"/>
    <w:lvl w:ilvl="0">
      <w:lvlJc w:val="left"/>
      <w:lvlText w:val="•"/>
      <w:numFmt w:val="bullet"/>
      <w:start w:val="1"/>
    </w:lvl>
  </w:abstractNum>
  <w:abstractNum w:abstractNumId="64">
    <w:nsid w:val="3E6400E6"/>
    <w:multiLevelType w:val="hybridMultilevel"/>
    <w:lvl w:ilvl="0">
      <w:lvlJc w:val="left"/>
      <w:lvlText w:val="•"/>
      <w:numFmt w:val="bullet"/>
      <w:start w:val="1"/>
    </w:lvl>
  </w:abstractNum>
  <w:abstractNum w:abstractNumId="65">
    <w:nsid w:val="14217E23"/>
    <w:multiLevelType w:val="hybridMultilevel"/>
    <w:lvl w:ilvl="0">
      <w:lvlJc w:val="left"/>
      <w:lvlText w:val="%1"/>
      <w:numFmt w:val="decimal"/>
      <w:start w:val="1"/>
    </w:lvl>
    <w:lvl w:ilvl="1">
      <w:lvlJc w:val="left"/>
      <w:lvlText w:val="(%2)"/>
      <w:numFmt w:val="lowerLetter"/>
      <w:start w:val="1"/>
    </w:lvl>
  </w:abstractNum>
  <w:abstractNum w:abstractNumId="66">
    <w:nsid w:val="710757D0"/>
    <w:multiLevelType w:val="hybridMultilevel"/>
    <w:lvl w:ilvl="0">
      <w:lvlJc w:val="left"/>
      <w:lvlText w:val="(%1)"/>
      <w:numFmt w:val="decimal"/>
      <w:start w:val="1"/>
    </w:lvl>
    <w:lvl w:ilvl="1">
      <w:lvlJc w:val="left"/>
      <w:lvlText w:val="%2"/>
      <w:numFmt w:val="lowerLetter"/>
      <w:start w:val="1"/>
    </w:lvl>
  </w:abstractNum>
  <w:abstractNum w:abstractNumId="67">
    <w:nsid w:val="5015CD1A"/>
    <w:multiLevelType w:val="hybridMultilevel"/>
    <w:lvl w:ilvl="0">
      <w:lvlJc w:val="left"/>
      <w:lvlText w:val="%1"/>
      <w:numFmt w:val="decimal"/>
      <w:start w:val="1"/>
    </w:lvl>
    <w:lvl w:ilvl="1">
      <w:lvlJc w:val="left"/>
      <w:lvlText w:val="(%2)"/>
      <w:numFmt w:val="lowerLetter"/>
      <w:start w:val="1"/>
    </w:lvl>
  </w:abstractNum>
  <w:abstractNum w:abstractNumId="68">
    <w:nsid w:val="424479DA"/>
    <w:multiLevelType w:val="hybridMultilevel"/>
    <w:lvl w:ilvl="0">
      <w:lvlJc w:val="left"/>
      <w:lvlText w:val="(%1)"/>
      <w:numFmt w:val="decimal"/>
      <w:start w:val="7"/>
    </w:lvl>
    <w:lvl w:ilvl="1">
      <w:lvlJc w:val="left"/>
      <w:lvlText w:val="%2"/>
      <w:numFmt w:val="lowerLetter"/>
      <w:start w:val="1"/>
    </w:lvl>
  </w:abstractNum>
  <w:abstractNum w:abstractNumId="69">
    <w:nsid w:val="1A9A9E69"/>
    <w:multiLevelType w:val="hybridMultilevel"/>
    <w:lvl w:ilvl="0">
      <w:lvlJc w:val="left"/>
      <w:lvlText w:val="%1"/>
      <w:numFmt w:val="decimal"/>
      <w:start w:val="1"/>
    </w:lvl>
    <w:lvl w:ilvl="1">
      <w:lvlJc w:val="left"/>
      <w:lvlText w:val="(%2)"/>
      <w:numFmt w:val="lowerLetter"/>
      <w:start w:val="1"/>
    </w:lvl>
  </w:abstractNum>
  <w:abstractNum w:abstractNumId="70">
    <w:nsid w:val="475E256A"/>
    <w:multiLevelType w:val="hybridMultilevel"/>
    <w:lvl w:ilvl="0">
      <w:lvlJc w:val="left"/>
      <w:lvlText w:val="(%1)"/>
      <w:numFmt w:val="decimal"/>
      <w:start w:val="8"/>
    </w:lvl>
    <w:lvl w:ilvl="1">
      <w:lvlJc w:val="left"/>
      <w:lvlText w:val="%2"/>
      <w:numFmt w:val="lowerLetter"/>
      <w:start w:val="1"/>
    </w:lvl>
  </w:abstractNum>
  <w:abstractNum w:abstractNumId="71">
    <w:nsid w:val="368DB37E"/>
    <w:multiLevelType w:val="hybridMultilevel"/>
    <w:lvl w:ilvl="0">
      <w:lvlJc w:val="left"/>
      <w:lvlText w:val="%1"/>
      <w:numFmt w:val="decimal"/>
      <w:start w:val="1"/>
    </w:lvl>
    <w:lvl w:ilvl="1">
      <w:lvlJc w:val="left"/>
      <w:lvlText w:val="(%2)"/>
      <w:numFmt w:val="lowerLetter"/>
      <w:start w:val="1"/>
    </w:lvl>
  </w:abstractNum>
  <w:abstractNum w:abstractNumId="72">
    <w:nsid w:val="6A3B714C"/>
    <w:multiLevelType w:val="hybridMultilevel"/>
    <w:lvl w:ilvl="0">
      <w:lvlJc w:val="left"/>
      <w:lvlText w:val="(%1)"/>
      <w:numFmt w:val="decimal"/>
      <w:start w:val="1"/>
    </w:lvl>
    <w:lvl w:ilvl="1">
      <w:lvlJc w:val="left"/>
      <w:lvlText w:val="%2"/>
      <w:numFmt w:val="lowerLetter"/>
      <w:start w:val="1"/>
    </w:lvl>
  </w:abstractNum>
  <w:abstractNum w:abstractNumId="73">
    <w:nsid w:val="327B517E"/>
    <w:multiLevelType w:val="hybridMultilevel"/>
    <w:lvl w:ilvl="0">
      <w:lvlJc w:val="left"/>
      <w:lvlText w:val="%1"/>
      <w:numFmt w:val="decimal"/>
      <w:start w:val="1"/>
    </w:lvl>
    <w:lvl w:ilvl="1">
      <w:lvlJc w:val="left"/>
      <w:lvlText w:val="(%2)"/>
      <w:numFmt w:val="lowerLetter"/>
      <w:start w:val="1"/>
    </w:lvl>
  </w:abstractNum>
  <w:abstractNum w:abstractNumId="74">
    <w:nsid w:val="1F461B51"/>
    <w:multiLevelType w:val="hybridMultilevel"/>
    <w:lvl w:ilvl="0">
      <w:lvlJc w:val="left"/>
      <w:lvlText w:val="(%1)"/>
      <w:numFmt w:val="decimal"/>
      <w:start w:val="7"/>
    </w:lvl>
    <w:lvl w:ilvl="1">
      <w:lvlJc w:val="left"/>
      <w:lvlText w:val="%2"/>
      <w:numFmt w:val="lowerLetter"/>
      <w:start w:val="1"/>
    </w:lvl>
  </w:abstractNum>
  <w:abstractNum w:abstractNumId="75">
    <w:nsid w:val="29BACF25"/>
    <w:multiLevelType w:val="hybridMultilevel"/>
    <w:lvl w:ilvl="0">
      <w:lvlJc w:val="left"/>
      <w:lvlText w:val="(%1)"/>
      <w:numFmt w:val="decimal"/>
      <w:start w:val="10"/>
    </w:lvl>
  </w:abstractNum>
  <w:abstractNum w:abstractNumId="76">
    <w:nsid w:val="5D5BABB3"/>
    <w:multiLevelType w:val="hybridMultilevel"/>
    <w:lvl w:ilvl="0">
      <w:lvlJc w:val="left"/>
      <w:lvlText w:val="•"/>
      <w:numFmt w:val="bullet"/>
      <w:start w:val="1"/>
    </w:lvl>
  </w:abstractNum>
  <w:abstractNum w:abstractNumId="77">
    <w:nsid w:val="51BF6B48"/>
    <w:multiLevelType w:val="hybridMultilevel"/>
    <w:lvl w:ilvl="0">
      <w:lvlJc w:val="left"/>
      <w:lvlText w:val="•"/>
      <w:numFmt w:val="bullet"/>
      <w:start w:val="1"/>
    </w:lvl>
  </w:abstractNum>
  <w:abstractNum w:abstractNumId="78">
    <w:nsid w:val="7E0F6384"/>
    <w:multiLevelType w:val="hybridMultilevel"/>
    <w:lvl w:ilvl="0">
      <w:lvlJc w:val="left"/>
      <w:lvlText w:val="•"/>
      <w:numFmt w:val="bullet"/>
      <w:start w:val="1"/>
    </w:lvl>
  </w:abstractNum>
  <w:abstractNum w:abstractNumId="79">
    <w:nsid w:val="2B4B8B53"/>
    <w:multiLevelType w:val="hybridMultilevel"/>
    <w:lvl w:ilvl="0">
      <w:lvlJc w:val="left"/>
      <w:lvlText w:val="%1)"/>
      <w:numFmt w:val="decimal"/>
      <w:start w:val="3"/>
    </w:lvl>
  </w:abstractNum>
  <w:abstractNum w:abstractNumId="80">
    <w:nsid w:val="72E3413A"/>
    <w:multiLevelType w:val="hybridMultilevel"/>
    <w:lvl w:ilvl="0">
      <w:lvlJc w:val="left"/>
      <w:lvlText w:val="(%1)"/>
      <w:numFmt w:val="lowerRoman"/>
      <w:start w:val="1"/>
    </w:lvl>
  </w:abstractNum>
  <w:abstractNum w:abstractNumId="81">
    <w:nsid w:val="116AE494"/>
    <w:multiLevelType w:val="hybridMultilevel"/>
    <w:lvl w:ilvl="0">
      <w:lvlJc w:val="left"/>
      <w:lvlText w:val="(%1)"/>
      <w:numFmt w:val="decimal"/>
      <w:start w:val="1"/>
    </w:lvl>
  </w:abstractNum>
  <w:abstractNum w:abstractNumId="82">
    <w:nsid w:val="3494B2FB"/>
    <w:multiLevelType w:val="hybridMultilevel"/>
    <w:lvl w:ilvl="0">
      <w:lvlJc w:val="left"/>
      <w:lvlText w:val="(%1)"/>
      <w:numFmt w:val="decimal"/>
      <w:start w:val="1"/>
    </w:lvl>
  </w:abstractNum>
  <w:abstractNum w:abstractNumId="83">
    <w:nsid w:val="B13A31"/>
    <w:multiLevelType w:val="hybridMultilevel"/>
    <w:lvl w:ilvl="0">
      <w:lvlJc w:val="left"/>
      <w:lvlText w:val="(%1)"/>
      <w:numFmt w:val="decimal"/>
      <w:start w:val="1"/>
    </w:lvl>
  </w:abstractNum>
  <w:abstractNum w:abstractNumId="84">
    <w:nsid w:val="64429599"/>
    <w:multiLevelType w:val="hybridMultilevel"/>
    <w:lvl w:ilvl="0">
      <w:lvlJc w:val="left"/>
      <w:lvlText w:val="(%1)"/>
      <w:numFmt w:val="decimal"/>
      <w:start w:val="1"/>
    </w:lvl>
  </w:abstractNum>
  <w:abstractNum w:abstractNumId="85">
    <w:nsid w:val="631F1690"/>
    <w:multiLevelType w:val="hybridMultilevel"/>
    <w:lvl w:ilvl="0">
      <w:lvlJc w:val="left"/>
      <w:lvlText w:val="(%1)"/>
      <w:numFmt w:val="decimal"/>
      <w:start w:val="1"/>
    </w:lvl>
  </w:abstractNum>
  <w:abstractNum w:abstractNumId="86">
    <w:nsid w:val="25973E32"/>
    <w:multiLevelType w:val="hybridMultilevel"/>
    <w:lvl w:ilvl="0">
      <w:lvlJc w:val="left"/>
      <w:lvlText w:val="(%1)"/>
      <w:numFmt w:val="decimal"/>
      <w:start w:val="1"/>
    </w:lvl>
  </w:abstractNum>
  <w:abstractNum w:abstractNumId="87">
    <w:nsid w:val="EAD6F57"/>
    <w:multiLevelType w:val="hybridMultilevel"/>
    <w:lvl w:ilvl="0">
      <w:lvlJc w:val="left"/>
      <w:lvlText w:val="(%1)"/>
      <w:numFmt w:val="decimal"/>
      <w:start w:val="1"/>
    </w:lvl>
  </w:abstractNum>
  <w:abstractNum w:abstractNumId="88">
    <w:nsid w:val="6EC9D844"/>
    <w:multiLevelType w:val="hybridMultilevel"/>
    <w:lvl w:ilvl="0">
      <w:lvlJc w:val="left"/>
      <w:lvlText w:val="•"/>
      <w:numFmt w:val="bullet"/>
      <w:start w:val="1"/>
    </w:lvl>
  </w:abstractNum>
  <w:abstractNum w:abstractNumId="89">
    <w:nsid w:val="5C49EAEE"/>
    <w:multiLevelType w:val="hybridMultilevel"/>
    <w:lvl w:ilvl="0">
      <w:lvlJc w:val="left"/>
      <w:lvlText w:val="(%1)"/>
      <w:numFmt w:val="decimal"/>
      <w:start w:val="1"/>
    </w:lvl>
  </w:abstractNum>
  <w:abstractNum w:abstractNumId="90">
    <w:nsid w:val="64AF49B"/>
    <w:multiLevelType w:val="hybridMultilevel"/>
    <w:lvl w:ilvl="0">
      <w:lvlJc w:val="left"/>
      <w:lvlText w:val="%1."/>
      <w:numFmt w:val="decimal"/>
      <w:start w:val="10"/>
    </w:lvl>
  </w:abstractNum>
  <w:abstractNum w:abstractNumId="91">
    <w:nsid w:val="397C46BC"/>
    <w:multiLevelType w:val="hybridMultilevel"/>
    <w:lvl w:ilvl="0">
      <w:lvlJc w:val="left"/>
      <w:lvlText w:val="(%1)"/>
      <w:numFmt w:val="decimal"/>
      <w:start w:val="1"/>
    </w:lvl>
  </w:abstractNum>
  <w:abstractNum w:abstractNumId="92">
    <w:nsid w:val="7E448DE9"/>
    <w:multiLevelType w:val="hybridMultilevel"/>
    <w:lvl w:ilvl="0">
      <w:lvlJc w:val="left"/>
      <w:lvlText w:val="%1."/>
      <w:numFmt w:val="decimal"/>
      <w:start w:val="12"/>
    </w:lvl>
  </w:abstractNum>
  <w:abstractNum w:abstractNumId="93">
    <w:nsid w:val="5A9CC3E5"/>
    <w:multiLevelType w:val="hybridMultilevel"/>
    <w:lvl w:ilvl="0">
      <w:lvlJc w:val="left"/>
      <w:lvlText w:val="(%1)"/>
      <w:numFmt w:val="decimal"/>
      <w:start w:val="1"/>
    </w:lvl>
  </w:abstractNum>
  <w:abstractNum w:abstractNumId="94">
    <w:nsid w:val="1AFE3625"/>
    <w:multiLevelType w:val="hybridMultilevel"/>
    <w:lvl w:ilvl="0">
      <w:lvlJc w:val="left"/>
      <w:lvlText w:val="(%1)"/>
      <w:numFmt w:val="decimal"/>
      <w:start w:val="1"/>
    </w:lvl>
  </w:abstractNum>
  <w:abstractNum w:abstractNumId="95">
    <w:nsid w:val="3CA88ECF"/>
    <w:multiLevelType w:val="hybridMultilevel"/>
    <w:lvl w:ilvl="0">
      <w:lvlJc w:val="left"/>
      <w:lvlText w:val="(%1)"/>
      <w:numFmt w:val="decimal"/>
      <w:start w:val="1"/>
    </w:lvl>
  </w:abstractNum>
  <w:abstractNum w:abstractNumId="96">
    <w:nsid w:val="6EBE4208"/>
    <w:multiLevelType w:val="hybridMultilevel"/>
    <w:lvl w:ilvl="0">
      <w:lvlJc w:val="left"/>
      <w:lvlText w:val="(%1)"/>
      <w:numFmt w:val="decimal"/>
      <w:start w:val="1"/>
    </w:lvl>
  </w:abstractNum>
  <w:abstractNum w:abstractNumId="97">
    <w:nsid w:val="C058DF5"/>
    <w:multiLevelType w:val="hybridMultilevel"/>
    <w:lvl w:ilvl="0">
      <w:lvlJc w:val="left"/>
      <w:lvlText w:val="%1"/>
      <w:numFmt w:val="decimal"/>
      <w:start w:val="32"/>
    </w:lvl>
  </w:abstractNum>
  <w:abstractNum w:abstractNumId="98">
    <w:nsid w:val="CBE5BE9"/>
    <w:multiLevelType w:val="hybridMultilevel"/>
    <w:lvl w:ilvl="0">
      <w:lvlJc w:val="left"/>
      <w:lvlText w:val="(%1)"/>
      <w:numFmt w:val="lowerLetter"/>
      <w:start w:val="1"/>
    </w:lvl>
  </w:abstractNum>
  <w:abstractNum w:abstractNumId="99">
    <w:nsid w:val="3102BBE2"/>
    <w:multiLevelType w:val="hybridMultilevel"/>
    <w:lvl w:ilvl="0">
      <w:lvlJc w:val="left"/>
      <w:lvlText w:val="(%1)"/>
      <w:numFmt w:val="lowerLetter"/>
      <w:start w:val="2"/>
    </w:lvl>
  </w:abstractNum>
  <w:abstractNum w:abstractNumId="100">
    <w:nsid w:val="26A02C5E"/>
    <w:multiLevelType w:val="hybridMultilevel"/>
    <w:lvl w:ilvl="0">
      <w:lvlJc w:val="left"/>
      <w:lvlText w:val="(%1)"/>
      <w:numFmt w:val="lowerLetter"/>
      <w:start w:val="5"/>
    </w:lvl>
  </w:abstractNum>
  <w:abstractNum w:abstractNumId="101">
    <w:nsid w:val="541C8153"/>
    <w:multiLevelType w:val="hybridMultilevel"/>
    <w:lvl w:ilvl="0">
      <w:lvlJc w:val="left"/>
      <w:lvlText w:val="(%1)"/>
      <w:numFmt w:val="lowerRoman"/>
      <w:start w:val="3"/>
    </w:lvl>
  </w:abstractNum>
  <w:abstractNum w:abstractNumId="102">
    <w:nsid w:val="67906F60"/>
    <w:multiLevelType w:val="hybridMultilevel"/>
    <w:lvl w:ilvl="0">
      <w:lvlJc w:val="left"/>
      <w:lvlText w:val="(%1)"/>
      <w:numFmt w:val="lowerLetter"/>
      <w:start w:val="26"/>
    </w:lvl>
  </w:abstractNum>
  <w:abstractNum w:abstractNumId="103">
    <w:nsid w:val="10DB9DAA"/>
    <w:multiLevelType w:val="hybridMultilevel"/>
    <w:lvl w:ilvl="0">
      <w:lvlJc w:val="left"/>
      <w:lvlText w:val="(%1)"/>
      <w:numFmt w:val="lowerRoman"/>
      <w:start w:val="2"/>
    </w:lvl>
  </w:abstractNum>
  <w:abstractNum w:abstractNumId="104">
    <w:nsid w:val="697D2D2"/>
    <w:multiLevelType w:val="hybridMultilevel"/>
    <w:lvl w:ilvl="0">
      <w:lvlJc w:val="left"/>
      <w:lvlText w:val="(%1)"/>
      <w:numFmt w:val="lowerRoman"/>
      <w:start w:val="1"/>
    </w:lvl>
  </w:abstractNum>
  <w:abstractNum w:abstractNumId="105">
    <w:nsid w:val="6D68AB2"/>
    <w:multiLevelType w:val="hybridMultilevel"/>
    <w:lvl w:ilvl="0">
      <w:lvlJc w:val="left"/>
      <w:lvlText w:val="(%1)"/>
      <w:numFmt w:val="lowerLetter"/>
      <w:start w:val="1"/>
    </w:lvl>
  </w:abstractNum>
  <w:abstractNum w:abstractNumId="106">
    <w:nsid w:val="3A966CD0"/>
    <w:multiLevelType w:val="hybridMultilevel"/>
    <w:lvl w:ilvl="0">
      <w:lvlJc w:val="left"/>
      <w:lvlText w:val="(%1)"/>
      <w:numFmt w:val="lowerLetter"/>
      <w:start w:val="1"/>
    </w:lvl>
  </w:abstractNum>
  <w:abstractNum w:abstractNumId="107">
    <w:nsid w:val="63F37E85"/>
    <w:multiLevelType w:val="hybridMultilevel"/>
    <w:lvl w:ilvl="0">
      <w:lvlJc w:val="left"/>
      <w:lvlText w:val="(%1)"/>
      <w:numFmt w:val="lowerLetter"/>
      <w:start w:val="5"/>
    </w:lvl>
  </w:abstractNum>
  <w:abstractNum w:abstractNumId="108">
    <w:nsid w:val="5895F5FA"/>
    <w:multiLevelType w:val="hybridMultilevel"/>
    <w:lvl w:ilvl="0">
      <w:lvlJc w:val="left"/>
      <w:lvlText w:val="(%1)"/>
      <w:numFmt w:val="lowerLetter"/>
      <w:start w:val="2"/>
    </w:lvl>
  </w:abstractNum>
  <w:abstractNum w:abstractNumId="109">
    <w:nsid w:val="38A5D054"/>
    <w:multiLevelType w:val="hybridMultilevel"/>
    <w:lvl w:ilvl="0">
      <w:lvlJc w:val="left"/>
      <w:lvlText w:val="(%1)"/>
      <w:numFmt w:val="lowerLetter"/>
      <w:start w:val="1"/>
    </w:lvl>
  </w:abstractNum>
  <w:abstractNum w:abstractNumId="110">
    <w:nsid w:val="F3F09D8"/>
    <w:multiLevelType w:val="hybridMultilevel"/>
    <w:lvl w:ilvl="0">
      <w:lvlJc w:val="left"/>
      <w:lvlText w:val="(%1)"/>
      <w:numFmt w:val="lowerLetter"/>
      <w:start w:val="1"/>
    </w:lvl>
  </w:abstractNum>
  <w:abstractNum w:abstractNumId="111">
    <w:nsid w:val="4B793735"/>
    <w:multiLevelType w:val="hybridMultilevel"/>
    <w:lvl w:ilvl="0">
      <w:lvlJc w:val="left"/>
      <w:lvlText w:val="(%1)"/>
      <w:numFmt w:val="lowerLetter"/>
      <w:start w:val="2"/>
    </w:lvl>
  </w:abstractNum>
  <w:abstractNum w:abstractNumId="112">
    <w:nsid w:val="4A10B4E8"/>
    <w:multiLevelType w:val="hybridMultilevel"/>
    <w:lvl w:ilvl="0">
      <w:lvlJc w:val="left"/>
      <w:lvlText w:val="(%1)"/>
      <w:numFmt w:val="lowerLetter"/>
      <w:start w:val="4"/>
    </w:lvl>
  </w:abstractNum>
  <w:abstractNum w:abstractNumId="113">
    <w:nsid w:val="43D3BCD4"/>
    <w:multiLevelType w:val="hybridMultilevel"/>
    <w:lvl w:ilvl="0">
      <w:lvlJc w:val="left"/>
      <w:lvlText w:val="(%1)"/>
      <w:numFmt w:val="lowerLetter"/>
      <w:start w:val="1"/>
    </w:lvl>
  </w:abstractNum>
  <w:abstractNum w:abstractNumId="114">
    <w:nsid w:val="4C2A7166"/>
    <w:multiLevelType w:val="hybridMultilevel"/>
    <w:lvl w:ilvl="0">
      <w:lvlJc w:val="left"/>
      <w:lvlText w:val="(%1)"/>
      <w:numFmt w:val="lowerLetter"/>
      <w:start w:val="2"/>
    </w:lvl>
  </w:abstractNum>
  <w:abstractNum w:abstractNumId="115">
    <w:nsid w:val="2E534A82"/>
    <w:multiLevelType w:val="hybridMultilevel"/>
    <w:lvl w:ilvl="0">
      <w:lvlJc w:val="left"/>
      <w:lvlText w:val="(%1)"/>
      <w:numFmt w:val="lowerLetter"/>
      <w:start w:val="1"/>
    </w:lvl>
  </w:abstractNum>
  <w:abstractNum w:abstractNumId="116">
    <w:nsid w:val="26F2D364"/>
    <w:multiLevelType w:val="hybridMultilevel"/>
    <w:lvl w:ilvl="0">
      <w:lvlJc w:val="left"/>
      <w:lvlText w:val="(%1)"/>
      <w:numFmt w:val="lowerLetter"/>
      <w:start w:val="1"/>
    </w:lvl>
  </w:abstractNum>
  <w:abstractNum w:abstractNumId="117">
    <w:nsid w:val="71C1AF98"/>
    <w:multiLevelType w:val="hybridMultilevel"/>
    <w:lvl w:ilvl="0">
      <w:lvlJc w:val="left"/>
      <w:lvlText w:val="%1"/>
      <w:numFmt w:val="lowerRoman"/>
      <w:start w:val="1"/>
    </w:lvl>
    <w:lvl w:ilvl="1">
      <w:lvlJc w:val="left"/>
      <w:lvlText w:val="(%2)"/>
      <w:numFmt w:val="lowerLetter"/>
      <w:start w:val="1"/>
    </w:lvl>
  </w:abstractNum>
  <w:abstractNum w:abstractNumId="118">
    <w:nsid w:val="3D00B9D9"/>
    <w:multiLevelType w:val="hybridMultilevel"/>
    <w:lvl w:ilvl="0">
      <w:lvlJc w:val="left"/>
      <w:lvlText w:val="(%1)"/>
      <w:numFmt w:val="lowerRoman"/>
      <w:start w:val="1"/>
    </w:lvl>
    <w:lvl w:ilvl="1">
      <w:lvlJc w:val="left"/>
      <w:lvlText w:val="(%2)"/>
      <w:numFmt w:val="lowerLetter"/>
      <w:start w:val="3"/>
    </w:lvl>
  </w:abstractNum>
  <w:abstractNum w:abstractNumId="119">
    <w:nsid w:val="15BCABA8"/>
    <w:multiLevelType w:val="hybridMultilevel"/>
    <w:lvl w:ilvl="0">
      <w:lvlJc w:val="left"/>
      <w:lvlText w:val="(%1)"/>
      <w:numFmt w:val="lowerLetter"/>
      <w:start w:val="1"/>
    </w:lvl>
  </w:abstractNum>
  <w:abstractNum w:abstractNumId="120">
    <w:nsid w:val="4E0B9A87"/>
    <w:multiLevelType w:val="hybridMultilevel"/>
    <w:lvl w:ilvl="0">
      <w:lvlJc w:val="left"/>
      <w:lvlText w:val="(%1)"/>
      <w:numFmt w:val="lowerLetter"/>
      <w:start w:val="4"/>
    </w:lvl>
  </w:abstractNum>
  <w:abstractNum w:abstractNumId="121">
    <w:nsid w:val="434BAE75"/>
    <w:multiLevelType w:val="hybridMultilevel"/>
    <w:lvl w:ilvl="0">
      <w:lvlJc w:val="left"/>
      <w:lvlText w:val="(%1)"/>
      <w:numFmt w:val="lowerLetter"/>
      <w:start w:val="1"/>
    </w:lvl>
  </w:abstractNum>
  <w:abstractNum w:abstractNumId="122">
    <w:nsid w:val="4F38F265"/>
    <w:multiLevelType w:val="hybridMultilevel"/>
    <w:lvl w:ilvl="0">
      <w:lvlJc w:val="left"/>
      <w:lvlText w:val="(%1)"/>
      <w:numFmt w:val="lowerLetter"/>
      <w:start w:val="4"/>
    </w:lvl>
  </w:abstractNum>
  <w:abstractNum w:abstractNumId="123">
    <w:nsid w:val="4C502870"/>
    <w:multiLevelType w:val="hybridMultilevel"/>
    <w:lvl w:ilvl="0">
      <w:lvlJc w:val="left"/>
      <w:lvlText w:val="(%1)"/>
      <w:numFmt w:val="lowerLetter"/>
      <w:start w:val="6"/>
    </w:lvl>
  </w:abstractNum>
  <w:abstractNum w:abstractNumId="124">
    <w:nsid w:val="1DE8725A"/>
    <w:multiLevelType w:val="hybridMultilevel"/>
    <w:lvl w:ilvl="0">
      <w:lvlJc w:val="left"/>
      <w:lvlText w:val="(%1)"/>
      <w:numFmt w:val="lowerLetter"/>
      <w:start w:val="7"/>
    </w:lvl>
  </w:abstractNum>
  <w:abstractNum w:abstractNumId="125">
    <w:nsid w:val="6A37288A"/>
    <w:multiLevelType w:val="hybridMultilevel"/>
    <w:lvl w:ilvl="0">
      <w:lvlJc w:val="left"/>
      <w:lvlText w:val="(%1)"/>
      <w:numFmt w:val="lowerRoman"/>
      <w:start w:val="1"/>
    </w:lvl>
    <w:lvl w:ilvl="1">
      <w:lvlJc w:val="left"/>
      <w:lvlText w:val="(%2)"/>
      <w:numFmt w:val="lowerLetter"/>
      <w:start w:val="8"/>
    </w:lvl>
  </w:abstractNum>
  <w:abstractNum w:abstractNumId="126">
    <w:nsid w:val="8F8B73F"/>
    <w:multiLevelType w:val="hybridMultilevel"/>
    <w:lvl w:ilvl="0">
      <w:lvlJc w:val="left"/>
      <w:lvlText w:val="(%1)"/>
      <w:numFmt w:val="lowerLetter"/>
      <w:start w:val="9"/>
    </w:lvl>
  </w:abstractNum>
  <w:abstractNum w:abstractNumId="127">
    <w:nsid w:val="CA6B462"/>
    <w:multiLevelType w:val="hybridMultilevel"/>
    <w:lvl w:ilvl="0">
      <w:lvlJc w:val="left"/>
      <w:lvlText w:val="(%1)"/>
      <w:numFmt w:val="lowerLetter"/>
      <w:start w:val="12"/>
    </w:lvl>
  </w:abstractNum>
  <w:abstractNum w:abstractNumId="128">
    <w:nsid w:val="763CB680"/>
    <w:multiLevelType w:val="hybridMultilevel"/>
    <w:lvl w:ilvl="0">
      <w:lvlJc w:val="left"/>
      <w:lvlText w:val="(%1)"/>
      <w:numFmt w:val="lowerLetter"/>
      <w:start w:val="1"/>
    </w:lvl>
  </w:abstractNum>
  <w:abstractNum w:abstractNumId="129">
    <w:nsid w:val="15B71329"/>
    <w:multiLevelType w:val="hybridMultilevel"/>
    <w:lvl w:ilvl="0">
      <w:lvlJc w:val="left"/>
      <w:lvlText w:val="%1"/>
      <w:numFmt w:val="lowerRoman"/>
      <w:start w:val="1"/>
    </w:lvl>
    <w:lvl w:ilvl="1">
      <w:lvlJc w:val="left"/>
      <w:lvlText w:val="(%2)"/>
      <w:numFmt w:val="lowerLetter"/>
      <w:start w:val="1"/>
    </w:lvl>
  </w:abstractNum>
  <w:abstractNum w:abstractNumId="130">
    <w:nsid w:val="3DA97044"/>
    <w:multiLevelType w:val="hybridMultilevel"/>
    <w:lvl w:ilvl="0">
      <w:lvlJc w:val="left"/>
      <w:lvlText w:val="(%1)"/>
      <w:numFmt w:val="lowerRoman"/>
      <w:start w:val="1"/>
    </w:lvl>
    <w:lvl w:ilvl="1">
      <w:lvlJc w:val="left"/>
      <w:lvlText w:val="%2"/>
      <w:numFmt w:val="lowerLetter"/>
      <w:start w:val="1"/>
    </w:lvl>
  </w:abstractNum>
  <w:abstractNum w:abstractNumId="131">
    <w:nsid w:val="1CDCE2DE"/>
    <w:multiLevelType w:val="hybridMultilevel"/>
    <w:lvl w:ilvl="0">
      <w:lvlJc w:val="left"/>
      <w:lvlText w:val="(%1)"/>
      <w:numFmt w:val="lowerRoman"/>
      <w:start w:val="4"/>
    </w:lvl>
    <w:lvl w:ilvl="1">
      <w:lvlJc w:val="left"/>
      <w:lvlText w:val="(%2)"/>
      <w:numFmt w:val="lowerLetter"/>
      <w:start w:val="4"/>
    </w:lvl>
  </w:abstractNum>
  <w:abstractNum w:abstractNumId="132">
    <w:nsid w:val="69D3947C"/>
    <w:multiLevelType w:val="hybridMultilevel"/>
    <w:lvl w:ilvl="0">
      <w:lvlJc w:val="left"/>
      <w:lvlText w:val="(%1)"/>
      <w:numFmt w:val="lowerLetter"/>
      <w:start w:val="1"/>
    </w:lvl>
  </w:abstractNum>
  <w:abstractNum w:abstractNumId="133">
    <w:nsid w:val="2539DFA5"/>
    <w:multiLevelType w:val="hybridMultilevel"/>
    <w:lvl w:ilvl="0">
      <w:lvlJc w:val="left"/>
      <w:lvlText w:val="%1"/>
      <w:numFmt w:val="lowerLetter"/>
      <w:start w:val="1"/>
    </w:lvl>
    <w:lvl w:ilvl="1">
      <w:lvlJc w:val="left"/>
      <w:lvlText w:val="(%2)"/>
      <w:numFmt w:val="lowerLetter"/>
      <w:start w:val="4"/>
    </w:lvl>
    <w:lvl w:ilvl="2">
      <w:lvlJc w:val="left"/>
      <w:lvlText w:val="%3"/>
      <w:numFmt w:val="upperLetter"/>
      <w:start w:val="1"/>
    </w:lvl>
  </w:abstractNum>
  <w:abstractNum w:abstractNumId="134">
    <w:nsid w:val="2DB88089"/>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135">
    <w:nsid w:val="706B674E"/>
    <w:multiLevelType w:val="hybridMultilevel"/>
    <w:lvl w:ilvl="0">
      <w:lvlJc w:val="left"/>
      <w:lvlText w:val="(%1)"/>
      <w:numFmt w:val="lowerLetter"/>
      <w:start w:val="35"/>
    </w:lvl>
    <w:lvl w:ilvl="1">
      <w:lvlJc w:val="left"/>
      <w:lvlText w:val="(%2)"/>
      <w:numFmt w:val="lowerLetter"/>
      <w:start w:val="24"/>
    </w:lvl>
  </w:abstractNum>
  <w:abstractNum w:abstractNumId="136">
    <w:nsid w:val="2C106A57"/>
    <w:multiLevelType w:val="hybridMultilevel"/>
    <w:lvl w:ilvl="0">
      <w:lvlJc w:val="left"/>
      <w:lvlText w:val="%1"/>
      <w:numFmt w:val="lowerRoman"/>
      <w:start w:val="1"/>
    </w:lvl>
    <w:lvl w:ilvl="1">
      <w:lvlJc w:val="left"/>
      <w:lvlText w:val="(%2)"/>
      <w:numFmt w:val="lowerRoman"/>
      <w:start w:val="3"/>
    </w:lvl>
  </w:abstractNum>
  <w:abstractNum w:abstractNumId="137">
    <w:nsid w:val="684EED59"/>
    <w:multiLevelType w:val="hybridMultilevel"/>
    <w:lvl w:ilvl="0">
      <w:lvlJc w:val="left"/>
      <w:lvlText w:val="(%1)"/>
      <w:numFmt w:val="lowerRoman"/>
      <w:start w:val="10"/>
    </w:lvl>
    <w:lvl w:ilvl="1">
      <w:lvlJc w:val="left"/>
      <w:lvlText w:val="(%2)"/>
      <w:numFmt w:val="lowerRoman"/>
      <w:start w:val="4"/>
    </w:lvl>
  </w:abstractNum>
  <w:abstractNum w:abstractNumId="138">
    <w:nsid w:val="545EE5D3"/>
    <w:multiLevelType w:val="hybridMultilevel"/>
    <w:lvl w:ilvl="0">
      <w:lvlJc w:val="left"/>
      <w:lvlText w:val="(%1)"/>
      <w:numFmt w:val="upperLetter"/>
      <w:start w:val="2"/>
    </w:lvl>
  </w:abstractNum>
  <w:abstractNum w:abstractNumId="139">
    <w:nsid w:val="4A66051"/>
    <w:multiLevelType w:val="hybridMultilevel"/>
    <w:lvl w:ilvl="0">
      <w:lvlJc w:val="left"/>
      <w:lvlText w:val="%1"/>
      <w:numFmt w:val="lowerRoman"/>
      <w:start w:val="1"/>
    </w:lvl>
    <w:lvl w:ilvl="1">
      <w:lvlJc w:val="left"/>
      <w:lvlText w:val="(%2)"/>
      <w:numFmt w:val="lowerLetter"/>
      <w:start w:val="6"/>
    </w:lvl>
  </w:abstractNum>
  <w:abstractNum w:abstractNumId="140">
    <w:nsid w:val="20F4BDAD"/>
    <w:multiLevelType w:val="hybridMultilevel"/>
    <w:lvl w:ilvl="0">
      <w:lvlJc w:val="left"/>
      <w:lvlText w:val="(%1)"/>
      <w:numFmt w:val="lowerRoman"/>
      <w:start w:val="1"/>
    </w:lvl>
    <w:lvl w:ilvl="1">
      <w:lvlJc w:val="left"/>
      <w:lvlText w:val="%2"/>
      <w:numFmt w:val="lowerLetter"/>
      <w:start w:val="1"/>
    </w:lvl>
  </w:abstractNum>
  <w:abstractNum w:abstractNumId="141">
    <w:nsid w:val="639DEFAC"/>
    <w:multiLevelType w:val="hybridMultilevel"/>
    <w:lvl w:ilvl="0">
      <w:lvlJc w:val="left"/>
      <w:lvlText w:val="%1"/>
      <w:numFmt w:val="lowerRoman"/>
      <w:start w:val="1"/>
    </w:lvl>
    <w:lvl w:ilvl="1">
      <w:lvlJc w:val="left"/>
      <w:lvlText w:val="(%2)"/>
      <w:numFmt w:val="lowerLetter"/>
      <w:start w:val="1"/>
    </w:lvl>
  </w:abstractNum>
  <w:abstractNum w:abstractNumId="142">
    <w:nsid w:val="501F9786"/>
    <w:multiLevelType w:val="hybridMultilevel"/>
    <w:lvl w:ilvl="0">
      <w:lvlJc w:val="left"/>
      <w:lvlText w:val="(%1)"/>
      <w:numFmt w:val="lowerRoman"/>
      <w:start w:val="1"/>
    </w:lvl>
    <w:lvl w:ilvl="1">
      <w:lvlJc w:val="left"/>
      <w:lvlText w:val="%2"/>
      <w:numFmt w:val="lowerLetter"/>
      <w:start w:val="1"/>
    </w:lvl>
  </w:abstractNum>
  <w:abstractNum w:abstractNumId="143">
    <w:nsid w:val="6B057295"/>
    <w:multiLevelType w:val="hybridMultilevel"/>
    <w:lvl w:ilvl="0">
      <w:lvlJc w:val="left"/>
      <w:lvlText w:val="(%1)"/>
      <w:numFmt w:val="lowerLetter"/>
      <w:start w:val="2"/>
    </w:lvl>
  </w:abstractNum>
  <w:abstractNum w:abstractNumId="144">
    <w:nsid w:val="2771AC80"/>
    <w:multiLevelType w:val="hybridMultilevel"/>
    <w:lvl w:ilvl="0">
      <w:lvlJc w:val="left"/>
      <w:lvlText w:val="%1"/>
      <w:numFmt w:val="lowerRoman"/>
      <w:start w:val="1"/>
    </w:lvl>
    <w:lvl w:ilvl="1">
      <w:lvlJc w:val="left"/>
      <w:lvlText w:val="(%2)"/>
      <w:numFmt w:val="lowerLetter"/>
      <w:start w:val="1"/>
    </w:lvl>
  </w:abstractNum>
  <w:abstractNum w:abstractNumId="145">
    <w:nsid w:val="1C4A08EC"/>
    <w:multiLevelType w:val="hybridMultilevel"/>
    <w:lvl w:ilvl="0">
      <w:lvlJc w:val="left"/>
      <w:lvlText w:val="(%1)"/>
      <w:numFmt w:val="lowerRoman"/>
      <w:start w:val="1"/>
    </w:lvl>
    <w:lvl w:ilvl="1">
      <w:lvlJc w:val="left"/>
      <w:lvlText w:val="%2"/>
      <w:numFmt w:val="lowerLetter"/>
      <w:start w:val="1"/>
    </w:lvl>
  </w:abstractNum>
  <w:abstractNum w:abstractNumId="146">
    <w:nsid w:val="1958BD17"/>
    <w:multiLevelType w:val="hybridMultilevel"/>
    <w:lvl w:ilvl="0">
      <w:lvlJc w:val="left"/>
      <w:lvlText w:val="%1"/>
      <w:numFmt w:val="lowerRoman"/>
      <w:start w:val="1"/>
    </w:lvl>
    <w:lvl w:ilvl="1">
      <w:lvlJc w:val="left"/>
      <w:lvlText w:val="(%2)"/>
      <w:numFmt w:val="lowerLetter"/>
      <w:start w:val="3"/>
    </w:lvl>
  </w:abstractNum>
  <w:abstractNum w:abstractNumId="147">
    <w:nsid w:val="4E647FE4"/>
    <w:multiLevelType w:val="hybridMultilevel"/>
    <w:lvl w:ilvl="0">
      <w:lvlJc w:val="left"/>
      <w:lvlText w:val="(%1)"/>
      <w:numFmt w:val="lowerRoman"/>
      <w:start w:val="1"/>
    </w:lvl>
    <w:lvl w:ilvl="1">
      <w:lvlJc w:val="left"/>
      <w:lvlText w:val="%2"/>
      <w:numFmt w:val="lowerLetter"/>
      <w:start w:val="1"/>
    </w:lvl>
  </w:abstractNum>
  <w:abstractNum w:abstractNumId="148">
    <w:nsid w:val="E0BB885"/>
    <w:multiLevelType w:val="hybridMultilevel"/>
    <w:lvl w:ilvl="0">
      <w:lvlJc w:val="left"/>
      <w:lvlText w:val="(%1)"/>
      <w:numFmt w:val="lowerRoman"/>
      <w:start w:val="4"/>
    </w:lvl>
  </w:abstractNum>
  <w:abstractNum w:abstractNumId="149">
    <w:nsid w:val="565976F1"/>
    <w:multiLevelType w:val="hybridMultilevel"/>
    <w:lvl w:ilvl="0">
      <w:lvlJc w:val="left"/>
      <w:lvlText w:val="(%1)"/>
      <w:numFmt w:val="upperLetter"/>
      <w:start w:val="2"/>
    </w:lvl>
    <w:lvl w:ilvl="1">
      <w:lvlJc w:val="left"/>
      <w:lvlText w:val="(%2)"/>
      <w:numFmt w:val="lowerLetter"/>
      <w:start w:val="5"/>
    </w:lvl>
  </w:abstractNum>
  <w:abstractNum w:abstractNumId="150">
    <w:nsid w:val="64212B8C"/>
    <w:multiLevelType w:val="hybridMultilevel"/>
    <w:lvl w:ilvl="0">
      <w:lvlJc w:val="left"/>
      <w:lvlText w:val="(%1)"/>
      <w:numFmt w:val="lowerLetter"/>
      <w:start w:val="1"/>
    </w:lvl>
  </w:abstractNum>
  <w:abstractNum w:abstractNumId="151">
    <w:nsid w:val="5C17530C"/>
    <w:multiLevelType w:val="hybridMultilevel"/>
    <w:lvl w:ilvl="0">
      <w:lvlJc w:val="left"/>
      <w:lvlText w:val="(%1)"/>
      <w:numFmt w:val="lowerLetter"/>
      <w:start w:val="3"/>
    </w:lvl>
  </w:abstractNum>
  <w:abstractNum w:abstractNumId="152">
    <w:nsid w:val="19A52566"/>
    <w:multiLevelType w:val="hybridMultilevel"/>
    <w:lvl w:ilvl="0">
      <w:lvlJc w:val="left"/>
      <w:lvlText w:val="(%1)"/>
      <w:numFmt w:val="lowerLetter"/>
      <w:start w:val="1"/>
    </w:lvl>
  </w:abstractNum>
  <w:abstractNum w:abstractNumId="153">
    <w:nsid w:val="335A1DF1"/>
    <w:multiLevelType w:val="hybridMultilevel"/>
    <w:lvl w:ilvl="0">
      <w:lvlJc w:val="left"/>
      <w:lvlText w:val="%1"/>
      <w:numFmt w:val="lowerRoman"/>
      <w:start w:val="1"/>
    </w:lvl>
    <w:lvl w:ilvl="1">
      <w:lvlJc w:val="left"/>
      <w:lvlText w:val="(%2)"/>
      <w:numFmt w:val="lowerLetter"/>
      <w:start w:val="1"/>
    </w:lvl>
  </w:abstractNum>
  <w:abstractNum w:abstractNumId="154">
    <w:nsid w:val="28677B7C"/>
    <w:multiLevelType w:val="hybridMultilevel"/>
    <w:lvl w:ilvl="0">
      <w:lvlJc w:val="left"/>
      <w:lvlText w:val="(%1)"/>
      <w:numFmt w:val="lowerRoman"/>
      <w:start w:val="1"/>
    </w:lvl>
    <w:lvl w:ilvl="1">
      <w:lvlJc w:val="left"/>
      <w:lvlText w:val="%2"/>
      <w:numFmt w:val="lowerLetter"/>
      <w:start w:val="1"/>
    </w:lvl>
  </w:abstractNum>
  <w:abstractNum w:abstractNumId="155">
    <w:nsid w:val="378D97C0"/>
    <w:multiLevelType w:val="hybridMultilevel"/>
    <w:lvl w:ilvl="0">
      <w:lvlJc w:val="left"/>
      <w:lvlText w:val="(%1)"/>
      <w:numFmt w:val="lowerLetter"/>
      <w:start w:val="2"/>
    </w:lvl>
  </w:abstractNum>
  <w:abstractNum w:abstractNumId="156">
    <w:nsid w:val="1D91467C"/>
    <w:multiLevelType w:val="hybridMultilevel"/>
    <w:lvl w:ilvl="0">
      <w:lvlJc w:val="left"/>
      <w:lvlText w:val="(%1)"/>
      <w:numFmt w:val="lowerLetter"/>
      <w:start w:val="2"/>
    </w:lvl>
  </w:abstractNum>
  <w:abstractNum w:abstractNumId="157">
    <w:nsid w:val="316032BB"/>
    <w:multiLevelType w:val="hybridMultilevel"/>
    <w:lvl w:ilvl="0">
      <w:lvlJc w:val="left"/>
      <w:lvlText w:val="(%1)"/>
      <w:numFmt w:val="lowerLetter"/>
      <w:start w:val="9"/>
    </w:lvl>
  </w:abstractNum>
  <w:abstractNum w:abstractNumId="158">
    <w:nsid w:val="44344C22"/>
    <w:multiLevelType w:val="hybridMultilevel"/>
    <w:lvl w:ilvl="0">
      <w:lvlJc w:val="left"/>
      <w:lvlText w:val="%1"/>
      <w:numFmt w:val="lowerRoman"/>
      <w:start w:val="1"/>
    </w:lvl>
    <w:lvl w:ilvl="1">
      <w:lvlJc w:val="left"/>
      <w:lvlText w:val="(%2)"/>
      <w:numFmt w:val="lowerLetter"/>
      <w:start w:val="1"/>
    </w:lvl>
  </w:abstractNum>
  <w:abstractNum w:abstractNumId="159">
    <w:nsid w:val="13CDFCFC"/>
    <w:multiLevelType w:val="hybridMultilevel"/>
    <w:lvl w:ilvl="0">
      <w:lvlJc w:val="left"/>
      <w:lvlText w:val="(%1)"/>
      <w:numFmt w:val="lowerRoman"/>
      <w:start w:val="1"/>
    </w:lvl>
    <w:lvl w:ilvl="1">
      <w:lvlJc w:val="left"/>
      <w:lvlText w:val="%2"/>
      <w:numFmt w:val="lowerLetter"/>
      <w:start w:val="1"/>
    </w:lvl>
  </w:abstractNum>
  <w:abstractNum w:abstractNumId="160">
    <w:nsid w:val="471745E4"/>
    <w:multiLevelType w:val="hybridMultilevel"/>
    <w:lvl w:ilvl="0">
      <w:lvlJc w:val="left"/>
      <w:lvlText w:val="(%1)"/>
      <w:numFmt w:val="lowerLetter"/>
      <w:start w:val="2"/>
    </w:lvl>
  </w:abstractNum>
  <w:abstractNum w:abstractNumId="161">
    <w:nsid w:val="1DDBC66"/>
    <w:multiLevelType w:val="hybridMultilevel"/>
    <w:lvl w:ilvl="0">
      <w:lvlJc w:val="left"/>
      <w:lvlText w:val="(%1)"/>
      <w:numFmt w:val="lowerLetter"/>
      <w:start w:val="3"/>
    </w:lvl>
  </w:abstractNum>
  <w:abstractNum w:abstractNumId="162">
    <w:nsid w:val="30AADFDA"/>
    <w:multiLevelType w:val="hybridMultilevel"/>
    <w:lvl w:ilvl="0">
      <w:lvlJc w:val="left"/>
      <w:lvlText w:val="(%1)"/>
      <w:numFmt w:val="lowerRoman"/>
      <w:start w:val="1"/>
    </w:lvl>
  </w:abstractNum>
  <w:abstractNum w:abstractNumId="163">
    <w:nsid w:val="30EADA61"/>
    <w:multiLevelType w:val="hybridMultilevel"/>
    <w:lvl w:ilvl="0">
      <w:lvlJc w:val="left"/>
      <w:lvlText w:val="(%1)"/>
      <w:numFmt w:val="lowerRoman"/>
      <w:start w:val="2"/>
    </w:lvl>
  </w:abstractNum>
  <w:abstractNum w:abstractNumId="164">
    <w:nsid w:val="27179C0B"/>
    <w:multiLevelType w:val="hybridMultilevel"/>
    <w:lvl w:ilvl="0">
      <w:lvlJc w:val="left"/>
      <w:lvlText w:val="(%1)"/>
      <w:numFmt w:val="lowerLetter"/>
      <w:start w:val="1"/>
    </w:lvl>
  </w:abstractNum>
  <w:abstractNum w:abstractNumId="165">
    <w:nsid w:val="5E636063"/>
    <w:multiLevelType w:val="hybridMultilevel"/>
    <w:lvl w:ilvl="0">
      <w:lvlJc w:val="left"/>
      <w:lvlText w:val="%1"/>
      <w:numFmt w:val="lowerLetter"/>
      <w:start w:val="1"/>
    </w:lvl>
    <w:lvl w:ilvl="1">
      <w:lvlJc w:val="left"/>
      <w:lvlText w:val="(%2)"/>
      <w:numFmt w:val="lowerLetter"/>
      <w:start w:val="4"/>
    </w:lvl>
    <w:lvl w:ilvl="2">
      <w:lvlJc w:val="left"/>
      <w:lvlText w:val="%3"/>
      <w:numFmt w:val="upperLetter"/>
      <w:start w:val="1"/>
    </w:lvl>
  </w:abstractNum>
  <w:abstractNum w:abstractNumId="166">
    <w:nsid w:val="215641AF"/>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167">
    <w:nsid w:val="53280662"/>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23"/>
    </w:lvl>
  </w:abstractNum>
  <w:abstractNum w:abstractNumId="168">
    <w:nsid w:val="46B24DBC"/>
    <w:multiLevelType w:val="hybridMultilevel"/>
    <w:lvl w:ilvl="0">
      <w:lvlJc w:val="left"/>
      <w:lvlText w:val="(%1)"/>
      <w:numFmt w:val="lowerLetter"/>
      <w:start w:val="61"/>
    </w:lvl>
    <w:lvl w:ilvl="1">
      <w:lvlJc w:val="left"/>
      <w:lvlText w:val="%2"/>
      <w:numFmt w:val="upperLetter"/>
      <w:start w:val="1"/>
    </w:lvl>
    <w:lvl w:ilvl="2">
      <w:lvlJc w:val="left"/>
      <w:lvlText w:val="%3"/>
      <w:numFmt w:val="lowerLetter"/>
      <w:start w:val="1"/>
    </w:lvl>
  </w:abstractNum>
  <w:abstractNum w:abstractNumId="169">
    <w:nsid w:val="75B52783"/>
    <w:multiLevelType w:val="hybridMultilevel"/>
    <w:lvl w:ilvl="0">
      <w:lvlJc w:val="left"/>
      <w:lvlText w:val="(%1)"/>
      <w:numFmt w:val="lowerLetter"/>
      <w:start w:val="7"/>
    </w:lvl>
  </w:abstractNum>
  <w:abstractNum w:abstractNumId="170">
    <w:nsid w:val="57CE66B4"/>
    <w:multiLevelType w:val="hybridMultilevel"/>
    <w:lvl w:ilvl="0">
      <w:lvlJc w:val="left"/>
      <w:lvlText w:val="(%1)"/>
      <w:numFmt w:val="lowerLetter"/>
      <w:start w:val="1"/>
    </w:lvl>
  </w:abstractNum>
  <w:abstractNum w:abstractNumId="171">
    <w:nsid w:val="67A70B69"/>
    <w:multiLevelType w:val="hybridMultilevel"/>
    <w:lvl w:ilvl="0">
      <w:lvlJc w:val="left"/>
      <w:lvlText w:val="(%1)"/>
      <w:numFmt w:val="lowerLetter"/>
      <w:start w:val="2"/>
    </w:lvl>
  </w:abstractNum>
  <w:abstractNum w:abstractNumId="172">
    <w:nsid w:val="5953172F"/>
    <w:multiLevelType w:val="hybridMultilevel"/>
    <w:lvl w:ilvl="0">
      <w:lvlJc w:val="left"/>
      <w:lvlText w:val="(%1)"/>
      <w:numFmt w:val="lowerLetter"/>
      <w:start w:val="3"/>
    </w:lvl>
  </w:abstractNum>
  <w:abstractNum w:abstractNumId="173">
    <w:nsid w:val="27EDFE3A"/>
    <w:multiLevelType w:val="hybridMultilevel"/>
    <w:lvl w:ilvl="0">
      <w:lvlJc w:val="left"/>
      <w:lvlText w:val="(%1)"/>
      <w:numFmt w:val="lowerLetter"/>
      <w:start w:val="5"/>
    </w:lvl>
  </w:abstractNum>
  <w:abstractNum w:abstractNumId="174">
    <w:nsid w:val="52AC7DFF"/>
    <w:multiLevelType w:val="hybridMultilevel"/>
    <w:lvl w:ilvl="0">
      <w:lvlJc w:val="left"/>
      <w:lvlText w:val="(%1)"/>
      <w:numFmt w:val="lowerLetter"/>
      <w:start w:val="1"/>
    </w:lvl>
  </w:abstractNum>
  <w:abstractNum w:abstractNumId="175">
    <w:nsid w:val="C4C3AF"/>
    <w:multiLevelType w:val="hybridMultilevel"/>
    <w:lvl w:ilvl="0">
      <w:lvlJc w:val="left"/>
      <w:lvlText w:val="%1"/>
      <w:numFmt w:val="lowerLetter"/>
      <w:start w:val="1"/>
    </w:lvl>
    <w:lvl w:ilvl="1">
      <w:lvlJc w:val="left"/>
      <w:lvlText w:val="(%2)"/>
      <w:numFmt w:val="lowerLetter"/>
      <w:start w:val="1"/>
    </w:lvl>
  </w:abstractNum>
  <w:abstractNum w:abstractNumId="176">
    <w:nsid w:val="44380727"/>
    <w:multiLevelType w:val="hybridMultilevel"/>
    <w:lvl w:ilvl="0">
      <w:lvlJc w:val="left"/>
      <w:lvlText w:val="(%1)"/>
      <w:numFmt w:val="lowerLetter"/>
      <w:start w:val="9"/>
    </w:lvl>
    <w:lvl w:ilvl="1">
      <w:lvlJc w:val="left"/>
      <w:lvlText w:val="%2"/>
      <w:numFmt w:val="lowerLetter"/>
      <w:start w:val="1"/>
    </w:lvl>
  </w:abstractNum>
  <w:abstractNum w:abstractNumId="177">
    <w:nsid w:val="6C053B16"/>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178">
    <w:nsid w:val="4F29439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79">
    <w:nsid w:val="5243BFAC"/>
    <w:multiLevelType w:val="hybridMultilevel"/>
    <w:lvl w:ilvl="0">
      <w:lvlJc w:val="left"/>
      <w:lvlText w:val="(%1)"/>
      <w:numFmt w:val="lowerRoman"/>
      <w:start w:val="3"/>
    </w:lvl>
  </w:abstractNum>
  <w:abstractNum w:abstractNumId="180">
    <w:nsid w:val="425EB207"/>
    <w:multiLevelType w:val="hybridMultilevel"/>
    <w:lvl w:ilvl="0">
      <w:lvlJc w:val="left"/>
      <w:lvlText w:val="(%1)"/>
      <w:numFmt w:val="lowerRoman"/>
      <w:start w:val="4"/>
    </w:lvl>
    <w:lvl w:ilvl="1">
      <w:lvlJc w:val="left"/>
      <w:lvlText w:val="(%2)"/>
      <w:numFmt w:val="lowerLetter"/>
      <w:start w:val="2"/>
    </w:lvl>
  </w:abstractNum>
  <w:abstractNum w:abstractNumId="181">
    <w:nsid w:val="334A6F1F"/>
    <w:multiLevelType w:val="hybridMultilevel"/>
    <w:lvl w:ilvl="0">
      <w:lvlJc w:val="left"/>
      <w:lvlText w:val="%1"/>
      <w:numFmt w:val="lowerRoman"/>
      <w:start w:val="1"/>
    </w:lvl>
    <w:lvl w:ilvl="1">
      <w:lvlJc w:val="left"/>
      <w:lvlText w:val="(%2)"/>
      <w:numFmt w:val="lowerLetter"/>
      <w:start w:val="4"/>
    </w:lvl>
  </w:abstractNum>
  <w:abstractNum w:abstractNumId="182">
    <w:nsid w:val="2E5B12B8"/>
    <w:multiLevelType w:val="hybridMultilevel"/>
    <w:lvl w:ilvl="0">
      <w:lvlJc w:val="left"/>
      <w:lvlText w:val="(%1)"/>
      <w:numFmt w:val="lowerRoman"/>
      <w:start w:val="1"/>
    </w:lvl>
    <w:lvl w:ilvl="1">
      <w:lvlJc w:val="left"/>
      <w:lvlText w:val="%2"/>
      <w:numFmt w:val="lowerLetter"/>
      <w:start w:val="1"/>
    </w:lvl>
  </w:abstractNum>
  <w:abstractNum w:abstractNumId="183">
    <w:nsid w:val="5C03D76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84">
    <w:nsid w:val="66A48D11"/>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1"/>
    </w:lvl>
  </w:abstractNum>
  <w:abstractNum w:abstractNumId="185">
    <w:nsid w:val="56C28E34"/>
    <w:multiLevelType w:val="hybridMultilevel"/>
    <w:lvl w:ilvl="0">
      <w:lvlJc w:val="left"/>
      <w:lvlText w:val="(%1)"/>
      <w:numFmt w:val="upperLetter"/>
      <w:start w:val="61"/>
    </w:lvl>
    <w:lvl w:ilvl="1">
      <w:lvlJc w:val="left"/>
      <w:lvlText w:val="(%2)"/>
      <w:numFmt w:val="lowerLetter"/>
      <w:start w:val="35"/>
    </w:lvl>
    <w:lvl w:ilvl="2">
      <w:lvlJc w:val="left"/>
      <w:lvlText w:val="%3"/>
      <w:numFmt w:val="lowerLetter"/>
      <w:start w:val="1"/>
    </w:lvl>
  </w:abstractNum>
  <w:abstractNum w:abstractNumId="186">
    <w:nsid w:val="13916F2D"/>
    <w:multiLevelType w:val="hybridMultilevel"/>
    <w:lvl w:ilvl="0">
      <w:lvlJc w:val="left"/>
      <w:lvlText w:val="(%1)"/>
      <w:numFmt w:val="lowerLetter"/>
      <w:start w:val="2"/>
    </w:lvl>
  </w:abstractNum>
  <w:abstractNum w:abstractNumId="187">
    <w:nsid w:val="435D38D"/>
    <w:multiLevelType w:val="hybridMultilevel"/>
    <w:lvl w:ilvl="0">
      <w:lvlJc w:val="left"/>
      <w:lvlText w:val="%1"/>
      <w:numFmt w:val="upperLetter"/>
      <w:start w:val="1"/>
    </w:lvl>
    <w:lvl w:ilvl="1">
      <w:lvlJc w:val="left"/>
      <w:lvlText w:val="(%2)"/>
      <w:numFmt w:val="lowerLetter"/>
      <w:start w:val="1"/>
    </w:lvl>
  </w:abstractNum>
  <w:abstractNum w:abstractNumId="188">
    <w:nsid w:val="822C0EF"/>
    <w:multiLevelType w:val="hybridMultilevel"/>
    <w:lvl w:ilvl="0">
      <w:lvlJc w:val="left"/>
      <w:lvlText w:val="(%1)"/>
      <w:numFmt w:val="upperLetter"/>
      <w:start w:val="2"/>
    </w:lvl>
    <w:lvl w:ilvl="1">
      <w:lvlJc w:val="left"/>
      <w:lvlText w:val="%2"/>
      <w:numFmt w:val="lowerLetter"/>
      <w:start w:val="1"/>
    </w:lvl>
  </w:abstractNum>
  <w:abstractNum w:abstractNumId="189">
    <w:nsid w:val="57C5BB4F"/>
    <w:multiLevelType w:val="hybridMultilevel"/>
    <w:lvl w:ilvl="0">
      <w:lvlJc w:val="left"/>
      <w:lvlText w:val="(%1)"/>
      <w:numFmt w:val="upperLetter"/>
      <w:start w:val="2"/>
    </w:lvl>
    <w:lvl w:ilvl="1">
      <w:lvlJc w:val="left"/>
      <w:lvlText w:val="%2"/>
      <w:numFmt w:val="lowerLetter"/>
      <w:start w:val="1"/>
    </w:lvl>
  </w:abstractNum>
  <w:abstractNum w:abstractNumId="190">
    <w:nsid w:val="1803D089"/>
    <w:multiLevelType w:val="hybridMultilevel"/>
    <w:lvl w:ilvl="0">
      <w:lvlJc w:val="left"/>
      <w:lvlText w:val="(%1)"/>
      <w:numFmt w:val="lowerLetter"/>
      <w:start w:val="2"/>
    </w:lvl>
  </w:abstractNum>
  <w:abstractNum w:abstractNumId="191">
    <w:nsid w:val="4F3A06D4"/>
    <w:multiLevelType w:val="hybridMultilevel"/>
    <w:lvl w:ilvl="0">
      <w:lvlJc w:val="left"/>
      <w:lvlText w:val="(%1)"/>
      <w:numFmt w:val="lowerLetter"/>
      <w:start w:val="1"/>
    </w:lvl>
  </w:abstractNum>
  <w:abstractNum w:abstractNumId="192">
    <w:nsid w:val="59A377B6"/>
    <w:multiLevelType w:val="hybridMultilevel"/>
    <w:lvl w:ilvl="0">
      <w:lvlJc w:val="left"/>
      <w:lvlText w:val="(%1)"/>
      <w:numFmt w:val="lowerLetter"/>
      <w:start w:val="1"/>
    </w:lvl>
  </w:abstractNum>
  <w:abstractNum w:abstractNumId="193">
    <w:nsid w:val="48AEB063"/>
    <w:multiLevelType w:val="hybridMultilevel"/>
    <w:lvl w:ilvl="0">
      <w:lvlJc w:val="left"/>
      <w:lvlText w:val="(%1)"/>
      <w:numFmt w:val="lowerLetter"/>
      <w:start w:val="1"/>
    </w:lvl>
  </w:abstractNum>
  <w:abstractNum w:abstractNumId="194">
    <w:nsid w:val="24E135"/>
    <w:multiLevelType w:val="hybridMultilevel"/>
    <w:lvl w:ilvl="0">
      <w:lvlJc w:val="left"/>
      <w:lvlText w:val="(%1)"/>
      <w:numFmt w:val="lowerLetter"/>
      <w:start w:val="2"/>
    </w:lvl>
  </w:abstractNum>
  <w:abstractNum w:abstractNumId="195">
    <w:nsid w:val="BB13C1"/>
    <w:multiLevelType w:val="hybridMultilevel"/>
    <w:lvl w:ilvl="0">
      <w:lvlJc w:val="left"/>
      <w:lvlText w:val="(%1)"/>
      <w:numFmt w:val="lowerLetter"/>
      <w:start w:val="1"/>
    </w:lvl>
  </w:abstractNum>
  <w:abstractNum w:abstractNumId="196">
    <w:nsid w:val="271210C7"/>
    <w:multiLevelType w:val="hybridMultilevel"/>
    <w:lvl w:ilvl="0">
      <w:lvlJc w:val="left"/>
      <w:lvlText w:val="(%1)"/>
      <w:numFmt w:val="lowerLetter"/>
      <w:start w:val="2"/>
    </w:lvl>
  </w:abstractNum>
  <w:abstractNum w:abstractNumId="197">
    <w:nsid w:val="217B22E4"/>
    <w:multiLevelType w:val="hybridMultilevel"/>
    <w:lvl w:ilvl="0">
      <w:lvlJc w:val="left"/>
      <w:lvlText w:val="(%1)"/>
      <w:numFmt w:val="lowerLetter"/>
      <w:start w:val="1"/>
    </w:lvl>
  </w:abstractNum>
  <w:abstractNum w:abstractNumId="198">
    <w:nsid w:val="53E31A24"/>
    <w:multiLevelType w:val="hybridMultilevel"/>
    <w:lvl w:ilvl="0">
      <w:lvlJc w:val="left"/>
      <w:lvlText w:val="(%1)"/>
      <w:numFmt w:val="lowerLetter"/>
      <w:start w:val="1"/>
    </w:lvl>
  </w:abstractNum>
  <w:abstractNum w:abstractNumId="199">
    <w:nsid w:val="6DC45E83"/>
    <w:multiLevelType w:val="hybridMultilevel"/>
    <w:lvl w:ilvl="0">
      <w:lvlJc w:val="left"/>
      <w:lvlText w:val="(%1)"/>
      <w:numFmt w:val="lowerLetter"/>
      <w:start w:val="2"/>
    </w:lvl>
  </w:abstractNum>
  <w:abstractNum w:abstractNumId="200">
    <w:nsid w:val="17304A67"/>
    <w:multiLevelType w:val="hybridMultilevel"/>
    <w:lvl w:ilvl="0">
      <w:lvlJc w:val="left"/>
      <w:lvlText w:val="%1"/>
      <w:numFmt w:val="lowerRoman"/>
      <w:start w:val="1"/>
    </w:lvl>
    <w:lvl w:ilvl="1">
      <w:lvlJc w:val="left"/>
      <w:lvlText w:val="(%2)"/>
      <w:numFmt w:val="lowerLetter"/>
      <w:start w:val="1"/>
    </w:lvl>
  </w:abstractNum>
  <w:abstractNum w:abstractNumId="201">
    <w:nsid w:val="2BB180D8"/>
    <w:multiLevelType w:val="hybridMultilevel"/>
    <w:lvl w:ilvl="0">
      <w:lvlJc w:val="left"/>
      <w:lvlText w:val="(%1)"/>
      <w:numFmt w:val="lowerRoman"/>
      <w:start w:val="1"/>
    </w:lvl>
    <w:lvl w:ilvl="1">
      <w:lvlJc w:val="left"/>
      <w:lvlText w:val="(%2)"/>
      <w:numFmt w:val="lowerLetter"/>
      <w:start w:val="2"/>
    </w:lvl>
  </w:abstractNum>
  <w:abstractNum w:abstractNumId="202">
    <w:nsid w:val="556B69ED"/>
    <w:multiLevelType w:val="hybridMultilevel"/>
    <w:lvl w:ilvl="0">
      <w:lvlJc w:val="left"/>
      <w:lvlText w:val="(%1)"/>
      <w:numFmt w:val="lowerLetter"/>
      <w:start w:val="1"/>
    </w:lvl>
  </w:abstractNum>
  <w:abstractNum w:abstractNumId="203">
    <w:nsid w:val="70836196"/>
    <w:multiLevelType w:val="hybridMultilevel"/>
    <w:lvl w:ilvl="0">
      <w:lvlJc w:val="left"/>
      <w:lvlText w:val="%1"/>
      <w:numFmt w:val="lowerLetter"/>
      <w:start w:val="1"/>
    </w:lvl>
    <w:lvl w:ilvl="1">
      <w:lvlJc w:val="left"/>
      <w:lvlText w:val="(%2)"/>
      <w:numFmt w:val="lowerLetter"/>
      <w:start w:val="2"/>
    </w:lvl>
  </w:abstractNum>
  <w:abstractNum w:abstractNumId="204">
    <w:nsid w:val="539F7F12"/>
    <w:multiLevelType w:val="hybridMultilevel"/>
    <w:lvl w:ilvl="0">
      <w:lvlJc w:val="left"/>
      <w:lvlText w:val="(%1)"/>
      <w:numFmt w:val="lowerLetter"/>
      <w:start w:val="35"/>
    </w:lvl>
    <w:lvl w:ilvl="1">
      <w:lvlJc w:val="left"/>
      <w:lvlText w:val="%2"/>
      <w:numFmt w:val="lowerLetter"/>
      <w:start w:val="1"/>
    </w:lvl>
  </w:abstractNum>
  <w:abstractNum w:abstractNumId="205">
    <w:nsid w:val="2817E7EC"/>
    <w:multiLevelType w:val="hybridMultilevel"/>
    <w:lvl w:ilvl="0">
      <w:lvlJc w:val="left"/>
      <w:lvlText w:val="(%1)"/>
      <w:numFmt w:val="lowerLetter"/>
      <w:start w:val="1"/>
    </w:lvl>
  </w:abstractNum>
  <w:abstractNum w:abstractNumId="206">
    <w:nsid w:val="71482545"/>
    <w:multiLevelType w:val="hybridMultilevel"/>
    <w:lvl w:ilvl="0">
      <w:lvlJc w:val="left"/>
      <w:lvlText w:val="(%1)"/>
      <w:numFmt w:val="lowerLetter"/>
      <w:start w:val="3"/>
    </w:lvl>
  </w:abstractNum>
  <w:abstractNum w:abstractNumId="207">
    <w:nsid w:val="17D78639"/>
    <w:multiLevelType w:val="hybridMultilevel"/>
    <w:lvl w:ilvl="0">
      <w:lvlJc w:val="left"/>
      <w:lvlText w:val="(%1)"/>
      <w:numFmt w:val="lowerLetter"/>
      <w:start w:val="8"/>
    </w:lvl>
  </w:abstractNum>
  <w:abstractNum w:abstractNumId="208">
    <w:nsid w:val="141D2302"/>
    <w:multiLevelType w:val="hybridMultilevel"/>
    <w:lvl w:ilvl="0">
      <w:lvlJc w:val="left"/>
      <w:lvlText w:val="(%1)"/>
      <w:numFmt w:val="lowerLetter"/>
      <w:start w:val="1"/>
    </w:lvl>
  </w:abstractNum>
  <w:abstractNum w:abstractNumId="209">
    <w:nsid w:val="407168D8"/>
    <w:multiLevelType w:val="hybridMultilevel"/>
    <w:lvl w:ilvl="0">
      <w:lvlJc w:val="left"/>
      <w:lvlText w:val="(%1)"/>
      <w:numFmt w:val="lowerLetter"/>
      <w:start w:val="1"/>
    </w:lvl>
  </w:abstractNum>
  <w:abstractNum w:abstractNumId="210">
    <w:nsid w:val="6A1B45E5"/>
    <w:multiLevelType w:val="hybridMultilevel"/>
    <w:lvl w:ilvl="0">
      <w:lvlJc w:val="left"/>
      <w:lvlText w:val="(%1)"/>
      <w:numFmt w:val="lowerLetter"/>
      <w:start w:val="1"/>
    </w:lvl>
  </w:abstractNum>
  <w:abstractNum w:abstractNumId="211">
    <w:nsid w:val="567BD50A"/>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212">
    <w:nsid w:val="73BBD7F8"/>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213">
    <w:nsid w:val="1876589D"/>
    <w:multiLevelType w:val="hybridMultilevel"/>
    <w:lvl w:ilvl="0">
      <w:lvlJc w:val="left"/>
      <w:lvlText w:val="%1"/>
      <w:numFmt w:val="upperLetter"/>
      <w:start w:val="1"/>
    </w:lvl>
    <w:lvl w:ilvl="1">
      <w:lvlJc w:val="left"/>
      <w:lvlText w:val="(%2)"/>
      <w:numFmt w:val="lowerLetter"/>
      <w:start w:val="23"/>
    </w:lvl>
  </w:abstractNum>
  <w:abstractNum w:abstractNumId="214">
    <w:nsid w:val="327FAC77"/>
    <w:multiLevelType w:val="hybridMultilevel"/>
    <w:lvl w:ilvl="0">
      <w:lvlJc w:val="left"/>
      <w:lvlText w:val="(%1)"/>
      <w:numFmt w:val="upperLetter"/>
      <w:start w:val="2"/>
    </w:lvl>
    <w:lvl w:ilvl="1">
      <w:lvlJc w:val="left"/>
      <w:lvlText w:val="(%2)"/>
      <w:numFmt w:val="lowerLetter"/>
      <w:start w:val="24"/>
    </w:lvl>
  </w:abstractNum>
  <w:abstractNum w:abstractNumId="215">
    <w:nsid w:val="5A606509"/>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26"/>
    </w:lvl>
  </w:abstractNum>
  <w:abstractNum w:abstractNumId="216">
    <w:nsid w:val="6F38E6D1"/>
    <w:multiLevelType w:val="hybridMultilevel"/>
    <w:lvl w:ilvl="0">
      <w:lvlJc w:val="left"/>
      <w:lvlText w:val="%1"/>
      <w:numFmt w:val="upperLetter"/>
      <w:start w:val="1"/>
    </w:lvl>
    <w:lvl w:ilvl="1">
      <w:lvlJc w:val="left"/>
      <w:lvlText w:val="(%2)"/>
      <w:numFmt w:val="upperLetter"/>
      <w:start w:val="3"/>
    </w:lvl>
    <w:lvl w:ilvl="2">
      <w:lvlJc w:val="left"/>
      <w:lvlText w:val="%3"/>
      <w:numFmt w:val="lowerLetter"/>
      <w:start w:val="1"/>
    </w:lvl>
  </w:abstractNum>
  <w:abstractNum w:abstractNumId="217">
    <w:nsid w:val="46111BA5"/>
    <w:multiLevelType w:val="hybridMultilevel"/>
    <w:lvl w:ilvl="0">
      <w:lvlJc w:val="left"/>
      <w:lvlText w:val="(%1)"/>
      <w:numFmt w:val="upperLetter"/>
      <w:start w:val="1"/>
    </w:lvl>
    <w:lvl w:ilvl="1">
      <w:lvlJc w:val="left"/>
      <w:lvlText w:val="(%2)"/>
      <w:numFmt w:val="upperLetter"/>
      <w:start w:val="4"/>
    </w:lvl>
    <w:lvl w:ilvl="2">
      <w:lvlJc w:val="left"/>
      <w:lvlText w:val="(%3)"/>
      <w:numFmt w:val="lowerLetter"/>
      <w:start w:val="24"/>
    </w:lvl>
  </w:abstractNum>
  <w:abstractNum w:abstractNumId="218">
    <w:nsid w:val="5E963896"/>
    <w:multiLevelType w:val="hybridMultilevel"/>
    <w:lvl w:ilvl="0">
      <w:lvlJc w:val="left"/>
      <w:lvlText w:val="(%1)"/>
      <w:numFmt w:val="lowerLetter"/>
      <w:start w:val="25"/>
    </w:lvl>
  </w:abstractNum>
  <w:abstractNum w:abstractNumId="219">
    <w:nsid w:val="775BA7C1"/>
    <w:multiLevelType w:val="hybridMultilevel"/>
    <w:lvl w:ilvl="0">
      <w:lvlJc w:val="left"/>
      <w:lvlText w:val="(%1)"/>
      <w:numFmt w:val="upperLetter"/>
      <w:start w:val="6"/>
    </w:lvl>
  </w:abstractNum>
  <w:abstractNum w:abstractNumId="220">
    <w:nsid w:val="1DD6D6F4"/>
    <w:multiLevelType w:val="hybridMultilevel"/>
    <w:lvl w:ilvl="0">
      <w:lvlJc w:val="left"/>
      <w:lvlText w:val="(%1)"/>
      <w:numFmt w:val="lowerLetter"/>
      <w:start w:val="3"/>
    </w:lvl>
  </w:abstractNum>
  <w:abstractNum w:abstractNumId="221">
    <w:nsid w:val="769A091F"/>
    <w:multiLevelType w:val="hybridMultilevel"/>
    <w:lvl w:ilvl="0">
      <w:lvlJc w:val="left"/>
      <w:lvlText w:val="(%1)"/>
      <w:numFmt w:val="lowerLetter"/>
      <w:start w:val="1"/>
    </w:lvl>
  </w:abstractNum>
  <w:abstractNum w:abstractNumId="222">
    <w:nsid w:val="4695AE95"/>
    <w:multiLevelType w:val="hybridMultilevel"/>
    <w:lvl w:ilvl="0">
      <w:lvlJc w:val="left"/>
      <w:lvlText w:val="(%1)"/>
      <w:numFmt w:val="lowerLetter"/>
      <w:start w:val="7"/>
    </w:lvl>
  </w:abstractNum>
  <w:abstractNum w:abstractNumId="223">
    <w:nsid w:val="777A4EAA"/>
    <w:multiLevelType w:val="hybridMultilevel"/>
    <w:lvl w:ilvl="0">
      <w:lvlJc w:val="left"/>
      <w:lvlText w:val="(%1)"/>
      <w:numFmt w:val="lowerLetter"/>
      <w:start w:val="2"/>
    </w:lvl>
  </w:abstractNum>
  <w:abstractNum w:abstractNumId="224">
    <w:nsid w:val="3F48B982"/>
    <w:multiLevelType w:val="hybridMultilevel"/>
    <w:lvl w:ilvl="0">
      <w:lvlJc w:val="left"/>
      <w:lvlText w:val="(%1)"/>
      <w:numFmt w:val="lowerRoman"/>
      <w:start w:val="1"/>
    </w:lvl>
  </w:abstractNum>
  <w:abstractNum w:abstractNumId="225">
    <w:nsid w:val="46BA8FCA"/>
    <w:multiLevelType w:val="hybridMultilevel"/>
    <w:lvl w:ilvl="0">
      <w:lvlJc w:val="left"/>
      <w:lvlText w:val="(%1)"/>
      <w:numFmt w:val="lowerLetter"/>
      <w:start w:val="1"/>
    </w:lvl>
  </w:abstractNum>
  <w:abstractNum w:abstractNumId="226">
    <w:nsid w:val="7835626C"/>
    <w:multiLevelType w:val="hybridMultilevel"/>
    <w:lvl w:ilvl="0">
      <w:lvlJc w:val="left"/>
      <w:lvlText w:val="(%1)"/>
      <w:numFmt w:val="lowerLetter"/>
      <w:start w:val="10"/>
    </w:lvl>
  </w:abstractNum>
  <w:abstractNum w:abstractNumId="227">
    <w:nsid w:val="665ACA49"/>
    <w:multiLevelType w:val="hybridMultilevel"/>
    <w:lvl w:ilvl="0">
      <w:lvlJc w:val="left"/>
      <w:lvlText w:val="%1"/>
      <w:numFmt w:val="lowerLetter"/>
      <w:start w:val="1"/>
    </w:lvl>
    <w:lvl w:ilvl="1">
      <w:lvlJc w:val="left"/>
      <w:lvlText w:val="(%2)"/>
      <w:numFmt w:val="lowerLetter"/>
      <w:start w:val="13"/>
    </w:lvl>
  </w:abstractNum>
  <w:abstractNum w:abstractNumId="228">
    <w:nsid w:val="6835B2AE"/>
    <w:multiLevelType w:val="hybridMultilevel"/>
    <w:lvl w:ilvl="0">
      <w:lvlJc w:val="left"/>
      <w:lvlText w:val="(%1)"/>
      <w:numFmt w:val="lowerLetter"/>
      <w:start w:val="35"/>
    </w:lvl>
    <w:lvl w:ilvl="1">
      <w:lvlJc w:val="left"/>
      <w:lvlText w:val="(%2)"/>
      <w:numFmt w:val="lowerLetter"/>
      <w:start w:val="15"/>
    </w:lvl>
  </w:abstractNum>
  <w:abstractNum w:abstractNumId="229">
    <w:nsid w:val="4C187C90"/>
    <w:multiLevelType w:val="hybridMultilevel"/>
    <w:lvl w:ilvl="0">
      <w:lvlJc w:val="left"/>
      <w:lvlText w:val="(%1)"/>
      <w:numFmt w:val="lowerLetter"/>
      <w:start w:val="1"/>
    </w:lvl>
  </w:abstractNum>
  <w:abstractNum w:abstractNumId="230">
    <w:nsid w:val="541F28CD"/>
    <w:multiLevelType w:val="hybridMultilevel"/>
    <w:lvl w:ilvl="0">
      <w:lvlJc w:val="left"/>
      <w:lvlText w:val="(%1)"/>
      <w:numFmt w:val="lowerLetter"/>
      <w:start w:val="2"/>
    </w:lvl>
  </w:abstractNum>
  <w:abstractNum w:abstractNumId="231">
    <w:nsid w:val="7F65FD16"/>
    <w:multiLevelType w:val="hybridMultilevel"/>
    <w:lvl w:ilvl="0">
      <w:lvlJc w:val="left"/>
      <w:lvlText w:val="(%1)"/>
      <w:numFmt w:val="lowerLetter"/>
      <w:start w:val="1"/>
    </w:lvl>
  </w:abstractNum>
  <w:abstractNum w:abstractNumId="232">
    <w:nsid w:val="77C9FD68"/>
    <w:multiLevelType w:val="hybridMultilevel"/>
    <w:lvl w:ilvl="0">
      <w:lvlJc w:val="left"/>
      <w:lvlText w:val="(%1)"/>
      <w:numFmt w:val="lowerLetter"/>
      <w:start w:val="7"/>
    </w:lvl>
  </w:abstractNum>
  <w:abstractNum w:abstractNumId="233">
    <w:nsid w:val="298A92BA"/>
    <w:multiLevelType w:val="hybridMultilevel"/>
    <w:lvl w:ilvl="0">
      <w:lvlJc w:val="left"/>
      <w:lvlText w:val="(%1)"/>
      <w:numFmt w:val="lowerLetter"/>
      <w:start w:val="1"/>
    </w:lvl>
  </w:abstractNum>
  <w:abstractNum w:abstractNumId="234">
    <w:nsid w:val="6FE95EAC"/>
    <w:multiLevelType w:val="hybridMultilevel"/>
    <w:lvl w:ilvl="0">
      <w:lvlJc w:val="left"/>
      <w:lvlText w:val="(%1)"/>
      <w:numFmt w:val="lowerLetter"/>
      <w:start w:val="3"/>
    </w:lvl>
  </w:abstractNum>
  <w:abstractNum w:abstractNumId="235">
    <w:nsid w:val="4B697C7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36">
    <w:nsid w:val="51A27AA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4"/>
    </w:lvl>
  </w:abstractNum>
  <w:abstractNum w:abstractNumId="237">
    <w:nsid w:val="613183F2"/>
    <w:multiLevelType w:val="hybridMultilevel"/>
    <w:lvl w:ilvl="0">
      <w:lvlJc w:val="left"/>
      <w:lvlText w:val="(%1)"/>
      <w:numFmt w:val="lowerLetter"/>
      <w:start w:val="24"/>
    </w:lvl>
    <w:lvl w:ilvl="1">
      <w:lvlJc w:val="left"/>
      <w:lvlText w:val="%2"/>
      <w:numFmt w:val="lowerRoman"/>
      <w:start w:val="1"/>
    </w:lvl>
    <w:lvl w:ilvl="2">
      <w:lvlJc w:val="left"/>
      <w:lvlText w:val="%3"/>
      <w:numFmt w:val="lowerLetter"/>
      <w:start w:val="1"/>
    </w:lvl>
  </w:abstractNum>
  <w:abstractNum w:abstractNumId="238">
    <w:nsid w:val="634102B4"/>
    <w:multiLevelType w:val="hybridMultilevel"/>
    <w:lvl w:ilvl="0">
      <w:lvlJc w:val="left"/>
      <w:lvlText w:val="(%1)"/>
      <w:numFmt w:val="lowerLetter"/>
      <w:start w:val="1"/>
    </w:lvl>
  </w:abstractNum>
  <w:abstractNum w:abstractNumId="239">
    <w:nsid w:val="65BF9DA8"/>
    <w:multiLevelType w:val="hybridMultilevel"/>
    <w:lvl w:ilvl="0">
      <w:lvlJc w:val="left"/>
      <w:lvlText w:val="(%1)"/>
      <w:numFmt w:val="lowerLetter"/>
      <w:start w:val="1"/>
    </w:lvl>
  </w:abstractNum>
  <w:abstractNum w:abstractNumId="240">
    <w:nsid w:val="21A2ECCA"/>
    <w:multiLevelType w:val="hybridMultilevel"/>
    <w:lvl w:ilvl="0">
      <w:lvlJc w:val="left"/>
      <w:lvlText w:val="(%1)"/>
      <w:numFmt w:val="lowerLetter"/>
      <w:start w:val="6"/>
    </w:lvl>
  </w:abstractNum>
  <w:abstractNum w:abstractNumId="241">
    <w:nsid w:val="4D5C4899"/>
    <w:multiLevelType w:val="hybridMultilevel"/>
    <w:lvl w:ilvl="0">
      <w:lvlJc w:val="left"/>
      <w:lvlText w:val="(%1)"/>
      <w:numFmt w:val="lowerLetter"/>
      <w:start w:val="2"/>
    </w:lvl>
  </w:abstractNum>
  <w:abstractNum w:abstractNumId="242">
    <w:nsid w:val="3C3B72B2"/>
    <w:multiLevelType w:val="hybridMultilevel"/>
    <w:lvl w:ilvl="0">
      <w:lvlJc w:val="left"/>
      <w:lvlText w:val="(%1)"/>
      <w:numFmt w:val="lowerLetter"/>
      <w:start w:val="1"/>
    </w:lvl>
  </w:abstractNum>
  <w:abstractNum w:abstractNumId="243">
    <w:nsid w:val="155EC4C2"/>
    <w:multiLevelType w:val="hybridMultilevel"/>
    <w:lvl w:ilvl="0">
      <w:lvlJc w:val="left"/>
      <w:lvlText w:val="(%1)"/>
      <w:numFmt w:val="lowerLetter"/>
      <w:start w:val="2"/>
    </w:lvl>
  </w:abstractNum>
  <w:abstractNum w:abstractNumId="244">
    <w:nsid w:val="65D2A137"/>
    <w:multiLevelType w:val="hybridMultilevel"/>
    <w:lvl w:ilvl="0">
      <w:lvlJc w:val="left"/>
      <w:lvlText w:val="%1"/>
      <w:numFmt w:val="lowerRoman"/>
      <w:start w:val="1"/>
    </w:lvl>
    <w:lvl w:ilvl="1">
      <w:lvlJc w:val="left"/>
      <w:lvlText w:val="(%2)"/>
      <w:numFmt w:val="lowerLetter"/>
      <w:start w:val="1"/>
    </w:lvl>
  </w:abstractNum>
  <w:abstractNum w:abstractNumId="245">
    <w:nsid w:val="6EBB1F2A"/>
    <w:multiLevelType w:val="hybridMultilevel"/>
    <w:lvl w:ilvl="0">
      <w:lvlJc w:val="left"/>
      <w:lvlText w:val="(%1)"/>
      <w:numFmt w:val="lowerRoman"/>
      <w:start w:val="1"/>
    </w:lvl>
    <w:lvl w:ilvl="1">
      <w:lvlJc w:val="left"/>
      <w:lvlText w:val="(%2)"/>
      <w:numFmt w:val="lowerLetter"/>
      <w:start w:val="5"/>
    </w:lvl>
  </w:abstractNum>
  <w:abstractNum w:abstractNumId="246">
    <w:nsid w:val="6FBF29CB"/>
    <w:multiLevelType w:val="hybridMultilevel"/>
    <w:lvl w:ilvl="0">
      <w:lvlJc w:val="left"/>
      <w:lvlText w:val="%1"/>
      <w:numFmt w:val="lowerLetter"/>
      <w:start w:val="1"/>
    </w:lvl>
    <w:lvl w:ilvl="1">
      <w:lvlJc w:val="left"/>
      <w:lvlText w:val="(%2)"/>
      <w:numFmt w:val="lowerLetter"/>
      <w:start w:val="6"/>
    </w:lvl>
  </w:abstractNum>
  <w:abstractNum w:abstractNumId="247">
    <w:nsid w:val="550B8808"/>
    <w:multiLevelType w:val="hybridMultilevel"/>
    <w:lvl w:ilvl="0">
      <w:lvlJc w:val="left"/>
      <w:lvlText w:val="(%1)"/>
      <w:numFmt w:val="lowerLetter"/>
      <w:start w:val="9"/>
    </w:lvl>
    <w:lvl w:ilvl="1">
      <w:lvlJc w:val="left"/>
      <w:lvlText w:val="(%2)"/>
      <w:numFmt w:val="lowerLetter"/>
      <w:start w:val="10"/>
    </w:lvl>
  </w:abstractNum>
  <w:abstractNum w:abstractNumId="248">
    <w:nsid w:val="34CC3ACF"/>
    <w:multiLevelType w:val="hybridMultilevel"/>
    <w:lvl w:ilvl="0">
      <w:lvlJc w:val="left"/>
      <w:lvlText w:val="(%1)"/>
      <w:numFmt w:val="lowerLetter"/>
      <w:start w:val="11"/>
    </w:lvl>
  </w:abstractNum>
  <w:abstractNum w:abstractNumId="249">
    <w:nsid w:val="4E556261"/>
    <w:multiLevelType w:val="hybridMultilevel"/>
    <w:lvl w:ilvl="0">
      <w:lvlJc w:val="left"/>
      <w:lvlText w:val="(%1)"/>
      <w:numFmt w:val="lowerLetter"/>
      <w:start w:val="19"/>
    </w:lvl>
  </w:abstractNum>
  <w:abstractNum w:abstractNumId="250">
    <w:nsid w:val="4C672FC9"/>
    <w:multiLevelType w:val="hybridMultilevel"/>
    <w:lvl w:ilvl="0">
      <w:lvlJc w:val="left"/>
      <w:lvlText w:val="(%1)"/>
      <w:numFmt w:val="lowerLetter"/>
      <w:start w:val="1"/>
    </w:lvl>
  </w:abstractNum>
  <w:abstractNum w:abstractNumId="251">
    <w:nsid w:val="52A311C3"/>
    <w:multiLevelType w:val="hybridMultilevel"/>
    <w:lvl w:ilvl="0">
      <w:lvlJc w:val="left"/>
      <w:lvlText w:val="%1"/>
      <w:numFmt w:val="lowerLetter"/>
      <w:start w:val="1"/>
    </w:lvl>
    <w:lvl w:ilvl="1">
      <w:lvlJc w:val="left"/>
      <w:lvlText w:val="(%2)"/>
      <w:numFmt w:val="lowerLetter"/>
      <w:start w:val="1"/>
    </w:lvl>
  </w:abstractNum>
  <w:abstractNum w:abstractNumId="252">
    <w:nsid w:val="44EF6B80"/>
    <w:multiLevelType w:val="hybridMultilevel"/>
    <w:lvl w:ilvl="0">
      <w:lvlJc w:val="left"/>
      <w:lvlText w:val="(%1)"/>
      <w:numFmt w:val="lowerLetter"/>
      <w:start w:val="9"/>
    </w:lvl>
    <w:lvl w:ilvl="1">
      <w:lvlJc w:val="left"/>
      <w:lvlText w:val="%2"/>
      <w:numFmt w:val="lowerLetter"/>
      <w:start w:val="1"/>
    </w:lvl>
  </w:abstractNum>
  <w:abstractNum w:abstractNumId="253">
    <w:nsid w:val="12FCDE5E"/>
    <w:multiLevelType w:val="hybridMultilevel"/>
    <w:lvl w:ilvl="0">
      <w:lvlJc w:val="left"/>
      <w:lvlText w:val="(%1)"/>
      <w:numFmt w:val="lowerRoman"/>
      <w:start w:val="2"/>
    </w:lvl>
  </w:abstractNum>
  <w:abstractNum w:abstractNumId="254">
    <w:nsid w:val="4A1D606E"/>
    <w:multiLevelType w:val="hybridMultilevel"/>
    <w:lvl w:ilvl="0">
      <w:lvlJc w:val="left"/>
      <w:lvlText w:val="(%1)"/>
      <w:numFmt w:val="lowerRoman"/>
      <w:start w:val="3"/>
    </w:lvl>
  </w:abstractNum>
  <w:abstractNum w:abstractNumId="255">
    <w:nsid w:val="4382503"/>
    <w:multiLevelType w:val="hybridMultilevel"/>
    <w:lvl w:ilvl="0">
      <w:lvlJc w:val="left"/>
      <w:lvlText w:val="(%1)"/>
      <w:numFmt w:val="lowerRoman"/>
      <w:start w:val="4"/>
    </w:lvl>
  </w:abstractNum>
  <w:abstractNum w:abstractNumId="256">
    <w:nsid w:val="59B76E28"/>
    <w:multiLevelType w:val="hybridMultilevel"/>
    <w:lvl w:ilvl="0">
      <w:lvlJc w:val="left"/>
      <w:lvlText w:val="(%1)"/>
      <w:numFmt w:val="lowerRoman"/>
      <w:start w:val="5"/>
    </w:lvl>
  </w:abstractNum>
  <w:abstractNum w:abstractNumId="257">
    <w:nsid w:val="4252C2DA"/>
    <w:multiLevelType w:val="hybridMultilevel"/>
    <w:lvl w:ilvl="0">
      <w:lvlJc w:val="left"/>
      <w:lvlText w:val="(%1)"/>
      <w:numFmt w:val="lowerLetter"/>
      <w:start w:val="2"/>
    </w:lvl>
  </w:abstractNum>
  <w:abstractNum w:abstractNumId="258">
    <w:nsid w:val="6A92EF4C"/>
    <w:multiLevelType w:val="hybridMultilevel"/>
    <w:lvl w:ilvl="0">
      <w:lvlJc w:val="left"/>
      <w:lvlText w:val="(%1)"/>
      <w:numFmt w:val="lowerRoman"/>
      <w:start w:val="1"/>
    </w:lvl>
  </w:abstractNum>
  <w:abstractNum w:abstractNumId="259">
    <w:nsid w:val="41ED20D7"/>
    <w:multiLevelType w:val="hybridMultilevel"/>
    <w:lvl w:ilvl="0">
      <w:lvlJc w:val="left"/>
      <w:lvlText w:val="(%1)"/>
      <w:numFmt w:val="lowerLetter"/>
      <w:start w:val="3"/>
    </w:lvl>
  </w:abstractNum>
  <w:abstractNum w:abstractNumId="260">
    <w:nsid w:val="E6B3F6A"/>
    <w:multiLevelType w:val="hybridMultilevel"/>
    <w:lvl w:ilvl="0">
      <w:lvlJc w:val="left"/>
      <w:lvlText w:val="%1"/>
      <w:numFmt w:val="lowerRoman"/>
      <w:start w:val="1"/>
    </w:lvl>
    <w:lvl w:ilvl="1">
      <w:lvlJc w:val="left"/>
      <w:lvlText w:val="(%2)"/>
      <w:numFmt w:val="lowerLetter"/>
      <w:start w:val="1"/>
    </w:lvl>
  </w:abstractNum>
  <w:abstractNum w:abstractNumId="261">
    <w:nsid w:val="3EB21819"/>
    <w:multiLevelType w:val="hybridMultilevel"/>
    <w:lvl w:ilvl="0">
      <w:lvlJc w:val="left"/>
      <w:lvlText w:val="(%1)"/>
      <w:numFmt w:val="lowerRoman"/>
      <w:start w:val="1"/>
    </w:lvl>
    <w:lvl w:ilvl="1">
      <w:lvlJc w:val="left"/>
      <w:lvlText w:val="%2"/>
      <w:numFmt w:val="lowerLetter"/>
      <w:start w:val="1"/>
    </w:lvl>
  </w:abstractNum>
  <w:abstractNum w:abstractNumId="262">
    <w:nsid w:val="41531DED"/>
    <w:multiLevelType w:val="hybridMultilevel"/>
    <w:lvl w:ilvl="0">
      <w:lvlJc w:val="left"/>
      <w:lvlText w:val="%1"/>
      <w:numFmt w:val="lowerLetter"/>
      <w:start w:val="1"/>
    </w:lvl>
    <w:lvl w:ilvl="1">
      <w:lvlJc w:val="left"/>
      <w:lvlText w:val="(%2)"/>
      <w:numFmt w:val="lowerLetter"/>
      <w:start w:val="3"/>
    </w:lvl>
  </w:abstractNum>
  <w:abstractNum w:abstractNumId="263">
    <w:nsid w:val="6353CD2"/>
    <w:multiLevelType w:val="hybridMultilevel"/>
    <w:lvl w:ilvl="0">
      <w:lvlJc w:val="left"/>
      <w:lvlText w:val="(%1)"/>
      <w:numFmt w:val="lowerLetter"/>
      <w:start w:val="35"/>
    </w:lvl>
    <w:lvl w:ilvl="1">
      <w:lvlJc w:val="left"/>
      <w:lvlText w:val="(%2)"/>
      <w:numFmt w:val="lowerLetter"/>
      <w:start w:val="4"/>
    </w:lvl>
  </w:abstractNum>
  <w:abstractNum w:abstractNumId="264">
    <w:nsid w:val="683CAAD3"/>
    <w:multiLevelType w:val="hybridMultilevel"/>
    <w:lvl w:ilvl="0">
      <w:lvlJc w:val="left"/>
      <w:lvlText w:val="(%1)"/>
      <w:numFmt w:val="lowerLetter"/>
      <w:start w:val="1"/>
    </w:lvl>
  </w:abstractNum>
  <w:abstractNum w:abstractNumId="265">
    <w:nsid w:val="313C7C99"/>
    <w:multiLevelType w:val="hybridMultilevel"/>
    <w:lvl w:ilvl="0">
      <w:lvlJc w:val="left"/>
      <w:lvlText w:val="(%1)"/>
      <w:numFmt w:val="lowerLetter"/>
      <w:start w:val="3"/>
    </w:lvl>
  </w:abstractNum>
  <w:abstractNum w:abstractNumId="266">
    <w:nsid w:val="519EB94C"/>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267">
    <w:nsid w:val="39DF2579"/>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268">
    <w:nsid w:val="126E008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269">
    <w:nsid w:val="34DFBC00"/>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70">
    <w:nsid w:val="1F9EC322"/>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271">
    <w:nsid w:val="3410ED56"/>
    <w:multiLevelType w:val="hybridMultilevel"/>
    <w:lvl w:ilvl="0">
      <w:lvlJc w:val="left"/>
      <w:lvlText w:val="%1"/>
      <w:numFmt w:val="lowerLetter"/>
      <w:start w:val="1"/>
    </w:lvl>
    <w:lvl w:ilvl="1">
      <w:lvlJc w:val="left"/>
      <w:lvlText w:val="(%2)"/>
      <w:numFmt w:val="lowerLetter"/>
      <w:start w:val="3"/>
    </w:lvl>
  </w:abstractNum>
  <w:abstractNum w:abstractNumId="272">
    <w:nsid w:val="23C049A"/>
    <w:multiLevelType w:val="hybridMultilevel"/>
    <w:lvl w:ilvl="0">
      <w:lvlJc w:val="left"/>
      <w:lvlText w:val="(%1)"/>
      <w:numFmt w:val="lowerLetter"/>
      <w:start w:val="2"/>
    </w:lvl>
    <w:lvl w:ilvl="1">
      <w:lvlJc w:val="left"/>
      <w:lvlText w:val="(%2)"/>
      <w:numFmt w:val="lowerLetter"/>
      <w:start w:val="5"/>
    </w:lvl>
  </w:abstractNum>
  <w:abstractNum w:abstractNumId="273">
    <w:nsid w:val="5BDA35D4"/>
    <w:multiLevelType w:val="hybridMultilevel"/>
    <w:lvl w:ilvl="0">
      <w:lvlJc w:val="left"/>
      <w:lvlText w:val="(%1)"/>
      <w:numFmt w:val="lowerLetter"/>
      <w:start w:val="35"/>
    </w:lvl>
    <w:lvl w:ilvl="1">
      <w:lvlJc w:val="left"/>
      <w:lvlText w:val="(%2)"/>
      <w:numFmt w:val="lowerLetter"/>
      <w:start w:val="6"/>
    </w:lvl>
  </w:abstractNum>
  <w:abstractNum w:abstractNumId="274">
    <w:nsid w:val="496FB218"/>
    <w:multiLevelType w:val="hybridMultilevel"/>
    <w:lvl w:ilvl="0">
      <w:lvlJc w:val="left"/>
      <w:lvlText w:val="(%1)"/>
      <w:numFmt w:val="lowerLetter"/>
      <w:start w:val="7"/>
    </w:lvl>
  </w:abstractNum>
  <w:abstractNum w:abstractNumId="275">
    <w:nsid w:val="680EA5D1"/>
    <w:multiLevelType w:val="hybridMultilevel"/>
    <w:lvl w:ilvl="0">
      <w:lvlJc w:val="left"/>
      <w:lvlText w:val="(%1)"/>
      <w:numFmt w:val="lowerRoman"/>
      <w:start w:val="1"/>
    </w:lvl>
  </w:abstractNum>
  <w:abstractNum w:abstractNumId="276">
    <w:nsid w:val="4A9554FE"/>
    <w:multiLevelType w:val="hybridMultilevel"/>
    <w:lvl w:ilvl="0">
      <w:lvlJc w:val="left"/>
      <w:lvlText w:val="(%1)"/>
      <w:numFmt w:val="lowerLetter"/>
      <w:start w:val="1"/>
    </w:lvl>
  </w:abstractNum>
  <w:abstractNum w:abstractNumId="277">
    <w:nsid w:val="392EDBE4"/>
    <w:multiLevelType w:val="hybridMultilevel"/>
    <w:lvl w:ilvl="0">
      <w:lvlJc w:val="left"/>
      <w:lvlText w:val="(%1)"/>
      <w:numFmt w:val="lowerLetter"/>
      <w:start w:val="1"/>
    </w:lvl>
  </w:abstractNum>
  <w:abstractNum w:abstractNumId="278">
    <w:nsid w:val="3D1A2DD9"/>
    <w:multiLevelType w:val="hybridMultilevel"/>
    <w:lvl w:ilvl="0">
      <w:lvlJc w:val="left"/>
      <w:lvlText w:val="(%1)"/>
      <w:numFmt w:val="lowerLetter"/>
      <w:start w:val="3"/>
    </w:lvl>
  </w:abstractNum>
  <w:abstractNum w:abstractNumId="279">
    <w:nsid w:val="7F618FCD"/>
    <w:multiLevelType w:val="hybridMultilevel"/>
    <w:lvl w:ilvl="0">
      <w:lvlJc w:val="left"/>
      <w:lvlText w:val="(%1)"/>
      <w:numFmt w:val="upperLetter"/>
      <w:start w:val="2"/>
    </w:lvl>
  </w:abstractNum>
  <w:abstractNum w:abstractNumId="280">
    <w:nsid w:val="7843E45"/>
    <w:multiLevelType w:val="hybridMultilevel"/>
    <w:lvl w:ilvl="0">
      <w:lvlJc w:val="left"/>
      <w:lvlText w:val="(%1)"/>
      <w:numFmt w:val="lowerLetter"/>
      <w:start w:val="1"/>
    </w:lvl>
  </w:abstractNum>
  <w:abstractNum w:abstractNumId="281">
    <w:nsid w:val="9815DA3"/>
    <w:multiLevelType w:val="hybridMultilevel"/>
    <w:lvl w:ilvl="0">
      <w:lvlJc w:val="left"/>
      <w:lvlText w:val="(%1)"/>
      <w:numFmt w:val="lowerLetter"/>
      <w:start w:val="2"/>
    </w:lvl>
  </w:abstractNum>
  <w:abstractNum w:abstractNumId="282">
    <w:nsid w:val="5204A191"/>
    <w:multiLevelType w:val="hybridMultilevel"/>
    <w:lvl w:ilvl="0">
      <w:lvlJc w:val="left"/>
      <w:lvlText w:val="(%1)"/>
      <w:numFmt w:val="lowerLetter"/>
      <w:start w:val="1"/>
    </w:lvl>
    <w:lvl w:ilvl="1">
      <w:lvlJc w:val="left"/>
      <w:lvlText w:val="(%2)"/>
      <w:numFmt w:val="lowerRoman"/>
      <w:start w:val="1"/>
    </w:lvl>
  </w:abstractNum>
  <w:abstractNum w:abstractNumId="283">
    <w:nsid w:val="4C73A9C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84">
    <w:nsid w:val="1C7E3C0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85">
    <w:nsid w:val="1C2201FF"/>
    <w:multiLevelType w:val="hybridMultilevel"/>
    <w:lvl w:ilvl="0">
      <w:lvlJc w:val="left"/>
      <w:lvlText w:val="(%1)"/>
      <w:numFmt w:val="lowerLetter"/>
      <w:start w:val="7"/>
    </w:lvl>
    <w:lvl w:ilvl="1">
      <w:lvlJc w:val="left"/>
      <w:lvlText w:val="(%2)"/>
      <w:numFmt w:val="lowerRoman"/>
      <w:start w:val="4"/>
    </w:lvl>
    <w:lvl w:ilvl="2">
      <w:lvlJc w:val="left"/>
      <w:lvlText w:val="(%3)"/>
      <w:numFmt w:val="lowerLetter"/>
      <w:start w:val="2"/>
    </w:lvl>
  </w:abstractNum>
  <w:abstractNum w:abstractNumId="286">
    <w:nsid w:val="50ABCEC9"/>
    <w:multiLevelType w:val="hybridMultilevel"/>
    <w:lvl w:ilvl="0">
      <w:lvlJc w:val="left"/>
      <w:lvlText w:val="(%1)"/>
      <w:numFmt w:val="lowerRoman"/>
      <w:start w:val="1"/>
    </w:lvl>
    <w:lvl w:ilvl="1">
      <w:lvlJc w:val="left"/>
      <w:lvlText w:val="(%2)"/>
      <w:numFmt w:val="lowerLetter"/>
      <w:start w:val="3"/>
    </w:lvl>
  </w:abstractNum>
  <w:abstractNum w:abstractNumId="287">
    <w:nsid w:val="7635AA2A"/>
    <w:multiLevelType w:val="hybridMultilevel"/>
    <w:lvl w:ilvl="0">
      <w:lvlJc w:val="left"/>
      <w:lvlText w:val="(%1)"/>
      <w:numFmt w:val="decimal"/>
      <w:start w:val="1"/>
    </w:lvl>
    <w:lvl w:ilvl="1">
      <w:lvlJc w:val="left"/>
      <w:lvlText w:val="(%2)"/>
      <w:numFmt w:val="lowerLetter"/>
      <w:start w:val="1"/>
    </w:lvl>
  </w:abstractNum>
  <w:abstractNum w:abstractNumId="288">
    <w:nsid w:val="5E74C4D9"/>
    <w:multiLevelType w:val="hybridMultilevel"/>
    <w:lvl w:ilvl="0">
      <w:lvlJc w:val="left"/>
      <w:lvlText w:val="(%1)"/>
      <w:numFmt w:val="decimal"/>
      <w:start w:val="1"/>
    </w:lvl>
    <w:lvl w:ilvl="1">
      <w:lvlJc w:val="left"/>
      <w:lvlText w:val="(%2)"/>
      <w:numFmt w:val="lowerLetter"/>
      <w:start w:val="1"/>
    </w:lvl>
  </w:abstractNum>
  <w:abstractNum w:abstractNumId="289">
    <w:nsid w:val="3B3EBE1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pn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pn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pn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png"/><Relationship Id="rId308" Type="http://schemas.openxmlformats.org/officeDocument/2006/relationships/image" Target="media/image276.png"/><Relationship Id="rId309" Type="http://schemas.openxmlformats.org/officeDocument/2006/relationships/image" Target="media/image277.png"/><Relationship Id="rId310" Type="http://schemas.openxmlformats.org/officeDocument/2006/relationships/image" Target="media/image278.png"/><Relationship Id="rId311"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png"/><Relationship Id="rId314"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png"/><Relationship Id="rId317" Type="http://schemas.openxmlformats.org/officeDocument/2006/relationships/image" Target="media/image285.png"/><Relationship Id="rId318" Type="http://schemas.openxmlformats.org/officeDocument/2006/relationships/image" Target="media/image286.png"/><Relationship Id="rId319" Type="http://schemas.openxmlformats.org/officeDocument/2006/relationships/image" Target="media/image287.png"/><Relationship Id="rId320" Type="http://schemas.openxmlformats.org/officeDocument/2006/relationships/image" Target="media/image288.png"/><Relationship Id="rId321"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353" Type="http://schemas.openxmlformats.org/officeDocument/2006/relationships/image" Target="media/image321.png"/><Relationship Id="rId354" Type="http://schemas.openxmlformats.org/officeDocument/2006/relationships/image" Target="media/image322.png"/><Relationship Id="rId355" Type="http://schemas.openxmlformats.org/officeDocument/2006/relationships/image" Target="media/image323.png"/><Relationship Id="rId356" Type="http://schemas.openxmlformats.org/officeDocument/2006/relationships/image" Target="media/image324.png"/><Relationship Id="rId357" Type="http://schemas.openxmlformats.org/officeDocument/2006/relationships/image" Target="media/image325.png"/><Relationship Id="rId358" Type="http://schemas.openxmlformats.org/officeDocument/2006/relationships/image" Target="media/image326.png"/><Relationship Id="rId359" Type="http://schemas.openxmlformats.org/officeDocument/2006/relationships/image" Target="media/image327.png"/><Relationship Id="rId360" Type="http://schemas.openxmlformats.org/officeDocument/2006/relationships/image" Target="media/image328.png"/><Relationship Id="rId361" Type="http://schemas.openxmlformats.org/officeDocument/2006/relationships/image" Target="media/image329.png"/><Relationship Id="rId362" Type="http://schemas.openxmlformats.org/officeDocument/2006/relationships/image" Target="media/image330.png"/><Relationship Id="rId363" Type="http://schemas.openxmlformats.org/officeDocument/2006/relationships/image" Target="media/image331.png"/><Relationship Id="rId364" Type="http://schemas.openxmlformats.org/officeDocument/2006/relationships/image" Target="media/image332.png"/><Relationship Id="rId365" Type="http://schemas.openxmlformats.org/officeDocument/2006/relationships/image" Target="media/image333.png"/><Relationship Id="rId366" Type="http://schemas.openxmlformats.org/officeDocument/2006/relationships/image" Target="media/image334.png"/><Relationship Id="rId367" Type="http://schemas.openxmlformats.org/officeDocument/2006/relationships/image" Target="media/image335.png"/><Relationship Id="rId368" Type="http://schemas.openxmlformats.org/officeDocument/2006/relationships/image" Target="media/image336.png"/><Relationship Id="rId369" Type="http://schemas.openxmlformats.org/officeDocument/2006/relationships/image" Target="media/image337.png"/><Relationship Id="rId370" Type="http://schemas.openxmlformats.org/officeDocument/2006/relationships/image" Target="media/image338.png"/><Relationship Id="rId371" Type="http://schemas.openxmlformats.org/officeDocument/2006/relationships/image" Target="media/image339.png"/><Relationship Id="rId372" Type="http://schemas.openxmlformats.org/officeDocument/2006/relationships/image" Target="media/image340.png"/><Relationship Id="rId373"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7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png"/><Relationship Id="rId382"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389" Type="http://schemas.openxmlformats.org/officeDocument/2006/relationships/image" Target="media/image357.png"/><Relationship Id="rId390" Type="http://schemas.openxmlformats.org/officeDocument/2006/relationships/image" Target="media/image358.png"/><Relationship Id="rId391" Type="http://schemas.openxmlformats.org/officeDocument/2006/relationships/image" Target="media/image359.png"/><Relationship Id="rId392" Type="http://schemas.openxmlformats.org/officeDocument/2006/relationships/image" Target="media/image360.png"/><Relationship Id="rId393" Type="http://schemas.openxmlformats.org/officeDocument/2006/relationships/image" Target="media/image361.png"/><Relationship Id="rId394" Type="http://schemas.openxmlformats.org/officeDocument/2006/relationships/image" Target="media/image362.png"/><Relationship Id="rId395" Type="http://schemas.openxmlformats.org/officeDocument/2006/relationships/image" Target="media/image363.png"/><Relationship Id="rId396" Type="http://schemas.openxmlformats.org/officeDocument/2006/relationships/image" Target="media/image364.png"/><Relationship Id="rId397" Type="http://schemas.openxmlformats.org/officeDocument/2006/relationships/image" Target="media/image365.png"/><Relationship Id="rId398" Type="http://schemas.openxmlformats.org/officeDocument/2006/relationships/image" Target="media/image366.png"/><Relationship Id="rId399" Type="http://schemas.openxmlformats.org/officeDocument/2006/relationships/image" Target="media/image367.png"/><Relationship Id="rId400" Type="http://schemas.openxmlformats.org/officeDocument/2006/relationships/image" Target="media/image368.png"/><Relationship Id="rId401" Type="http://schemas.openxmlformats.org/officeDocument/2006/relationships/image" Target="media/image369.png"/><Relationship Id="rId402" Type="http://schemas.openxmlformats.org/officeDocument/2006/relationships/image" Target="media/image370.png"/><Relationship Id="rId403" Type="http://schemas.openxmlformats.org/officeDocument/2006/relationships/image" Target="media/image371.png"/><Relationship Id="rId404" Type="http://schemas.openxmlformats.org/officeDocument/2006/relationships/image" Target="media/image372.png"/><Relationship Id="rId405" Type="http://schemas.openxmlformats.org/officeDocument/2006/relationships/image" Target="media/image373.png"/><Relationship Id="rId406" Type="http://schemas.openxmlformats.org/officeDocument/2006/relationships/image" Target="media/image374.png"/><Relationship Id="rId407" Type="http://schemas.openxmlformats.org/officeDocument/2006/relationships/image" Target="media/image375.png"/><Relationship Id="rId408" Type="http://schemas.openxmlformats.org/officeDocument/2006/relationships/image" Target="media/image376.png"/><Relationship Id="rId409" Type="http://schemas.openxmlformats.org/officeDocument/2006/relationships/image" Target="media/image377.png"/><Relationship Id="rId410" Type="http://schemas.openxmlformats.org/officeDocument/2006/relationships/image" Target="media/image378.png"/><Relationship Id="rId411" Type="http://schemas.openxmlformats.org/officeDocument/2006/relationships/image" Target="media/image379.png"/><Relationship Id="rId412" Type="http://schemas.openxmlformats.org/officeDocument/2006/relationships/image" Target="media/image380.png"/><Relationship Id="rId413" Type="http://schemas.openxmlformats.org/officeDocument/2006/relationships/image" Target="media/image381.png"/><Relationship Id="rId414" Type="http://schemas.openxmlformats.org/officeDocument/2006/relationships/image" Target="media/image382.png"/><Relationship Id="rId415" Type="http://schemas.openxmlformats.org/officeDocument/2006/relationships/image" Target="media/image383.png"/><Relationship Id="rId416" Type="http://schemas.openxmlformats.org/officeDocument/2006/relationships/image" Target="media/image384.png"/><Relationship Id="rId417" Type="http://schemas.openxmlformats.org/officeDocument/2006/relationships/image" Target="media/image385.png"/><Relationship Id="rId418" Type="http://schemas.openxmlformats.org/officeDocument/2006/relationships/image" Target="media/image386.png"/><Relationship Id="rId419" Type="http://schemas.openxmlformats.org/officeDocument/2006/relationships/image" Target="media/image387.png"/><Relationship Id="rId420" Type="http://schemas.openxmlformats.org/officeDocument/2006/relationships/image" Target="media/image388.png"/><Relationship Id="rId421" Type="http://schemas.openxmlformats.org/officeDocument/2006/relationships/image" Target="media/image389.png"/><Relationship Id="rId422" Type="http://schemas.openxmlformats.org/officeDocument/2006/relationships/image" Target="media/image390.png"/><Relationship Id="rId423" Type="http://schemas.openxmlformats.org/officeDocument/2006/relationships/image" Target="media/image391.png"/><Relationship Id="rId424" Type="http://schemas.openxmlformats.org/officeDocument/2006/relationships/image" Target="media/image392.png"/><Relationship Id="rId425" Type="http://schemas.openxmlformats.org/officeDocument/2006/relationships/image" Target="media/image393.png"/><Relationship Id="rId426" Type="http://schemas.openxmlformats.org/officeDocument/2006/relationships/image" Target="media/image394.png"/><Relationship Id="rId427" Type="http://schemas.openxmlformats.org/officeDocument/2006/relationships/image" Target="media/image395.png"/><Relationship Id="rId428" Type="http://schemas.openxmlformats.org/officeDocument/2006/relationships/image" Target="media/image396.png"/><Relationship Id="rId429" Type="http://schemas.openxmlformats.org/officeDocument/2006/relationships/image" Target="media/image397.png"/><Relationship Id="rId430" Type="http://schemas.openxmlformats.org/officeDocument/2006/relationships/image" Target="media/image398.png"/><Relationship Id="rId431" Type="http://schemas.openxmlformats.org/officeDocument/2006/relationships/image" Target="media/image399.png"/><Relationship Id="rId432" Type="http://schemas.openxmlformats.org/officeDocument/2006/relationships/image" Target="media/image400.png"/><Relationship Id="rId433" Type="http://schemas.openxmlformats.org/officeDocument/2006/relationships/image" Target="media/image401.png"/><Relationship Id="rId434" Type="http://schemas.openxmlformats.org/officeDocument/2006/relationships/image" Target="media/image402.png"/><Relationship Id="rId435" Type="http://schemas.openxmlformats.org/officeDocument/2006/relationships/image" Target="media/image403.png"/><Relationship Id="rId436" Type="http://schemas.openxmlformats.org/officeDocument/2006/relationships/image" Target="media/image404.png"/><Relationship Id="rId437" Type="http://schemas.openxmlformats.org/officeDocument/2006/relationships/image" Target="media/image405.png"/><Relationship Id="rId438" Type="http://schemas.openxmlformats.org/officeDocument/2006/relationships/image" Target="media/image406.png"/><Relationship Id="rId439" Type="http://schemas.openxmlformats.org/officeDocument/2006/relationships/image" Target="media/image407.png"/><Relationship Id="rId440" Type="http://schemas.openxmlformats.org/officeDocument/2006/relationships/image" Target="media/image408.png"/><Relationship Id="rId441" Type="http://schemas.openxmlformats.org/officeDocument/2006/relationships/image" Target="media/image409.png"/><Relationship Id="rId442" Type="http://schemas.openxmlformats.org/officeDocument/2006/relationships/image" Target="media/image410.png"/><Relationship Id="rId443" Type="http://schemas.openxmlformats.org/officeDocument/2006/relationships/image" Target="media/image411.png"/><Relationship Id="rId444" Type="http://schemas.openxmlformats.org/officeDocument/2006/relationships/image" Target="media/image412.png"/><Relationship Id="rId445" Type="http://schemas.openxmlformats.org/officeDocument/2006/relationships/image" Target="media/image413.png"/><Relationship Id="rId446" Type="http://schemas.openxmlformats.org/officeDocument/2006/relationships/image" Target="media/image414.png"/><Relationship Id="rId447" Type="http://schemas.openxmlformats.org/officeDocument/2006/relationships/image" Target="media/image415.png"/><Relationship Id="rId448" Type="http://schemas.openxmlformats.org/officeDocument/2006/relationships/image" Target="media/image416.png"/><Relationship Id="rId449" Type="http://schemas.openxmlformats.org/officeDocument/2006/relationships/image" Target="media/image417.png"/><Relationship Id="rId450" Type="http://schemas.openxmlformats.org/officeDocument/2006/relationships/image" Target="media/image418.png"/><Relationship Id="rId451" Type="http://schemas.openxmlformats.org/officeDocument/2006/relationships/image" Target="media/image419.png"/><Relationship Id="rId452" Type="http://schemas.openxmlformats.org/officeDocument/2006/relationships/image" Target="media/image420.png"/><Relationship Id="rId453" Type="http://schemas.openxmlformats.org/officeDocument/2006/relationships/image" Target="media/image421.png"/><Relationship Id="rId454" Type="http://schemas.openxmlformats.org/officeDocument/2006/relationships/image" Target="media/image422.png"/><Relationship Id="rId455" Type="http://schemas.openxmlformats.org/officeDocument/2006/relationships/image" Target="media/image423.png"/><Relationship Id="rId456" Type="http://schemas.openxmlformats.org/officeDocument/2006/relationships/image" Target="media/image424.png"/><Relationship Id="rId457" Type="http://schemas.openxmlformats.org/officeDocument/2006/relationships/image" Target="media/image425.png"/><Relationship Id="rId458" Type="http://schemas.openxmlformats.org/officeDocument/2006/relationships/image" Target="media/image426.png"/><Relationship Id="rId459" Type="http://schemas.openxmlformats.org/officeDocument/2006/relationships/image" Target="media/image427.png"/><Relationship Id="rId460" Type="http://schemas.openxmlformats.org/officeDocument/2006/relationships/image" Target="media/image428.png"/><Relationship Id="rId461" Type="http://schemas.openxmlformats.org/officeDocument/2006/relationships/image" Target="media/image429.png"/><Relationship Id="rId462" Type="http://schemas.openxmlformats.org/officeDocument/2006/relationships/image" Target="media/image430.png"/><Relationship Id="rId463" Type="http://schemas.openxmlformats.org/officeDocument/2006/relationships/image" Target="media/image431.png"/><Relationship Id="rId464" Type="http://schemas.openxmlformats.org/officeDocument/2006/relationships/image" Target="media/image432.png"/><Relationship Id="rId465" Type="http://schemas.openxmlformats.org/officeDocument/2006/relationships/image" Target="media/image433.png"/><Relationship Id="rId466" Type="http://schemas.openxmlformats.org/officeDocument/2006/relationships/image" Target="media/image434.png"/><Relationship Id="rId467" Type="http://schemas.openxmlformats.org/officeDocument/2006/relationships/image" Target="media/image435.png"/><Relationship Id="rId468" Type="http://schemas.openxmlformats.org/officeDocument/2006/relationships/image" Target="media/image436.png"/><Relationship Id="rId469" Type="http://schemas.openxmlformats.org/officeDocument/2006/relationships/image" Target="media/image437.png"/><Relationship Id="rId470" Type="http://schemas.openxmlformats.org/officeDocument/2006/relationships/image" Target="media/image438.png"/><Relationship Id="rId471" Type="http://schemas.openxmlformats.org/officeDocument/2006/relationships/image" Target="media/image439.png"/><Relationship Id="rId472" Type="http://schemas.openxmlformats.org/officeDocument/2006/relationships/image" Target="media/image440.png"/><Relationship Id="rId473" Type="http://schemas.openxmlformats.org/officeDocument/2006/relationships/image" Target="media/image441.png"/><Relationship Id="rId474" Type="http://schemas.openxmlformats.org/officeDocument/2006/relationships/image" Target="media/image442.png"/><Relationship Id="rId475" Type="http://schemas.openxmlformats.org/officeDocument/2006/relationships/image" Target="media/image443.png"/><Relationship Id="rId476" Type="http://schemas.openxmlformats.org/officeDocument/2006/relationships/image" Target="media/image444.png"/><Relationship Id="rId477" Type="http://schemas.openxmlformats.org/officeDocument/2006/relationships/image" Target="media/image445.png"/><Relationship Id="rId478" Type="http://schemas.openxmlformats.org/officeDocument/2006/relationships/image" Target="media/image446.png"/><Relationship Id="rId479" Type="http://schemas.openxmlformats.org/officeDocument/2006/relationships/image" Target="media/image447.png"/><Relationship Id="rId480" Type="http://schemas.openxmlformats.org/officeDocument/2006/relationships/image" Target="media/image448.png"/><Relationship Id="rId481" Type="http://schemas.openxmlformats.org/officeDocument/2006/relationships/image" Target="media/image449.png"/><Relationship Id="rId482" Type="http://schemas.openxmlformats.org/officeDocument/2006/relationships/image" Target="media/image450.png"/><Relationship Id="rId483" Type="http://schemas.openxmlformats.org/officeDocument/2006/relationships/image" Target="media/image451.png"/><Relationship Id="rId484" Type="http://schemas.openxmlformats.org/officeDocument/2006/relationships/image" Target="media/image452.png"/><Relationship Id="rId485" Type="http://schemas.openxmlformats.org/officeDocument/2006/relationships/image" Target="media/image453.png"/><Relationship Id="rId486" Type="http://schemas.openxmlformats.org/officeDocument/2006/relationships/image" Target="media/image454.png"/><Relationship Id="rId487" Type="http://schemas.openxmlformats.org/officeDocument/2006/relationships/image" Target="media/image455.png"/><Relationship Id="rId488" Type="http://schemas.openxmlformats.org/officeDocument/2006/relationships/image" Target="media/image456.png"/><Relationship Id="rId489" Type="http://schemas.openxmlformats.org/officeDocument/2006/relationships/image" Target="media/image457.png"/><Relationship Id="rId490" Type="http://schemas.openxmlformats.org/officeDocument/2006/relationships/image" Target="media/image458.png"/><Relationship Id="rId491" Type="http://schemas.openxmlformats.org/officeDocument/2006/relationships/image" Target="media/image459.png"/><Relationship Id="rId492" Type="http://schemas.openxmlformats.org/officeDocument/2006/relationships/image" Target="media/image460.png"/><Relationship Id="rId493" Type="http://schemas.openxmlformats.org/officeDocument/2006/relationships/image" Target="media/image461.png"/><Relationship Id="rId494" Type="http://schemas.openxmlformats.org/officeDocument/2006/relationships/image" Target="media/image462.png"/><Relationship Id="rId495" Type="http://schemas.openxmlformats.org/officeDocument/2006/relationships/image" Target="media/image463.png"/><Relationship Id="rId496" Type="http://schemas.openxmlformats.org/officeDocument/2006/relationships/image" Target="media/image464.png"/><Relationship Id="rId497" Type="http://schemas.openxmlformats.org/officeDocument/2006/relationships/image" Target="media/image465.png"/><Relationship Id="rId498" Type="http://schemas.openxmlformats.org/officeDocument/2006/relationships/image" Target="media/image466.png"/><Relationship Id="rId499" Type="http://schemas.openxmlformats.org/officeDocument/2006/relationships/image" Target="media/image467.png"/><Relationship Id="rId500" Type="http://schemas.openxmlformats.org/officeDocument/2006/relationships/image" Target="media/image468.png"/><Relationship Id="rId501" Type="http://schemas.openxmlformats.org/officeDocument/2006/relationships/image" Target="media/image469.png"/><Relationship Id="rId502" Type="http://schemas.openxmlformats.org/officeDocument/2006/relationships/image" Target="media/image470.png"/><Relationship Id="rId503" Type="http://schemas.openxmlformats.org/officeDocument/2006/relationships/image" Target="media/image471.png"/><Relationship Id="rId504" Type="http://schemas.openxmlformats.org/officeDocument/2006/relationships/image" Target="media/image472.png"/><Relationship Id="rId505" Type="http://schemas.openxmlformats.org/officeDocument/2006/relationships/image" Target="media/image473.png"/><Relationship Id="rId506" Type="http://schemas.openxmlformats.org/officeDocument/2006/relationships/image" Target="media/image474.png"/><Relationship Id="rId507" Type="http://schemas.openxmlformats.org/officeDocument/2006/relationships/image" Target="media/image475.png"/><Relationship Id="rId508" Type="http://schemas.openxmlformats.org/officeDocument/2006/relationships/image" Target="media/image476.png"/><Relationship Id="rId509" Type="http://schemas.openxmlformats.org/officeDocument/2006/relationships/image" Target="media/image477.png"/><Relationship Id="rId510" Type="http://schemas.openxmlformats.org/officeDocument/2006/relationships/image" Target="media/image478.png"/><Relationship Id="rId511" Type="http://schemas.openxmlformats.org/officeDocument/2006/relationships/image" Target="media/image479.png"/><Relationship Id="rId512" Type="http://schemas.openxmlformats.org/officeDocument/2006/relationships/image" Target="media/image480.png"/><Relationship Id="rId513" Type="http://schemas.openxmlformats.org/officeDocument/2006/relationships/image" Target="media/image481.png"/><Relationship Id="rId514" Type="http://schemas.openxmlformats.org/officeDocument/2006/relationships/image" Target="media/image482.png"/><Relationship Id="rId515" Type="http://schemas.openxmlformats.org/officeDocument/2006/relationships/image" Target="media/image483.png"/><Relationship Id="rId516" Type="http://schemas.openxmlformats.org/officeDocument/2006/relationships/image" Target="media/image484.png"/><Relationship Id="rId517" Type="http://schemas.openxmlformats.org/officeDocument/2006/relationships/image" Target="media/image485.png"/><Relationship Id="rId518" Type="http://schemas.openxmlformats.org/officeDocument/2006/relationships/image" Target="media/image486.png"/><Relationship Id="rId519" Type="http://schemas.openxmlformats.org/officeDocument/2006/relationships/image" Target="media/image487.png"/><Relationship Id="rId520" Type="http://schemas.openxmlformats.org/officeDocument/2006/relationships/image" Target="media/image488.png"/><Relationship Id="rId521" Type="http://schemas.openxmlformats.org/officeDocument/2006/relationships/image" Target="media/image489.png"/><Relationship Id="rId522" Type="http://schemas.openxmlformats.org/officeDocument/2006/relationships/image" Target="media/image490.png"/><Relationship Id="rId523" Type="http://schemas.openxmlformats.org/officeDocument/2006/relationships/image" Target="media/image491.png"/><Relationship Id="rId524" Type="http://schemas.openxmlformats.org/officeDocument/2006/relationships/image" Target="media/image492.png"/><Relationship Id="rId525" Type="http://schemas.openxmlformats.org/officeDocument/2006/relationships/image" Target="media/image493.png"/><Relationship Id="rId526" Type="http://schemas.openxmlformats.org/officeDocument/2006/relationships/image" Target="media/image494.png"/><Relationship Id="rId527" Type="http://schemas.openxmlformats.org/officeDocument/2006/relationships/image" Target="media/image495.png"/><Relationship Id="rId528" Type="http://schemas.openxmlformats.org/officeDocument/2006/relationships/image" Target="media/image496.png"/><Relationship Id="rId529" Type="http://schemas.openxmlformats.org/officeDocument/2006/relationships/image" Target="media/image497.png"/><Relationship Id="rId530" Type="http://schemas.openxmlformats.org/officeDocument/2006/relationships/image" Target="media/image498.png"/><Relationship Id="rId531" Type="http://schemas.openxmlformats.org/officeDocument/2006/relationships/image" Target="media/image499.png"/><Relationship Id="rId532" Type="http://schemas.openxmlformats.org/officeDocument/2006/relationships/image" Target="media/image500.png"/><Relationship Id="rId533" Type="http://schemas.openxmlformats.org/officeDocument/2006/relationships/image" Target="media/image501.png"/><Relationship Id="rId534" Type="http://schemas.openxmlformats.org/officeDocument/2006/relationships/image" Target="media/image502.png"/><Relationship Id="rId535" Type="http://schemas.openxmlformats.org/officeDocument/2006/relationships/image" Target="media/image503.png"/><Relationship Id="rId536" Type="http://schemas.openxmlformats.org/officeDocument/2006/relationships/image" Target="media/image504.png"/><Relationship Id="rId537" Type="http://schemas.openxmlformats.org/officeDocument/2006/relationships/image" Target="media/image505.png"/><Relationship Id="rId538" Type="http://schemas.openxmlformats.org/officeDocument/2006/relationships/image" Target="media/image506.png"/><Relationship Id="rId539" Type="http://schemas.openxmlformats.org/officeDocument/2006/relationships/image" Target="media/image507.png"/><Relationship Id="rId540" Type="http://schemas.openxmlformats.org/officeDocument/2006/relationships/image" Target="media/image508.png"/><Relationship Id="rId541" Type="http://schemas.openxmlformats.org/officeDocument/2006/relationships/image" Target="media/image509.png"/><Relationship Id="rId542" Type="http://schemas.openxmlformats.org/officeDocument/2006/relationships/image" Target="media/image510.png"/><Relationship Id="rId543" Type="http://schemas.openxmlformats.org/officeDocument/2006/relationships/image" Target="media/image511.png"/><Relationship Id="rId544" Type="http://schemas.openxmlformats.org/officeDocument/2006/relationships/image" Target="media/image512.png"/><Relationship Id="rId545" Type="http://schemas.openxmlformats.org/officeDocument/2006/relationships/image" Target="media/image513.png"/><Relationship Id="rId546" Type="http://schemas.openxmlformats.org/officeDocument/2006/relationships/image" Target="media/image514.png"/><Relationship Id="rId547" Type="http://schemas.openxmlformats.org/officeDocument/2006/relationships/image" Target="media/image515.png"/><Relationship Id="rId548" Type="http://schemas.openxmlformats.org/officeDocument/2006/relationships/image" Target="media/image516.png"/><Relationship Id="rId549" Type="http://schemas.openxmlformats.org/officeDocument/2006/relationships/image" Target="media/image517.png"/><Relationship Id="rId550" Type="http://schemas.openxmlformats.org/officeDocument/2006/relationships/image" Target="media/image518.png"/><Relationship Id="rId551" Type="http://schemas.openxmlformats.org/officeDocument/2006/relationships/image" Target="media/image519.png"/><Relationship Id="rId552" Type="http://schemas.openxmlformats.org/officeDocument/2006/relationships/image" Target="media/image520.png"/><Relationship Id="rId553" Type="http://schemas.openxmlformats.org/officeDocument/2006/relationships/image" Target="media/image521.png"/><Relationship Id="rId554" Type="http://schemas.openxmlformats.org/officeDocument/2006/relationships/image" Target="media/image522.png"/><Relationship Id="rId555" Type="http://schemas.openxmlformats.org/officeDocument/2006/relationships/image" Target="media/image523.png"/><Relationship Id="rId556" Type="http://schemas.openxmlformats.org/officeDocument/2006/relationships/image" Target="media/image524.png"/><Relationship Id="rId557" Type="http://schemas.openxmlformats.org/officeDocument/2006/relationships/image" Target="media/image525.png"/><Relationship Id="rId558" Type="http://schemas.openxmlformats.org/officeDocument/2006/relationships/image" Target="media/image526.png"/><Relationship Id="rId559" Type="http://schemas.openxmlformats.org/officeDocument/2006/relationships/image" Target="media/image527.png"/><Relationship Id="rId560" Type="http://schemas.openxmlformats.org/officeDocument/2006/relationships/image" Target="media/image528.png"/><Relationship Id="rId561" Type="http://schemas.openxmlformats.org/officeDocument/2006/relationships/image" Target="media/image529.png"/><Relationship Id="rId562" Type="http://schemas.openxmlformats.org/officeDocument/2006/relationships/image" Target="media/image530.png"/><Relationship Id="rId563" Type="http://schemas.openxmlformats.org/officeDocument/2006/relationships/image" Target="media/image531.png"/><Relationship Id="rId564" Type="http://schemas.openxmlformats.org/officeDocument/2006/relationships/image" Target="media/image532.png"/><Relationship Id="rId565" Type="http://schemas.openxmlformats.org/officeDocument/2006/relationships/image" Target="media/image533.png"/><Relationship Id="rId566" Type="http://schemas.openxmlformats.org/officeDocument/2006/relationships/image" Target="media/image534.png"/><Relationship Id="rId567" Type="http://schemas.openxmlformats.org/officeDocument/2006/relationships/image" Target="media/image535.png"/><Relationship Id="rId568" Type="http://schemas.openxmlformats.org/officeDocument/2006/relationships/image" Target="media/image536.png"/><Relationship Id="rId569" Type="http://schemas.openxmlformats.org/officeDocument/2006/relationships/image" Target="media/image537.png"/><Relationship Id="rId570" Type="http://schemas.openxmlformats.org/officeDocument/2006/relationships/image" Target="media/image538.png"/><Relationship Id="rId571" Type="http://schemas.openxmlformats.org/officeDocument/2006/relationships/image" Target="media/image539.png"/><Relationship Id="rId572" Type="http://schemas.openxmlformats.org/officeDocument/2006/relationships/image" Target="media/image540.png"/><Relationship Id="rId573" Type="http://schemas.openxmlformats.org/officeDocument/2006/relationships/image" Target="media/image541.png"/><Relationship Id="rId574" Type="http://schemas.openxmlformats.org/officeDocument/2006/relationships/image" Target="media/image542.png"/><Relationship Id="rId575" Type="http://schemas.openxmlformats.org/officeDocument/2006/relationships/image" Target="media/image543.png"/><Relationship Id="rId576" Type="http://schemas.openxmlformats.org/officeDocument/2006/relationships/image" Target="media/image544.png"/><Relationship Id="rId577" Type="http://schemas.openxmlformats.org/officeDocument/2006/relationships/image" Target="media/image545.png"/><Relationship Id="rId578" Type="http://schemas.openxmlformats.org/officeDocument/2006/relationships/image" Target="media/image546.png"/><Relationship Id="rId579" Type="http://schemas.openxmlformats.org/officeDocument/2006/relationships/image" Target="media/image547.png"/><Relationship Id="rId580" Type="http://schemas.openxmlformats.org/officeDocument/2006/relationships/image" Target="media/image548.png"/><Relationship Id="rId581" Type="http://schemas.openxmlformats.org/officeDocument/2006/relationships/image" Target="media/image549.png"/><Relationship Id="rId582" Type="http://schemas.openxmlformats.org/officeDocument/2006/relationships/image" Target="media/image550.png"/><Relationship Id="rId583" Type="http://schemas.openxmlformats.org/officeDocument/2006/relationships/image" Target="media/image551.png"/><Relationship Id="rId584" Type="http://schemas.openxmlformats.org/officeDocument/2006/relationships/image" Target="media/image552.png"/><Relationship Id="rId585" Type="http://schemas.openxmlformats.org/officeDocument/2006/relationships/image" Target="media/image553.png"/><Relationship Id="rId586" Type="http://schemas.openxmlformats.org/officeDocument/2006/relationships/image" Target="media/image554.png"/><Relationship Id="rId587" Type="http://schemas.openxmlformats.org/officeDocument/2006/relationships/image" Target="media/image555.png"/><Relationship Id="rId588" Type="http://schemas.openxmlformats.org/officeDocument/2006/relationships/image" Target="media/image556.png"/><Relationship Id="rId589" Type="http://schemas.openxmlformats.org/officeDocument/2006/relationships/image" Target="media/image557.png"/><Relationship Id="rId590" Type="http://schemas.openxmlformats.org/officeDocument/2006/relationships/image" Target="media/image558.png"/><Relationship Id="rId591" Type="http://schemas.openxmlformats.org/officeDocument/2006/relationships/image" Target="media/image559.png"/><Relationship Id="rId592" Type="http://schemas.openxmlformats.org/officeDocument/2006/relationships/image" Target="media/image560.png"/><Relationship Id="rId593" Type="http://schemas.openxmlformats.org/officeDocument/2006/relationships/image" Target="media/image561.png"/><Relationship Id="rId594" Type="http://schemas.openxmlformats.org/officeDocument/2006/relationships/image" Target="media/image562.png"/><Relationship Id="rId595" Type="http://schemas.openxmlformats.org/officeDocument/2006/relationships/image" Target="media/image563.png"/><Relationship Id="rId596" Type="http://schemas.openxmlformats.org/officeDocument/2006/relationships/image" Target="media/image564.png"/><Relationship Id="rId597" Type="http://schemas.openxmlformats.org/officeDocument/2006/relationships/image" Target="media/image565.png"/><Relationship Id="rId598" Type="http://schemas.openxmlformats.org/officeDocument/2006/relationships/image" Target="media/image566.png"/><Relationship Id="rId599" Type="http://schemas.openxmlformats.org/officeDocument/2006/relationships/image" Target="media/image567.png"/><Relationship Id="rId600" Type="http://schemas.openxmlformats.org/officeDocument/2006/relationships/image" Target="media/image568.png"/><Relationship Id="rId601" Type="http://schemas.openxmlformats.org/officeDocument/2006/relationships/image" Target="media/image569.png"/><Relationship Id="rId602" Type="http://schemas.openxmlformats.org/officeDocument/2006/relationships/image" Target="media/image570.png"/><Relationship Id="rId603" Type="http://schemas.openxmlformats.org/officeDocument/2006/relationships/image" Target="media/image571.png"/><Relationship Id="rId604" Type="http://schemas.openxmlformats.org/officeDocument/2006/relationships/image" Target="media/image572.png"/><Relationship Id="rId605" Type="http://schemas.openxmlformats.org/officeDocument/2006/relationships/image" Target="media/image573.png"/><Relationship Id="rId606" Type="http://schemas.openxmlformats.org/officeDocument/2006/relationships/image" Target="media/image574.png"/><Relationship Id="rId607" Type="http://schemas.openxmlformats.org/officeDocument/2006/relationships/image" Target="media/image575.png"/><Relationship Id="rId608" Type="http://schemas.openxmlformats.org/officeDocument/2006/relationships/image" Target="media/image576.png"/><Relationship Id="rId609" Type="http://schemas.openxmlformats.org/officeDocument/2006/relationships/image" Target="media/image577.png"/><Relationship Id="rId610" Type="http://schemas.openxmlformats.org/officeDocument/2006/relationships/image" Target="media/image578.png"/><Relationship Id="rId611" Type="http://schemas.openxmlformats.org/officeDocument/2006/relationships/image" Target="media/image579.png"/><Relationship Id="rId612" Type="http://schemas.openxmlformats.org/officeDocument/2006/relationships/image" Target="media/image580.png"/><Relationship Id="rId613" Type="http://schemas.openxmlformats.org/officeDocument/2006/relationships/image" Target="media/image581.png"/><Relationship Id="rId614" Type="http://schemas.openxmlformats.org/officeDocument/2006/relationships/image" Target="media/image582.png"/><Relationship Id="rId615" Type="http://schemas.openxmlformats.org/officeDocument/2006/relationships/image" Target="media/image583.png"/><Relationship Id="rId616" Type="http://schemas.openxmlformats.org/officeDocument/2006/relationships/image" Target="media/image584.png"/><Relationship Id="rId617" Type="http://schemas.openxmlformats.org/officeDocument/2006/relationships/image" Target="media/image585.png"/><Relationship Id="rId618" Type="http://schemas.openxmlformats.org/officeDocument/2006/relationships/image" Target="media/image586.png"/><Relationship Id="rId619" Type="http://schemas.openxmlformats.org/officeDocument/2006/relationships/image" Target="media/image587.png"/><Relationship Id="rId620" Type="http://schemas.openxmlformats.org/officeDocument/2006/relationships/image" Target="media/image588.png"/><Relationship Id="rId621" Type="http://schemas.openxmlformats.org/officeDocument/2006/relationships/image" Target="media/image589.png"/><Relationship Id="rId622" Type="http://schemas.openxmlformats.org/officeDocument/2006/relationships/image" Target="media/image590.png"/><Relationship Id="rId623" Type="http://schemas.openxmlformats.org/officeDocument/2006/relationships/image" Target="media/image591.png"/><Relationship Id="rId156" Type="http://schemas.openxmlformats.org/officeDocument/2006/relationships/hyperlink" Target="http://www.sec.gov/Archives/edgar/data/1508655/000095012311025019/y90239exv3w1.htm" TargetMode="External"/><Relationship Id="rId157" Type="http://schemas.openxmlformats.org/officeDocument/2006/relationships/hyperlink" Target="http://www.sec.gov/Archives/edgar/data/1508655/000119312514095223/d691342dex31.htm" TargetMode="External"/><Relationship Id="rId158" Type="http://schemas.openxmlformats.org/officeDocument/2006/relationships/hyperlink" Target="http://www.sec.gov/Archives/edgar/data/0001508655/000156459016027941/tslx-ex31_210.htm" TargetMode="External"/><Relationship Id="rId159" Type="http://schemas.openxmlformats.org/officeDocument/2006/relationships/hyperlink" Target="http://www.sec.gov/Archives/edgar/data/0001508655/000156459016027941/tslx-ex32_139.htm" TargetMode="External"/><Relationship Id="rId160" Type="http://schemas.openxmlformats.org/officeDocument/2006/relationships/hyperlink" Target="http://www.sec.gov/Archives/edgar/data/1508655/000119312512127485/d318388dex42.htm" TargetMode="External"/><Relationship Id="rId161" Type="http://schemas.openxmlformats.org/officeDocument/2006/relationships/hyperlink" Target="http://www.sec.gov/Archives/edgar/data/1508655/000119312514232207/d738714dex41.htm" TargetMode="External"/><Relationship Id="rId162" Type="http://schemas.openxmlformats.org/officeDocument/2006/relationships/hyperlink" Target="http://www.sec.gov/Archives/edgar/data/0001508655/000119312517027505/d341977dex41.htm" TargetMode="External"/><Relationship Id="rId163" Type="http://schemas.openxmlformats.org/officeDocument/2006/relationships/hyperlink" Target="http://www.sec.gov/Archives/edgar/data/0001508655/000119312518016134/d428064dex41.htm" TargetMode="External"/><Relationship Id="rId164" Type="http://schemas.openxmlformats.org/officeDocument/2006/relationships/hyperlink" Target="http://www.sec.gov/Archives/edgar/data/0001508655/000119312518016134/d428064dex42.htm" TargetMode="External"/><Relationship Id="rId165" Type="http://schemas.openxmlformats.org/officeDocument/2006/relationships/hyperlink" Target="http://www.sec.gov/Archives/edgar/data/1508655/000119312518196892/d612351dex41.htm" TargetMode="External"/><Relationship Id="rId166" Type="http://schemas.openxmlformats.org/officeDocument/2006/relationships/hyperlink" Target="http://www.sec.gov/Archives/edgar/data/1508655/000095012311025019/y90239exv10w3.htm" TargetMode="External"/><Relationship Id="rId167" Type="http://schemas.openxmlformats.org/officeDocument/2006/relationships/hyperlink" Target="http://www.sec.gov/Archives/edgar/data/1508655/000119312511339263/d269504dex101.htm" TargetMode="External"/><Relationship Id="rId170" Type="http://schemas.openxmlformats.org/officeDocument/2006/relationships/hyperlink" Target="http://www.sec.gov/Archives/edgar/data/1508655/000119312512490609/d446947dex101.htm" TargetMode="External"/><Relationship Id="rId171" Type="http://schemas.openxmlformats.org/officeDocument/2006/relationships/hyperlink" Target="http://www.sec.gov/Archives/edgar/data/1508655/000119312514082476/d673597dex1020.htm" TargetMode="External"/><Relationship Id="rId172" Type="http://schemas.openxmlformats.org/officeDocument/2006/relationships/hyperlink" Target="http://www.sec.gov/Archives/edgar/data/1508655/000119312514102674/d630521dex99e.htm" TargetMode="External"/><Relationship Id="rId173" Type="http://schemas.openxmlformats.org/officeDocument/2006/relationships/hyperlink" Target="http://www.sec.gov/Archives/edgar/data/1508655/000119312514293593/d769019dex103.htm" TargetMode="External"/><Relationship Id="rId174" Type="http://schemas.openxmlformats.org/officeDocument/2006/relationships/hyperlink" Target="http://www.sec.gov/Archives/edgar/data/1508655/000119312514293593/d769019dex104.htm" TargetMode="External"/><Relationship Id="rId175" Type="http://schemas.openxmlformats.org/officeDocument/2006/relationships/hyperlink" Target="http://www.sec.gov/Archives/edgar/data/1508655/000119312514293593/d769019dex105.htm" TargetMode="External"/><Relationship Id="rId176" Type="http://schemas.openxmlformats.org/officeDocument/2006/relationships/hyperlink" Target="http://www.sec.gov/Archives/edgar/data/0001508655/000119312514394267/d813731dex101.htm" TargetMode="External"/><Relationship Id="rId177" Type="http://schemas.openxmlformats.org/officeDocument/2006/relationships/hyperlink" Target="http://www.sec.gov/Archives/edgar/data/0001508655/000119312515111830/d899694dex101.htm" TargetMode="External"/><Relationship Id="rId178" Type="http://schemas.openxmlformats.org/officeDocument/2006/relationships/hyperlink" Target="http://www.sec.gov/Archives/edgar/data/0001508655/000156459015009165/tslx-ex101_394.htm" TargetMode="External"/><Relationship Id="rId179" Type="http://schemas.openxmlformats.org/officeDocument/2006/relationships/hyperlink" Target="http://www.sec.gov/Archives/edgar/data/0001508655/000156459017002010/tslx-ex1015_196.htm" TargetMode="External"/><Relationship Id="rId180" Type="http://schemas.openxmlformats.org/officeDocument/2006/relationships/hyperlink" Target="http://www.sec.gov/Archives/edgar/data/0001508655/000156459017002010/tslx-ex1016_267.htm" TargetMode="External"/><Relationship Id="rId181" Type="http://schemas.openxmlformats.org/officeDocument/2006/relationships/hyperlink" Target="http://www.sec.gov/Archives/edgar/data/1508655/000156459018002665/tslx-ex1016_374.htm" TargetMode="External"/><Relationship Id="rId182" Type="http://schemas.openxmlformats.org/officeDocument/2006/relationships/hyperlink" Target="http://www.sec.gov/Archives/edgar/data/1508655/000156459018027390/tslx-ex101_1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2019-12-28T16:30:29Z</dcterms:created>
  <dcterms:modified xsi:type="dcterms:W3CDTF">2019-12-28T16:30:29Z</dcterms:modified>
</cp:coreProperties>
</file>