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Easterly Joshua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300"/>
        <w:spacing w:after="0" w:line="292" w:lineRule="auto"/>
        <w:rPr>
          <w:sz w:val="20"/>
          <w:szCs w:val="20"/>
          <w:color w:val="auto"/>
        </w:rPr>
      </w:pPr>
      <w:r>
        <w:rPr>
          <w:rFonts w:ascii="Arial" w:cs="Arial" w:eastAsia="Arial" w:hAnsi="Arial"/>
          <w:sz w:val="17"/>
          <w:szCs w:val="17"/>
          <w:color w:val="0000FF"/>
        </w:rPr>
        <w:t>C/O SIXTH STREET SPECIALTY LENDING,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2100 MCKINNEY AVENUE, SUITE 1500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6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w w:val="96"/>
              </w:rPr>
            </w:pPr>
            <w:hyperlink r:id="rId14">
              <w:r>
                <w:rPr>
                  <w:rFonts w:ascii="Arial" w:cs="Arial" w:eastAsia="Arial" w:hAnsi="Arial"/>
                  <w:sz w:val="21"/>
                  <w:szCs w:val="21"/>
                  <w:u w:val="single" w:color="auto"/>
                  <w:color w:val="0000EE"/>
                  <w:w w:val="96"/>
                </w:rPr>
                <w:t>Sixth Street Specialty Lending, Inc</w:t>
              </w:r>
              <w:r>
                <w:rPr>
                  <w:rFonts w:ascii="Arial" w:cs="Arial" w:eastAsia="Arial" w:hAnsi="Arial"/>
                  <w:sz w:val="21"/>
                  <w:szCs w:val="21"/>
                  <w:color w:val="0000EE"/>
                  <w:w w:val="96"/>
                </w:rPr>
                <w:t xml:space="preserve">. </w:t>
              </w:r>
            </w:hyperlink>
            <w:r>
              <w:rPr>
                <w:rFonts w:ascii="Arial" w:cs="Arial" w:eastAsia="Arial" w:hAnsi="Arial"/>
                <w:sz w:val="21"/>
                <w:szCs w:val="21"/>
                <w:color w:val="000000"/>
                <w:w w:val="96"/>
              </w:rPr>
              <w:t>[</w:t>
            </w:r>
            <w:r>
              <w:rPr>
                <w:rFonts w:ascii="Arial" w:cs="Arial" w:eastAsia="Arial" w:hAnsi="Arial"/>
                <w:sz w:val="21"/>
                <w:szCs w:val="21"/>
                <w:color w:val="0000EE"/>
                <w:w w:val="96"/>
              </w:rPr>
              <w:t xml:space="preserve"> </w:t>
            </w:r>
            <w:r>
              <w:rPr>
                <w:rFonts w:ascii="Arial" w:cs="Arial" w:eastAsia="Arial" w:hAnsi="Arial"/>
                <w:sz w:val="17"/>
                <w:szCs w:val="17"/>
                <w:color w:val="0000FF"/>
                <w:w w:val="96"/>
              </w:rPr>
              <w:t>TSLX</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00" w:type="dxa"/>
            <w:vAlign w:val="bottom"/>
          </w:tcPr>
          <w:p>
            <w:pPr>
              <w:ind w:left="80"/>
              <w:spacing w:after="0" w:line="147" w:lineRule="exact"/>
              <w:rPr>
                <w:sz w:val="20"/>
                <w:szCs w:val="20"/>
                <w:color w:val="auto"/>
              </w:rPr>
            </w:pPr>
            <w:r>
              <w:rPr>
                <w:rFonts w:ascii="Arial" w:cs="Arial" w:eastAsia="Arial" w:hAnsi="Arial"/>
                <w:sz w:val="16"/>
                <w:szCs w:val="16"/>
                <w:color w:val="auto"/>
              </w:rPr>
              <w:t>]</w:t>
            </w:r>
          </w:p>
        </w:tc>
        <w:tc>
          <w:tcPr>
            <w:tcW w:w="3620" w:type="dxa"/>
            <w:vAlign w:val="bottom"/>
          </w:tcPr>
          <w:p>
            <w:pPr>
              <w:spacing w:after="0"/>
              <w:rPr>
                <w:sz w:val="12"/>
                <w:szCs w:val="12"/>
                <w:color w:val="auto"/>
              </w:rPr>
            </w:pPr>
          </w:p>
        </w:tc>
        <w:tc>
          <w:tcPr>
            <w:tcW w:w="500" w:type="dxa"/>
            <w:vAlign w:val="bottom"/>
          </w:tcPr>
          <w:p>
            <w:pPr>
              <w:ind w:left="280"/>
              <w:spacing w:after="0" w:line="147" w:lineRule="exact"/>
              <w:rPr>
                <w:sz w:val="20"/>
                <w:szCs w:val="20"/>
                <w:color w:val="auto"/>
              </w:rPr>
            </w:pPr>
            <w:r>
              <w:rPr>
                <w:rFonts w:ascii="Arial" w:cs="Arial" w:eastAsia="Arial" w:hAnsi="Arial"/>
                <w:sz w:val="16"/>
                <w:szCs w:val="1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00" w:type="dxa"/>
            <w:vAlign w:val="bottom"/>
          </w:tcPr>
          <w:p>
            <w:pPr>
              <w:spacing w:after="0"/>
              <w:rPr>
                <w:sz w:val="9"/>
                <w:szCs w:val="9"/>
                <w:color w:val="auto"/>
              </w:rPr>
            </w:pPr>
          </w:p>
        </w:tc>
        <w:tc>
          <w:tcPr>
            <w:tcW w:w="36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200" w:type="dxa"/>
            <w:vAlign w:val="bottom"/>
            <w:tcBorders>
              <w:bottom w:val="single" w:sz="8" w:color="808080"/>
            </w:tcBorders>
          </w:tcPr>
          <w:p>
            <w:pPr>
              <w:spacing w:after="0"/>
              <w:rPr>
                <w:sz w:val="7"/>
                <w:szCs w:val="7"/>
                <w:color w:val="auto"/>
              </w:rPr>
            </w:pPr>
          </w:p>
        </w:tc>
        <w:tc>
          <w:tcPr>
            <w:tcW w:w="362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0" w:type="dxa"/>
            <w:vAlign w:val="bottom"/>
            <w:tcBorders>
              <w:top w:val="single" w:sz="8" w:color="2C2C2C"/>
            </w:tcBorders>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16"/>
                <w:szCs w:val="16"/>
                <w:color w:val="auto"/>
              </w:rPr>
            </w:pPr>
          </w:p>
        </w:tc>
        <w:tc>
          <w:tcPr>
            <w:tcW w:w="2800" w:type="dxa"/>
            <w:vAlign w:val="bottom"/>
            <w:gridSpan w:val="2"/>
          </w:tcPr>
          <w:p>
            <w:pPr>
              <w:ind w:left="320"/>
              <w:spacing w:after="0" w:line="185" w:lineRule="exact"/>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02/26/2021</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0" w:type="dxa"/>
            <w:vAlign w:val="bottom"/>
            <w:tcBorders>
              <w:bottom w:val="single" w:sz="8" w:color="2C2C2C"/>
            </w:tcBorders>
          </w:tcPr>
          <w:p>
            <w:pPr>
              <w:spacing w:after="0"/>
              <w:rPr>
                <w:sz w:val="21"/>
                <w:szCs w:val="21"/>
                <w:color w:val="auto"/>
              </w:rPr>
            </w:pPr>
          </w:p>
        </w:tc>
        <w:tc>
          <w:tcPr>
            <w:tcW w:w="3620" w:type="dxa"/>
            <w:vAlign w:val="bottom"/>
            <w:tcBorders>
              <w:bottom w:val="single" w:sz="8" w:color="2C2C2C"/>
            </w:tcBorders>
          </w:tcPr>
          <w:p>
            <w:pPr>
              <w:spacing w:after="0"/>
              <w:rPr>
                <w:sz w:val="21"/>
                <w:szCs w:val="21"/>
                <w:color w:val="auto"/>
              </w:rPr>
            </w:pPr>
          </w:p>
        </w:tc>
        <w:tc>
          <w:tcPr>
            <w:tcW w:w="330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252730</wp:posOffset>
            </wp:positionV>
            <wp:extent cx="6964045" cy="1751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51330"/>
                    </a:xfrm>
                    <a:prstGeom prst="rect">
                      <a:avLst/>
                    </a:prstGeom>
                    <a:noFill/>
                  </pic:spPr>
                </pic:pic>
              </a:graphicData>
            </a:graphic>
          </wp:anchor>
        </w:drawing>
      </w:r>
    </w:p>
    <w:p>
      <w:pPr>
        <w:spacing w:after="0" w:line="458"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4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7"/>
                <w:szCs w:val="7"/>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0000FF"/>
                <w:w w:val="92"/>
              </w:rPr>
              <w:t>See</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60"/>
              <w:spacing w:after="0"/>
              <w:rPr>
                <w:sz w:val="20"/>
                <w:szCs w:val="20"/>
                <w:color w:val="auto"/>
              </w:rPr>
            </w:pPr>
            <w:r>
              <w:rPr>
                <w:rFonts w:ascii="Arial" w:cs="Arial" w:eastAsia="Arial" w:hAnsi="Arial"/>
                <w:sz w:val="17"/>
                <w:szCs w:val="17"/>
                <w:color w:val="0000FF"/>
              </w:rPr>
              <w:t>02/26/2021</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Arial" w:cs="Arial" w:eastAsia="Arial" w:hAnsi="Arial"/>
                <w:sz w:val="13"/>
                <w:szCs w:val="13"/>
                <w:color w:val="0000FF"/>
              </w:rPr>
              <w:t>P</w:t>
            </w:r>
          </w:p>
        </w:tc>
        <w:tc>
          <w:tcPr>
            <w:tcW w:w="820" w:type="dxa"/>
            <w:vAlign w:val="bottom"/>
            <w:vMerge w:val="restart"/>
          </w:tcPr>
          <w:p>
            <w:pPr>
              <w:ind w:left="140"/>
              <w:spacing w:after="0"/>
              <w:rPr>
                <w:sz w:val="20"/>
                <w:szCs w:val="20"/>
                <w:color w:val="auto"/>
              </w:rPr>
            </w:pPr>
            <w:r>
              <w:rPr>
                <w:rFonts w:ascii="Arial" w:cs="Arial" w:eastAsia="Arial" w:hAnsi="Arial"/>
                <w:sz w:val="17"/>
                <w:szCs w:val="17"/>
                <w:color w:val="0000FF"/>
              </w:rPr>
              <w:t>686.27</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600" w:type="dxa"/>
            <w:vAlign w:val="bottom"/>
            <w:vMerge w:val="restart"/>
          </w:tcPr>
          <w:p>
            <w:pPr>
              <w:ind w:left="8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21.34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10,430.77</w:t>
            </w:r>
          </w:p>
        </w:tc>
        <w:tc>
          <w:tcPr>
            <w:tcW w:w="260" w:type="dxa"/>
            <w:vAlign w:val="bottom"/>
          </w:tcPr>
          <w:p>
            <w:pPr>
              <w:spacing w:after="0"/>
              <w:rPr>
                <w:sz w:val="18"/>
                <w:szCs w:val="18"/>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1080" w:type="dxa"/>
            <w:vAlign w:val="bottom"/>
            <w:gridSpan w:val="5"/>
          </w:tcPr>
          <w:p>
            <w:pPr>
              <w:ind w:left="20"/>
              <w:spacing w:after="0"/>
              <w:rPr>
                <w:sz w:val="20"/>
                <w:szCs w:val="20"/>
                <w:color w:val="auto"/>
              </w:rPr>
            </w:pPr>
            <w:r>
              <w:rPr>
                <w:rFonts w:ascii="Arial" w:cs="Arial" w:eastAsia="Arial" w:hAnsi="Arial"/>
                <w:sz w:val="17"/>
                <w:szCs w:val="17"/>
                <w:color w:val="0000FF"/>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94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320" w:type="dxa"/>
            <w:vAlign w:val="bottom"/>
            <w:vMerge w:val="restart"/>
          </w:tcPr>
          <w:p>
            <w:pPr>
              <w:ind w:left="20"/>
              <w:spacing w:after="0"/>
              <w:rPr>
                <w:sz w:val="20"/>
                <w:szCs w:val="20"/>
                <w:color w:val="auto"/>
              </w:rPr>
            </w:pPr>
            <w:r>
              <w:rPr>
                <w:rFonts w:ascii="Arial" w:cs="Arial" w:eastAsia="Arial" w:hAnsi="Arial"/>
                <w:sz w:val="17"/>
                <w:szCs w:val="17"/>
                <w:color w:val="0000FF"/>
              </w:rPr>
              <w:t>of</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gridSpan w:val="5"/>
          </w:tcPr>
          <w:p>
            <w:pPr>
              <w:ind w:left="20"/>
              <w:spacing w:after="0"/>
              <w:rPr>
                <w:sz w:val="20"/>
                <w:szCs w:val="20"/>
                <w:color w:val="auto"/>
              </w:rPr>
            </w:pPr>
            <w:r>
              <w:rPr>
                <w:rFonts w:ascii="Arial" w:cs="Arial" w:eastAsia="Arial" w:hAnsi="Arial"/>
                <w:sz w:val="17"/>
                <w:szCs w:val="17"/>
                <w:color w:val="0000FF"/>
              </w:rPr>
              <w:t>Responses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31,366.781</w:t>
            </w:r>
          </w:p>
        </w:tc>
        <w:tc>
          <w:tcPr>
            <w:tcW w:w="2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ind w:left="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3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gridSpan w:val="4"/>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9. Number of    10.</w:t>
            </w:r>
          </w:p>
        </w:tc>
        <w:tc>
          <w:tcPr>
            <w:tcW w:w="320" w:type="dxa"/>
            <w:vAlign w:val="bottom"/>
          </w:tcPr>
          <w:p>
            <w:pPr>
              <w:spacing w:after="0"/>
              <w:rPr>
                <w:sz w:val="14"/>
                <w:szCs w:val="14"/>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260" w:type="dxa"/>
            <w:vAlign w:val="bottom"/>
          </w:tcPr>
          <w:p>
            <w:pPr>
              <w:spacing w:after="0"/>
              <w:rPr>
                <w:sz w:val="11"/>
                <w:szCs w:val="11"/>
                <w:color w:val="auto"/>
              </w:rPr>
            </w:pPr>
          </w:p>
        </w:tc>
        <w:tc>
          <w:tcPr>
            <w:tcW w:w="9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Sixth Street Specialty Lending Advisers, LLC ("Sixth Street Specialty Lending Advisers") directly holds 2,716,977 shares of Common Stock of Sixth Street Specialty Lending, Inc. (the "Issuer"), including 10,430.77 shares of Common Stock of the Issuer indirectly beneficially owned by Mr. Easterly (through his limited partnership interest in TSL Equity Partners, L.P., which is a member of Sixth Street Specialty Lending Advisers Holdings, LLC, which in turn is a member of Sixth Street Specialty Lending Advisers).</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5,697.132 shares of Common Stock acquired under the Sixth Street Specialty Lending, Inc. dividend reinvestment plan since March 1, 2018.</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3. Ian Simmonds is signing on behalf of Joshua Easterly pursuant to a Power of Attorney dated January 4, 2021, which is attached hereto as an exhibit.</w:t>
      </w:r>
    </w:p>
    <w:p>
      <w:pPr>
        <w:ind w:left="6580"/>
        <w:spacing w:after="0" w:line="186" w:lineRule="auto"/>
        <w:rPr>
          <w:sz w:val="20"/>
          <w:szCs w:val="20"/>
          <w:color w:val="auto"/>
        </w:rPr>
      </w:pPr>
      <w:r>
        <w:rPr>
          <w:rFonts w:ascii="Arial" w:cs="Arial" w:eastAsia="Arial" w:hAnsi="Arial"/>
          <w:sz w:val="17"/>
          <w:szCs w:val="17"/>
          <w:color w:val="0000FF"/>
        </w:rPr>
        <w:t xml:space="preserve">/s/ Ian Simmonds, on behalf of </w:t>
      </w:r>
      <w:r>
        <w:rPr>
          <w:rFonts w:ascii="Arial" w:cs="Arial" w:eastAsia="Arial" w:hAnsi="Arial"/>
          <w:sz w:val="34"/>
          <w:szCs w:val="34"/>
          <w:color w:val="0000FF"/>
          <w:vertAlign w:val="subscript"/>
        </w:rPr>
        <w:t>03/02/2021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Joshua Easterly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43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432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left="100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25400"/>
                    </a:xfrm>
                    <a:prstGeom prst="rect">
                      <a:avLst/>
                    </a:prstGeom>
                    <a:noFill/>
                  </pic:spPr>
                </pic:pic>
              </a:graphicData>
            </a:graphic>
          </wp:anchor>
        </w:drawing>
        <w:drawing>
          <wp:anchor simplePos="0" relativeHeight="251657728" behindDoc="1" locked="0" layoutInCell="0" allowOverlap="1">
            <wp:simplePos x="0" y="0"/>
            <wp:positionH relativeFrom="page">
              <wp:posOffset>296545</wp:posOffset>
            </wp:positionH>
            <wp:positionV relativeFrom="page">
              <wp:posOffset>122555</wp:posOffset>
            </wp:positionV>
            <wp:extent cx="69640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4045" cy="8255"/>
                    </a:xfrm>
                    <a:prstGeom prst="rect">
                      <a:avLst/>
                    </a:prstGeom>
                    <a:noFill/>
                  </pic:spPr>
                </pic:pic>
              </a:graphicData>
            </a:graphic>
          </wp:anchor>
        </w:drawing>
        <w:t>Exhibit 24.1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 REPORTING OBLIGATIONS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Know all by these presents, that the undersigned hereby makes, constitutes and appoints each of David Stiepleman, Jennifer Gordon, and Ian Simmonds,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220" w:lineRule="exact"/>
        <w:rPr>
          <w:sz w:val="20"/>
          <w:szCs w:val="20"/>
          <w:color w:val="auto"/>
        </w:rPr>
      </w:pPr>
    </w:p>
    <w:p>
      <w:pPr>
        <w:jc w:val="both"/>
        <w:ind w:left="320" w:right="20" w:hanging="287"/>
        <w:spacing w:after="0" w:line="253"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 amended (the “Exchange Act”), or any rule or regulation promulgated by the SEC;</w:t>
      </w:r>
    </w:p>
    <w:p>
      <w:pPr>
        <w:spacing w:after="0" w:line="233" w:lineRule="exact"/>
        <w:rPr>
          <w:rFonts w:ascii="Arial" w:cs="Arial" w:eastAsia="Arial" w:hAnsi="Arial"/>
          <w:sz w:val="18"/>
          <w:szCs w:val="18"/>
          <w:color w:val="auto"/>
        </w:rPr>
      </w:pPr>
    </w:p>
    <w:p>
      <w:pPr>
        <w:jc w:val="both"/>
        <w:ind w:left="320" w:right="20" w:hanging="287"/>
        <w:spacing w:after="0" w:line="270" w:lineRule="auto"/>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Prepare, execute and submit to the SEC, Sixth Street Specialty Lending, Inc., a Delaware corporation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5, Schedules 13D and 13G, and Form 144; and</w:t>
      </w:r>
    </w:p>
    <w:p>
      <w:pPr>
        <w:spacing w:after="0" w:line="206" w:lineRule="exact"/>
        <w:rPr>
          <w:rFonts w:ascii="Arial" w:cs="Arial" w:eastAsia="Arial" w:hAnsi="Arial"/>
          <w:sz w:val="17"/>
          <w:szCs w:val="17"/>
          <w:color w:val="auto"/>
        </w:rPr>
      </w:pPr>
    </w:p>
    <w:p>
      <w:pPr>
        <w:jc w:val="both"/>
        <w:ind w:left="320" w:right="20" w:hanging="287"/>
        <w:spacing w:after="0" w:line="257"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acknowledges that:</w:t>
      </w:r>
    </w:p>
    <w:p>
      <w:pPr>
        <w:spacing w:after="0" w:line="246" w:lineRule="exact"/>
        <w:rPr>
          <w:sz w:val="20"/>
          <w:szCs w:val="20"/>
          <w:color w:val="auto"/>
        </w:rPr>
      </w:pPr>
    </w:p>
    <w:p>
      <w:pPr>
        <w:ind w:left="320" w:right="20" w:hanging="287"/>
        <w:spacing w:after="0" w:line="267"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219" w:lineRule="exact"/>
        <w:rPr>
          <w:rFonts w:ascii="Arial" w:cs="Arial" w:eastAsia="Arial" w:hAnsi="Arial"/>
          <w:sz w:val="18"/>
          <w:szCs w:val="18"/>
          <w:color w:val="auto"/>
        </w:rPr>
      </w:pPr>
    </w:p>
    <w:p>
      <w:pPr>
        <w:ind w:left="320" w:hanging="287"/>
        <w:spacing w:after="0" w:line="267"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205" w:lineRule="exact"/>
        <w:rPr>
          <w:rFonts w:ascii="Arial" w:cs="Arial" w:eastAsia="Arial" w:hAnsi="Arial"/>
          <w:sz w:val="18"/>
          <w:szCs w:val="18"/>
          <w:color w:val="auto"/>
        </w:rPr>
      </w:pPr>
    </w:p>
    <w:p>
      <w:pPr>
        <w:jc w:val="both"/>
        <w:ind w:left="320" w:right="20" w:hanging="287"/>
        <w:spacing w:after="0" w:line="257"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227" w:lineRule="exact"/>
        <w:rPr>
          <w:rFonts w:ascii="Arial" w:cs="Arial" w:eastAsia="Arial" w:hAnsi="Arial"/>
          <w:sz w:val="18"/>
          <w:szCs w:val="18"/>
          <w:color w:val="auto"/>
        </w:rPr>
      </w:pPr>
    </w:p>
    <w:p>
      <w:pPr>
        <w:ind w:left="320" w:right="20" w:hanging="287"/>
        <w:spacing w:after="0" w:line="330"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9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this Power of Attorney as of January 4, 2021.</w:t>
      </w:r>
    </w:p>
    <w:p>
      <w:pPr>
        <w:spacing w:after="0" w:line="200" w:lineRule="exact"/>
        <w:rPr>
          <w:sz w:val="20"/>
          <w:szCs w:val="20"/>
          <w:color w:val="auto"/>
        </w:rPr>
      </w:pPr>
    </w:p>
    <w:p>
      <w:pPr>
        <w:spacing w:after="0" w:line="233" w:lineRule="exact"/>
        <w:rPr>
          <w:sz w:val="20"/>
          <w:szCs w:val="20"/>
          <w:color w:val="auto"/>
        </w:rPr>
      </w:pPr>
    </w:p>
    <w:p>
      <w:pPr>
        <w:ind w:left="7100"/>
        <w:spacing w:after="0"/>
        <w:tabs>
          <w:tab w:leader="none" w:pos="7560" w:val="left"/>
        </w:tabs>
        <w:rPr>
          <w:sz w:val="20"/>
          <w:szCs w:val="20"/>
          <w:color w:val="auto"/>
        </w:rPr>
      </w:pPr>
      <w:r>
        <w:rPr>
          <w:rFonts w:ascii="Arial" w:cs="Arial" w:eastAsia="Arial" w:hAnsi="Arial"/>
          <w:sz w:val="18"/>
          <w:szCs w:val="18"/>
          <w:color w:val="auto"/>
        </w:rPr>
        <w:t>By:</w:t>
        <w:tab/>
        <w:t>/s/ Joshua Easterly</w:t>
      </w:r>
    </w:p>
    <w:p>
      <w:pPr>
        <w:spacing w:after="0" w:line="1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4819015</wp:posOffset>
            </wp:positionH>
            <wp:positionV relativeFrom="paragraph">
              <wp:posOffset>-130175</wp:posOffset>
            </wp:positionV>
            <wp:extent cx="21494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1494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487045</wp:posOffset>
            </wp:positionV>
            <wp:extent cx="69640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42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13" Type="http://schemas.openxmlformats.org/officeDocument/2006/relationships/hyperlink" Target="http://www.sec.gov/cgi-bin/browse-edgar?action=getcompany&amp;CIK=0001515167" TargetMode="External"/><Relationship Id="rId14"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2021-03-02T19:16:19Z</dcterms:created>
  <dcterms:modified xsi:type="dcterms:W3CDTF">2021-03-02T19:16:19Z</dcterms:modified>
</cp:coreProperties>
</file>