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Viola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Chief Financial Oficer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700"/>
              <w:spacing w:after="0"/>
              <w:rPr>
                <w:sz w:val="20"/>
                <w:szCs w:val="20"/>
                <w:color w:val="auto"/>
              </w:rPr>
            </w:pPr>
            <w:r>
              <w:rPr>
                <w:rFonts w:ascii="Arial" w:cs="Arial" w:eastAsia="Arial" w:hAnsi="Arial"/>
                <w:sz w:val="18"/>
                <w:szCs w:val="18"/>
                <w:color w:val="0000FF"/>
              </w:rPr>
              <w:t>12/16/2011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80"/>
              <w:spacing w:after="0"/>
              <w:rPr>
                <w:sz w:val="20"/>
                <w:szCs w:val="20"/>
                <w:color w:val="auto"/>
              </w:rPr>
            </w:pPr>
            <w:r>
              <w:rPr>
                <w:rFonts w:ascii="Arial" w:cs="Arial" w:eastAsia="Arial" w:hAnsi="Arial"/>
                <w:sz w:val="18"/>
                <w:szCs w:val="18"/>
                <w:color w:val="0000FF"/>
              </w:rPr>
              <w:t>3.7</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982.2</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51.2</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7,975 shares of Common Stock of the Issuer, including 51.2 shares of Common Stock of the Issuer indirectly beneficially owned by Mr. Viola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Viola pursuant to the authorization and designation letter dated March 10, 2011, which was previously filed with the Securities and Exchange Commission as an exhibit to a Form 3 filed by Mr. Viola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88"/>
        </w:trPr>
        <w:tc>
          <w:tcPr>
            <w:tcW w:w="10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John Viola (2)</w:t>
            </w:r>
          </w:p>
        </w:tc>
        <w:tc>
          <w:tcPr>
            <w:tcW w:w="10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auto"/>
              <w:bottom w:val="single" w:sz="8" w:color="auto"/>
            </w:tcBorders>
            <w:vMerge w:val="continue"/>
          </w:tcPr>
          <w:p>
            <w:pPr>
              <w:spacing w:after="0"/>
              <w:rPr>
                <w:sz w:val="7"/>
                <w:szCs w:val="7"/>
                <w:color w:val="auto"/>
              </w:rPr>
            </w:pPr>
          </w:p>
        </w:tc>
        <w:tc>
          <w:tcPr>
            <w:tcW w:w="10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25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2019-12-17T05:04:44Z</dcterms:created>
  <dcterms:modified xsi:type="dcterms:W3CDTF">2019-12-17T05:04:44Z</dcterms:modified>
</cp:coreProperties>
</file>