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2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SCHEDULE 13D</w:t>
      </w:r>
    </w:p>
    <w:p>
      <w:pPr>
        <w:spacing w:after="0" w:line="2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[Rule 13d-101]</w:t>
      </w:r>
    </w:p>
    <w:p>
      <w:pPr>
        <w:spacing w:after="0" w:line="200" w:lineRule="exact"/>
        <w:rPr>
          <w:sz w:val="24"/>
          <w:szCs w:val="24"/>
          <w:color w:val="auto"/>
        </w:rPr>
      </w:pPr>
    </w:p>
    <w:p>
      <w:pPr>
        <w:spacing w:after="0" w:line="266"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(Amendment No. 3)</w:t>
      </w:r>
    </w:p>
    <w:p>
      <w:pPr>
        <w:spacing w:after="0" w:line="200" w:lineRule="exact"/>
        <w:rPr>
          <w:sz w:val="24"/>
          <w:szCs w:val="24"/>
          <w:color w:val="auto"/>
        </w:rPr>
      </w:pPr>
    </w:p>
    <w:p>
      <w:pPr>
        <w:spacing w:after="0" w:line="283" w:lineRule="exact"/>
        <w:rPr>
          <w:sz w:val="24"/>
          <w:szCs w:val="24"/>
          <w:color w:val="auto"/>
        </w:rPr>
      </w:pPr>
    </w:p>
    <w:p>
      <w:pPr>
        <w:jc w:val="center"/>
        <w:ind w:left="640"/>
        <w:spacing w:after="0" w:line="272" w:lineRule="auto"/>
        <w:rPr>
          <w:sz w:val="20"/>
          <w:szCs w:val="20"/>
          <w:color w:val="auto"/>
        </w:rPr>
      </w:pPr>
      <w:r>
        <w:rPr>
          <w:rFonts w:ascii="Arial" w:cs="Arial" w:eastAsia="Arial" w:hAnsi="Arial"/>
          <w:sz w:val="18"/>
          <w:szCs w:val="18"/>
          <w:b w:val="1"/>
          <w:bCs w:val="1"/>
          <w:color w:val="auto"/>
        </w:rPr>
        <w:t>INFORMATION TO BE INCLUDED IN STATEMENTS FILED PURSUANT TO § 240.13d-1(a) AND AMENDMENTS THERETO FILED PURSUANT TO 240.13d-2(a)</w:t>
      </w:r>
    </w:p>
    <w:p>
      <w:pPr>
        <w:spacing w:after="0" w:line="201"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jc w:val="center"/>
        <w:ind w:right="-399"/>
        <w:spacing w:after="0"/>
        <w:rPr>
          <w:sz w:val="20"/>
          <w:szCs w:val="20"/>
          <w:color w:val="auto"/>
        </w:rPr>
      </w:pPr>
      <w:r>
        <w:rPr>
          <w:rFonts w:ascii="Arial" w:cs="Arial" w:eastAsia="Arial" w:hAnsi="Arial"/>
          <w:sz w:val="18"/>
          <w:szCs w:val="18"/>
          <w:color w:val="auto"/>
        </w:rPr>
        <w:t>(Name of Issuer)</w:t>
      </w:r>
    </w:p>
    <w:p>
      <w:pPr>
        <w:spacing w:after="0" w:line="218"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jc w:val="center"/>
        <w:ind w:right="-399"/>
        <w:spacing w:after="0"/>
        <w:rPr>
          <w:sz w:val="20"/>
          <w:szCs w:val="20"/>
          <w:color w:val="auto"/>
        </w:rPr>
      </w:pPr>
      <w:r>
        <w:rPr>
          <w:rFonts w:ascii="Arial" w:cs="Arial" w:eastAsia="Arial" w:hAnsi="Arial"/>
          <w:sz w:val="18"/>
          <w:szCs w:val="18"/>
          <w:color w:val="auto"/>
        </w:rPr>
        <w:t>(Title of Class of Securities)</w:t>
      </w:r>
    </w:p>
    <w:p>
      <w:pPr>
        <w:spacing w:after="0" w:line="218"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jc w:val="center"/>
        <w:ind w:right="-399"/>
        <w:spacing w:after="0"/>
        <w:rPr>
          <w:sz w:val="20"/>
          <w:szCs w:val="20"/>
          <w:color w:val="auto"/>
        </w:rPr>
      </w:pPr>
      <w:r>
        <w:rPr>
          <w:rFonts w:ascii="Arial" w:cs="Arial" w:eastAsia="Arial" w:hAnsi="Arial"/>
          <w:sz w:val="18"/>
          <w:szCs w:val="18"/>
          <w:color w:val="auto"/>
        </w:rPr>
        <w:t>(CUSIP Number)</w:t>
      </w:r>
    </w:p>
    <w:p>
      <w:pPr>
        <w:spacing w:after="0" w:line="218"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Ronald Cami</w:t>
      </w:r>
    </w:p>
    <w:p>
      <w:pPr>
        <w:spacing w:after="0" w:line="17"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Vice President</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TPG Capital, L.P.</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301 Commerce Street, Suite 3300</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Fort Worth, TX 76102</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249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jc w:val="center"/>
        <w:ind w:right="-399"/>
        <w:spacing w:after="0"/>
        <w:rPr>
          <w:sz w:val="20"/>
          <w:szCs w:val="20"/>
          <w:color w:val="auto"/>
        </w:rPr>
      </w:pPr>
      <w:r>
        <w:rPr>
          <w:rFonts w:ascii="Arial" w:cs="Arial" w:eastAsia="Arial" w:hAnsi="Arial"/>
          <w:sz w:val="18"/>
          <w:szCs w:val="18"/>
          <w:color w:val="auto"/>
        </w:rPr>
        <w:t>(Name, Address and Telephone Number of Person</w:t>
      </w:r>
    </w:p>
    <w:p>
      <w:pPr>
        <w:spacing w:after="0" w:line="17"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December 16,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7249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jc w:val="center"/>
        <w:ind w:right="-399"/>
        <w:spacing w:after="0"/>
        <w:rPr>
          <w:sz w:val="20"/>
          <w:szCs w:val="20"/>
          <w:color w:val="auto"/>
        </w:rPr>
      </w:pPr>
      <w:r>
        <w:rPr>
          <w:rFonts w:ascii="Arial" w:cs="Arial" w:eastAsia="Arial" w:hAnsi="Arial"/>
          <w:sz w:val="18"/>
          <w:szCs w:val="18"/>
          <w:color w:val="auto"/>
        </w:rPr>
        <w:t>(Date of Event which Requires Filing of this Statement)</w:t>
      </w:r>
    </w:p>
    <w:p>
      <w:pPr>
        <w:spacing w:after="0" w:line="244" w:lineRule="exact"/>
        <w:rPr>
          <w:sz w:val="24"/>
          <w:szCs w:val="24"/>
          <w:color w:val="auto"/>
        </w:rPr>
      </w:pPr>
    </w:p>
    <w:p>
      <w:pPr>
        <w:ind w:right="240" w:firstLine="319"/>
        <w:spacing w:after="0" w:line="265"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 -1(e), 240.13d -1(f) or 240.13d -1(g), check the following box. o</w:t>
      </w:r>
    </w:p>
    <w:p>
      <w:pPr>
        <w:spacing w:after="0" w:line="200" w:lineRule="exact"/>
        <w:rPr>
          <w:sz w:val="24"/>
          <w:szCs w:val="24"/>
          <w:color w:val="auto"/>
        </w:rPr>
      </w:pPr>
    </w:p>
    <w:p>
      <w:pPr>
        <w:spacing w:after="0" w:line="246" w:lineRule="exact"/>
        <w:rPr>
          <w:sz w:val="24"/>
          <w:szCs w:val="24"/>
          <w:color w:val="auto"/>
        </w:rPr>
      </w:pPr>
    </w:p>
    <w:p>
      <w:pPr>
        <w:ind w:left="320" w:right="240" w:firstLine="319"/>
        <w:spacing w:after="0" w:line="265"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w:t>
      </w:r>
      <w:r>
        <w:rPr>
          <w:rFonts w:ascii="Arial" w:cs="Arial" w:eastAsia="Arial" w:hAnsi="Arial"/>
          <w:sz w:val="18"/>
          <w:szCs w:val="18"/>
          <w:i w:val="1"/>
          <w:iCs w:val="1"/>
          <w:color w:val="auto"/>
        </w:rPr>
        <w:t xml:space="preserve"> </w:t>
      </w:r>
      <w:r>
        <w:rPr>
          <w:rFonts w:ascii="Arial" w:cs="Arial" w:eastAsia="Arial" w:hAnsi="Arial"/>
          <w:sz w:val="18"/>
          <w:szCs w:val="18"/>
          <w:color w:val="auto"/>
        </w:rPr>
        <w:t>§240.13d -7 for other parties to whom copies are to be sent.</w:t>
      </w:r>
    </w:p>
    <w:p>
      <w:pPr>
        <w:spacing w:after="0" w:line="200" w:lineRule="exact"/>
        <w:rPr>
          <w:sz w:val="24"/>
          <w:szCs w:val="24"/>
          <w:color w:val="auto"/>
        </w:rPr>
      </w:pPr>
    </w:p>
    <w:p>
      <w:pPr>
        <w:spacing w:after="0" w:line="246" w:lineRule="exact"/>
        <w:rPr>
          <w:sz w:val="24"/>
          <w:szCs w:val="24"/>
          <w:color w:val="auto"/>
        </w:rPr>
      </w:pPr>
    </w:p>
    <w:p>
      <w:pPr>
        <w:jc w:val="center"/>
        <w:ind w:right="240"/>
        <w:spacing w:after="0"/>
        <w:rPr>
          <w:sz w:val="20"/>
          <w:szCs w:val="20"/>
          <w:color w:val="auto"/>
        </w:rPr>
      </w:pPr>
      <w:r>
        <w:rPr>
          <w:rFonts w:ascii="Arial" w:cs="Arial" w:eastAsia="Arial" w:hAnsi="Arial"/>
          <w:sz w:val="18"/>
          <w:szCs w:val="18"/>
          <w:color w:val="auto"/>
        </w:rPr>
        <w:t>(Continued on following pages)</w:t>
      </w:r>
    </w:p>
    <w:p>
      <w:pPr>
        <w:spacing w:after="0" w:line="244" w:lineRule="exact"/>
        <w:rPr>
          <w:sz w:val="24"/>
          <w:szCs w:val="24"/>
          <w:color w:val="auto"/>
        </w:rPr>
      </w:pPr>
    </w:p>
    <w:p>
      <w:pPr>
        <w:ind w:right="880" w:firstLine="325"/>
        <w:spacing w:after="0" w:line="303" w:lineRule="auto"/>
        <w:tabs>
          <w:tab w:leader="none" w:pos="455"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jc w:val="both"/>
        <w:ind w:right="240" w:firstLine="319"/>
        <w:spacing w:after="0" w:line="249" w:lineRule="auto"/>
        <w:rPr>
          <w:rFonts w:ascii="Arial" w:cs="Arial" w:eastAsia="Arial" w:hAnsi="Arial"/>
          <w:sz w:val="15"/>
          <w:szCs w:val="15"/>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550545</wp:posOffset>
            </wp:positionV>
            <wp:extent cx="725297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020"/>
          </w:cols>
          <w:pgMar w:left="240" w:top="1183" w:right="6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68"/>
        </w:trPr>
        <w:tc>
          <w:tcPr>
            <w:tcW w:w="286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2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w w:val="85"/>
              </w:rPr>
              <w:t>Page 2 of 16 Pages</w:t>
            </w:r>
          </w:p>
        </w:tc>
      </w:tr>
      <w:tr>
        <w:trPr>
          <w:trHeight w:val="38"/>
        </w:trPr>
        <w:tc>
          <w:tcPr>
            <w:tcW w:w="2860" w:type="dxa"/>
            <w:vAlign w:val="bottom"/>
            <w:tcBorders>
              <w:left w:val="single" w:sz="8" w:color="auto"/>
              <w:bottom w:val="single" w:sz="8" w:color="auto"/>
              <w:right w:val="single" w:sz="8" w:color="auto"/>
            </w:tcBorders>
          </w:tcPr>
          <w:p>
            <w:pPr>
              <w:spacing w:after="0"/>
              <w:rPr>
                <w:sz w:val="3"/>
                <w:szCs w:val="3"/>
                <w:color w:val="auto"/>
              </w:rPr>
            </w:pPr>
          </w:p>
        </w:tc>
        <w:tc>
          <w:tcPr>
            <w:tcW w:w="572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120015</wp:posOffset>
            </wp:positionV>
            <wp:extent cx="7261860" cy="49060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4906010"/>
                    </a:xfrm>
                    <a:prstGeom prst="rect">
                      <a:avLst/>
                    </a:prstGeom>
                    <a:noFill/>
                  </pic:spPr>
                </pic:pic>
              </a:graphicData>
            </a:graphic>
          </wp:anchor>
        </w:drawing>
      </w:r>
    </w:p>
    <w:p>
      <w:pPr>
        <w:spacing w:after="0" w:line="230" w:lineRule="exact"/>
        <w:rPr>
          <w:sz w:val="20"/>
          <w:szCs w:val="20"/>
          <w:color w:val="auto"/>
        </w:rPr>
      </w:pPr>
    </w:p>
    <w:p>
      <w:pPr>
        <w:ind w:left="1500" w:right="6880" w:hanging="892"/>
        <w:spacing w:after="0" w:line="360" w:lineRule="auto"/>
        <w:tabs>
          <w:tab w:leader="none" w:pos="1500" w:val="left"/>
        </w:tabs>
        <w:numPr>
          <w:ilvl w:val="0"/>
          <w:numId w:val="2"/>
        </w:numPr>
        <w:rPr>
          <w:rFonts w:ascii="Arial" w:cs="Arial" w:eastAsia="Arial" w:hAnsi="Arial"/>
          <w:sz w:val="15"/>
          <w:szCs w:val="15"/>
          <w:color w:val="auto"/>
        </w:rPr>
      </w:pPr>
      <w:r>
        <w:rPr>
          <w:rFonts w:ascii="Arial" w:cs="Arial" w:eastAsia="Arial" w:hAnsi="Arial"/>
          <w:sz w:val="15"/>
          <w:szCs w:val="15"/>
          <w:color w:val="auto"/>
        </w:rPr>
        <w:t>NAMES OF REPORTING PERSONS TPG Group Holdings (SBS) Advisors, Inc.</w:t>
      </w:r>
    </w:p>
    <w:p>
      <w:pPr>
        <w:ind w:left="1500" w:hanging="892"/>
        <w:spacing w:after="0"/>
        <w:tabs>
          <w:tab w:leader="none" w:pos="1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w:t>
      </w:r>
    </w:p>
    <w:p>
      <w:pPr>
        <w:sectPr>
          <w:pgSz w:w="11900" w:h="16838" w:orient="portrait"/>
          <w:cols w:equalWidth="0" w:num="1">
            <w:col w:w="11420"/>
          </w:cols>
          <w:pgMar w:left="240" w:top="501" w:right="239" w:bottom="1440" w:gutter="0" w:footer="0" w:header="0"/>
        </w:sectPr>
      </w:pPr>
    </w:p>
    <w:p>
      <w:pPr>
        <w:spacing w:after="0" w:line="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GROUP</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instructions)</w:t>
      </w:r>
    </w:p>
    <w:p>
      <w:pPr>
        <w:spacing w:after="0" w:line="4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 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310" w:lineRule="exact"/>
        <w:rPr>
          <w:sz w:val="20"/>
          <w:szCs w:val="20"/>
          <w:color w:val="auto"/>
        </w:rPr>
      </w:pPr>
    </w:p>
    <w:p>
      <w:pPr>
        <w:sectPr>
          <w:pgSz w:w="11900" w:h="16838" w:orient="portrait"/>
          <w:cols w:equalWidth="0" w:num="3">
            <w:col w:w="6920" w:space="720"/>
            <w:col w:w="2760" w:space="720"/>
            <w:col w:w="300"/>
          </w:cols>
          <w:pgMar w:left="240" w:top="501" w:right="239" w:bottom="1440" w:gutter="0" w:footer="0" w:header="0"/>
          <w:type w:val="continuous"/>
        </w:sectPr>
      </w:pPr>
    </w:p>
    <w:p>
      <w:pPr>
        <w:ind w:left="1540" w:hanging="932"/>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98" w:lineRule="exact"/>
        <w:rPr>
          <w:sz w:val="20"/>
          <w:szCs w:val="20"/>
          <w:color w:val="auto"/>
        </w:rPr>
      </w:pPr>
    </w:p>
    <w:p>
      <w:pPr>
        <w:ind w:left="1500" w:right="7080" w:hanging="892"/>
        <w:spacing w:after="0" w:line="265" w:lineRule="auto"/>
        <w:tabs>
          <w:tab w:leader="none" w:pos="1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61" w:lineRule="exact"/>
        <w:rPr>
          <w:sz w:val="20"/>
          <w:szCs w:val="20"/>
          <w:color w:val="auto"/>
        </w:rPr>
      </w:pPr>
    </w:p>
    <w:p>
      <w:pPr>
        <w:ind w:left="1800" w:right="2100" w:hanging="1192"/>
        <w:spacing w:after="0" w:line="265" w:lineRule="auto"/>
        <w:tabs>
          <w:tab w:leader="none" w:pos="149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 o</w:t>
      </w:r>
    </w:p>
    <w:p>
      <w:pPr>
        <w:spacing w:after="0" w:line="61" w:lineRule="exact"/>
        <w:rPr>
          <w:sz w:val="20"/>
          <w:szCs w:val="20"/>
          <w:color w:val="auto"/>
        </w:rPr>
      </w:pPr>
    </w:p>
    <w:p>
      <w:pPr>
        <w:ind w:left="1500" w:right="6320" w:hanging="892"/>
        <w:spacing w:after="0" w:line="265" w:lineRule="auto"/>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61" w:lineRule="exact"/>
        <w:rPr>
          <w:sz w:val="20"/>
          <w:szCs w:val="20"/>
          <w:color w:val="auto"/>
        </w:rPr>
      </w:pPr>
    </w:p>
    <w:tbl>
      <w:tblPr>
        <w:tblLayout w:type="fixed"/>
        <w:tblInd w:w="360" w:type="dxa"/>
        <w:tblCellMar>
          <w:top w:w="0" w:type="dxa"/>
          <w:left w:w="0" w:type="dxa"/>
          <w:bottom w:w="0" w:type="dxa"/>
          <w:right w:w="0" w:type="dxa"/>
        </w:tblCellMar>
      </w:tblPr>
      <w:tr>
        <w:trPr>
          <w:trHeight w:val="212"/>
        </w:trPr>
        <w:tc>
          <w:tcPr>
            <w:tcW w:w="15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876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9"/>
        </w:trPr>
        <w:tc>
          <w:tcPr>
            <w:tcW w:w="1580" w:type="dxa"/>
            <w:vAlign w:val="bottom"/>
          </w:tcPr>
          <w:p>
            <w:pPr>
              <w:jc w:val="center"/>
              <w:ind w:right="252"/>
              <w:spacing w:after="0"/>
              <w:rPr>
                <w:sz w:val="20"/>
                <w:szCs w:val="20"/>
                <w:color w:val="auto"/>
              </w:rPr>
            </w:pPr>
            <w:r>
              <w:rPr>
                <w:rFonts w:ascii="Arial" w:cs="Arial" w:eastAsia="Arial" w:hAnsi="Arial"/>
                <w:sz w:val="18"/>
                <w:szCs w:val="18"/>
                <w:color w:val="auto"/>
                <w:w w:val="96"/>
              </w:rPr>
              <w:t>NUMBER OF</w:t>
            </w:r>
          </w:p>
        </w:tc>
        <w:tc>
          <w:tcPr>
            <w:tcW w:w="720" w:type="dxa"/>
            <w:vAlign w:val="bottom"/>
          </w:tcPr>
          <w:p>
            <w:pPr>
              <w:spacing w:after="0"/>
              <w:rPr>
                <w:sz w:val="20"/>
                <w:szCs w:val="20"/>
                <w:color w:val="auto"/>
              </w:rPr>
            </w:pPr>
          </w:p>
        </w:tc>
        <w:tc>
          <w:tcPr>
            <w:tcW w:w="876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
        </w:trPr>
        <w:tc>
          <w:tcPr>
            <w:tcW w:w="1580" w:type="dxa"/>
            <w:vAlign w:val="bottom"/>
            <w:vMerge w:val="restart"/>
          </w:tcPr>
          <w:p>
            <w:pPr>
              <w:jc w:val="center"/>
              <w:ind w:right="252"/>
              <w:spacing w:after="0"/>
              <w:rPr>
                <w:sz w:val="20"/>
                <w:szCs w:val="20"/>
                <w:color w:val="auto"/>
              </w:rPr>
            </w:pPr>
            <w:r>
              <w:rPr>
                <w:rFonts w:ascii="Arial" w:cs="Arial" w:eastAsia="Arial" w:hAnsi="Arial"/>
                <w:sz w:val="18"/>
                <w:szCs w:val="18"/>
                <w:color w:val="auto"/>
                <w:w w:val="91"/>
              </w:rPr>
              <w:t>SHARES</w:t>
            </w:r>
          </w:p>
        </w:tc>
        <w:tc>
          <w:tcPr>
            <w:tcW w:w="720" w:type="dxa"/>
            <w:vAlign w:val="bottom"/>
            <w:tcBorders>
              <w:bottom w:val="single" w:sz="8" w:color="auto"/>
            </w:tcBorders>
          </w:tcPr>
          <w:p>
            <w:pPr>
              <w:spacing w:after="0"/>
              <w:rPr>
                <w:sz w:val="2"/>
                <w:szCs w:val="2"/>
                <w:color w:val="auto"/>
              </w:rPr>
            </w:pPr>
          </w:p>
        </w:tc>
        <w:tc>
          <w:tcPr>
            <w:tcW w:w="8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80" w:type="dxa"/>
            <w:vAlign w:val="bottom"/>
            <w:vMerge w:val="continue"/>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876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6"/>
        </w:trPr>
        <w:tc>
          <w:tcPr>
            <w:tcW w:w="1580" w:type="dxa"/>
            <w:vAlign w:val="bottom"/>
            <w:vMerge w:val="restart"/>
          </w:tcPr>
          <w:p>
            <w:pPr>
              <w:jc w:val="center"/>
              <w:ind w:right="252"/>
              <w:spacing w:after="0"/>
              <w:rPr>
                <w:sz w:val="20"/>
                <w:szCs w:val="20"/>
                <w:color w:val="auto"/>
              </w:rPr>
            </w:pPr>
            <w:r>
              <w:rPr>
                <w:rFonts w:ascii="Arial" w:cs="Arial" w:eastAsia="Arial" w:hAnsi="Arial"/>
                <w:sz w:val="18"/>
                <w:szCs w:val="18"/>
                <w:color w:val="auto"/>
                <w:w w:val="97"/>
              </w:rPr>
              <w:t>BENEFICIALLY</w:t>
            </w:r>
          </w:p>
        </w:tc>
        <w:tc>
          <w:tcPr>
            <w:tcW w:w="720" w:type="dxa"/>
            <w:vAlign w:val="bottom"/>
            <w:vMerge w:val="continue"/>
          </w:tcPr>
          <w:p>
            <w:pPr>
              <w:spacing w:after="0"/>
              <w:rPr>
                <w:sz w:val="5"/>
                <w:szCs w:val="5"/>
                <w:color w:val="auto"/>
              </w:rPr>
            </w:pPr>
          </w:p>
        </w:tc>
        <w:tc>
          <w:tcPr>
            <w:tcW w:w="8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5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760" w:type="dxa"/>
            <w:vAlign w:val="bottom"/>
            <w:vMerge w:val="restart"/>
          </w:tcPr>
          <w:p>
            <w:pPr>
              <w:ind w:left="260"/>
              <w:spacing w:after="0"/>
              <w:rPr>
                <w:sz w:val="20"/>
                <w:szCs w:val="20"/>
                <w:color w:val="auto"/>
              </w:rPr>
            </w:pPr>
            <w:r>
              <w:rPr>
                <w:rFonts w:ascii="Arial" w:cs="Arial" w:eastAsia="Arial" w:hAnsi="Arial"/>
                <w:sz w:val="18"/>
                <w:szCs w:val="18"/>
                <w:color w:val="auto"/>
              </w:rPr>
              <w:t>7,975 (See Items 3, 4 and 5)</w:t>
            </w:r>
          </w:p>
        </w:tc>
        <w:tc>
          <w:tcPr>
            <w:tcW w:w="0" w:type="dxa"/>
            <w:vAlign w:val="bottom"/>
          </w:tcPr>
          <w:p>
            <w:pPr>
              <w:spacing w:after="0"/>
              <w:rPr>
                <w:sz w:val="1"/>
                <w:szCs w:val="1"/>
                <w:color w:val="auto"/>
              </w:rPr>
            </w:pPr>
          </w:p>
        </w:tc>
      </w:tr>
      <w:tr>
        <w:trPr>
          <w:trHeight w:val="78"/>
        </w:trPr>
        <w:tc>
          <w:tcPr>
            <w:tcW w:w="1580" w:type="dxa"/>
            <w:vAlign w:val="bottom"/>
            <w:vMerge w:val="restart"/>
          </w:tcPr>
          <w:p>
            <w:pPr>
              <w:jc w:val="center"/>
              <w:ind w:right="252"/>
              <w:spacing w:after="0"/>
              <w:rPr>
                <w:sz w:val="20"/>
                <w:szCs w:val="20"/>
                <w:color w:val="auto"/>
              </w:rPr>
            </w:pPr>
            <w:r>
              <w:rPr>
                <w:rFonts w:ascii="Arial" w:cs="Arial" w:eastAsia="Arial" w:hAnsi="Arial"/>
                <w:sz w:val="18"/>
                <w:szCs w:val="18"/>
                <w:color w:val="auto"/>
                <w:w w:val="97"/>
              </w:rPr>
              <w:t>OWNED BY</w:t>
            </w:r>
          </w:p>
        </w:tc>
        <w:tc>
          <w:tcPr>
            <w:tcW w:w="720" w:type="dxa"/>
            <w:vAlign w:val="bottom"/>
          </w:tcPr>
          <w:p>
            <w:pPr>
              <w:spacing w:after="0"/>
              <w:rPr>
                <w:sz w:val="6"/>
                <w:szCs w:val="6"/>
                <w:color w:val="auto"/>
              </w:rPr>
            </w:pPr>
          </w:p>
        </w:tc>
        <w:tc>
          <w:tcPr>
            <w:tcW w:w="8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580" w:type="dxa"/>
            <w:vAlign w:val="bottom"/>
            <w:vMerge w:val="continue"/>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876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2"/>
        </w:trPr>
        <w:tc>
          <w:tcPr>
            <w:tcW w:w="1580" w:type="dxa"/>
            <w:vAlign w:val="bottom"/>
          </w:tcPr>
          <w:p>
            <w:pPr>
              <w:jc w:val="center"/>
              <w:ind w:right="252"/>
              <w:spacing w:after="0" w:line="172" w:lineRule="exact"/>
              <w:rPr>
                <w:sz w:val="20"/>
                <w:szCs w:val="20"/>
                <w:color w:val="auto"/>
              </w:rPr>
            </w:pPr>
            <w:r>
              <w:rPr>
                <w:rFonts w:ascii="Arial" w:cs="Arial" w:eastAsia="Arial" w:hAnsi="Arial"/>
                <w:sz w:val="18"/>
                <w:szCs w:val="18"/>
                <w:color w:val="auto"/>
                <w:w w:val="95"/>
              </w:rPr>
              <w:t>EACH</w:t>
            </w:r>
          </w:p>
        </w:tc>
        <w:tc>
          <w:tcPr>
            <w:tcW w:w="720" w:type="dxa"/>
            <w:vAlign w:val="bottom"/>
            <w:vMerge w:val="continue"/>
          </w:tcPr>
          <w:p>
            <w:pPr>
              <w:spacing w:after="0"/>
              <w:rPr>
                <w:sz w:val="14"/>
                <w:szCs w:val="14"/>
                <w:color w:val="auto"/>
              </w:rPr>
            </w:pPr>
          </w:p>
        </w:tc>
        <w:tc>
          <w:tcPr>
            <w:tcW w:w="8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580" w:type="dxa"/>
            <w:vAlign w:val="bottom"/>
          </w:tcPr>
          <w:p>
            <w:pPr>
              <w:jc w:val="center"/>
              <w:ind w:right="232"/>
              <w:spacing w:after="0"/>
              <w:rPr>
                <w:sz w:val="20"/>
                <w:szCs w:val="20"/>
                <w:color w:val="auto"/>
              </w:rPr>
            </w:pPr>
            <w:r>
              <w:rPr>
                <w:rFonts w:ascii="Arial" w:cs="Arial" w:eastAsia="Arial" w:hAnsi="Arial"/>
                <w:sz w:val="18"/>
                <w:szCs w:val="18"/>
                <w:color w:val="auto"/>
                <w:w w:val="91"/>
              </w:rPr>
              <w:t>REPORTING</w:t>
            </w:r>
          </w:p>
        </w:tc>
        <w:tc>
          <w:tcPr>
            <w:tcW w:w="720" w:type="dxa"/>
            <w:vAlign w:val="bottom"/>
            <w:tcBorders>
              <w:bottom w:val="single" w:sz="8" w:color="auto"/>
            </w:tcBorders>
          </w:tcPr>
          <w:p>
            <w:pPr>
              <w:spacing w:after="0"/>
              <w:rPr>
                <w:sz w:val="21"/>
                <w:szCs w:val="21"/>
                <w:color w:val="auto"/>
              </w:rPr>
            </w:pPr>
          </w:p>
        </w:tc>
        <w:tc>
          <w:tcPr>
            <w:tcW w:w="8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3"/>
        </w:trPr>
        <w:tc>
          <w:tcPr>
            <w:tcW w:w="1580" w:type="dxa"/>
            <w:vAlign w:val="bottom"/>
          </w:tcPr>
          <w:p>
            <w:pPr>
              <w:jc w:val="center"/>
              <w:ind w:right="252"/>
              <w:spacing w:after="0" w:line="205" w:lineRule="exact"/>
              <w:rPr>
                <w:sz w:val="20"/>
                <w:szCs w:val="20"/>
                <w:color w:val="auto"/>
              </w:rPr>
            </w:pPr>
            <w:r>
              <w:rPr>
                <w:rFonts w:ascii="Arial" w:cs="Arial" w:eastAsia="Arial" w:hAnsi="Arial"/>
                <w:sz w:val="18"/>
                <w:szCs w:val="18"/>
                <w:color w:val="auto"/>
                <w:w w:val="94"/>
              </w:rPr>
              <w:t>PERSON WITH</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6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4"/>
        </w:trPr>
        <w:tc>
          <w:tcPr>
            <w:tcW w:w="1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60" w:type="dxa"/>
            <w:vAlign w:val="bottom"/>
          </w:tcPr>
          <w:p>
            <w:pPr>
              <w:ind w:left="260"/>
              <w:spacing w:after="0"/>
              <w:rPr>
                <w:sz w:val="20"/>
                <w:szCs w:val="20"/>
                <w:color w:val="auto"/>
              </w:rPr>
            </w:pPr>
            <w:r>
              <w:rPr>
                <w:rFonts w:ascii="Arial" w:cs="Arial" w:eastAsia="Arial" w:hAnsi="Arial"/>
                <w:sz w:val="18"/>
                <w:szCs w:val="18"/>
                <w:color w:val="auto"/>
              </w:rPr>
              <w:t>7,975 (See Items 3, 4 and 5)</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500" w:right="3480" w:hanging="933"/>
        <w:spacing w:after="0" w:line="265"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7,975 (See Items 3, 4 and 5)</w:t>
      </w:r>
    </w:p>
    <w:p>
      <w:pPr>
        <w:spacing w:after="0" w:line="60" w:lineRule="exact"/>
        <w:rPr>
          <w:rFonts w:ascii="Arial" w:cs="Arial" w:eastAsia="Arial" w:hAnsi="Arial"/>
          <w:sz w:val="18"/>
          <w:szCs w:val="18"/>
          <w:color w:val="auto"/>
        </w:rPr>
      </w:pPr>
    </w:p>
    <w:p>
      <w:pPr>
        <w:ind w:left="1500" w:right="1960" w:hanging="936"/>
        <w:spacing w:after="0" w:line="265"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60" w:lineRule="exact"/>
        <w:rPr>
          <w:rFonts w:ascii="Arial" w:cs="Arial" w:eastAsia="Arial" w:hAnsi="Arial"/>
          <w:sz w:val="18"/>
          <w:szCs w:val="18"/>
          <w:color w:val="auto"/>
        </w:rPr>
      </w:pPr>
    </w:p>
    <w:p>
      <w:pPr>
        <w:ind w:left="1500" w:right="4980" w:hanging="936"/>
        <w:spacing w:after="0" w:line="265"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4.5% (See Item 5)*</w:t>
      </w:r>
    </w:p>
    <w:p>
      <w:pPr>
        <w:spacing w:after="0" w:line="54" w:lineRule="exact"/>
        <w:rPr>
          <w:rFonts w:ascii="Arial" w:cs="Arial" w:eastAsia="Arial" w:hAnsi="Arial"/>
          <w:sz w:val="18"/>
          <w:szCs w:val="18"/>
          <w:color w:val="auto"/>
        </w:rPr>
      </w:pPr>
    </w:p>
    <w:p>
      <w:pPr>
        <w:ind w:left="1500" w:hanging="936"/>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2"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99" w:lineRule="exact"/>
        <w:rPr>
          <w:sz w:val="20"/>
          <w:szCs w:val="20"/>
          <w:color w:val="auto"/>
        </w:rPr>
      </w:pPr>
    </w:p>
    <w:p>
      <w:pPr>
        <w:ind w:left="1500" w:right="300" w:hanging="894"/>
        <w:spacing w:after="0" w:line="265" w:lineRule="auto"/>
        <w:tabs>
          <w:tab w:leader="none" w:pos="1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calculation assumes that there are 176,533 shares of common stock of TPG Specialty Lending, Inc. (the “</w:t>
      </w:r>
      <w:r>
        <w:rPr>
          <w:rFonts w:ascii="Arial" w:cs="Arial" w:eastAsia="Arial" w:hAnsi="Arial"/>
          <w:sz w:val="18"/>
          <w:szCs w:val="18"/>
          <w:u w:val="single" w:color="auto"/>
          <w:color w:val="auto"/>
        </w:rPr>
        <w:t>Issuer</w:t>
      </w:r>
      <w:r>
        <w:rPr>
          <w:rFonts w:ascii="Arial" w:cs="Arial" w:eastAsia="Arial" w:hAnsi="Arial"/>
          <w:sz w:val="18"/>
          <w:szCs w:val="18"/>
          <w:color w:val="auto"/>
        </w:rPr>
        <w:t>”) outstanding as of December 16, 2011.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7249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type w:val="continuous"/>
        </w:sectPr>
      </w:pPr>
    </w:p>
    <w:bookmarkStart w:id="2" w:name="page3"/>
    <w:bookmarkEnd w:id="2"/>
    <w:tbl>
      <w:tblPr>
        <w:tblLayout w:type="fixed"/>
        <w:tblInd w:w="10" w:type="dxa"/>
        <w:tblCellMar>
          <w:top w:w="0" w:type="dxa"/>
          <w:left w:w="0" w:type="dxa"/>
          <w:bottom w:w="0" w:type="dxa"/>
          <w:right w:w="0" w:type="dxa"/>
        </w:tblCellMar>
      </w:tblPr>
      <w:tr>
        <w:trPr>
          <w:trHeight w:val="268"/>
        </w:trPr>
        <w:tc>
          <w:tcPr>
            <w:tcW w:w="286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2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w w:val="85"/>
              </w:rPr>
              <w:t>Page 3 of 16 Pages</w:t>
            </w:r>
          </w:p>
        </w:tc>
      </w:tr>
      <w:tr>
        <w:trPr>
          <w:trHeight w:val="38"/>
        </w:trPr>
        <w:tc>
          <w:tcPr>
            <w:tcW w:w="2860" w:type="dxa"/>
            <w:vAlign w:val="bottom"/>
            <w:tcBorders>
              <w:left w:val="single" w:sz="8" w:color="auto"/>
              <w:bottom w:val="single" w:sz="8" w:color="auto"/>
              <w:right w:val="single" w:sz="8" w:color="auto"/>
            </w:tcBorders>
          </w:tcPr>
          <w:p>
            <w:pPr>
              <w:spacing w:after="0"/>
              <w:rPr>
                <w:sz w:val="3"/>
                <w:szCs w:val="3"/>
                <w:color w:val="auto"/>
              </w:rPr>
            </w:pPr>
          </w:p>
        </w:tc>
        <w:tc>
          <w:tcPr>
            <w:tcW w:w="572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120015</wp:posOffset>
            </wp:positionV>
            <wp:extent cx="7324090" cy="508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4090" cy="5086985"/>
                    </a:xfrm>
                    <a:prstGeom prst="rect">
                      <a:avLst/>
                    </a:prstGeom>
                    <a:noFill/>
                  </pic:spPr>
                </pic:pic>
              </a:graphicData>
            </a:graphic>
          </wp:anchor>
        </w:drawing>
      </w:r>
    </w:p>
    <w:p>
      <w:pPr>
        <w:spacing w:after="0" w:line="230" w:lineRule="exact"/>
        <w:rPr>
          <w:sz w:val="20"/>
          <w:szCs w:val="20"/>
          <w:color w:val="auto"/>
        </w:rPr>
      </w:pPr>
    </w:p>
    <w:p>
      <w:pPr>
        <w:ind w:left="1500" w:right="7300" w:hanging="892"/>
        <w:spacing w:after="0" w:line="360" w:lineRule="auto"/>
        <w:tabs>
          <w:tab w:leader="none" w:pos="15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NAMES OF REPORTING PERSONS Tarrant Capital Advisors, Inc.</w:t>
      </w:r>
    </w:p>
    <w:p>
      <w:pPr>
        <w:ind w:left="1660" w:hanging="1052"/>
        <w:spacing w:after="0"/>
        <w:tabs>
          <w:tab w:leader="none" w:pos="1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w:t>
      </w:r>
    </w:p>
    <w:p>
      <w:pPr>
        <w:sectPr>
          <w:pgSz w:w="11900" w:h="16838" w:orient="portrait"/>
          <w:cols w:equalWidth="0" w:num="1">
            <w:col w:w="11520"/>
          </w:cols>
          <w:pgMar w:left="240" w:top="501" w:right="139" w:bottom="1440" w:gutter="0" w:footer="0" w:header="0"/>
        </w:sectPr>
      </w:pPr>
    </w:p>
    <w:p>
      <w:pPr>
        <w:spacing w:after="0" w:line="1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GROUP</w:t>
      </w:r>
    </w:p>
    <w:p>
      <w:pPr>
        <w:spacing w:after="0" w:line="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(see</w:t>
      </w:r>
    </w:p>
    <w:p>
      <w:pPr>
        <w:spacing w:after="0" w:line="5"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instructions)</w:t>
      </w:r>
    </w:p>
    <w:p>
      <w:pPr>
        <w:spacing w:after="0" w:line="4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 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310" w:lineRule="exact"/>
        <w:rPr>
          <w:sz w:val="20"/>
          <w:szCs w:val="20"/>
          <w:color w:val="auto"/>
        </w:rPr>
      </w:pPr>
    </w:p>
    <w:p>
      <w:pPr>
        <w:sectPr>
          <w:pgSz w:w="11900" w:h="16838" w:orient="portrait"/>
          <w:cols w:equalWidth="0" w:num="3">
            <w:col w:w="7060" w:space="720"/>
            <w:col w:w="2780" w:space="720"/>
            <w:col w:w="240"/>
          </w:cols>
          <w:pgMar w:left="240" w:top="501" w:right="139" w:bottom="1440" w:gutter="0" w:footer="0" w:header="0"/>
          <w:type w:val="continuous"/>
        </w:sectPr>
      </w:pPr>
    </w:p>
    <w:p>
      <w:pPr>
        <w:ind w:left="1540" w:hanging="932"/>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98" w:lineRule="exact"/>
        <w:rPr>
          <w:sz w:val="20"/>
          <w:szCs w:val="20"/>
          <w:color w:val="auto"/>
        </w:rPr>
      </w:pPr>
    </w:p>
    <w:p>
      <w:pPr>
        <w:ind w:left="1500" w:right="7180" w:hanging="892"/>
        <w:spacing w:after="0" w:line="265" w:lineRule="auto"/>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61" w:lineRule="exact"/>
        <w:rPr>
          <w:sz w:val="20"/>
          <w:szCs w:val="20"/>
          <w:color w:val="auto"/>
        </w:rPr>
      </w:pPr>
    </w:p>
    <w:p>
      <w:pPr>
        <w:ind w:left="1500" w:right="2100" w:hanging="892"/>
        <w:spacing w:after="0" w:line="265" w:lineRule="auto"/>
        <w:tabs>
          <w:tab w:leader="none" w:pos="1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61" w:lineRule="exact"/>
        <w:rPr>
          <w:sz w:val="20"/>
          <w:szCs w:val="20"/>
          <w:color w:val="auto"/>
        </w:rPr>
      </w:pPr>
    </w:p>
    <w:p>
      <w:pPr>
        <w:ind w:left="1500" w:right="6420" w:hanging="892"/>
        <w:spacing w:after="0" w:line="265" w:lineRule="auto"/>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61" w:lineRule="exact"/>
        <w:rPr>
          <w:sz w:val="20"/>
          <w:szCs w:val="20"/>
          <w:color w:val="auto"/>
        </w:rPr>
      </w:pPr>
    </w:p>
    <w:tbl>
      <w:tblPr>
        <w:tblLayout w:type="fixed"/>
        <w:tblInd w:w="360" w:type="dxa"/>
        <w:tblCellMar>
          <w:top w:w="0" w:type="dxa"/>
          <w:left w:w="0" w:type="dxa"/>
          <w:bottom w:w="0" w:type="dxa"/>
          <w:right w:w="0" w:type="dxa"/>
        </w:tblCellMar>
      </w:tblPr>
      <w:tr>
        <w:trPr>
          <w:trHeight w:val="212"/>
        </w:trPr>
        <w:tc>
          <w:tcPr>
            <w:tcW w:w="16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884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9"/>
        </w:trPr>
        <w:tc>
          <w:tcPr>
            <w:tcW w:w="1600" w:type="dxa"/>
            <w:vAlign w:val="bottom"/>
          </w:tcPr>
          <w:p>
            <w:pPr>
              <w:jc w:val="center"/>
              <w:ind w:right="252"/>
              <w:spacing w:after="0"/>
              <w:rPr>
                <w:sz w:val="20"/>
                <w:szCs w:val="20"/>
                <w:color w:val="auto"/>
              </w:rPr>
            </w:pPr>
            <w:r>
              <w:rPr>
                <w:rFonts w:ascii="Arial" w:cs="Arial" w:eastAsia="Arial" w:hAnsi="Arial"/>
                <w:sz w:val="18"/>
                <w:szCs w:val="18"/>
                <w:color w:val="auto"/>
                <w:w w:val="94"/>
              </w:rPr>
              <w:t>NUMBER OF</w:t>
            </w:r>
          </w:p>
        </w:tc>
        <w:tc>
          <w:tcPr>
            <w:tcW w:w="720" w:type="dxa"/>
            <w:vAlign w:val="bottom"/>
          </w:tcPr>
          <w:p>
            <w:pPr>
              <w:spacing w:after="0"/>
              <w:rPr>
                <w:sz w:val="20"/>
                <w:szCs w:val="20"/>
                <w:color w:val="auto"/>
              </w:rPr>
            </w:pPr>
          </w:p>
        </w:tc>
        <w:tc>
          <w:tcPr>
            <w:tcW w:w="884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
        </w:trPr>
        <w:tc>
          <w:tcPr>
            <w:tcW w:w="1600" w:type="dxa"/>
            <w:vAlign w:val="bottom"/>
            <w:vMerge w:val="restart"/>
          </w:tcPr>
          <w:p>
            <w:pPr>
              <w:jc w:val="center"/>
              <w:ind w:right="272"/>
              <w:spacing w:after="0"/>
              <w:rPr>
                <w:sz w:val="20"/>
                <w:szCs w:val="20"/>
                <w:color w:val="auto"/>
              </w:rPr>
            </w:pPr>
            <w:r>
              <w:rPr>
                <w:rFonts w:ascii="Arial" w:cs="Arial" w:eastAsia="Arial" w:hAnsi="Arial"/>
                <w:sz w:val="18"/>
                <w:szCs w:val="18"/>
                <w:color w:val="auto"/>
                <w:w w:val="91"/>
              </w:rPr>
              <w:t>SHARES</w:t>
            </w:r>
          </w:p>
        </w:tc>
        <w:tc>
          <w:tcPr>
            <w:tcW w:w="720" w:type="dxa"/>
            <w:vAlign w:val="bottom"/>
            <w:tcBorders>
              <w:bottom w:val="single" w:sz="8" w:color="auto"/>
            </w:tcBorders>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600" w:type="dxa"/>
            <w:vAlign w:val="bottom"/>
            <w:vMerge w:val="continue"/>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884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6"/>
        </w:trPr>
        <w:tc>
          <w:tcPr>
            <w:tcW w:w="1600" w:type="dxa"/>
            <w:vAlign w:val="bottom"/>
            <w:vMerge w:val="restart"/>
          </w:tcPr>
          <w:p>
            <w:pPr>
              <w:jc w:val="center"/>
              <w:ind w:right="252"/>
              <w:spacing w:after="0"/>
              <w:rPr>
                <w:sz w:val="20"/>
                <w:szCs w:val="20"/>
                <w:color w:val="auto"/>
              </w:rPr>
            </w:pPr>
            <w:r>
              <w:rPr>
                <w:rFonts w:ascii="Arial" w:cs="Arial" w:eastAsia="Arial" w:hAnsi="Arial"/>
                <w:sz w:val="18"/>
                <w:szCs w:val="18"/>
                <w:color w:val="auto"/>
                <w:w w:val="99"/>
              </w:rPr>
              <w:t>BENEFICIALLY</w:t>
            </w:r>
          </w:p>
        </w:tc>
        <w:tc>
          <w:tcPr>
            <w:tcW w:w="720" w:type="dxa"/>
            <w:vAlign w:val="bottom"/>
            <w:vMerge w:val="continue"/>
          </w:tcPr>
          <w:p>
            <w:pPr>
              <w:spacing w:after="0"/>
              <w:rPr>
                <w:sz w:val="5"/>
                <w:szCs w:val="5"/>
                <w:color w:val="auto"/>
              </w:rPr>
            </w:pPr>
          </w:p>
        </w:tc>
        <w:tc>
          <w:tcPr>
            <w:tcW w:w="8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6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840" w:type="dxa"/>
            <w:vAlign w:val="bottom"/>
            <w:vMerge w:val="restart"/>
          </w:tcPr>
          <w:p>
            <w:pPr>
              <w:ind w:left="260"/>
              <w:spacing w:after="0"/>
              <w:rPr>
                <w:sz w:val="20"/>
                <w:szCs w:val="20"/>
                <w:color w:val="auto"/>
              </w:rPr>
            </w:pPr>
            <w:r>
              <w:rPr>
                <w:rFonts w:ascii="Arial" w:cs="Arial" w:eastAsia="Arial" w:hAnsi="Arial"/>
                <w:sz w:val="18"/>
                <w:szCs w:val="18"/>
                <w:color w:val="auto"/>
              </w:rPr>
              <w:t>8,073 (See Items 3, 4 and 5)</w:t>
            </w:r>
          </w:p>
        </w:tc>
        <w:tc>
          <w:tcPr>
            <w:tcW w:w="0" w:type="dxa"/>
            <w:vAlign w:val="bottom"/>
          </w:tcPr>
          <w:p>
            <w:pPr>
              <w:spacing w:after="0"/>
              <w:rPr>
                <w:sz w:val="1"/>
                <w:szCs w:val="1"/>
                <w:color w:val="auto"/>
              </w:rPr>
            </w:pPr>
          </w:p>
        </w:tc>
      </w:tr>
      <w:tr>
        <w:trPr>
          <w:trHeight w:val="78"/>
        </w:trPr>
        <w:tc>
          <w:tcPr>
            <w:tcW w:w="1600" w:type="dxa"/>
            <w:vAlign w:val="bottom"/>
            <w:vMerge w:val="restart"/>
          </w:tcPr>
          <w:p>
            <w:pPr>
              <w:jc w:val="center"/>
              <w:ind w:right="252"/>
              <w:spacing w:after="0"/>
              <w:rPr>
                <w:sz w:val="20"/>
                <w:szCs w:val="20"/>
                <w:color w:val="auto"/>
              </w:rPr>
            </w:pPr>
            <w:r>
              <w:rPr>
                <w:rFonts w:ascii="Arial" w:cs="Arial" w:eastAsia="Arial" w:hAnsi="Arial"/>
                <w:sz w:val="18"/>
                <w:szCs w:val="18"/>
                <w:color w:val="auto"/>
                <w:w w:val="95"/>
              </w:rPr>
              <w:t>OWNED BY</w:t>
            </w:r>
          </w:p>
        </w:tc>
        <w:tc>
          <w:tcPr>
            <w:tcW w:w="720" w:type="dxa"/>
            <w:vAlign w:val="bottom"/>
          </w:tcPr>
          <w:p>
            <w:pPr>
              <w:spacing w:after="0"/>
              <w:rPr>
                <w:sz w:val="6"/>
                <w:szCs w:val="6"/>
                <w:color w:val="auto"/>
              </w:rPr>
            </w:pPr>
          </w:p>
        </w:tc>
        <w:tc>
          <w:tcPr>
            <w:tcW w:w="8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884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2"/>
        </w:trPr>
        <w:tc>
          <w:tcPr>
            <w:tcW w:w="1600" w:type="dxa"/>
            <w:vAlign w:val="bottom"/>
          </w:tcPr>
          <w:p>
            <w:pPr>
              <w:jc w:val="center"/>
              <w:ind w:right="272"/>
              <w:spacing w:after="0" w:line="172" w:lineRule="exact"/>
              <w:rPr>
                <w:sz w:val="20"/>
                <w:szCs w:val="20"/>
                <w:color w:val="auto"/>
              </w:rPr>
            </w:pPr>
            <w:r>
              <w:rPr>
                <w:rFonts w:ascii="Arial" w:cs="Arial" w:eastAsia="Arial" w:hAnsi="Arial"/>
                <w:sz w:val="18"/>
                <w:szCs w:val="18"/>
                <w:color w:val="auto"/>
                <w:w w:val="95"/>
              </w:rPr>
              <w:t>EACH</w:t>
            </w:r>
          </w:p>
        </w:tc>
        <w:tc>
          <w:tcPr>
            <w:tcW w:w="720" w:type="dxa"/>
            <w:vAlign w:val="bottom"/>
            <w:vMerge w:val="continue"/>
          </w:tcPr>
          <w:p>
            <w:pPr>
              <w:spacing w:after="0"/>
              <w:rPr>
                <w:sz w:val="14"/>
                <w:szCs w:val="14"/>
                <w:color w:val="auto"/>
              </w:rPr>
            </w:pPr>
          </w:p>
        </w:tc>
        <w:tc>
          <w:tcPr>
            <w:tcW w:w="8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600" w:type="dxa"/>
            <w:vAlign w:val="bottom"/>
          </w:tcPr>
          <w:p>
            <w:pPr>
              <w:jc w:val="center"/>
              <w:ind w:right="252"/>
              <w:spacing w:after="0"/>
              <w:rPr>
                <w:sz w:val="20"/>
                <w:szCs w:val="20"/>
                <w:color w:val="auto"/>
              </w:rPr>
            </w:pPr>
            <w:r>
              <w:rPr>
                <w:rFonts w:ascii="Arial" w:cs="Arial" w:eastAsia="Arial" w:hAnsi="Arial"/>
                <w:sz w:val="18"/>
                <w:szCs w:val="18"/>
                <w:color w:val="auto"/>
                <w:w w:val="91"/>
              </w:rPr>
              <w:t>REPORTING</w:t>
            </w:r>
          </w:p>
        </w:tc>
        <w:tc>
          <w:tcPr>
            <w:tcW w:w="720" w:type="dxa"/>
            <w:vAlign w:val="bottom"/>
            <w:tcBorders>
              <w:bottom w:val="single" w:sz="8" w:color="auto"/>
            </w:tcBorders>
          </w:tcPr>
          <w:p>
            <w:pPr>
              <w:spacing w:after="0"/>
              <w:rPr>
                <w:sz w:val="21"/>
                <w:szCs w:val="21"/>
                <w:color w:val="auto"/>
              </w:rPr>
            </w:pPr>
          </w:p>
        </w:tc>
        <w:tc>
          <w:tcPr>
            <w:tcW w:w="88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3"/>
        </w:trPr>
        <w:tc>
          <w:tcPr>
            <w:tcW w:w="1600" w:type="dxa"/>
            <w:vAlign w:val="bottom"/>
          </w:tcPr>
          <w:p>
            <w:pPr>
              <w:jc w:val="center"/>
              <w:ind w:right="252"/>
              <w:spacing w:after="0" w:line="205" w:lineRule="exact"/>
              <w:rPr>
                <w:sz w:val="20"/>
                <w:szCs w:val="20"/>
                <w:color w:val="auto"/>
              </w:rPr>
            </w:pPr>
            <w:r>
              <w:rPr>
                <w:rFonts w:ascii="Arial" w:cs="Arial" w:eastAsia="Arial" w:hAnsi="Arial"/>
                <w:sz w:val="18"/>
                <w:szCs w:val="18"/>
                <w:color w:val="auto"/>
                <w:w w:val="92"/>
              </w:rPr>
              <w:t>PERSON WITH</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84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4"/>
        </w:trPr>
        <w:tc>
          <w:tcPr>
            <w:tcW w:w="1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40" w:type="dxa"/>
            <w:vAlign w:val="bottom"/>
          </w:tcPr>
          <w:p>
            <w:pPr>
              <w:ind w:left="260"/>
              <w:spacing w:after="0"/>
              <w:rPr>
                <w:sz w:val="20"/>
                <w:szCs w:val="20"/>
                <w:color w:val="auto"/>
              </w:rPr>
            </w:pPr>
            <w:r>
              <w:rPr>
                <w:rFonts w:ascii="Arial" w:cs="Arial" w:eastAsia="Arial" w:hAnsi="Arial"/>
                <w:sz w:val="18"/>
                <w:szCs w:val="18"/>
                <w:color w:val="auto"/>
              </w:rPr>
              <w:t>8,073 (See Items 3, 4 and 5)</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500" w:right="3580" w:hanging="933"/>
        <w:spacing w:after="0" w:line="265" w:lineRule="auto"/>
        <w:tabs>
          <w:tab w:leader="none" w:pos="1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8,073 (See Items 3, 4 and 5)</w:t>
      </w:r>
    </w:p>
    <w:p>
      <w:pPr>
        <w:spacing w:after="0" w:line="61" w:lineRule="exact"/>
        <w:rPr>
          <w:sz w:val="20"/>
          <w:szCs w:val="20"/>
          <w:color w:val="auto"/>
        </w:rPr>
      </w:pPr>
    </w:p>
    <w:tbl>
      <w:tblPr>
        <w:tblLayout w:type="fixed"/>
        <w:tblInd w:w="560" w:type="dxa"/>
        <w:tblCellMar>
          <w:top w:w="0" w:type="dxa"/>
          <w:left w:w="0" w:type="dxa"/>
          <w:bottom w:w="0" w:type="dxa"/>
          <w:right w:w="0" w:type="dxa"/>
        </w:tblCellMar>
      </w:tblPr>
      <w:tr>
        <w:trPr>
          <w:trHeight w:val="224"/>
        </w:trPr>
        <w:tc>
          <w:tcPr>
            <w:tcW w:w="560" w:type="dxa"/>
            <w:vAlign w:val="bottom"/>
          </w:tcPr>
          <w:p>
            <w:pPr>
              <w:jc w:val="right"/>
              <w:ind w:right="292"/>
              <w:spacing w:after="0"/>
              <w:rPr>
                <w:sz w:val="20"/>
                <w:szCs w:val="20"/>
                <w:color w:val="auto"/>
              </w:rPr>
            </w:pPr>
            <w:r>
              <w:rPr>
                <w:rFonts w:ascii="Arial" w:cs="Arial" w:eastAsia="Arial" w:hAnsi="Arial"/>
                <w:sz w:val="18"/>
                <w:szCs w:val="18"/>
                <w:color w:val="auto"/>
                <w:w w:val="79"/>
              </w:rPr>
              <w:t>12</w:t>
            </w:r>
          </w:p>
        </w:tc>
        <w:tc>
          <w:tcPr>
            <w:tcW w:w="9260" w:type="dxa"/>
            <w:vAlign w:val="bottom"/>
          </w:tcPr>
          <w:p>
            <w:pPr>
              <w:ind w:left="3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1020" w:type="dxa"/>
            <w:vAlign w:val="bottom"/>
          </w:tcPr>
          <w:p>
            <w:pPr>
              <w:ind w:left="920"/>
              <w:spacing w:after="0"/>
              <w:rPr>
                <w:sz w:val="20"/>
                <w:szCs w:val="20"/>
                <w:color w:val="auto"/>
              </w:rPr>
            </w:pPr>
            <w:r>
              <w:rPr>
                <w:rFonts w:ascii="Arial" w:cs="Arial" w:eastAsia="Arial" w:hAnsi="Arial"/>
                <w:sz w:val="18"/>
                <w:szCs w:val="18"/>
                <w:color w:val="auto"/>
                <w:w w:val="79"/>
              </w:rPr>
              <w:t>o</w:t>
            </w:r>
          </w:p>
        </w:tc>
      </w:tr>
    </w:tbl>
    <w:p>
      <w:pPr>
        <w:spacing w:after="0" w:line="82" w:lineRule="exact"/>
        <w:rPr>
          <w:sz w:val="20"/>
          <w:szCs w:val="20"/>
          <w:color w:val="auto"/>
        </w:rPr>
      </w:pPr>
    </w:p>
    <w:p>
      <w:pPr>
        <w:ind w:left="1500" w:right="5080" w:hanging="936"/>
        <w:spacing w:after="0" w:line="265" w:lineRule="auto"/>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4.6% (See Item 5)*</w:t>
      </w:r>
    </w:p>
    <w:p>
      <w:pPr>
        <w:spacing w:after="0" w:line="54" w:lineRule="exact"/>
        <w:rPr>
          <w:rFonts w:ascii="Arial" w:cs="Arial" w:eastAsia="Arial" w:hAnsi="Arial"/>
          <w:sz w:val="18"/>
          <w:szCs w:val="18"/>
          <w:color w:val="auto"/>
        </w:rPr>
      </w:pPr>
    </w:p>
    <w:p>
      <w:pPr>
        <w:ind w:left="1500" w:hanging="936"/>
        <w:spacing w:after="0"/>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2"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99" w:lineRule="exact"/>
        <w:rPr>
          <w:sz w:val="20"/>
          <w:szCs w:val="20"/>
          <w:color w:val="auto"/>
        </w:rPr>
      </w:pPr>
    </w:p>
    <w:p>
      <w:pPr>
        <w:ind w:left="5040" w:right="380" w:hanging="4439"/>
        <w:spacing w:after="0" w:line="773" w:lineRule="auto"/>
        <w:tabs>
          <w:tab w:leader="none" w:pos="149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calculation assumes that there are 176,533 shares of common stock of the Issuer outstanding as of December 16, 2011. See Item 5. Page 3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-224790</wp:posOffset>
            </wp:positionV>
            <wp:extent cx="725297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520"/>
          </w:cols>
          <w:pgMar w:left="240" w:top="501" w:right="139" w:bottom="1440" w:gutter="0" w:footer="0" w:header="0"/>
          <w:type w:val="continuous"/>
        </w:sectPr>
      </w:pPr>
    </w:p>
    <w:bookmarkStart w:id="3" w:name="page4"/>
    <w:bookmarkEnd w:id="3"/>
    <w:tbl>
      <w:tblPr>
        <w:tblLayout w:type="fixed"/>
        <w:tblInd w:w="10" w:type="dxa"/>
        <w:tblCellMar>
          <w:top w:w="0" w:type="dxa"/>
          <w:left w:w="0" w:type="dxa"/>
          <w:bottom w:w="0" w:type="dxa"/>
          <w:right w:w="0" w:type="dxa"/>
        </w:tblCellMar>
      </w:tblPr>
      <w:tr>
        <w:trPr>
          <w:trHeight w:val="268"/>
        </w:trPr>
        <w:tc>
          <w:tcPr>
            <w:tcW w:w="286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2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w w:val="85"/>
              </w:rPr>
              <w:t>Page 4 of 16 Pages</w:t>
            </w:r>
          </w:p>
        </w:tc>
      </w:tr>
      <w:tr>
        <w:trPr>
          <w:trHeight w:val="38"/>
        </w:trPr>
        <w:tc>
          <w:tcPr>
            <w:tcW w:w="2860" w:type="dxa"/>
            <w:vAlign w:val="bottom"/>
            <w:tcBorders>
              <w:left w:val="single" w:sz="8" w:color="auto"/>
              <w:bottom w:val="single" w:sz="8" w:color="auto"/>
              <w:right w:val="single" w:sz="8" w:color="auto"/>
            </w:tcBorders>
          </w:tcPr>
          <w:p>
            <w:pPr>
              <w:spacing w:after="0"/>
              <w:rPr>
                <w:sz w:val="3"/>
                <w:szCs w:val="3"/>
                <w:color w:val="auto"/>
              </w:rPr>
            </w:pPr>
          </w:p>
        </w:tc>
        <w:tc>
          <w:tcPr>
            <w:tcW w:w="572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313295" cy="4747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3295" cy="4747895"/>
                    </a:xfrm>
                    <a:prstGeom prst="rect">
                      <a:avLst/>
                    </a:prstGeom>
                    <a:noFill/>
                  </pic:spPr>
                </pic:pic>
              </a:graphicData>
            </a:graphic>
          </wp:anchor>
        </w:drawing>
      </w:r>
    </w:p>
    <w:p>
      <w:pPr>
        <w:spacing w:after="0" w:line="230" w:lineRule="exact"/>
        <w:rPr>
          <w:sz w:val="20"/>
          <w:szCs w:val="20"/>
          <w:color w:val="auto"/>
        </w:rPr>
      </w:pPr>
    </w:p>
    <w:p>
      <w:pPr>
        <w:ind w:left="1500" w:right="7300" w:hanging="892"/>
        <w:spacing w:after="0" w:line="265" w:lineRule="auto"/>
        <w:tabs>
          <w:tab w:leader="none" w:pos="1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NAMES OF REPORTING PERSONS David Bonderman</w:t>
      </w:r>
    </w:p>
    <w:p>
      <w:pPr>
        <w:spacing w:after="0" w:line="61" w:lineRule="exact"/>
        <w:rPr>
          <w:sz w:val="20"/>
          <w:szCs w:val="20"/>
          <w:color w:val="auto"/>
        </w:rPr>
      </w:pPr>
    </w:p>
    <w:p>
      <w:pPr>
        <w:ind w:left="1660" w:hanging="1052"/>
        <w:spacing w:after="0"/>
        <w:tabs>
          <w:tab w:leader="none" w:pos="1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w:t>
      </w:r>
    </w:p>
    <w:p>
      <w:pPr>
        <w:sectPr>
          <w:pgSz w:w="11900" w:h="16838" w:orient="portrait"/>
          <w:cols w:equalWidth="0" w:num="1">
            <w:col w:w="11520"/>
          </w:cols>
          <w:pgMar w:left="240" w:top="501" w:right="139" w:bottom="1440" w:gutter="0" w:footer="0" w:header="0"/>
        </w:sectPr>
      </w:pPr>
    </w:p>
    <w:p>
      <w:pPr>
        <w:spacing w:after="0" w:line="1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GROUP</w:t>
      </w:r>
    </w:p>
    <w:p>
      <w:pPr>
        <w:spacing w:after="0" w:line="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(see</w:t>
      </w:r>
    </w:p>
    <w:p>
      <w:pPr>
        <w:spacing w:after="0" w:line="5"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instructions)</w:t>
      </w:r>
    </w:p>
    <w:p>
      <w:pPr>
        <w:spacing w:after="0" w:line="4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 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310" w:lineRule="exact"/>
        <w:rPr>
          <w:sz w:val="20"/>
          <w:szCs w:val="20"/>
          <w:color w:val="auto"/>
        </w:rPr>
      </w:pPr>
    </w:p>
    <w:p>
      <w:pPr>
        <w:sectPr>
          <w:pgSz w:w="11900" w:h="16838" w:orient="portrait"/>
          <w:cols w:equalWidth="0" w:num="3">
            <w:col w:w="7060" w:space="720"/>
            <w:col w:w="2780" w:space="720"/>
            <w:col w:w="240"/>
          </w:cols>
          <w:pgMar w:left="240" w:top="501" w:right="139" w:bottom="1440" w:gutter="0" w:footer="0" w:header="0"/>
          <w:type w:val="continuous"/>
        </w:sectPr>
      </w:pPr>
    </w:p>
    <w:p>
      <w:pPr>
        <w:ind w:left="1540" w:hanging="932"/>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98" w:lineRule="exact"/>
        <w:rPr>
          <w:sz w:val="20"/>
          <w:szCs w:val="20"/>
          <w:color w:val="auto"/>
        </w:rPr>
      </w:pPr>
    </w:p>
    <w:p>
      <w:pPr>
        <w:ind w:left="1500" w:right="7180" w:hanging="892"/>
        <w:spacing w:after="0" w:line="265" w:lineRule="auto"/>
        <w:tabs>
          <w:tab w:leader="none" w:pos="1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61" w:lineRule="exact"/>
        <w:rPr>
          <w:sz w:val="20"/>
          <w:szCs w:val="20"/>
          <w:color w:val="auto"/>
        </w:rPr>
      </w:pPr>
    </w:p>
    <w:p>
      <w:pPr>
        <w:ind w:left="1500" w:hanging="892"/>
        <w:spacing w:after="0"/>
        <w:tabs>
          <w:tab w:leader="none" w:pos="1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w:t>
      </w:r>
    </w:p>
    <w:p>
      <w:pPr>
        <w:spacing w:after="0" w:line="17" w:lineRule="exact"/>
        <w:rPr>
          <w:sz w:val="20"/>
          <w:szCs w:val="20"/>
          <w:color w:val="auto"/>
        </w:rPr>
      </w:pPr>
    </w:p>
    <w:p>
      <w:pPr>
        <w:ind w:left="1500"/>
        <w:spacing w:after="0"/>
        <w:tabs>
          <w:tab w:leader="none" w:pos="384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7" w:lineRule="exact"/>
        <w:rPr>
          <w:sz w:val="20"/>
          <w:szCs w:val="20"/>
          <w:color w:val="auto"/>
        </w:rPr>
      </w:pPr>
    </w:p>
    <w:p>
      <w:pPr>
        <w:ind w:left="1500" w:right="6420" w:hanging="892"/>
        <w:spacing w:after="0" w:line="265" w:lineRule="auto"/>
        <w:tabs>
          <w:tab w:leader="none" w:pos="1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61" w:lineRule="exact"/>
        <w:rPr>
          <w:sz w:val="20"/>
          <w:szCs w:val="20"/>
          <w:color w:val="auto"/>
        </w:rPr>
      </w:pPr>
    </w:p>
    <w:tbl>
      <w:tblPr>
        <w:tblLayout w:type="fixed"/>
        <w:tblInd w:w="360" w:type="dxa"/>
        <w:tblCellMar>
          <w:top w:w="0" w:type="dxa"/>
          <w:left w:w="0" w:type="dxa"/>
          <w:bottom w:w="0" w:type="dxa"/>
          <w:right w:w="0" w:type="dxa"/>
        </w:tblCellMar>
      </w:tblPr>
      <w:tr>
        <w:trPr>
          <w:trHeight w:val="212"/>
        </w:trPr>
        <w:tc>
          <w:tcPr>
            <w:tcW w:w="16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884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9"/>
        </w:trPr>
        <w:tc>
          <w:tcPr>
            <w:tcW w:w="1600" w:type="dxa"/>
            <w:vAlign w:val="bottom"/>
          </w:tcPr>
          <w:p>
            <w:pPr>
              <w:jc w:val="center"/>
              <w:ind w:right="252"/>
              <w:spacing w:after="0"/>
              <w:rPr>
                <w:sz w:val="20"/>
                <w:szCs w:val="20"/>
                <w:color w:val="auto"/>
              </w:rPr>
            </w:pPr>
            <w:r>
              <w:rPr>
                <w:rFonts w:ascii="Arial" w:cs="Arial" w:eastAsia="Arial" w:hAnsi="Arial"/>
                <w:sz w:val="18"/>
                <w:szCs w:val="18"/>
                <w:color w:val="auto"/>
                <w:w w:val="94"/>
              </w:rPr>
              <w:t>NUMBER OF</w:t>
            </w:r>
          </w:p>
        </w:tc>
        <w:tc>
          <w:tcPr>
            <w:tcW w:w="720" w:type="dxa"/>
            <w:vAlign w:val="bottom"/>
          </w:tcPr>
          <w:p>
            <w:pPr>
              <w:spacing w:after="0"/>
              <w:rPr>
                <w:sz w:val="20"/>
                <w:szCs w:val="20"/>
                <w:color w:val="auto"/>
              </w:rPr>
            </w:pPr>
          </w:p>
        </w:tc>
        <w:tc>
          <w:tcPr>
            <w:tcW w:w="884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
        </w:trPr>
        <w:tc>
          <w:tcPr>
            <w:tcW w:w="1600" w:type="dxa"/>
            <w:vAlign w:val="bottom"/>
            <w:vMerge w:val="restart"/>
          </w:tcPr>
          <w:p>
            <w:pPr>
              <w:jc w:val="center"/>
              <w:ind w:right="272"/>
              <w:spacing w:after="0"/>
              <w:rPr>
                <w:sz w:val="20"/>
                <w:szCs w:val="20"/>
                <w:color w:val="auto"/>
              </w:rPr>
            </w:pPr>
            <w:r>
              <w:rPr>
                <w:rFonts w:ascii="Arial" w:cs="Arial" w:eastAsia="Arial" w:hAnsi="Arial"/>
                <w:sz w:val="18"/>
                <w:szCs w:val="18"/>
                <w:color w:val="auto"/>
                <w:w w:val="91"/>
              </w:rPr>
              <w:t>SHARES</w:t>
            </w:r>
          </w:p>
        </w:tc>
        <w:tc>
          <w:tcPr>
            <w:tcW w:w="720" w:type="dxa"/>
            <w:vAlign w:val="bottom"/>
            <w:tcBorders>
              <w:bottom w:val="single" w:sz="8" w:color="auto"/>
            </w:tcBorders>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600" w:type="dxa"/>
            <w:vAlign w:val="bottom"/>
            <w:vMerge w:val="continue"/>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884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6"/>
        </w:trPr>
        <w:tc>
          <w:tcPr>
            <w:tcW w:w="1600" w:type="dxa"/>
            <w:vAlign w:val="bottom"/>
            <w:vMerge w:val="restart"/>
          </w:tcPr>
          <w:p>
            <w:pPr>
              <w:jc w:val="center"/>
              <w:ind w:right="252"/>
              <w:spacing w:after="0"/>
              <w:rPr>
                <w:sz w:val="20"/>
                <w:szCs w:val="20"/>
                <w:color w:val="auto"/>
              </w:rPr>
            </w:pPr>
            <w:r>
              <w:rPr>
                <w:rFonts w:ascii="Arial" w:cs="Arial" w:eastAsia="Arial" w:hAnsi="Arial"/>
                <w:sz w:val="18"/>
                <w:szCs w:val="18"/>
                <w:color w:val="auto"/>
                <w:w w:val="99"/>
              </w:rPr>
              <w:t>BENEFICIALLY</w:t>
            </w:r>
          </w:p>
        </w:tc>
        <w:tc>
          <w:tcPr>
            <w:tcW w:w="720" w:type="dxa"/>
            <w:vAlign w:val="bottom"/>
            <w:vMerge w:val="continue"/>
          </w:tcPr>
          <w:p>
            <w:pPr>
              <w:spacing w:after="0"/>
              <w:rPr>
                <w:sz w:val="5"/>
                <w:szCs w:val="5"/>
                <w:color w:val="auto"/>
              </w:rPr>
            </w:pPr>
          </w:p>
        </w:tc>
        <w:tc>
          <w:tcPr>
            <w:tcW w:w="8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6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840" w:type="dxa"/>
            <w:vAlign w:val="bottom"/>
            <w:vMerge w:val="restart"/>
          </w:tcPr>
          <w:p>
            <w:pPr>
              <w:ind w:left="260"/>
              <w:spacing w:after="0"/>
              <w:rPr>
                <w:sz w:val="20"/>
                <w:szCs w:val="20"/>
                <w:color w:val="auto"/>
              </w:rPr>
            </w:pPr>
            <w:r>
              <w:rPr>
                <w:rFonts w:ascii="Arial" w:cs="Arial" w:eastAsia="Arial" w:hAnsi="Arial"/>
                <w:sz w:val="18"/>
                <w:szCs w:val="18"/>
                <w:color w:val="auto"/>
              </w:rPr>
              <w:t>10,267 (See Items 3, 4 and 5)</w:t>
            </w:r>
          </w:p>
        </w:tc>
        <w:tc>
          <w:tcPr>
            <w:tcW w:w="0" w:type="dxa"/>
            <w:vAlign w:val="bottom"/>
          </w:tcPr>
          <w:p>
            <w:pPr>
              <w:spacing w:after="0"/>
              <w:rPr>
                <w:sz w:val="1"/>
                <w:szCs w:val="1"/>
                <w:color w:val="auto"/>
              </w:rPr>
            </w:pPr>
          </w:p>
        </w:tc>
      </w:tr>
      <w:tr>
        <w:trPr>
          <w:trHeight w:val="78"/>
        </w:trPr>
        <w:tc>
          <w:tcPr>
            <w:tcW w:w="1600" w:type="dxa"/>
            <w:vAlign w:val="bottom"/>
            <w:vMerge w:val="restart"/>
          </w:tcPr>
          <w:p>
            <w:pPr>
              <w:jc w:val="center"/>
              <w:ind w:right="252"/>
              <w:spacing w:after="0"/>
              <w:rPr>
                <w:sz w:val="20"/>
                <w:szCs w:val="20"/>
                <w:color w:val="auto"/>
              </w:rPr>
            </w:pPr>
            <w:r>
              <w:rPr>
                <w:rFonts w:ascii="Arial" w:cs="Arial" w:eastAsia="Arial" w:hAnsi="Arial"/>
                <w:sz w:val="18"/>
                <w:szCs w:val="18"/>
                <w:color w:val="auto"/>
                <w:w w:val="95"/>
              </w:rPr>
              <w:t>OWNED BY</w:t>
            </w:r>
          </w:p>
        </w:tc>
        <w:tc>
          <w:tcPr>
            <w:tcW w:w="720" w:type="dxa"/>
            <w:vAlign w:val="bottom"/>
          </w:tcPr>
          <w:p>
            <w:pPr>
              <w:spacing w:after="0"/>
              <w:rPr>
                <w:sz w:val="6"/>
                <w:szCs w:val="6"/>
                <w:color w:val="auto"/>
              </w:rPr>
            </w:pPr>
          </w:p>
        </w:tc>
        <w:tc>
          <w:tcPr>
            <w:tcW w:w="8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884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2"/>
        </w:trPr>
        <w:tc>
          <w:tcPr>
            <w:tcW w:w="1600" w:type="dxa"/>
            <w:vAlign w:val="bottom"/>
          </w:tcPr>
          <w:p>
            <w:pPr>
              <w:jc w:val="center"/>
              <w:ind w:right="272"/>
              <w:spacing w:after="0" w:line="172" w:lineRule="exact"/>
              <w:rPr>
                <w:sz w:val="20"/>
                <w:szCs w:val="20"/>
                <w:color w:val="auto"/>
              </w:rPr>
            </w:pPr>
            <w:r>
              <w:rPr>
                <w:rFonts w:ascii="Arial" w:cs="Arial" w:eastAsia="Arial" w:hAnsi="Arial"/>
                <w:sz w:val="18"/>
                <w:szCs w:val="18"/>
                <w:color w:val="auto"/>
                <w:w w:val="95"/>
              </w:rPr>
              <w:t>EACH</w:t>
            </w:r>
          </w:p>
        </w:tc>
        <w:tc>
          <w:tcPr>
            <w:tcW w:w="720" w:type="dxa"/>
            <w:vAlign w:val="bottom"/>
            <w:vMerge w:val="continue"/>
          </w:tcPr>
          <w:p>
            <w:pPr>
              <w:spacing w:after="0"/>
              <w:rPr>
                <w:sz w:val="14"/>
                <w:szCs w:val="14"/>
                <w:color w:val="auto"/>
              </w:rPr>
            </w:pPr>
          </w:p>
        </w:tc>
        <w:tc>
          <w:tcPr>
            <w:tcW w:w="8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600" w:type="dxa"/>
            <w:vAlign w:val="bottom"/>
          </w:tcPr>
          <w:p>
            <w:pPr>
              <w:jc w:val="center"/>
              <w:ind w:right="252"/>
              <w:spacing w:after="0"/>
              <w:rPr>
                <w:sz w:val="20"/>
                <w:szCs w:val="20"/>
                <w:color w:val="auto"/>
              </w:rPr>
            </w:pPr>
            <w:r>
              <w:rPr>
                <w:rFonts w:ascii="Arial" w:cs="Arial" w:eastAsia="Arial" w:hAnsi="Arial"/>
                <w:sz w:val="18"/>
                <w:szCs w:val="18"/>
                <w:color w:val="auto"/>
                <w:w w:val="91"/>
              </w:rPr>
              <w:t>REPORTING</w:t>
            </w:r>
          </w:p>
        </w:tc>
        <w:tc>
          <w:tcPr>
            <w:tcW w:w="720" w:type="dxa"/>
            <w:vAlign w:val="bottom"/>
            <w:tcBorders>
              <w:bottom w:val="single" w:sz="8" w:color="auto"/>
            </w:tcBorders>
          </w:tcPr>
          <w:p>
            <w:pPr>
              <w:spacing w:after="0"/>
              <w:rPr>
                <w:sz w:val="21"/>
                <w:szCs w:val="21"/>
                <w:color w:val="auto"/>
              </w:rPr>
            </w:pPr>
          </w:p>
        </w:tc>
        <w:tc>
          <w:tcPr>
            <w:tcW w:w="88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3"/>
        </w:trPr>
        <w:tc>
          <w:tcPr>
            <w:tcW w:w="1600" w:type="dxa"/>
            <w:vAlign w:val="bottom"/>
          </w:tcPr>
          <w:p>
            <w:pPr>
              <w:jc w:val="center"/>
              <w:ind w:right="252"/>
              <w:spacing w:after="0" w:line="205" w:lineRule="exact"/>
              <w:rPr>
                <w:sz w:val="20"/>
                <w:szCs w:val="20"/>
                <w:color w:val="auto"/>
              </w:rPr>
            </w:pPr>
            <w:r>
              <w:rPr>
                <w:rFonts w:ascii="Arial" w:cs="Arial" w:eastAsia="Arial" w:hAnsi="Arial"/>
                <w:sz w:val="18"/>
                <w:szCs w:val="18"/>
                <w:color w:val="auto"/>
                <w:w w:val="92"/>
              </w:rPr>
              <w:t>PERSON WITH</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84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4"/>
        </w:trPr>
        <w:tc>
          <w:tcPr>
            <w:tcW w:w="1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40" w:type="dxa"/>
            <w:vAlign w:val="bottom"/>
          </w:tcPr>
          <w:p>
            <w:pPr>
              <w:ind w:left="260"/>
              <w:spacing w:after="0"/>
              <w:rPr>
                <w:sz w:val="20"/>
                <w:szCs w:val="20"/>
                <w:color w:val="auto"/>
              </w:rPr>
            </w:pPr>
            <w:r>
              <w:rPr>
                <w:rFonts w:ascii="Arial" w:cs="Arial" w:eastAsia="Arial" w:hAnsi="Arial"/>
                <w:sz w:val="18"/>
                <w:szCs w:val="18"/>
                <w:color w:val="auto"/>
              </w:rPr>
              <w:t>10,267 (See Items 3, 4 and 5)</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500" w:right="3580" w:hanging="933"/>
        <w:spacing w:after="0" w:line="265" w:lineRule="auto"/>
        <w:tabs>
          <w:tab w:leader="none" w:pos="1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10,267 (See Items 3, 4 and 5)</w:t>
      </w:r>
    </w:p>
    <w:p>
      <w:pPr>
        <w:spacing w:after="0" w:line="61" w:lineRule="exact"/>
        <w:rPr>
          <w:sz w:val="20"/>
          <w:szCs w:val="20"/>
          <w:color w:val="auto"/>
        </w:rPr>
      </w:pPr>
    </w:p>
    <w:tbl>
      <w:tblPr>
        <w:tblLayout w:type="fixed"/>
        <w:tblInd w:w="560" w:type="dxa"/>
        <w:tblCellMar>
          <w:top w:w="0" w:type="dxa"/>
          <w:left w:w="0" w:type="dxa"/>
          <w:bottom w:w="0" w:type="dxa"/>
          <w:right w:w="0" w:type="dxa"/>
        </w:tblCellMar>
      </w:tblPr>
      <w:tr>
        <w:trPr>
          <w:trHeight w:val="224"/>
        </w:trPr>
        <w:tc>
          <w:tcPr>
            <w:tcW w:w="560" w:type="dxa"/>
            <w:vAlign w:val="bottom"/>
          </w:tcPr>
          <w:p>
            <w:pPr>
              <w:jc w:val="right"/>
              <w:ind w:right="292"/>
              <w:spacing w:after="0"/>
              <w:rPr>
                <w:sz w:val="20"/>
                <w:szCs w:val="20"/>
                <w:color w:val="auto"/>
              </w:rPr>
            </w:pPr>
            <w:r>
              <w:rPr>
                <w:rFonts w:ascii="Arial" w:cs="Arial" w:eastAsia="Arial" w:hAnsi="Arial"/>
                <w:sz w:val="18"/>
                <w:szCs w:val="18"/>
                <w:color w:val="auto"/>
                <w:w w:val="79"/>
              </w:rPr>
              <w:t>12</w:t>
            </w:r>
          </w:p>
        </w:tc>
        <w:tc>
          <w:tcPr>
            <w:tcW w:w="9420" w:type="dxa"/>
            <w:vAlign w:val="bottom"/>
          </w:tcPr>
          <w:p>
            <w:pPr>
              <w:ind w:left="38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740" w:type="dxa"/>
            <w:vAlign w:val="bottom"/>
          </w:tcPr>
          <w:p>
            <w:pPr>
              <w:ind w:left="660"/>
              <w:spacing w:after="0"/>
              <w:rPr>
                <w:sz w:val="20"/>
                <w:szCs w:val="20"/>
                <w:color w:val="auto"/>
              </w:rPr>
            </w:pPr>
            <w:r>
              <w:rPr>
                <w:rFonts w:ascii="Arial" w:cs="Arial" w:eastAsia="Arial" w:hAnsi="Arial"/>
                <w:sz w:val="15"/>
                <w:szCs w:val="15"/>
                <w:color w:val="auto"/>
                <w:w w:val="71"/>
              </w:rPr>
              <w:t>o</w:t>
            </w:r>
          </w:p>
        </w:tc>
      </w:tr>
    </w:tbl>
    <w:p>
      <w:pPr>
        <w:spacing w:after="0" w:line="82" w:lineRule="exact"/>
        <w:rPr>
          <w:sz w:val="20"/>
          <w:szCs w:val="20"/>
          <w:color w:val="auto"/>
        </w:rPr>
      </w:pPr>
    </w:p>
    <w:p>
      <w:pPr>
        <w:ind w:left="1500" w:right="5080" w:hanging="936"/>
        <w:spacing w:after="0" w:line="265" w:lineRule="auto"/>
        <w:tabs>
          <w:tab w:leader="none" w:pos="1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5.8% (See Item 5)*</w:t>
      </w:r>
    </w:p>
    <w:p>
      <w:pPr>
        <w:spacing w:after="0" w:line="54" w:lineRule="exact"/>
        <w:rPr>
          <w:rFonts w:ascii="Arial" w:cs="Arial" w:eastAsia="Arial" w:hAnsi="Arial"/>
          <w:sz w:val="18"/>
          <w:szCs w:val="18"/>
          <w:color w:val="auto"/>
        </w:rPr>
      </w:pPr>
    </w:p>
    <w:p>
      <w:pPr>
        <w:ind w:left="1500" w:hanging="936"/>
        <w:spacing w:after="0"/>
        <w:tabs>
          <w:tab w:leader="none" w:pos="1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2"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99" w:lineRule="exact"/>
        <w:rPr>
          <w:sz w:val="20"/>
          <w:szCs w:val="20"/>
          <w:color w:val="auto"/>
        </w:rPr>
      </w:pPr>
    </w:p>
    <w:p>
      <w:pPr>
        <w:ind w:left="5040" w:right="380" w:hanging="4434"/>
        <w:spacing w:after="0" w:line="773" w:lineRule="auto"/>
        <w:tabs>
          <w:tab w:leader="none" w:pos="14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calculation assumes that there are 176,533 shares of common stock of the Issuer outstanding as of December 16, 2011. See Item 5. Page 4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-678180</wp:posOffset>
            </wp:positionV>
            <wp:extent cx="73113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1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-224790</wp:posOffset>
            </wp:positionV>
            <wp:extent cx="725297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520"/>
          </w:cols>
          <w:pgMar w:left="240" w:top="501" w:right="139" w:bottom="1440" w:gutter="0" w:footer="0" w:header="0"/>
          <w:type w:val="continuous"/>
        </w:sectPr>
      </w:pPr>
    </w:p>
    <w:bookmarkStart w:id="4" w:name="page5"/>
    <w:bookmarkEnd w:id="4"/>
    <w:tbl>
      <w:tblPr>
        <w:tblLayout w:type="fixed"/>
        <w:tblInd w:w="10" w:type="dxa"/>
        <w:tblCellMar>
          <w:top w:w="0" w:type="dxa"/>
          <w:left w:w="0" w:type="dxa"/>
          <w:bottom w:w="0" w:type="dxa"/>
          <w:right w:w="0" w:type="dxa"/>
        </w:tblCellMar>
      </w:tblPr>
      <w:tr>
        <w:trPr>
          <w:trHeight w:val="268"/>
        </w:trPr>
        <w:tc>
          <w:tcPr>
            <w:tcW w:w="286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2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w w:val="85"/>
              </w:rPr>
              <w:t>Page 5 of 16 Pages</w:t>
            </w:r>
          </w:p>
        </w:tc>
      </w:tr>
      <w:tr>
        <w:trPr>
          <w:trHeight w:val="38"/>
        </w:trPr>
        <w:tc>
          <w:tcPr>
            <w:tcW w:w="2860" w:type="dxa"/>
            <w:vAlign w:val="bottom"/>
            <w:tcBorders>
              <w:left w:val="single" w:sz="8" w:color="auto"/>
              <w:bottom w:val="single" w:sz="8" w:color="auto"/>
              <w:right w:val="single" w:sz="8" w:color="auto"/>
            </w:tcBorders>
          </w:tcPr>
          <w:p>
            <w:pPr>
              <w:spacing w:after="0"/>
              <w:rPr>
                <w:sz w:val="3"/>
                <w:szCs w:val="3"/>
                <w:color w:val="auto"/>
              </w:rPr>
            </w:pPr>
          </w:p>
        </w:tc>
        <w:tc>
          <w:tcPr>
            <w:tcW w:w="572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251065" cy="4882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065" cy="4882515"/>
                    </a:xfrm>
                    <a:prstGeom prst="rect">
                      <a:avLst/>
                    </a:prstGeom>
                    <a:noFill/>
                  </pic:spPr>
                </pic:pic>
              </a:graphicData>
            </a:graphic>
          </wp:anchor>
        </w:drawing>
      </w:r>
    </w:p>
    <w:p>
      <w:pPr>
        <w:spacing w:after="0" w:line="230" w:lineRule="exact"/>
        <w:rPr>
          <w:sz w:val="20"/>
          <w:szCs w:val="20"/>
          <w:color w:val="auto"/>
        </w:rPr>
      </w:pPr>
    </w:p>
    <w:p>
      <w:pPr>
        <w:ind w:left="1500" w:right="7200" w:hanging="892"/>
        <w:spacing w:after="0" w:line="265" w:lineRule="auto"/>
        <w:tabs>
          <w:tab w:leader="none" w:pos="1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NAMES OF REPORTING PERSONS James G. Coulter</w:t>
      </w:r>
    </w:p>
    <w:p>
      <w:pPr>
        <w:spacing w:after="0" w:line="61" w:lineRule="exact"/>
        <w:rPr>
          <w:sz w:val="20"/>
          <w:szCs w:val="20"/>
          <w:color w:val="auto"/>
        </w:rPr>
      </w:pPr>
    </w:p>
    <w:p>
      <w:pPr>
        <w:ind w:left="1500" w:hanging="892"/>
        <w:spacing w:after="0"/>
        <w:tabs>
          <w:tab w:leader="none" w:pos="1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w:t>
      </w:r>
    </w:p>
    <w:p>
      <w:pPr>
        <w:sectPr>
          <w:pgSz w:w="11900" w:h="16838" w:orient="portrait"/>
          <w:cols w:equalWidth="0" w:num="1">
            <w:col w:w="11420"/>
          </w:cols>
          <w:pgMar w:left="240" w:top="501" w:right="239" w:bottom="1440" w:gutter="0" w:footer="0" w:header="0"/>
        </w:sectPr>
      </w:pPr>
    </w:p>
    <w:p>
      <w:pPr>
        <w:spacing w:after="0" w:line="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GROUP</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(see</w:t>
      </w:r>
    </w:p>
    <w:p>
      <w:pPr>
        <w:spacing w:after="0" w:line="5"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instructions)</w:t>
      </w:r>
    </w:p>
    <w:p>
      <w:pPr>
        <w:spacing w:after="0" w:line="4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 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310" w:lineRule="exact"/>
        <w:rPr>
          <w:sz w:val="20"/>
          <w:szCs w:val="20"/>
          <w:color w:val="auto"/>
        </w:rPr>
      </w:pPr>
    </w:p>
    <w:p>
      <w:pPr>
        <w:sectPr>
          <w:pgSz w:w="11900" w:h="16838" w:orient="portrait"/>
          <w:cols w:equalWidth="0" w:num="3">
            <w:col w:w="6920" w:space="720"/>
            <w:col w:w="2760" w:space="720"/>
            <w:col w:w="300"/>
          </w:cols>
          <w:pgMar w:left="240" w:top="501" w:right="239" w:bottom="1440" w:gutter="0" w:footer="0" w:header="0"/>
          <w:type w:val="continuous"/>
        </w:sectPr>
      </w:pPr>
    </w:p>
    <w:p>
      <w:pPr>
        <w:ind w:left="1500" w:hanging="892"/>
        <w:spacing w:after="0"/>
        <w:tabs>
          <w:tab w:leader="none" w:pos="1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98" w:lineRule="exact"/>
        <w:rPr>
          <w:sz w:val="20"/>
          <w:szCs w:val="20"/>
          <w:color w:val="auto"/>
        </w:rPr>
      </w:pPr>
    </w:p>
    <w:p>
      <w:pPr>
        <w:ind w:left="1500" w:right="7080" w:hanging="892"/>
        <w:spacing w:after="0" w:line="265" w:lineRule="auto"/>
        <w:tabs>
          <w:tab w:leader="none" w:pos="1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61" w:lineRule="exact"/>
        <w:rPr>
          <w:sz w:val="20"/>
          <w:szCs w:val="20"/>
          <w:color w:val="auto"/>
        </w:rPr>
      </w:pPr>
    </w:p>
    <w:p>
      <w:pPr>
        <w:ind w:left="1500" w:hanging="892"/>
        <w:spacing w:after="0"/>
        <w:tabs>
          <w:tab w:leader="none" w:pos="1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w:t>
      </w:r>
    </w:p>
    <w:p>
      <w:pPr>
        <w:spacing w:after="0" w:line="17" w:lineRule="exact"/>
        <w:rPr>
          <w:sz w:val="20"/>
          <w:szCs w:val="20"/>
          <w:color w:val="auto"/>
        </w:rPr>
      </w:pPr>
    </w:p>
    <w:p>
      <w:pPr>
        <w:ind w:left="1500"/>
        <w:spacing w:after="0"/>
        <w:tabs>
          <w:tab w:leader="none" w:pos="384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7" w:lineRule="exact"/>
        <w:rPr>
          <w:sz w:val="20"/>
          <w:szCs w:val="20"/>
          <w:color w:val="auto"/>
        </w:rPr>
      </w:pPr>
    </w:p>
    <w:p>
      <w:pPr>
        <w:ind w:left="1500" w:right="6320" w:hanging="892"/>
        <w:spacing w:after="0" w:line="265" w:lineRule="auto"/>
        <w:tabs>
          <w:tab w:leader="none" w:pos="1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61" w:lineRule="exact"/>
        <w:rPr>
          <w:sz w:val="20"/>
          <w:szCs w:val="20"/>
          <w:color w:val="auto"/>
        </w:rPr>
      </w:pPr>
    </w:p>
    <w:tbl>
      <w:tblPr>
        <w:tblLayout w:type="fixed"/>
        <w:tblInd w:w="360" w:type="dxa"/>
        <w:tblCellMar>
          <w:top w:w="0" w:type="dxa"/>
          <w:left w:w="0" w:type="dxa"/>
          <w:bottom w:w="0" w:type="dxa"/>
          <w:right w:w="0" w:type="dxa"/>
        </w:tblCellMar>
      </w:tblPr>
      <w:tr>
        <w:trPr>
          <w:trHeight w:val="212"/>
        </w:trPr>
        <w:tc>
          <w:tcPr>
            <w:tcW w:w="15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876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9"/>
        </w:trPr>
        <w:tc>
          <w:tcPr>
            <w:tcW w:w="1580" w:type="dxa"/>
            <w:vAlign w:val="bottom"/>
          </w:tcPr>
          <w:p>
            <w:pPr>
              <w:jc w:val="center"/>
              <w:ind w:right="252"/>
              <w:spacing w:after="0"/>
              <w:rPr>
                <w:sz w:val="20"/>
                <w:szCs w:val="20"/>
                <w:color w:val="auto"/>
              </w:rPr>
            </w:pPr>
            <w:r>
              <w:rPr>
                <w:rFonts w:ascii="Arial" w:cs="Arial" w:eastAsia="Arial" w:hAnsi="Arial"/>
                <w:sz w:val="18"/>
                <w:szCs w:val="18"/>
                <w:color w:val="auto"/>
                <w:w w:val="96"/>
              </w:rPr>
              <w:t>NUMBER OF</w:t>
            </w:r>
          </w:p>
        </w:tc>
        <w:tc>
          <w:tcPr>
            <w:tcW w:w="720" w:type="dxa"/>
            <w:vAlign w:val="bottom"/>
          </w:tcPr>
          <w:p>
            <w:pPr>
              <w:spacing w:after="0"/>
              <w:rPr>
                <w:sz w:val="20"/>
                <w:szCs w:val="20"/>
                <w:color w:val="auto"/>
              </w:rPr>
            </w:pPr>
          </w:p>
        </w:tc>
        <w:tc>
          <w:tcPr>
            <w:tcW w:w="876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
        </w:trPr>
        <w:tc>
          <w:tcPr>
            <w:tcW w:w="1580" w:type="dxa"/>
            <w:vAlign w:val="bottom"/>
            <w:vMerge w:val="restart"/>
          </w:tcPr>
          <w:p>
            <w:pPr>
              <w:jc w:val="center"/>
              <w:ind w:right="252"/>
              <w:spacing w:after="0"/>
              <w:rPr>
                <w:sz w:val="20"/>
                <w:szCs w:val="20"/>
                <w:color w:val="auto"/>
              </w:rPr>
            </w:pPr>
            <w:r>
              <w:rPr>
                <w:rFonts w:ascii="Arial" w:cs="Arial" w:eastAsia="Arial" w:hAnsi="Arial"/>
                <w:sz w:val="18"/>
                <w:szCs w:val="18"/>
                <w:color w:val="auto"/>
                <w:w w:val="91"/>
              </w:rPr>
              <w:t>SHARES</w:t>
            </w:r>
          </w:p>
        </w:tc>
        <w:tc>
          <w:tcPr>
            <w:tcW w:w="720" w:type="dxa"/>
            <w:vAlign w:val="bottom"/>
            <w:tcBorders>
              <w:bottom w:val="single" w:sz="8" w:color="auto"/>
            </w:tcBorders>
          </w:tcPr>
          <w:p>
            <w:pPr>
              <w:spacing w:after="0"/>
              <w:rPr>
                <w:sz w:val="2"/>
                <w:szCs w:val="2"/>
                <w:color w:val="auto"/>
              </w:rPr>
            </w:pPr>
          </w:p>
        </w:tc>
        <w:tc>
          <w:tcPr>
            <w:tcW w:w="8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580" w:type="dxa"/>
            <w:vAlign w:val="bottom"/>
            <w:vMerge w:val="continue"/>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876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6"/>
        </w:trPr>
        <w:tc>
          <w:tcPr>
            <w:tcW w:w="1580" w:type="dxa"/>
            <w:vAlign w:val="bottom"/>
            <w:vMerge w:val="restart"/>
          </w:tcPr>
          <w:p>
            <w:pPr>
              <w:jc w:val="center"/>
              <w:ind w:right="252"/>
              <w:spacing w:after="0"/>
              <w:rPr>
                <w:sz w:val="20"/>
                <w:szCs w:val="20"/>
                <w:color w:val="auto"/>
              </w:rPr>
            </w:pPr>
            <w:r>
              <w:rPr>
                <w:rFonts w:ascii="Arial" w:cs="Arial" w:eastAsia="Arial" w:hAnsi="Arial"/>
                <w:sz w:val="18"/>
                <w:szCs w:val="18"/>
                <w:color w:val="auto"/>
                <w:w w:val="97"/>
              </w:rPr>
              <w:t>BENEFICIALLY</w:t>
            </w:r>
          </w:p>
        </w:tc>
        <w:tc>
          <w:tcPr>
            <w:tcW w:w="720" w:type="dxa"/>
            <w:vAlign w:val="bottom"/>
            <w:vMerge w:val="continue"/>
          </w:tcPr>
          <w:p>
            <w:pPr>
              <w:spacing w:after="0"/>
              <w:rPr>
                <w:sz w:val="5"/>
                <w:szCs w:val="5"/>
                <w:color w:val="auto"/>
              </w:rPr>
            </w:pPr>
          </w:p>
        </w:tc>
        <w:tc>
          <w:tcPr>
            <w:tcW w:w="8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5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760" w:type="dxa"/>
            <w:vAlign w:val="bottom"/>
            <w:vMerge w:val="restart"/>
          </w:tcPr>
          <w:p>
            <w:pPr>
              <w:ind w:left="260"/>
              <w:spacing w:after="0"/>
              <w:rPr>
                <w:sz w:val="20"/>
                <w:szCs w:val="20"/>
                <w:color w:val="auto"/>
              </w:rPr>
            </w:pPr>
            <w:r>
              <w:rPr>
                <w:rFonts w:ascii="Arial" w:cs="Arial" w:eastAsia="Arial" w:hAnsi="Arial"/>
                <w:sz w:val="18"/>
                <w:szCs w:val="18"/>
                <w:color w:val="auto"/>
              </w:rPr>
              <w:t>10,267 (See Items 3, 4 and 5)</w:t>
            </w:r>
          </w:p>
        </w:tc>
        <w:tc>
          <w:tcPr>
            <w:tcW w:w="0" w:type="dxa"/>
            <w:vAlign w:val="bottom"/>
          </w:tcPr>
          <w:p>
            <w:pPr>
              <w:spacing w:after="0"/>
              <w:rPr>
                <w:sz w:val="1"/>
                <w:szCs w:val="1"/>
                <w:color w:val="auto"/>
              </w:rPr>
            </w:pPr>
          </w:p>
        </w:tc>
      </w:tr>
      <w:tr>
        <w:trPr>
          <w:trHeight w:val="78"/>
        </w:trPr>
        <w:tc>
          <w:tcPr>
            <w:tcW w:w="1580" w:type="dxa"/>
            <w:vAlign w:val="bottom"/>
            <w:vMerge w:val="restart"/>
          </w:tcPr>
          <w:p>
            <w:pPr>
              <w:jc w:val="center"/>
              <w:ind w:right="252"/>
              <w:spacing w:after="0"/>
              <w:rPr>
                <w:sz w:val="20"/>
                <w:szCs w:val="20"/>
                <w:color w:val="auto"/>
              </w:rPr>
            </w:pPr>
            <w:r>
              <w:rPr>
                <w:rFonts w:ascii="Arial" w:cs="Arial" w:eastAsia="Arial" w:hAnsi="Arial"/>
                <w:sz w:val="18"/>
                <w:szCs w:val="18"/>
                <w:color w:val="auto"/>
                <w:w w:val="97"/>
              </w:rPr>
              <w:t>OWNED BY</w:t>
            </w:r>
          </w:p>
        </w:tc>
        <w:tc>
          <w:tcPr>
            <w:tcW w:w="720" w:type="dxa"/>
            <w:vAlign w:val="bottom"/>
          </w:tcPr>
          <w:p>
            <w:pPr>
              <w:spacing w:after="0"/>
              <w:rPr>
                <w:sz w:val="6"/>
                <w:szCs w:val="6"/>
                <w:color w:val="auto"/>
              </w:rPr>
            </w:pPr>
          </w:p>
        </w:tc>
        <w:tc>
          <w:tcPr>
            <w:tcW w:w="8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580" w:type="dxa"/>
            <w:vAlign w:val="bottom"/>
            <w:vMerge w:val="continue"/>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876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2"/>
        </w:trPr>
        <w:tc>
          <w:tcPr>
            <w:tcW w:w="1580" w:type="dxa"/>
            <w:vAlign w:val="bottom"/>
          </w:tcPr>
          <w:p>
            <w:pPr>
              <w:jc w:val="center"/>
              <w:ind w:right="252"/>
              <w:spacing w:after="0" w:line="172" w:lineRule="exact"/>
              <w:rPr>
                <w:sz w:val="20"/>
                <w:szCs w:val="20"/>
                <w:color w:val="auto"/>
              </w:rPr>
            </w:pPr>
            <w:r>
              <w:rPr>
                <w:rFonts w:ascii="Arial" w:cs="Arial" w:eastAsia="Arial" w:hAnsi="Arial"/>
                <w:sz w:val="18"/>
                <w:szCs w:val="18"/>
                <w:color w:val="auto"/>
                <w:w w:val="95"/>
              </w:rPr>
              <w:t>EACH</w:t>
            </w:r>
          </w:p>
        </w:tc>
        <w:tc>
          <w:tcPr>
            <w:tcW w:w="720" w:type="dxa"/>
            <w:vAlign w:val="bottom"/>
            <w:vMerge w:val="continue"/>
          </w:tcPr>
          <w:p>
            <w:pPr>
              <w:spacing w:after="0"/>
              <w:rPr>
                <w:sz w:val="14"/>
                <w:szCs w:val="14"/>
                <w:color w:val="auto"/>
              </w:rPr>
            </w:pPr>
          </w:p>
        </w:tc>
        <w:tc>
          <w:tcPr>
            <w:tcW w:w="8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580" w:type="dxa"/>
            <w:vAlign w:val="bottom"/>
          </w:tcPr>
          <w:p>
            <w:pPr>
              <w:jc w:val="center"/>
              <w:ind w:right="232"/>
              <w:spacing w:after="0"/>
              <w:rPr>
                <w:sz w:val="20"/>
                <w:szCs w:val="20"/>
                <w:color w:val="auto"/>
              </w:rPr>
            </w:pPr>
            <w:r>
              <w:rPr>
                <w:rFonts w:ascii="Arial" w:cs="Arial" w:eastAsia="Arial" w:hAnsi="Arial"/>
                <w:sz w:val="18"/>
                <w:szCs w:val="18"/>
                <w:color w:val="auto"/>
                <w:w w:val="91"/>
              </w:rPr>
              <w:t>REPORTING</w:t>
            </w:r>
          </w:p>
        </w:tc>
        <w:tc>
          <w:tcPr>
            <w:tcW w:w="720" w:type="dxa"/>
            <w:vAlign w:val="bottom"/>
            <w:tcBorders>
              <w:bottom w:val="single" w:sz="8" w:color="auto"/>
            </w:tcBorders>
          </w:tcPr>
          <w:p>
            <w:pPr>
              <w:spacing w:after="0"/>
              <w:rPr>
                <w:sz w:val="21"/>
                <w:szCs w:val="21"/>
                <w:color w:val="auto"/>
              </w:rPr>
            </w:pPr>
          </w:p>
        </w:tc>
        <w:tc>
          <w:tcPr>
            <w:tcW w:w="8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3"/>
        </w:trPr>
        <w:tc>
          <w:tcPr>
            <w:tcW w:w="1580" w:type="dxa"/>
            <w:vAlign w:val="bottom"/>
          </w:tcPr>
          <w:p>
            <w:pPr>
              <w:jc w:val="center"/>
              <w:ind w:right="252"/>
              <w:spacing w:after="0" w:line="205" w:lineRule="exact"/>
              <w:rPr>
                <w:sz w:val="20"/>
                <w:szCs w:val="20"/>
                <w:color w:val="auto"/>
              </w:rPr>
            </w:pPr>
            <w:r>
              <w:rPr>
                <w:rFonts w:ascii="Arial" w:cs="Arial" w:eastAsia="Arial" w:hAnsi="Arial"/>
                <w:sz w:val="18"/>
                <w:szCs w:val="18"/>
                <w:color w:val="auto"/>
                <w:w w:val="94"/>
              </w:rPr>
              <w:t>PERSON WITH</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6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4"/>
        </w:trPr>
        <w:tc>
          <w:tcPr>
            <w:tcW w:w="1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760" w:type="dxa"/>
            <w:vAlign w:val="bottom"/>
          </w:tcPr>
          <w:p>
            <w:pPr>
              <w:ind w:left="260"/>
              <w:spacing w:after="0"/>
              <w:rPr>
                <w:sz w:val="20"/>
                <w:szCs w:val="20"/>
                <w:color w:val="auto"/>
              </w:rPr>
            </w:pPr>
            <w:r>
              <w:rPr>
                <w:rFonts w:ascii="Arial" w:cs="Arial" w:eastAsia="Arial" w:hAnsi="Arial"/>
                <w:sz w:val="18"/>
                <w:szCs w:val="18"/>
                <w:color w:val="auto"/>
              </w:rPr>
              <w:t>10,267 (See Items 3, 4 and 5)</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500" w:right="3480" w:hanging="933"/>
        <w:spacing w:after="0" w:line="265" w:lineRule="auto"/>
        <w:tabs>
          <w:tab w:leader="none" w:pos="1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10,267 (See Items 3, 4 and 5)</w:t>
      </w:r>
    </w:p>
    <w:p>
      <w:pPr>
        <w:spacing w:after="0" w:line="60" w:lineRule="exact"/>
        <w:rPr>
          <w:rFonts w:ascii="Arial" w:cs="Arial" w:eastAsia="Arial" w:hAnsi="Arial"/>
          <w:sz w:val="18"/>
          <w:szCs w:val="18"/>
          <w:color w:val="auto"/>
        </w:rPr>
      </w:pPr>
    </w:p>
    <w:p>
      <w:pPr>
        <w:ind w:left="1500" w:right="1960" w:hanging="936"/>
        <w:spacing w:after="0" w:line="265" w:lineRule="auto"/>
        <w:tabs>
          <w:tab w:leader="none" w:pos="1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60" w:lineRule="exact"/>
        <w:rPr>
          <w:rFonts w:ascii="Arial" w:cs="Arial" w:eastAsia="Arial" w:hAnsi="Arial"/>
          <w:sz w:val="18"/>
          <w:szCs w:val="18"/>
          <w:color w:val="auto"/>
        </w:rPr>
      </w:pPr>
    </w:p>
    <w:p>
      <w:pPr>
        <w:ind w:left="1500" w:right="4980" w:hanging="936"/>
        <w:spacing w:after="0" w:line="265" w:lineRule="auto"/>
        <w:tabs>
          <w:tab w:leader="none" w:pos="1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5.8% (See Item 5)*</w:t>
      </w:r>
    </w:p>
    <w:p>
      <w:pPr>
        <w:spacing w:after="0" w:line="54" w:lineRule="exact"/>
        <w:rPr>
          <w:rFonts w:ascii="Arial" w:cs="Arial" w:eastAsia="Arial" w:hAnsi="Arial"/>
          <w:sz w:val="18"/>
          <w:szCs w:val="18"/>
          <w:color w:val="auto"/>
        </w:rPr>
      </w:pPr>
    </w:p>
    <w:p>
      <w:pPr>
        <w:ind w:left="1500" w:hanging="936"/>
        <w:spacing w:after="0"/>
        <w:tabs>
          <w:tab w:leader="none" w:pos="1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2"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99" w:lineRule="exact"/>
        <w:rPr>
          <w:sz w:val="20"/>
          <w:szCs w:val="20"/>
          <w:color w:val="auto"/>
        </w:rPr>
      </w:pPr>
    </w:p>
    <w:p>
      <w:pPr>
        <w:ind w:left="5040" w:right="280" w:hanging="4434"/>
        <w:spacing w:after="0" w:line="773" w:lineRule="auto"/>
        <w:tabs>
          <w:tab w:leader="none" w:pos="149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calculation assumes that there are 176,533 shares of common stock of the Issuer outstanding as of December 16, 2011. See Item 5. Page 5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-678180</wp:posOffset>
            </wp:positionV>
            <wp:extent cx="7249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-224790</wp:posOffset>
            </wp:positionV>
            <wp:extent cx="725297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268"/>
        </w:trPr>
        <w:tc>
          <w:tcPr>
            <w:tcW w:w="286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2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400"/>
              <w:spacing w:after="0"/>
              <w:rPr>
                <w:sz w:val="20"/>
                <w:szCs w:val="20"/>
                <w:color w:val="auto"/>
              </w:rPr>
            </w:pPr>
            <w:r>
              <w:rPr>
                <w:rFonts w:ascii="Arial" w:cs="Arial" w:eastAsia="Arial" w:hAnsi="Arial"/>
                <w:sz w:val="18"/>
                <w:szCs w:val="18"/>
                <w:b w:val="1"/>
                <w:bCs w:val="1"/>
                <w:color w:val="auto"/>
                <w:w w:val="85"/>
              </w:rPr>
              <w:t>Page 6 of 16 Pages</w:t>
            </w:r>
          </w:p>
        </w:tc>
      </w:tr>
      <w:tr>
        <w:trPr>
          <w:trHeight w:val="38"/>
        </w:trPr>
        <w:tc>
          <w:tcPr>
            <w:tcW w:w="2860" w:type="dxa"/>
            <w:vAlign w:val="bottom"/>
            <w:tcBorders>
              <w:left w:val="single" w:sz="8" w:color="auto"/>
              <w:bottom w:val="single" w:sz="8" w:color="auto"/>
              <w:right w:val="single" w:sz="8" w:color="auto"/>
            </w:tcBorders>
          </w:tcPr>
          <w:p>
            <w:pPr>
              <w:spacing w:after="0"/>
              <w:rPr>
                <w:sz w:val="3"/>
                <w:szCs w:val="3"/>
                <w:color w:val="auto"/>
              </w:rPr>
            </w:pPr>
          </w:p>
        </w:tc>
        <w:tc>
          <w:tcPr>
            <w:tcW w:w="572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313295" cy="4882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3295" cy="4882515"/>
                    </a:xfrm>
                    <a:prstGeom prst="rect">
                      <a:avLst/>
                    </a:prstGeom>
                    <a:noFill/>
                  </pic:spPr>
                </pic:pic>
              </a:graphicData>
            </a:graphic>
          </wp:anchor>
        </w:drawing>
      </w:r>
    </w:p>
    <w:p>
      <w:pPr>
        <w:spacing w:after="0" w:line="230" w:lineRule="exact"/>
        <w:rPr>
          <w:sz w:val="20"/>
          <w:szCs w:val="20"/>
          <w:color w:val="auto"/>
        </w:rPr>
      </w:pPr>
    </w:p>
    <w:p>
      <w:pPr>
        <w:ind w:left="1500" w:right="7300" w:hanging="892"/>
        <w:spacing w:after="0" w:line="265" w:lineRule="auto"/>
        <w:tabs>
          <w:tab w:leader="none" w:pos="1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NAMES OF REPORTING PERSONS Alan Waxman</w:t>
      </w:r>
    </w:p>
    <w:p>
      <w:pPr>
        <w:spacing w:after="0" w:line="61" w:lineRule="exact"/>
        <w:rPr>
          <w:sz w:val="20"/>
          <w:szCs w:val="20"/>
          <w:color w:val="auto"/>
        </w:rPr>
      </w:pPr>
    </w:p>
    <w:p>
      <w:pPr>
        <w:ind w:left="1660" w:hanging="1052"/>
        <w:spacing w:after="0"/>
        <w:tabs>
          <w:tab w:leader="none" w:pos="1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CHECK THE APPROPRIATE BOX IF A MEMBER OF A</w:t>
      </w:r>
    </w:p>
    <w:p>
      <w:pPr>
        <w:sectPr>
          <w:pgSz w:w="11900" w:h="16838" w:orient="portrait"/>
          <w:cols w:equalWidth="0" w:num="1">
            <w:col w:w="11520"/>
          </w:cols>
          <w:pgMar w:left="240" w:top="501" w:right="139" w:bottom="1440" w:gutter="0" w:footer="0" w:header="0"/>
        </w:sectPr>
      </w:pPr>
    </w:p>
    <w:p>
      <w:pPr>
        <w:spacing w:after="0" w:line="17"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GROUP</w:t>
      </w:r>
    </w:p>
    <w:p>
      <w:pPr>
        <w:spacing w:after="0" w:line="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(see</w:t>
      </w:r>
    </w:p>
    <w:p>
      <w:pPr>
        <w:spacing w:after="0" w:line="5" w:lineRule="exact"/>
        <w:rPr>
          <w:sz w:val="20"/>
          <w:szCs w:val="20"/>
          <w:color w:val="auto"/>
        </w:rPr>
      </w:pPr>
    </w:p>
    <w:p>
      <w:pPr>
        <w:ind w:left="1660"/>
        <w:spacing w:after="0"/>
        <w:rPr>
          <w:sz w:val="20"/>
          <w:szCs w:val="20"/>
          <w:color w:val="auto"/>
        </w:rPr>
      </w:pPr>
      <w:r>
        <w:rPr>
          <w:rFonts w:ascii="Arial" w:cs="Arial" w:eastAsia="Arial" w:hAnsi="Arial"/>
          <w:sz w:val="15"/>
          <w:szCs w:val="15"/>
          <w:color w:val="auto"/>
        </w:rPr>
        <w:t>instructions)</w:t>
      </w:r>
    </w:p>
    <w:p>
      <w:pPr>
        <w:spacing w:after="0" w:line="4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 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423" w:lineRule="exact"/>
        <w:rPr>
          <w:sz w:val="20"/>
          <w:szCs w:val="20"/>
          <w:color w:val="auto"/>
        </w:rPr>
      </w:pPr>
    </w:p>
    <w:p>
      <w:pPr>
        <w:sectPr>
          <w:pgSz w:w="11900" w:h="16838" w:orient="portrait"/>
          <w:cols w:equalWidth="0" w:num="3">
            <w:col w:w="7060" w:space="720"/>
            <w:col w:w="2780" w:space="720"/>
            <w:col w:w="240"/>
          </w:cols>
          <w:pgMar w:left="240" w:top="501" w:right="139" w:bottom="1440" w:gutter="0" w:footer="0" w:header="0"/>
          <w:type w:val="continuous"/>
        </w:sectPr>
      </w:pPr>
    </w:p>
    <w:p>
      <w:pPr>
        <w:spacing w:after="0" w:line="99" w:lineRule="exact"/>
        <w:rPr>
          <w:sz w:val="20"/>
          <w:szCs w:val="20"/>
          <w:color w:val="auto"/>
        </w:rPr>
      </w:pPr>
    </w:p>
    <w:p>
      <w:pPr>
        <w:ind w:left="1540" w:hanging="932"/>
        <w:spacing w:after="0"/>
        <w:tabs>
          <w:tab w:leader="none" w:pos="1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98" w:lineRule="exact"/>
        <w:rPr>
          <w:sz w:val="20"/>
          <w:szCs w:val="20"/>
          <w:color w:val="auto"/>
        </w:rPr>
      </w:pPr>
    </w:p>
    <w:p>
      <w:pPr>
        <w:ind w:left="1500" w:right="7180" w:hanging="892"/>
        <w:spacing w:after="0" w:line="265" w:lineRule="auto"/>
        <w:tabs>
          <w:tab w:leader="none" w:pos="1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61" w:lineRule="exact"/>
        <w:rPr>
          <w:sz w:val="20"/>
          <w:szCs w:val="20"/>
          <w:color w:val="auto"/>
        </w:rPr>
      </w:pPr>
    </w:p>
    <w:p>
      <w:pPr>
        <w:ind w:left="1500" w:hanging="892"/>
        <w:spacing w:after="0"/>
        <w:tabs>
          <w:tab w:leader="none" w:pos="1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w:t>
      </w:r>
    </w:p>
    <w:p>
      <w:pPr>
        <w:spacing w:after="0" w:line="17" w:lineRule="exact"/>
        <w:rPr>
          <w:sz w:val="20"/>
          <w:szCs w:val="20"/>
          <w:color w:val="auto"/>
        </w:rPr>
      </w:pPr>
    </w:p>
    <w:p>
      <w:pPr>
        <w:ind w:left="1500"/>
        <w:spacing w:after="0"/>
        <w:tabs>
          <w:tab w:leader="none" w:pos="388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7" w:lineRule="exact"/>
        <w:rPr>
          <w:sz w:val="20"/>
          <w:szCs w:val="20"/>
          <w:color w:val="auto"/>
        </w:rPr>
      </w:pPr>
    </w:p>
    <w:p>
      <w:pPr>
        <w:ind w:left="1500" w:right="6420" w:hanging="892"/>
        <w:spacing w:after="0" w:line="265" w:lineRule="auto"/>
        <w:tabs>
          <w:tab w:leader="none" w:pos="1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61" w:lineRule="exact"/>
        <w:rPr>
          <w:sz w:val="20"/>
          <w:szCs w:val="20"/>
          <w:color w:val="auto"/>
        </w:rPr>
      </w:pPr>
    </w:p>
    <w:tbl>
      <w:tblPr>
        <w:tblLayout w:type="fixed"/>
        <w:tblInd w:w="360" w:type="dxa"/>
        <w:tblCellMar>
          <w:top w:w="0" w:type="dxa"/>
          <w:left w:w="0" w:type="dxa"/>
          <w:bottom w:w="0" w:type="dxa"/>
          <w:right w:w="0" w:type="dxa"/>
        </w:tblCellMar>
      </w:tblPr>
      <w:tr>
        <w:trPr>
          <w:trHeight w:val="212"/>
        </w:trPr>
        <w:tc>
          <w:tcPr>
            <w:tcW w:w="16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884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9"/>
        </w:trPr>
        <w:tc>
          <w:tcPr>
            <w:tcW w:w="1600" w:type="dxa"/>
            <w:vAlign w:val="bottom"/>
          </w:tcPr>
          <w:p>
            <w:pPr>
              <w:jc w:val="center"/>
              <w:ind w:right="252"/>
              <w:spacing w:after="0"/>
              <w:rPr>
                <w:sz w:val="20"/>
                <w:szCs w:val="20"/>
                <w:color w:val="auto"/>
              </w:rPr>
            </w:pPr>
            <w:r>
              <w:rPr>
                <w:rFonts w:ascii="Arial" w:cs="Arial" w:eastAsia="Arial" w:hAnsi="Arial"/>
                <w:sz w:val="18"/>
                <w:szCs w:val="18"/>
                <w:color w:val="auto"/>
                <w:w w:val="94"/>
              </w:rPr>
              <w:t>NUMBER OF</w:t>
            </w:r>
          </w:p>
        </w:tc>
        <w:tc>
          <w:tcPr>
            <w:tcW w:w="720" w:type="dxa"/>
            <w:vAlign w:val="bottom"/>
          </w:tcPr>
          <w:p>
            <w:pPr>
              <w:spacing w:after="0"/>
              <w:rPr>
                <w:sz w:val="20"/>
                <w:szCs w:val="20"/>
                <w:color w:val="auto"/>
              </w:rPr>
            </w:pPr>
          </w:p>
        </w:tc>
        <w:tc>
          <w:tcPr>
            <w:tcW w:w="884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
        </w:trPr>
        <w:tc>
          <w:tcPr>
            <w:tcW w:w="1600" w:type="dxa"/>
            <w:vAlign w:val="bottom"/>
            <w:vMerge w:val="restart"/>
          </w:tcPr>
          <w:p>
            <w:pPr>
              <w:jc w:val="center"/>
              <w:ind w:right="272"/>
              <w:spacing w:after="0"/>
              <w:rPr>
                <w:sz w:val="20"/>
                <w:szCs w:val="20"/>
                <w:color w:val="auto"/>
              </w:rPr>
            </w:pPr>
            <w:r>
              <w:rPr>
                <w:rFonts w:ascii="Arial" w:cs="Arial" w:eastAsia="Arial" w:hAnsi="Arial"/>
                <w:sz w:val="18"/>
                <w:szCs w:val="18"/>
                <w:color w:val="auto"/>
                <w:w w:val="91"/>
              </w:rPr>
              <w:t>SHARES</w:t>
            </w:r>
          </w:p>
        </w:tc>
        <w:tc>
          <w:tcPr>
            <w:tcW w:w="720" w:type="dxa"/>
            <w:vAlign w:val="bottom"/>
            <w:tcBorders>
              <w:bottom w:val="single" w:sz="8" w:color="auto"/>
            </w:tcBorders>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600" w:type="dxa"/>
            <w:vAlign w:val="bottom"/>
            <w:vMerge w:val="continue"/>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884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6"/>
        </w:trPr>
        <w:tc>
          <w:tcPr>
            <w:tcW w:w="1600" w:type="dxa"/>
            <w:vAlign w:val="bottom"/>
            <w:vMerge w:val="restart"/>
          </w:tcPr>
          <w:p>
            <w:pPr>
              <w:jc w:val="center"/>
              <w:ind w:right="252"/>
              <w:spacing w:after="0"/>
              <w:rPr>
                <w:sz w:val="20"/>
                <w:szCs w:val="20"/>
                <w:color w:val="auto"/>
              </w:rPr>
            </w:pPr>
            <w:r>
              <w:rPr>
                <w:rFonts w:ascii="Arial" w:cs="Arial" w:eastAsia="Arial" w:hAnsi="Arial"/>
                <w:sz w:val="18"/>
                <w:szCs w:val="18"/>
                <w:color w:val="auto"/>
                <w:w w:val="99"/>
              </w:rPr>
              <w:t>BENEFICIALLY</w:t>
            </w:r>
          </w:p>
        </w:tc>
        <w:tc>
          <w:tcPr>
            <w:tcW w:w="720" w:type="dxa"/>
            <w:vAlign w:val="bottom"/>
            <w:vMerge w:val="continue"/>
          </w:tcPr>
          <w:p>
            <w:pPr>
              <w:spacing w:after="0"/>
              <w:rPr>
                <w:sz w:val="5"/>
                <w:szCs w:val="5"/>
                <w:color w:val="auto"/>
              </w:rPr>
            </w:pPr>
          </w:p>
        </w:tc>
        <w:tc>
          <w:tcPr>
            <w:tcW w:w="8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6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840" w:type="dxa"/>
            <w:vAlign w:val="bottom"/>
            <w:vMerge w:val="restart"/>
          </w:tcPr>
          <w:p>
            <w:pPr>
              <w:ind w:left="260"/>
              <w:spacing w:after="0"/>
              <w:rPr>
                <w:sz w:val="20"/>
                <w:szCs w:val="20"/>
                <w:color w:val="auto"/>
              </w:rPr>
            </w:pPr>
            <w:r>
              <w:rPr>
                <w:rFonts w:ascii="Arial" w:cs="Arial" w:eastAsia="Arial" w:hAnsi="Arial"/>
                <w:sz w:val="18"/>
                <w:szCs w:val="18"/>
                <w:color w:val="auto"/>
              </w:rPr>
              <w:t>7,975 (See Items 3, 4 and 5)</w:t>
            </w:r>
          </w:p>
        </w:tc>
        <w:tc>
          <w:tcPr>
            <w:tcW w:w="0" w:type="dxa"/>
            <w:vAlign w:val="bottom"/>
          </w:tcPr>
          <w:p>
            <w:pPr>
              <w:spacing w:after="0"/>
              <w:rPr>
                <w:sz w:val="1"/>
                <w:szCs w:val="1"/>
                <w:color w:val="auto"/>
              </w:rPr>
            </w:pPr>
          </w:p>
        </w:tc>
      </w:tr>
      <w:tr>
        <w:trPr>
          <w:trHeight w:val="78"/>
        </w:trPr>
        <w:tc>
          <w:tcPr>
            <w:tcW w:w="1600" w:type="dxa"/>
            <w:vAlign w:val="bottom"/>
            <w:vMerge w:val="restart"/>
          </w:tcPr>
          <w:p>
            <w:pPr>
              <w:jc w:val="center"/>
              <w:ind w:right="252"/>
              <w:spacing w:after="0"/>
              <w:rPr>
                <w:sz w:val="20"/>
                <w:szCs w:val="20"/>
                <w:color w:val="auto"/>
              </w:rPr>
            </w:pPr>
            <w:r>
              <w:rPr>
                <w:rFonts w:ascii="Arial" w:cs="Arial" w:eastAsia="Arial" w:hAnsi="Arial"/>
                <w:sz w:val="18"/>
                <w:szCs w:val="18"/>
                <w:color w:val="auto"/>
                <w:w w:val="95"/>
              </w:rPr>
              <w:t>OWNED BY</w:t>
            </w:r>
          </w:p>
        </w:tc>
        <w:tc>
          <w:tcPr>
            <w:tcW w:w="720" w:type="dxa"/>
            <w:vAlign w:val="bottom"/>
          </w:tcPr>
          <w:p>
            <w:pPr>
              <w:spacing w:after="0"/>
              <w:rPr>
                <w:sz w:val="6"/>
                <w:szCs w:val="6"/>
                <w:color w:val="auto"/>
              </w:rPr>
            </w:pPr>
          </w:p>
        </w:tc>
        <w:tc>
          <w:tcPr>
            <w:tcW w:w="8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1600" w:type="dxa"/>
            <w:vAlign w:val="bottom"/>
            <w:vMerge w:val="continue"/>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884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2"/>
        </w:trPr>
        <w:tc>
          <w:tcPr>
            <w:tcW w:w="1600" w:type="dxa"/>
            <w:vAlign w:val="bottom"/>
          </w:tcPr>
          <w:p>
            <w:pPr>
              <w:jc w:val="center"/>
              <w:ind w:right="272"/>
              <w:spacing w:after="0" w:line="172" w:lineRule="exact"/>
              <w:rPr>
                <w:sz w:val="20"/>
                <w:szCs w:val="20"/>
                <w:color w:val="auto"/>
              </w:rPr>
            </w:pPr>
            <w:r>
              <w:rPr>
                <w:rFonts w:ascii="Arial" w:cs="Arial" w:eastAsia="Arial" w:hAnsi="Arial"/>
                <w:sz w:val="18"/>
                <w:szCs w:val="18"/>
                <w:color w:val="auto"/>
                <w:w w:val="95"/>
              </w:rPr>
              <w:t>EACH</w:t>
            </w:r>
          </w:p>
        </w:tc>
        <w:tc>
          <w:tcPr>
            <w:tcW w:w="720" w:type="dxa"/>
            <w:vAlign w:val="bottom"/>
            <w:vMerge w:val="continue"/>
          </w:tcPr>
          <w:p>
            <w:pPr>
              <w:spacing w:after="0"/>
              <w:rPr>
                <w:sz w:val="14"/>
                <w:szCs w:val="14"/>
                <w:color w:val="auto"/>
              </w:rPr>
            </w:pPr>
          </w:p>
        </w:tc>
        <w:tc>
          <w:tcPr>
            <w:tcW w:w="8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1600" w:type="dxa"/>
            <w:vAlign w:val="bottom"/>
          </w:tcPr>
          <w:p>
            <w:pPr>
              <w:jc w:val="center"/>
              <w:ind w:right="252"/>
              <w:spacing w:after="0"/>
              <w:rPr>
                <w:sz w:val="20"/>
                <w:szCs w:val="20"/>
                <w:color w:val="auto"/>
              </w:rPr>
            </w:pPr>
            <w:r>
              <w:rPr>
                <w:rFonts w:ascii="Arial" w:cs="Arial" w:eastAsia="Arial" w:hAnsi="Arial"/>
                <w:sz w:val="18"/>
                <w:szCs w:val="18"/>
                <w:color w:val="auto"/>
                <w:w w:val="91"/>
              </w:rPr>
              <w:t>REPORTING</w:t>
            </w:r>
          </w:p>
        </w:tc>
        <w:tc>
          <w:tcPr>
            <w:tcW w:w="720" w:type="dxa"/>
            <w:vAlign w:val="bottom"/>
            <w:tcBorders>
              <w:bottom w:val="single" w:sz="8" w:color="auto"/>
            </w:tcBorders>
          </w:tcPr>
          <w:p>
            <w:pPr>
              <w:spacing w:after="0"/>
              <w:rPr>
                <w:sz w:val="21"/>
                <w:szCs w:val="21"/>
                <w:color w:val="auto"/>
              </w:rPr>
            </w:pPr>
          </w:p>
        </w:tc>
        <w:tc>
          <w:tcPr>
            <w:tcW w:w="88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3"/>
        </w:trPr>
        <w:tc>
          <w:tcPr>
            <w:tcW w:w="1600" w:type="dxa"/>
            <w:vAlign w:val="bottom"/>
          </w:tcPr>
          <w:p>
            <w:pPr>
              <w:jc w:val="center"/>
              <w:ind w:right="252"/>
              <w:spacing w:after="0" w:line="205" w:lineRule="exact"/>
              <w:rPr>
                <w:sz w:val="20"/>
                <w:szCs w:val="20"/>
                <w:color w:val="auto"/>
              </w:rPr>
            </w:pPr>
            <w:r>
              <w:rPr>
                <w:rFonts w:ascii="Arial" w:cs="Arial" w:eastAsia="Arial" w:hAnsi="Arial"/>
                <w:sz w:val="18"/>
                <w:szCs w:val="18"/>
                <w:color w:val="auto"/>
                <w:w w:val="92"/>
              </w:rPr>
              <w:t>PERSON WITH</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84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24"/>
        </w:trPr>
        <w:tc>
          <w:tcPr>
            <w:tcW w:w="1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40" w:type="dxa"/>
            <w:vAlign w:val="bottom"/>
          </w:tcPr>
          <w:p>
            <w:pPr>
              <w:ind w:left="260"/>
              <w:spacing w:after="0"/>
              <w:rPr>
                <w:sz w:val="20"/>
                <w:szCs w:val="20"/>
                <w:color w:val="auto"/>
              </w:rPr>
            </w:pPr>
            <w:r>
              <w:rPr>
                <w:rFonts w:ascii="Arial" w:cs="Arial" w:eastAsia="Arial" w:hAnsi="Arial"/>
                <w:sz w:val="18"/>
                <w:szCs w:val="18"/>
                <w:color w:val="auto"/>
              </w:rPr>
              <w:t>7,975 (See Items 3, 4 and 5)</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500" w:right="3580" w:hanging="933"/>
        <w:spacing w:after="0" w:line="265" w:lineRule="auto"/>
        <w:tabs>
          <w:tab w:leader="none" w:pos="1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7,975 (See Items 3, 4 and 5)</w:t>
      </w:r>
    </w:p>
    <w:p>
      <w:pPr>
        <w:spacing w:after="0" w:line="61" w:lineRule="exact"/>
        <w:rPr>
          <w:sz w:val="20"/>
          <w:szCs w:val="20"/>
          <w:color w:val="auto"/>
        </w:rPr>
      </w:pPr>
    </w:p>
    <w:tbl>
      <w:tblPr>
        <w:tblLayout w:type="fixed"/>
        <w:tblInd w:w="560" w:type="dxa"/>
        <w:tblCellMar>
          <w:top w:w="0" w:type="dxa"/>
          <w:left w:w="0" w:type="dxa"/>
          <w:bottom w:w="0" w:type="dxa"/>
          <w:right w:w="0" w:type="dxa"/>
        </w:tblCellMar>
      </w:tblPr>
      <w:tr>
        <w:trPr>
          <w:trHeight w:val="224"/>
        </w:trPr>
        <w:tc>
          <w:tcPr>
            <w:tcW w:w="560" w:type="dxa"/>
            <w:vAlign w:val="bottom"/>
          </w:tcPr>
          <w:p>
            <w:pPr>
              <w:jc w:val="right"/>
              <w:ind w:right="292"/>
              <w:spacing w:after="0"/>
              <w:rPr>
                <w:sz w:val="20"/>
                <w:szCs w:val="20"/>
                <w:color w:val="auto"/>
              </w:rPr>
            </w:pPr>
            <w:r>
              <w:rPr>
                <w:rFonts w:ascii="Arial" w:cs="Arial" w:eastAsia="Arial" w:hAnsi="Arial"/>
                <w:sz w:val="18"/>
                <w:szCs w:val="18"/>
                <w:color w:val="auto"/>
                <w:w w:val="79"/>
              </w:rPr>
              <w:t>12</w:t>
            </w:r>
          </w:p>
        </w:tc>
        <w:tc>
          <w:tcPr>
            <w:tcW w:w="9280" w:type="dxa"/>
            <w:vAlign w:val="bottom"/>
          </w:tcPr>
          <w:p>
            <w:pPr>
              <w:ind w:left="3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1040" w:type="dxa"/>
            <w:vAlign w:val="bottom"/>
          </w:tcPr>
          <w:p>
            <w:pPr>
              <w:ind w:left="960"/>
              <w:spacing w:after="0"/>
              <w:rPr>
                <w:sz w:val="20"/>
                <w:szCs w:val="20"/>
                <w:color w:val="auto"/>
              </w:rPr>
            </w:pPr>
            <w:r>
              <w:rPr>
                <w:rFonts w:ascii="Arial" w:cs="Arial" w:eastAsia="Arial" w:hAnsi="Arial"/>
                <w:sz w:val="15"/>
                <w:szCs w:val="15"/>
                <w:color w:val="auto"/>
                <w:w w:val="71"/>
              </w:rPr>
              <w:t>o</w:t>
            </w:r>
          </w:p>
        </w:tc>
      </w:tr>
    </w:tbl>
    <w:p>
      <w:pPr>
        <w:spacing w:after="0" w:line="82" w:lineRule="exact"/>
        <w:rPr>
          <w:sz w:val="20"/>
          <w:szCs w:val="20"/>
          <w:color w:val="auto"/>
        </w:rPr>
      </w:pPr>
    </w:p>
    <w:p>
      <w:pPr>
        <w:ind w:left="1500" w:right="5080" w:hanging="936"/>
        <w:spacing w:after="0" w:line="265" w:lineRule="auto"/>
        <w:tabs>
          <w:tab w:leader="none" w:pos="1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4.5% (See Item 5)*</w:t>
      </w:r>
    </w:p>
    <w:p>
      <w:pPr>
        <w:spacing w:after="0" w:line="54" w:lineRule="exact"/>
        <w:rPr>
          <w:rFonts w:ascii="Arial" w:cs="Arial" w:eastAsia="Arial" w:hAnsi="Arial"/>
          <w:sz w:val="18"/>
          <w:szCs w:val="18"/>
          <w:color w:val="auto"/>
        </w:rPr>
      </w:pPr>
    </w:p>
    <w:p>
      <w:pPr>
        <w:ind w:left="1500" w:hanging="936"/>
        <w:spacing w:after="0"/>
        <w:tabs>
          <w:tab w:leader="none" w:pos="1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2"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99" w:lineRule="exact"/>
        <w:rPr>
          <w:sz w:val="20"/>
          <w:szCs w:val="20"/>
          <w:color w:val="auto"/>
        </w:rPr>
      </w:pPr>
    </w:p>
    <w:p>
      <w:pPr>
        <w:ind w:left="5040" w:right="380" w:hanging="4434"/>
        <w:spacing w:after="0" w:line="773" w:lineRule="auto"/>
        <w:tabs>
          <w:tab w:leader="none" w:pos="1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calculation assumes that there are 176,533 shares of common stock of the Issuer outstanding as of December 16, 2011. See Item 5. Page 6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-678180</wp:posOffset>
            </wp:positionV>
            <wp:extent cx="73113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13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-224790</wp:posOffset>
            </wp:positionV>
            <wp:extent cx="725297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520"/>
          </w:cols>
          <w:pgMar w:left="240" w:top="501" w:right="139" w:bottom="1440" w:gutter="0" w:footer="0" w:header="0"/>
          <w:type w:val="continuous"/>
        </w:sectPr>
      </w:pPr>
    </w:p>
    <w:bookmarkStart w:id="6" w:name="page7"/>
    <w:bookmarkEnd w:id="6"/>
    <w:p>
      <w:pPr>
        <w:ind w:right="20"/>
        <w:spacing w:after="0" w:line="272" w:lineRule="auto"/>
        <w:rPr>
          <w:sz w:val="20"/>
          <w:szCs w:val="20"/>
          <w:color w:val="auto"/>
        </w:rPr>
      </w:pPr>
      <w:r>
        <w:rPr>
          <w:rFonts w:ascii="Arial" w:cs="Arial" w:eastAsia="Arial" w:hAnsi="Arial"/>
          <w:sz w:val="17"/>
          <w:szCs w:val="17"/>
          <w:color w:val="auto"/>
        </w:rPr>
        <w:t>This Amendment No. 3 (this “</w:t>
      </w:r>
      <w:r>
        <w:rPr>
          <w:rFonts w:ascii="Arial" w:cs="Arial" w:eastAsia="Arial" w:hAnsi="Arial"/>
          <w:sz w:val="17"/>
          <w:szCs w:val="17"/>
          <w:u w:val="single" w:color="auto"/>
          <w:color w:val="auto"/>
        </w:rPr>
        <w:t>Amendment</w:t>
      </w:r>
      <w:r>
        <w:rPr>
          <w:rFonts w:ascii="Arial" w:cs="Arial" w:eastAsia="Arial" w:hAnsi="Arial"/>
          <w:sz w:val="17"/>
          <w:szCs w:val="17"/>
          <w:color w:val="auto"/>
        </w:rPr>
        <w:t>”) amends and restates in its entirety the Schedule 13D filed on June 27, 2011 (the “</w:t>
      </w:r>
      <w:r>
        <w:rPr>
          <w:rFonts w:ascii="Arial" w:cs="Arial" w:eastAsia="Arial" w:hAnsi="Arial"/>
          <w:sz w:val="17"/>
          <w:szCs w:val="17"/>
          <w:u w:val="single" w:color="auto"/>
          <w:color w:val="auto"/>
        </w:rPr>
        <w:t>Original Schedule 13D</w:t>
      </w:r>
      <w:r>
        <w:rPr>
          <w:rFonts w:ascii="Arial" w:cs="Arial" w:eastAsia="Arial" w:hAnsi="Arial"/>
          <w:sz w:val="17"/>
          <w:szCs w:val="17"/>
          <w:color w:val="auto"/>
        </w:rPr>
        <w:t>”), as amended by Amendment No. 1 filed on August 2, 2011 (“</w:t>
      </w:r>
      <w:r>
        <w:rPr>
          <w:rFonts w:ascii="Arial" w:cs="Arial" w:eastAsia="Arial" w:hAnsi="Arial"/>
          <w:sz w:val="17"/>
          <w:szCs w:val="17"/>
          <w:u w:val="single" w:color="auto"/>
          <w:color w:val="auto"/>
        </w:rPr>
        <w:t>Amendment No. 1</w:t>
      </w:r>
      <w:r>
        <w:rPr>
          <w:rFonts w:ascii="Arial" w:cs="Arial" w:eastAsia="Arial" w:hAnsi="Arial"/>
          <w:sz w:val="17"/>
          <w:szCs w:val="17"/>
          <w:color w:val="auto"/>
        </w:rPr>
        <w:t>”) and Amendment No. 2 filed on December 2, 2011 (“</w:t>
      </w:r>
      <w:r>
        <w:rPr>
          <w:rFonts w:ascii="Arial" w:cs="Arial" w:eastAsia="Arial" w:hAnsi="Arial"/>
          <w:sz w:val="17"/>
          <w:szCs w:val="17"/>
          <w:u w:val="single" w:color="auto"/>
          <w:color w:val="auto"/>
        </w:rPr>
        <w:t>Amendment No. 2</w:t>
      </w:r>
      <w:r>
        <w:rPr>
          <w:rFonts w:ascii="Arial" w:cs="Arial" w:eastAsia="Arial" w:hAnsi="Arial"/>
          <w:sz w:val="17"/>
          <w:szCs w:val="17"/>
          <w:color w:val="auto"/>
        </w:rPr>
        <w:t>” and, as amended and restated by this Amendment, the “</w:t>
      </w:r>
      <w:r>
        <w:rPr>
          <w:rFonts w:ascii="Arial" w:cs="Arial" w:eastAsia="Arial" w:hAnsi="Arial"/>
          <w:sz w:val="17"/>
          <w:szCs w:val="17"/>
          <w:u w:val="single" w:color="auto"/>
          <w:color w:val="auto"/>
        </w:rPr>
        <w:t>Schedule 13D</w:t>
      </w:r>
      <w:r>
        <w:rPr>
          <w:rFonts w:ascii="Arial" w:cs="Arial" w:eastAsia="Arial" w:hAnsi="Arial"/>
          <w:sz w:val="17"/>
          <w:szCs w:val="17"/>
          <w:color w:val="auto"/>
        </w:rPr>
        <w:t>”) by TPG Group Holdings (SBS) Advisors, Inc., Tarrant Capital Advisors, Inc. and Messrs. David Bonderman, James G. Coulter and Alan Waxman with respect to the common stock of the Issuer.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50" w:lineRule="exact"/>
        <w:rPr>
          <w:sz w:val="20"/>
          <w:szCs w:val="20"/>
          <w:color w:val="auto"/>
        </w:rPr>
      </w:pPr>
    </w:p>
    <w:p>
      <w:pPr>
        <w:ind w:right="360" w:firstLine="637"/>
        <w:spacing w:after="0" w:line="265" w:lineRule="auto"/>
        <w:rPr>
          <w:sz w:val="20"/>
          <w:szCs w:val="20"/>
          <w:color w:val="auto"/>
        </w:rPr>
      </w:pPr>
      <w:r>
        <w:rPr>
          <w:rFonts w:ascii="Arial" w:cs="Arial" w:eastAsia="Arial" w:hAnsi="Arial"/>
          <w:sz w:val="18"/>
          <w:szCs w:val="18"/>
          <w:color w:val="auto"/>
        </w:rPr>
        <w:t>This Schedule 13D relates to the 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the Issuer, a Delaware corporation. The principal executive offices of the Issuer are located at 301 Commerce Street, Suite 3300, Fort Worth, TX 76102.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50" w:lineRule="exact"/>
        <w:rPr>
          <w:sz w:val="20"/>
          <w:szCs w:val="20"/>
          <w:color w:val="auto"/>
        </w:rPr>
      </w:pPr>
    </w:p>
    <w:p>
      <w:pPr>
        <w:ind w:right="160" w:firstLine="637"/>
        <w:spacing w:after="0" w:line="252" w:lineRule="auto"/>
        <w:rPr>
          <w:sz w:val="20"/>
          <w:szCs w:val="20"/>
          <w:color w:val="auto"/>
        </w:rPr>
      </w:pPr>
      <w:r>
        <w:rPr>
          <w:rFonts w:ascii="Arial" w:cs="Arial" w:eastAsia="Arial" w:hAnsi="Arial"/>
          <w:sz w:val="18"/>
          <w:szCs w:val="18"/>
          <w:color w:val="auto"/>
        </w:rPr>
        <w:t>This Schedule 13D is being filed jointly on behalf of TPG Group Holdings (SBS) Advisors, Inc., a Delaware corporation (“</w:t>
      </w:r>
      <w:r>
        <w:rPr>
          <w:rFonts w:ascii="Arial" w:cs="Arial" w:eastAsia="Arial" w:hAnsi="Arial"/>
          <w:sz w:val="18"/>
          <w:szCs w:val="18"/>
          <w:u w:val="single" w:color="auto"/>
          <w:color w:val="auto"/>
        </w:rPr>
        <w:t>Group Advisors</w:t>
      </w:r>
      <w:r>
        <w:rPr>
          <w:rFonts w:ascii="Arial" w:cs="Arial" w:eastAsia="Arial" w:hAnsi="Arial"/>
          <w:sz w:val="18"/>
          <w:szCs w:val="18"/>
          <w:color w:val="auto"/>
        </w:rPr>
        <w:t>”), Tarrant Capital Advisors, Inc., a Delaware corporation (“</w:t>
      </w:r>
      <w:r>
        <w:rPr>
          <w:rFonts w:ascii="Arial" w:cs="Arial" w:eastAsia="Arial" w:hAnsi="Arial"/>
          <w:sz w:val="18"/>
          <w:szCs w:val="18"/>
          <w:u w:val="single" w:color="auto"/>
          <w:color w:val="auto"/>
        </w:rPr>
        <w:t>Tarrant Capital</w:t>
      </w:r>
      <w:r>
        <w:rPr>
          <w:rFonts w:ascii="Arial" w:cs="Arial" w:eastAsia="Arial" w:hAnsi="Arial"/>
          <w:sz w:val="18"/>
          <w:szCs w:val="18"/>
          <w:color w:val="auto"/>
        </w:rPr>
        <w:t>”), David Bonderman, James G. Coulter and Alan Waxman (each, a “</w:t>
      </w:r>
      <w:r>
        <w:rPr>
          <w:rFonts w:ascii="Arial" w:cs="Arial" w:eastAsia="Arial" w:hAnsi="Arial"/>
          <w:sz w:val="18"/>
          <w:szCs w:val="18"/>
          <w:u w:val="single" w:color="auto"/>
          <w:color w:val="auto"/>
        </w:rPr>
        <w:t>Reporting 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The business address of each Reporting Person is c/o TPG Capital, L.P., 301 Commerce Street, Suite 3300, Fort Worth, TX 76102.</w:t>
      </w:r>
    </w:p>
    <w:p>
      <w:pPr>
        <w:spacing w:after="0" w:line="219" w:lineRule="exact"/>
        <w:rPr>
          <w:sz w:val="20"/>
          <w:szCs w:val="20"/>
          <w:color w:val="auto"/>
        </w:rPr>
      </w:pPr>
    </w:p>
    <w:p>
      <w:pPr>
        <w:ind w:right="340" w:firstLine="637"/>
        <w:spacing w:after="0" w:line="255" w:lineRule="auto"/>
        <w:rPr>
          <w:sz w:val="20"/>
          <w:szCs w:val="20"/>
          <w:color w:val="auto"/>
        </w:rPr>
      </w:pPr>
      <w:r>
        <w:rPr>
          <w:rFonts w:ascii="Arial" w:cs="Arial" w:eastAsia="Arial" w:hAnsi="Arial"/>
          <w:sz w:val="18"/>
          <w:szCs w:val="18"/>
          <w:color w:val="auto"/>
        </w:rPr>
        <w:t>TSL Advisers, LLC, a Delaware limited liability company (“</w:t>
      </w:r>
      <w:r>
        <w:rPr>
          <w:rFonts w:ascii="Arial" w:cs="Arial" w:eastAsia="Arial" w:hAnsi="Arial"/>
          <w:sz w:val="18"/>
          <w:szCs w:val="18"/>
          <w:u w:val="single" w:color="auto"/>
          <w:color w:val="auto"/>
        </w:rPr>
        <w:t>TSL Advisers</w:t>
      </w:r>
      <w:r>
        <w:rPr>
          <w:rFonts w:ascii="Arial" w:cs="Arial" w:eastAsia="Arial" w:hAnsi="Arial"/>
          <w:sz w:val="18"/>
          <w:szCs w:val="18"/>
          <w:color w:val="auto"/>
        </w:rPr>
        <w:t>”), directly holds 7,975 shares of Common Stock of the Issuer (the “</w:t>
      </w:r>
      <w:r>
        <w:rPr>
          <w:rFonts w:ascii="Arial" w:cs="Arial" w:eastAsia="Arial" w:hAnsi="Arial"/>
          <w:sz w:val="18"/>
          <w:szCs w:val="18"/>
          <w:u w:val="single" w:color="auto"/>
          <w:color w:val="auto"/>
        </w:rPr>
        <w:t>TSL</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reported herein. The business and affairs of TSL Advisers are managed by its board of managers, whose sole members are Messrs. Bonderman, Coulter and Waxman.</w:t>
      </w:r>
    </w:p>
    <w:p>
      <w:pPr>
        <w:spacing w:after="0" w:line="216" w:lineRule="exact"/>
        <w:rPr>
          <w:sz w:val="20"/>
          <w:szCs w:val="20"/>
          <w:color w:val="auto"/>
        </w:rPr>
      </w:pPr>
    </w:p>
    <w:p>
      <w:pPr>
        <w:ind w:right="40" w:firstLine="637"/>
        <w:spacing w:after="0" w:line="252" w:lineRule="auto"/>
        <w:rPr>
          <w:sz w:val="20"/>
          <w:szCs w:val="20"/>
          <w:color w:val="auto"/>
        </w:rPr>
      </w:pPr>
      <w:r>
        <w:rPr>
          <w:rFonts w:ascii="Arial" w:cs="Arial" w:eastAsia="Arial" w:hAnsi="Arial"/>
          <w:sz w:val="18"/>
          <w:szCs w:val="18"/>
          <w:color w:val="auto"/>
        </w:rPr>
        <w:t>Group Advisors is the general partner of TPG Group Holdings (SBS), L.P., a Delaware limited partnership, which is the sole member of TPG Holdings II-A, LLC, a Delaware limited liability company, which is the general partner of TPG Holdings II, L.P. (“</w:t>
      </w:r>
      <w:r>
        <w:rPr>
          <w:rFonts w:ascii="Arial" w:cs="Arial" w:eastAsia="Arial" w:hAnsi="Arial"/>
          <w:sz w:val="18"/>
          <w:szCs w:val="18"/>
          <w:u w:val="single" w:color="auto"/>
          <w:color w:val="auto"/>
        </w:rPr>
        <w:t>Holdings II</w:t>
      </w:r>
      <w:r>
        <w:rPr>
          <w:rFonts w:ascii="Arial" w:cs="Arial" w:eastAsia="Arial" w:hAnsi="Arial"/>
          <w:sz w:val="18"/>
          <w:szCs w:val="18"/>
          <w:color w:val="auto"/>
        </w:rPr>
        <w:t>”), a Delaware limited partnership, which is a member of TSL Advisers. Because of the relationship between Holdings II and TSL Advisers, Group Advisors may be deemed to beneficially own the TSL Shares.</w:t>
      </w:r>
    </w:p>
    <w:p>
      <w:pPr>
        <w:spacing w:after="0" w:line="219" w:lineRule="exact"/>
        <w:rPr>
          <w:sz w:val="20"/>
          <w:szCs w:val="20"/>
          <w:color w:val="auto"/>
        </w:rPr>
      </w:pPr>
    </w:p>
    <w:p>
      <w:pPr>
        <w:jc w:val="both"/>
        <w:ind w:right="180" w:firstLine="637"/>
        <w:spacing w:after="0" w:line="278" w:lineRule="auto"/>
        <w:rPr>
          <w:sz w:val="20"/>
          <w:szCs w:val="20"/>
          <w:color w:val="auto"/>
        </w:rPr>
      </w:pPr>
      <w:r>
        <w:rPr>
          <w:rFonts w:ascii="Arial" w:cs="Arial" w:eastAsia="Arial" w:hAnsi="Arial"/>
          <w:sz w:val="17"/>
          <w:szCs w:val="17"/>
          <w:color w:val="auto"/>
        </w:rPr>
        <w:t>Tarrant Capital is the sole stockholder of Tarrant Advisors, Inc., a Texas corporation (“</w:t>
      </w:r>
      <w:r>
        <w:rPr>
          <w:rFonts w:ascii="Arial" w:cs="Arial" w:eastAsia="Arial" w:hAnsi="Arial"/>
          <w:sz w:val="17"/>
          <w:szCs w:val="17"/>
          <w:u w:val="single" w:color="auto"/>
          <w:color w:val="auto"/>
        </w:rPr>
        <w:t>Tarrant</w:t>
      </w:r>
      <w:r>
        <w:rPr>
          <w:rFonts w:ascii="Arial" w:cs="Arial" w:eastAsia="Arial" w:hAnsi="Arial"/>
          <w:sz w:val="17"/>
          <w:szCs w:val="17"/>
          <w:color w:val="auto"/>
        </w:rPr>
        <w:t>”), which is the general partner of TSL Equity Partners, L.P., a Delaware limited partnership (“</w:t>
      </w:r>
      <w:r>
        <w:rPr>
          <w:rFonts w:ascii="Arial" w:cs="Arial" w:eastAsia="Arial" w:hAnsi="Arial"/>
          <w:sz w:val="17"/>
          <w:szCs w:val="17"/>
          <w:u w:val="single" w:color="auto"/>
          <w:color w:val="auto"/>
        </w:rPr>
        <w:t>Equity Partners</w:t>
      </w:r>
      <w:r>
        <w:rPr>
          <w:rFonts w:ascii="Arial" w:cs="Arial" w:eastAsia="Arial" w:hAnsi="Arial"/>
          <w:sz w:val="17"/>
          <w:szCs w:val="17"/>
          <w:color w:val="auto"/>
        </w:rPr>
        <w:t>”), which is a member of TSL Advisers. Because of the investment by Equity Partners in TSL Advisers, Tarrant Capital may be deemed to beneficially own 5,781 shares of the TSL Shares (the “</w:t>
      </w:r>
      <w:r>
        <w:rPr>
          <w:rFonts w:ascii="Arial" w:cs="Arial" w:eastAsia="Arial" w:hAnsi="Arial"/>
          <w:sz w:val="17"/>
          <w:szCs w:val="17"/>
          <w:u w:val="single" w:color="auto"/>
          <w:color w:val="auto"/>
        </w:rPr>
        <w:t>Tarrant TSL Shares</w:t>
      </w:r>
      <w:r>
        <w:rPr>
          <w:rFonts w:ascii="Arial" w:cs="Arial" w:eastAsia="Arial" w:hAnsi="Arial"/>
          <w:sz w:val="17"/>
          <w:szCs w:val="17"/>
          <w:color w:val="auto"/>
        </w:rPr>
        <w:t>”).</w:t>
      </w:r>
    </w:p>
    <w:p>
      <w:pPr>
        <w:spacing w:after="0" w:line="197" w:lineRule="exact"/>
        <w:rPr>
          <w:sz w:val="20"/>
          <w:szCs w:val="20"/>
          <w:color w:val="auto"/>
        </w:rPr>
      </w:pPr>
    </w:p>
    <w:p>
      <w:pPr>
        <w:ind w:right="20" w:firstLine="637"/>
        <w:spacing w:after="0" w:line="252" w:lineRule="auto"/>
        <w:rPr>
          <w:sz w:val="20"/>
          <w:szCs w:val="20"/>
          <w:color w:val="auto"/>
        </w:rPr>
      </w:pPr>
      <w:r>
        <w:rPr>
          <w:rFonts w:ascii="Arial" w:cs="Arial" w:eastAsia="Arial" w:hAnsi="Arial"/>
          <w:sz w:val="18"/>
          <w:szCs w:val="18"/>
          <w:color w:val="auto"/>
        </w:rPr>
        <w:t>Tarrant is the general partner of TSL FOF, L.P., a Delaware limited partnership (“</w:t>
      </w:r>
      <w:r>
        <w:rPr>
          <w:rFonts w:ascii="Arial" w:cs="Arial" w:eastAsia="Arial" w:hAnsi="Arial"/>
          <w:sz w:val="18"/>
          <w:szCs w:val="18"/>
          <w:u w:val="single" w:color="auto"/>
          <w:color w:val="auto"/>
        </w:rPr>
        <w:t>TSL FOF</w:t>
      </w:r>
      <w:r>
        <w:rPr>
          <w:rFonts w:ascii="Arial" w:cs="Arial" w:eastAsia="Arial" w:hAnsi="Arial"/>
          <w:sz w:val="18"/>
          <w:szCs w:val="18"/>
          <w:color w:val="auto"/>
        </w:rPr>
        <w:t>”), which directly holds 2,291 shares of Common Stock of the Issuer (the “</w:t>
      </w:r>
      <w:r>
        <w:rPr>
          <w:rFonts w:ascii="Arial" w:cs="Arial" w:eastAsia="Arial" w:hAnsi="Arial"/>
          <w:sz w:val="18"/>
          <w:szCs w:val="18"/>
          <w:u w:val="single" w:color="auto"/>
          <w:color w:val="auto"/>
        </w:rPr>
        <w:t>Tarrant FOF Shares</w:t>
      </w:r>
      <w:r>
        <w:rPr>
          <w:rFonts w:ascii="Arial" w:cs="Arial" w:eastAsia="Arial" w:hAnsi="Arial"/>
          <w:sz w:val="18"/>
          <w:szCs w:val="18"/>
          <w:color w:val="auto"/>
        </w:rPr>
        <w:t>”) reported herein. Because of the relationship between Tarrant and TSL FOF, Tarrant Capital may be deemed to beneficially own the TSL FOF Shares. In addition, Tarrant Capital directly holds 1 share of Common Stock of the Issuer (the “</w:t>
      </w:r>
      <w:r>
        <w:rPr>
          <w:rFonts w:ascii="Arial" w:cs="Arial" w:eastAsia="Arial" w:hAnsi="Arial"/>
          <w:sz w:val="18"/>
          <w:szCs w:val="18"/>
          <w:u w:val="single" w:color="auto"/>
          <w:color w:val="auto"/>
        </w:rPr>
        <w:t>Tarrant Share</w:t>
      </w:r>
      <w:r>
        <w:rPr>
          <w:rFonts w:ascii="Arial" w:cs="Arial" w:eastAsia="Arial" w:hAnsi="Arial"/>
          <w:sz w:val="18"/>
          <w:szCs w:val="18"/>
          <w:color w:val="auto"/>
        </w:rPr>
        <w:t>” and, together with the Tarrant TSL Shares and the Tarrant FOF Shares, the “</w:t>
      </w:r>
      <w:r>
        <w:rPr>
          <w:rFonts w:ascii="Arial" w:cs="Arial" w:eastAsia="Arial" w:hAnsi="Arial"/>
          <w:sz w:val="18"/>
          <w:szCs w:val="18"/>
          <w:u w:val="single" w:color="auto"/>
          <w:color w:val="auto"/>
        </w:rPr>
        <w:t>Tarrant Shares</w:t>
      </w:r>
      <w:r>
        <w:rPr>
          <w:rFonts w:ascii="Arial" w:cs="Arial" w:eastAsia="Arial" w:hAnsi="Arial"/>
          <w:sz w:val="18"/>
          <w:szCs w:val="18"/>
          <w:color w:val="auto"/>
        </w:rPr>
        <w:t>”).</w:t>
      </w:r>
    </w:p>
    <w:p>
      <w:pPr>
        <w:spacing w:after="0" w:line="219" w:lineRule="exact"/>
        <w:rPr>
          <w:sz w:val="20"/>
          <w:szCs w:val="20"/>
          <w:color w:val="auto"/>
        </w:rPr>
      </w:pPr>
    </w:p>
    <w:p>
      <w:pPr>
        <w:ind w:right="40" w:firstLine="637"/>
        <w:spacing w:after="0" w:line="313" w:lineRule="auto"/>
        <w:rPr>
          <w:sz w:val="20"/>
          <w:szCs w:val="20"/>
          <w:color w:val="auto"/>
        </w:rPr>
      </w:pPr>
      <w:r>
        <w:rPr>
          <w:rFonts w:ascii="Arial" w:cs="Arial" w:eastAsia="Arial" w:hAnsi="Arial"/>
          <w:sz w:val="15"/>
          <w:szCs w:val="15"/>
          <w:color w:val="auto"/>
        </w:rPr>
        <w:t>Messrs. Bonderman and Coulter are the directors, officers and sole stockholders of each of Tarrant Capital and Group Advisors.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 Mr. Waxman disclaims beneficial ownership of the TSL Shares except to the extent of his pecuniary interest therein.</w:t>
      </w:r>
    </w:p>
    <w:p>
      <w:pPr>
        <w:spacing w:after="0" w:line="176" w:lineRule="exact"/>
        <w:rPr>
          <w:sz w:val="20"/>
          <w:szCs w:val="20"/>
          <w:color w:val="auto"/>
        </w:rPr>
      </w:pPr>
    </w:p>
    <w:p>
      <w:pPr>
        <w:ind w:firstLine="637"/>
        <w:spacing w:after="0" w:line="252" w:lineRule="auto"/>
        <w:rPr>
          <w:sz w:val="20"/>
          <w:szCs w:val="20"/>
          <w:color w:val="auto"/>
        </w:rPr>
      </w:pPr>
      <w:r>
        <w:rPr>
          <w:rFonts w:ascii="Arial" w:cs="Arial" w:eastAsia="Arial" w:hAnsi="Arial"/>
          <w:sz w:val="18"/>
          <w:szCs w:val="18"/>
          <w:color w:val="auto"/>
        </w:rPr>
        <w:t>The principal business of Group Advisors is serving as the sole ultimate general partner, managing member or similar entity of related entities (including TSL Advisers) engaged in making or recommending investments in securities of public and private companies.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219" w:lineRule="exact"/>
        <w:rPr>
          <w:sz w:val="20"/>
          <w:szCs w:val="20"/>
          <w:color w:val="auto"/>
        </w:rPr>
      </w:pPr>
    </w:p>
    <w:p>
      <w:pPr>
        <w:ind w:right="300"/>
        <w:spacing w:after="0" w:line="265" w:lineRule="auto"/>
        <w:rPr>
          <w:sz w:val="20"/>
          <w:szCs w:val="20"/>
          <w:color w:val="auto"/>
        </w:rPr>
      </w:pPr>
      <w:r>
        <w:rPr>
          <w:rFonts w:ascii="Arial" w:cs="Arial" w:eastAsia="Arial" w:hAnsi="Arial"/>
          <w:sz w:val="18"/>
          <w:szCs w:val="18"/>
          <w:color w:val="auto"/>
        </w:rPr>
        <w:t>The present principal occupation of David Bonderman is Chairman of the Board and President of Group Advisors and Tarrant Capital and officer, director or manager of other affiliated entities.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7" w:name="page8"/>
    <w:bookmarkEnd w:id="7"/>
    <w:p>
      <w:pPr>
        <w:ind w:right="120"/>
        <w:spacing w:after="0" w:line="265" w:lineRule="auto"/>
        <w:rPr>
          <w:sz w:val="20"/>
          <w:szCs w:val="20"/>
          <w:color w:val="auto"/>
        </w:rPr>
      </w:pPr>
      <w:r>
        <w:rPr>
          <w:rFonts w:ascii="Arial" w:cs="Arial" w:eastAsia="Arial" w:hAnsi="Arial"/>
          <w:sz w:val="18"/>
          <w:szCs w:val="18"/>
          <w:color w:val="auto"/>
        </w:rPr>
        <w:t>The present principal occupation of James G. Coulter is director and Senior Vice President of Group Advisors, director and Executive Vice President of Tarrant Capital and officer, director or manager of other affiliated entities.</w:t>
      </w:r>
    </w:p>
    <w:p>
      <w:pPr>
        <w:spacing w:after="0" w:line="207"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The present principal occupation of Alan Waxman is manager of TSL Advisers, Vice President of the Issuer and officer, director or manager of other affiliated entities.</w:t>
      </w:r>
    </w:p>
    <w:p>
      <w:pPr>
        <w:spacing w:after="0" w:line="207" w:lineRule="exact"/>
        <w:rPr>
          <w:sz w:val="20"/>
          <w:szCs w:val="20"/>
          <w:color w:val="auto"/>
        </w:rPr>
      </w:pPr>
    </w:p>
    <w:p>
      <w:pPr>
        <w:ind w:right="140" w:firstLine="637"/>
        <w:spacing w:after="0" w:line="265"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Group Advisors is listed on Schedule I hereto.</w:t>
      </w:r>
    </w:p>
    <w:p>
      <w:pPr>
        <w:spacing w:after="0" w:line="207" w:lineRule="exact"/>
        <w:rPr>
          <w:sz w:val="20"/>
          <w:szCs w:val="20"/>
          <w:color w:val="auto"/>
        </w:rPr>
      </w:pPr>
    </w:p>
    <w:p>
      <w:pPr>
        <w:ind w:right="140" w:firstLine="637"/>
        <w:spacing w:after="0" w:line="265"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Tarrant Capital is listed on Schedule II hereto.</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Each of Messrs. Bonderman, Coulter and Waxman and the individuals referred to on Schedule I and Schedule II hereto is a United States citizen.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agreement among the Reporting Persons relating to the joint filing of this Schedule 13D is attached as Exhibit 1 hereto.</w:t>
      </w:r>
    </w:p>
    <w:p>
      <w:pPr>
        <w:spacing w:after="0" w:line="244" w:lineRule="exact"/>
        <w:rPr>
          <w:sz w:val="20"/>
          <w:szCs w:val="20"/>
          <w:color w:val="auto"/>
        </w:rPr>
      </w:pPr>
    </w:p>
    <w:p>
      <w:pPr>
        <w:ind w:right="60" w:firstLine="637"/>
        <w:spacing w:after="0" w:line="319" w:lineRule="auto"/>
        <w:rPr>
          <w:sz w:val="20"/>
          <w:szCs w:val="20"/>
          <w:color w:val="auto"/>
        </w:rPr>
      </w:pPr>
      <w:r>
        <w:rPr>
          <w:rFonts w:ascii="Arial" w:cs="Arial" w:eastAsia="Arial" w:hAnsi="Arial"/>
          <w:sz w:val="15"/>
          <w:szCs w:val="15"/>
          <w:color w:val="auto"/>
        </w:rPr>
        <w:t>During the past five years, none of the Reporting Persons (or, to the knowledge of each of the Reporting Persons, any of the persons listed on Schedule I and Schedule II hereto)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50" w:lineRule="exact"/>
        <w:rPr>
          <w:sz w:val="20"/>
          <w:szCs w:val="20"/>
          <w:color w:val="auto"/>
        </w:rPr>
      </w:pPr>
    </w:p>
    <w:p>
      <w:pPr>
        <w:ind w:right="40" w:firstLine="637"/>
        <w:spacing w:after="0" w:line="250" w:lineRule="auto"/>
        <w:rPr>
          <w:sz w:val="20"/>
          <w:szCs w:val="20"/>
          <w:color w:val="auto"/>
        </w:rPr>
      </w:pPr>
      <w:r>
        <w:rPr>
          <w:rFonts w:ascii="Arial" w:cs="Arial" w:eastAsia="Arial" w:hAnsi="Arial"/>
          <w:sz w:val="18"/>
          <w:szCs w:val="18"/>
          <w:color w:val="auto"/>
        </w:rPr>
        <w:t>Pursuant to the Subscription Agreement, dated as of April 15, 2011 (the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by and between the Issuer and TSL Advisers, on June 17, 2011, the Issuer delivered a capital drawdown notice to TSL Advisers relating to the issuance of the TSL Shares for a cash purchase price of $1,000 per share in a private placement, for an aggregate purchase price of $2,868,000 (the “</w:t>
      </w:r>
      <w:r>
        <w:rPr>
          <w:rFonts w:ascii="Arial" w:cs="Arial" w:eastAsia="Arial" w:hAnsi="Arial"/>
          <w:sz w:val="18"/>
          <w:szCs w:val="18"/>
          <w:u w:val="single" w:color="auto"/>
          <w:color w:val="auto"/>
        </w:rPr>
        <w:t>April 15, 2011 Purchase Price</w:t>
      </w:r>
      <w:r>
        <w:rPr>
          <w:rFonts w:ascii="Arial" w:cs="Arial" w:eastAsia="Arial" w:hAnsi="Arial"/>
          <w:sz w:val="18"/>
          <w:szCs w:val="18"/>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April 15, 2011 Purchase Price was funded by equity contributions from Equity Partners and Holdings II.</w:t>
      </w:r>
    </w:p>
    <w:p>
      <w:pPr>
        <w:spacing w:after="0" w:line="220" w:lineRule="exact"/>
        <w:rPr>
          <w:sz w:val="20"/>
          <w:szCs w:val="20"/>
          <w:color w:val="auto"/>
        </w:rPr>
      </w:pPr>
    </w:p>
    <w:p>
      <w:pPr>
        <w:ind w:right="100" w:firstLine="637"/>
        <w:spacing w:after="0" w:line="269" w:lineRule="auto"/>
        <w:rPr>
          <w:sz w:val="20"/>
          <w:szCs w:val="20"/>
          <w:color w:val="auto"/>
        </w:rPr>
      </w:pPr>
      <w:r>
        <w:rPr>
          <w:rFonts w:ascii="Arial" w:cs="Arial" w:eastAsia="Arial" w:hAnsi="Arial"/>
          <w:sz w:val="17"/>
          <w:szCs w:val="17"/>
          <w:color w:val="auto"/>
        </w:rPr>
        <w:t>Pursuant to the Subscription Agreement, on August 1, 2011, the Issuer delivered a capital drawdown notice to TSL Advisers relating to the issuance of the TSL Shares for a cash purchase price of $960.56 per share in a private placement, for an aggregate purchase price of $4,355,172 (the “</w:t>
      </w:r>
      <w:r>
        <w:rPr>
          <w:rFonts w:ascii="Arial" w:cs="Arial" w:eastAsia="Arial" w:hAnsi="Arial"/>
          <w:sz w:val="17"/>
          <w:szCs w:val="17"/>
          <w:u w:val="single" w:color="auto"/>
          <w:color w:val="auto"/>
        </w:rPr>
        <w:t>August 1, 2011</w:t>
      </w:r>
      <w:r>
        <w:rPr>
          <w:rFonts w:ascii="Arial" w:cs="Arial" w:eastAsia="Arial" w:hAnsi="Arial"/>
          <w:sz w:val="17"/>
          <w:szCs w:val="17"/>
          <w:color w:val="auto"/>
        </w:rPr>
        <w:t xml:space="preserve"> </w:t>
      </w:r>
      <w:r>
        <w:rPr>
          <w:rFonts w:ascii="Arial" w:cs="Arial" w:eastAsia="Arial" w:hAnsi="Arial"/>
          <w:sz w:val="17"/>
          <w:szCs w:val="17"/>
          <w:u w:val="single" w:color="auto"/>
          <w:color w:val="auto"/>
        </w:rPr>
        <w:t>Purchase Price</w:t>
      </w:r>
      <w:r>
        <w:rPr>
          <w:rFonts w:ascii="Arial" w:cs="Arial" w:eastAsia="Arial" w:hAnsi="Arial"/>
          <w:sz w:val="17"/>
          <w:szCs w:val="17"/>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August 1, 2011 Purchase Price was funded by equity contributions from Equity Partners and Holdings II.</w:t>
      </w:r>
    </w:p>
    <w:p>
      <w:pPr>
        <w:spacing w:after="0" w:line="205" w:lineRule="exact"/>
        <w:rPr>
          <w:sz w:val="20"/>
          <w:szCs w:val="20"/>
          <w:color w:val="auto"/>
        </w:rPr>
      </w:pPr>
    </w:p>
    <w:p>
      <w:pPr>
        <w:ind w:firstLine="637"/>
        <w:spacing w:after="0" w:line="250" w:lineRule="auto"/>
        <w:rPr>
          <w:sz w:val="20"/>
          <w:szCs w:val="20"/>
          <w:color w:val="auto"/>
        </w:rPr>
      </w:pPr>
      <w:r>
        <w:rPr>
          <w:rFonts w:ascii="Arial" w:cs="Arial" w:eastAsia="Arial" w:hAnsi="Arial"/>
          <w:sz w:val="18"/>
          <w:szCs w:val="18"/>
          <w:color w:val="auto"/>
        </w:rPr>
        <w:t>Pursuant to the Subscription Agreement, dated as of December 2, 2011 (the “</w:t>
      </w:r>
      <w:r>
        <w:rPr>
          <w:rFonts w:ascii="Arial" w:cs="Arial" w:eastAsia="Arial" w:hAnsi="Arial"/>
          <w:sz w:val="18"/>
          <w:szCs w:val="18"/>
          <w:u w:val="single" w:color="auto"/>
          <w:color w:val="auto"/>
        </w:rPr>
        <w:t>TSL FOF Subscription Agreement</w:t>
      </w:r>
      <w:r>
        <w:rPr>
          <w:rFonts w:ascii="Arial" w:cs="Arial" w:eastAsia="Arial" w:hAnsi="Arial"/>
          <w:sz w:val="18"/>
          <w:szCs w:val="18"/>
          <w:color w:val="auto"/>
        </w:rPr>
        <w:t>”), by and among the Issuer, TSL Advisers and TSL FOF, the Issuer delivered a capital drawdown notice on December 2, 2011 to TSL FOF relating to the issuance of the TSL FOF Shares for a cash purchase price of $988.56 per share in a private placement, for an aggregate purchase price of $2,100,693 (the “</w:t>
      </w:r>
      <w:r>
        <w:rPr>
          <w:rFonts w:ascii="Arial" w:cs="Arial" w:eastAsia="Arial" w:hAnsi="Arial"/>
          <w:sz w:val="18"/>
          <w:szCs w:val="18"/>
          <w:u w:val="single" w:color="auto"/>
          <w:color w:val="auto"/>
        </w:rPr>
        <w:t>December 2, 2011 Purchase Price</w:t>
      </w:r>
      <w:r>
        <w:rPr>
          <w:rFonts w:ascii="Arial" w:cs="Arial" w:eastAsia="Arial" w:hAnsi="Arial"/>
          <w:sz w:val="18"/>
          <w:szCs w:val="18"/>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2, 2011 Purchase Price was funded by equity contributions from TSL FOF.</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8" w:name="page9"/>
    <w:bookmarkEnd w:id="8"/>
    <w:p>
      <w:pPr>
        <w:ind w:right="200" w:firstLine="637"/>
        <w:spacing w:after="0" w:line="313" w:lineRule="auto"/>
        <w:rPr>
          <w:sz w:val="20"/>
          <w:szCs w:val="20"/>
          <w:color w:val="auto"/>
        </w:rPr>
      </w:pPr>
      <w:r>
        <w:rPr>
          <w:rFonts w:ascii="Arial" w:cs="Arial" w:eastAsia="Arial" w:hAnsi="Arial"/>
          <w:sz w:val="15"/>
          <w:szCs w:val="15"/>
          <w:color w:val="auto"/>
        </w:rPr>
        <w:t>Pursuant to the Subscription Agreement, on December 16, 2011, the Issuer delivered a capital drawdown notice to TSL Advisers relating to the issuance of the TSL Shares for a cash purchase price of $981.57 per share in a private placement, for an aggregate purchase price of $562,438 (the “</w:t>
      </w:r>
      <w:r>
        <w:rPr>
          <w:rFonts w:ascii="Arial" w:cs="Arial" w:eastAsia="Arial" w:hAnsi="Arial"/>
          <w:sz w:val="15"/>
          <w:szCs w:val="15"/>
          <w:u w:val="single" w:color="auto"/>
          <w:color w:val="auto"/>
        </w:rPr>
        <w:t>December</w:t>
      </w:r>
      <w:r>
        <w:rPr>
          <w:rFonts w:ascii="Arial" w:cs="Arial" w:eastAsia="Arial" w:hAnsi="Arial"/>
          <w:sz w:val="15"/>
          <w:szCs w:val="15"/>
          <w:color w:val="auto"/>
        </w:rPr>
        <w:t xml:space="preserve"> </w:t>
      </w:r>
      <w:r>
        <w:rPr>
          <w:rFonts w:ascii="Arial" w:cs="Arial" w:eastAsia="Arial" w:hAnsi="Arial"/>
          <w:sz w:val="15"/>
          <w:szCs w:val="15"/>
          <w:u w:val="single" w:color="auto"/>
          <w:color w:val="auto"/>
        </w:rPr>
        <w:t>16, 2011 TSL Advisers Purchase Price</w:t>
      </w:r>
      <w:r>
        <w:rPr>
          <w:rFonts w:ascii="Arial" w:cs="Arial" w:eastAsia="Arial" w:hAnsi="Arial"/>
          <w:sz w:val="15"/>
          <w:szCs w:val="15"/>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December 16, 2011 TSL Advisers Purchase Price will be funded by equity contributions from Equity Partners and Holdings II.</w:t>
      </w:r>
    </w:p>
    <w:p>
      <w:pPr>
        <w:spacing w:after="0" w:line="176" w:lineRule="exact"/>
        <w:rPr>
          <w:sz w:val="20"/>
          <w:szCs w:val="20"/>
          <w:color w:val="auto"/>
        </w:rPr>
      </w:pPr>
    </w:p>
    <w:p>
      <w:pPr>
        <w:ind w:right="100" w:firstLine="637"/>
        <w:spacing w:after="0" w:line="313" w:lineRule="auto"/>
        <w:rPr>
          <w:sz w:val="20"/>
          <w:szCs w:val="20"/>
          <w:color w:val="auto"/>
        </w:rPr>
      </w:pPr>
      <w:r>
        <w:rPr>
          <w:rFonts w:ascii="Arial" w:cs="Arial" w:eastAsia="Arial" w:hAnsi="Arial"/>
          <w:sz w:val="15"/>
          <w:szCs w:val="15"/>
          <w:color w:val="auto"/>
        </w:rPr>
        <w:t>Pursuant to the TSL FOF Subscription Agreement, on December 16, 2011, the Issuer delivered a capital drawdown notice to TSL FOF relating to the issuance of the TSL FOF Shares for a cash purchase price of $985.37 per share in a private placement, for an aggregate purchase price of $163,571 (the “</w:t>
      </w:r>
      <w:r>
        <w:rPr>
          <w:rFonts w:ascii="Arial" w:cs="Arial" w:eastAsia="Arial" w:hAnsi="Arial"/>
          <w:sz w:val="15"/>
          <w:szCs w:val="15"/>
          <w:u w:val="single" w:color="auto"/>
          <w:color w:val="auto"/>
        </w:rPr>
        <w:t>December 16, 2011 TSL FOF Purchase Price</w:t>
      </w:r>
      <w:r>
        <w:rPr>
          <w:rFonts w:ascii="Arial" w:cs="Arial" w:eastAsia="Arial" w:hAnsi="Arial"/>
          <w:sz w:val="15"/>
          <w:szCs w:val="15"/>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16, 2011 TSL FOF Purchase Price will be funded by equity contributions from TSL FOF.</w:t>
      </w:r>
    </w:p>
    <w:p>
      <w:pPr>
        <w:spacing w:after="0" w:line="176" w:lineRule="exact"/>
        <w:rPr>
          <w:sz w:val="20"/>
          <w:szCs w:val="20"/>
          <w:color w:val="auto"/>
        </w:rPr>
      </w:pPr>
    </w:p>
    <w:p>
      <w:pPr>
        <w:ind w:right="20" w:firstLine="637"/>
        <w:spacing w:after="0" w:line="255" w:lineRule="auto"/>
        <w:rPr>
          <w:sz w:val="20"/>
          <w:szCs w:val="20"/>
          <w:color w:val="auto"/>
        </w:rPr>
      </w:pPr>
      <w:r>
        <w:rPr>
          <w:rFonts w:ascii="Arial" w:cs="Arial" w:eastAsia="Arial" w:hAnsi="Arial"/>
          <w:sz w:val="18"/>
          <w:szCs w:val="18"/>
          <w:color w:val="auto"/>
        </w:rPr>
        <w:t>References to and descriptions of the Subscription Agreement and the TSL FOF Subscription Agreement set forth above in this Item 3 do not purport to be complete and are qualified in their entirety by reference to the full text of the Subscription Agreement and the TSL FOF Subscription Agreement which are attached as Exhibit 2 and Exhibit 4, respectively, hereto and incorporated herein by this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information set forth in Item 3 is hereby incorporated herein by this reference.</w:t>
      </w:r>
    </w:p>
    <w:p>
      <w:pPr>
        <w:spacing w:after="0" w:line="244" w:lineRule="exact"/>
        <w:rPr>
          <w:sz w:val="20"/>
          <w:szCs w:val="20"/>
          <w:color w:val="auto"/>
        </w:rPr>
      </w:pPr>
    </w:p>
    <w:p>
      <w:pPr>
        <w:ind w:right="500" w:firstLine="637"/>
        <w:spacing w:after="0" w:line="255" w:lineRule="auto"/>
        <w:rPr>
          <w:sz w:val="20"/>
          <w:szCs w:val="20"/>
          <w:color w:val="auto"/>
        </w:rPr>
      </w:pPr>
      <w:r>
        <w:rPr>
          <w:rFonts w:ascii="Arial" w:cs="Arial" w:eastAsia="Arial" w:hAnsi="Arial"/>
          <w:sz w:val="18"/>
          <w:szCs w:val="18"/>
          <w:color w:val="auto"/>
        </w:rPr>
        <w:t>The Reporting Persons may seek to dispose all or part of the TSL Shares and/or the Tarrant Shares from time to time, subject to limitations in the Subscription Agreement or the TSL FOF Subscription Agreement, as applicable, applicable legal restrictions, prevailing market conditions, liquidity requirements of such Reporting Persons and/or other investment considerations.</w:t>
      </w:r>
    </w:p>
    <w:p>
      <w:pPr>
        <w:spacing w:after="0" w:line="216" w:lineRule="exact"/>
        <w:rPr>
          <w:sz w:val="20"/>
          <w:szCs w:val="20"/>
          <w:color w:val="auto"/>
        </w:rPr>
      </w:pPr>
    </w:p>
    <w:p>
      <w:pPr>
        <w:jc w:val="both"/>
        <w:ind w:right="40" w:firstLine="637"/>
        <w:spacing w:after="0" w:line="269" w:lineRule="auto"/>
        <w:rPr>
          <w:sz w:val="20"/>
          <w:szCs w:val="20"/>
          <w:color w:val="auto"/>
        </w:rPr>
      </w:pPr>
      <w:r>
        <w:rPr>
          <w:rFonts w:ascii="Arial" w:cs="Arial" w:eastAsia="Arial" w:hAnsi="Arial"/>
          <w:sz w:val="17"/>
          <w:szCs w:val="17"/>
          <w:color w:val="auto"/>
        </w:rPr>
        <w:t>In addition to the foregoing, as required by the Subscription Agreement, the TSL FOF Subscription Agreement, or otherwise, each Reporting Person, at any time and from time to time may directly or indirectly acquire additional shares of Common Stock or, if any, associated rights or securities exercisable for or convertible into Common Stock, depending upon an ongoing evaluation of its investment in the Common Stock and any securities exercisable for or convertible into Common Stock, limitations in the Subscription Agreement or TSL FOF Subscription Agreement, applicable legal restrictions, prevailing market conditions, liquidity requirements of such Reporting Person and/or other investment considerations.</w:t>
      </w:r>
    </w:p>
    <w:p>
      <w:pPr>
        <w:spacing w:after="0" w:line="205" w:lineRule="exact"/>
        <w:rPr>
          <w:sz w:val="20"/>
          <w:szCs w:val="20"/>
          <w:color w:val="auto"/>
        </w:rPr>
      </w:pPr>
    </w:p>
    <w:p>
      <w:pPr>
        <w:ind w:right="80" w:firstLine="637"/>
        <w:spacing w:after="0" w:line="252" w:lineRule="auto"/>
        <w:rPr>
          <w:sz w:val="20"/>
          <w:szCs w:val="20"/>
          <w:color w:val="auto"/>
        </w:rPr>
      </w:pPr>
      <w:r>
        <w:rPr>
          <w:rFonts w:ascii="Arial" w:cs="Arial" w:eastAsia="Arial" w:hAnsi="Arial"/>
          <w:sz w:val="18"/>
          <w:szCs w:val="18"/>
          <w:color w:val="auto"/>
        </w:rPr>
        <w:t>TSL Advisers acts as the investment adviser to the Issuer. Pursuant to an advisory agreement between TSL Advisers and the Issuer, TSL Advisers is responsible for sourcing and managing the Issuer’s portfolio. In addition, the Reporting Persons may engage in discussions with management, the Board of Directors of the Issuer, other stockholders of the Issuer and other relevant parties concerning the business, operations, board composition, management, strategy and future plans of the Issuer.</w:t>
      </w:r>
    </w:p>
    <w:p>
      <w:pPr>
        <w:spacing w:after="0" w:line="219" w:lineRule="exact"/>
        <w:rPr>
          <w:sz w:val="20"/>
          <w:szCs w:val="20"/>
          <w:color w:val="auto"/>
        </w:rPr>
      </w:pPr>
    </w:p>
    <w:p>
      <w:pPr>
        <w:ind w:firstLine="637"/>
        <w:spacing w:after="0" w:line="302" w:lineRule="auto"/>
        <w:rPr>
          <w:sz w:val="20"/>
          <w:szCs w:val="20"/>
          <w:color w:val="auto"/>
        </w:rPr>
      </w:pPr>
      <w:r>
        <w:rPr>
          <w:rFonts w:ascii="Arial" w:cs="Arial" w:eastAsia="Arial" w:hAnsi="Arial"/>
          <w:sz w:val="15"/>
          <w:szCs w:val="15"/>
          <w:color w:val="auto"/>
        </w:rPr>
        <w:t>As a result of these activities, one or more of the Reporting Persons may suggest or take a position with respect to potential changes in the operations, management or capital structure of the Issuer as a means of enhancing stockholder value. Such suggestions or positions may include one or more plans or proposals that relate to or would result in any of the actions required to be reported herein, including, without limitation, such matters as acquiring additional securities of the Issuer or disposing of securities of the Issuer; entering into an extraordinary corporate transaction such as a merger, reorganization or liquidation, involving the Issuer or any of its subsidiaries; selling or transferring a material amount of assets of the Issuer or any of its subsidiaries; changing the present Board of Directors or management of the Issuer, including changing the number or term of directors or filling any existing vacancies on the Issuer’s Board of Directors; materially changing the present capitalization or dividend policy of the Issuer; materially changing the Issuer’s business or corporate structure; changing the Issuer’s certificate of incorporation, bylaws or instruments corresponding thereto or taking other actions which may impede the acquisition of control of the Issuer by any person; causing a class of securities of the Issuer to be listed or delisted from a national securities exchange or to cease to be authorized to be quoted in an inter-dealer quotation system of a registered national securities association; causing a class of equity securities of the Issuer to become eligible for termination of registration pursuant to Section 12(g)(4) of the Act; and taking any action similar to any of those enumerated above.</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9" w:name="page10"/>
    <w:bookmarkEnd w:id="9"/>
    <w:p>
      <w:pPr>
        <w:ind w:right="160" w:firstLine="637"/>
        <w:spacing w:after="0" w:line="252" w:lineRule="auto"/>
        <w:rPr>
          <w:sz w:val="20"/>
          <w:szCs w:val="20"/>
          <w:color w:val="auto"/>
        </w:rPr>
      </w:pPr>
      <w:r>
        <w:rPr>
          <w:rFonts w:ascii="Arial" w:cs="Arial" w:eastAsia="Arial" w:hAnsi="Arial"/>
          <w:sz w:val="18"/>
          <w:szCs w:val="18"/>
          <w:color w:val="auto"/>
        </w:rPr>
        <w:t>Other than as described above, none of the Reporting Persons nor, to the best knowledge of each of the Reporting Persons, without independent verification, any of the persons listed on Schedule I hereto, currently has any plans or proposals that relate to, or would result in, any of the matters listed in Items 4(a)–(j) of Schedule 13D, although the Reporting Persons may, at any time and from time to time, review or reconsider their position and/or change their purpose and/or formulate plans or proposals with respect thereto.</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0" w:lineRule="exact"/>
        <w:rPr>
          <w:sz w:val="20"/>
          <w:szCs w:val="20"/>
          <w:color w:val="auto"/>
        </w:rPr>
      </w:pPr>
    </w:p>
    <w:p>
      <w:pPr>
        <w:ind w:right="400" w:firstLine="637"/>
        <w:spacing w:after="0" w:line="265" w:lineRule="auto"/>
        <w:rPr>
          <w:sz w:val="20"/>
          <w:szCs w:val="20"/>
          <w:color w:val="auto"/>
        </w:rPr>
      </w:pPr>
      <w:r>
        <w:rPr>
          <w:rFonts w:ascii="Arial" w:cs="Arial" w:eastAsia="Arial" w:hAnsi="Arial"/>
          <w:sz w:val="18"/>
          <w:szCs w:val="18"/>
          <w:color w:val="auto"/>
        </w:rPr>
        <w:t>The information contained on each of the cover pages of this Schedule 13D and the information set forth or incorporated in Items 2, 3, 4, and 6 are hereby incorporated herein by reference.</w:t>
      </w:r>
    </w:p>
    <w:p>
      <w:pPr>
        <w:spacing w:after="0" w:line="207" w:lineRule="exact"/>
        <w:rPr>
          <w:sz w:val="20"/>
          <w:szCs w:val="20"/>
          <w:color w:val="auto"/>
        </w:rPr>
      </w:pPr>
    </w:p>
    <w:p>
      <w:pPr>
        <w:ind w:right="180" w:firstLine="637"/>
        <w:spacing w:after="0" w:line="298" w:lineRule="auto"/>
        <w:rPr>
          <w:sz w:val="20"/>
          <w:szCs w:val="20"/>
          <w:color w:val="auto"/>
        </w:rPr>
      </w:pPr>
      <w:r>
        <w:rPr>
          <w:rFonts w:ascii="Arial" w:cs="Arial" w:eastAsia="Arial" w:hAnsi="Arial"/>
          <w:sz w:val="15"/>
          <w:szCs w:val="15"/>
          <w:color w:val="auto"/>
        </w:rPr>
        <w:t>(a)-(b) The following disclosure assumes that there are a total of 176,533 shares of Common Stock of the Issuer outstanding as of December 16, 2011 (including 12,734 shares of Common Stock of the Issuer that shall be issued on December 30, 2011 pursuant to the December 16, 2011 capital call), which figure is based on information provided to the Reporting Persons by the Issuer. Pursuant to Rule 13d-3 of the Act, (i) through TSL Advisers and Tarrant, Messrs. Bonderman and Coulter may be deemed to beneficially own 10,267 shares of Common Stock, which constitute approximately 5.8% of outstanding Common Stock; (ii) through TSL Advisers, Mr. Waxman may be deemed to beneficially own 7,975 shares of Common Stock, which constitute approximately</w:t>
      </w:r>
    </w:p>
    <w:p>
      <w:pPr>
        <w:spacing w:after="0" w:line="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4.5% of the outstanding Common Stock; (iii) through TSL Advisers, Group Advisors may be deemed to beneficially own 7,975 shares of Common Stock, which constitute approximately 4.5% of the outstanding Common Stock; and (iv) through Tarrant, Tarrant Capital may be deemed to beneficially own 8,073 shares of Common Stock, which constitute approximately 4.6% of the outstanding Common Stock.</w:t>
      </w:r>
    </w:p>
    <w:p>
      <w:pPr>
        <w:spacing w:after="0" w:line="221" w:lineRule="exact"/>
        <w:rPr>
          <w:sz w:val="20"/>
          <w:szCs w:val="20"/>
          <w:color w:val="auto"/>
        </w:rPr>
      </w:pPr>
    </w:p>
    <w:p>
      <w:pPr>
        <w:ind w:right="320" w:firstLine="962"/>
        <w:spacing w:after="0" w:line="265" w:lineRule="auto"/>
        <w:tabs>
          <w:tab w:leader="none" w:pos="1241"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None of the Reporting Persons nor, to the best knowledge of the Reporting Persons, without independent verification, any person named in Item 2 hereof, has effected any transaction in the Common Stock since the filing of the Original Schedule 13D.</w:t>
      </w:r>
    </w:p>
    <w:p>
      <w:pPr>
        <w:spacing w:after="0" w:line="206" w:lineRule="exact"/>
        <w:rPr>
          <w:rFonts w:ascii="Arial" w:cs="Arial" w:eastAsia="Arial" w:hAnsi="Arial"/>
          <w:sz w:val="18"/>
          <w:szCs w:val="18"/>
          <w:color w:val="auto"/>
        </w:rPr>
      </w:pPr>
    </w:p>
    <w:p>
      <w:pPr>
        <w:ind w:right="640" w:firstLine="962"/>
        <w:spacing w:after="0" w:line="265" w:lineRule="auto"/>
        <w:tabs>
          <w:tab w:leader="none" w:pos="12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than the Reporting Persons, no other persons have the right to receive or the power to direct the receipt of dividends from, or the proceeds from the sale of, the securities beneficially owned by the Reporting Persons identified in this Item 5.</w:t>
      </w:r>
    </w:p>
    <w:p>
      <w:pPr>
        <w:spacing w:after="0" w:line="206" w:lineRule="exact"/>
        <w:rPr>
          <w:rFonts w:ascii="Arial" w:cs="Arial" w:eastAsia="Arial" w:hAnsi="Arial"/>
          <w:sz w:val="18"/>
          <w:szCs w:val="18"/>
          <w:color w:val="auto"/>
        </w:rPr>
      </w:pPr>
    </w:p>
    <w:p>
      <w:pPr>
        <w:ind w:left="1200" w:hanging="238"/>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information set forth or incorporated by reference in Items 2, 3, 4, and 5 is hereby incorporated herein by reference.</w:t>
      </w:r>
    </w:p>
    <w:p>
      <w:pPr>
        <w:spacing w:after="0" w:line="244" w:lineRule="exact"/>
        <w:rPr>
          <w:sz w:val="20"/>
          <w:szCs w:val="20"/>
          <w:color w:val="auto"/>
        </w:rPr>
      </w:pPr>
    </w:p>
    <w:p>
      <w:pPr>
        <w:ind w:right="20" w:firstLine="637"/>
        <w:spacing w:after="0" w:line="366" w:lineRule="auto"/>
        <w:rPr>
          <w:sz w:val="20"/>
          <w:szCs w:val="20"/>
          <w:color w:val="auto"/>
        </w:rPr>
      </w:pPr>
      <w:r>
        <w:rPr>
          <w:rFonts w:ascii="Arial" w:cs="Arial" w:eastAsia="Arial" w:hAnsi="Arial"/>
          <w:sz w:val="15"/>
          <w:szCs w:val="15"/>
          <w:color w:val="auto"/>
        </w:rPr>
        <w:t>As discussed in Item 2 above, the business and affairs of TSL Advisers are managed by its board of managers, whose members are Messrs. Bonderman, Coulter and Waxman. Any decision or determination by the board of managers requires the approval of each of Messrs. Bonderman, Coulter and Waxman.</w:t>
      </w:r>
    </w:p>
    <w:p>
      <w:pPr>
        <w:spacing w:after="0" w:line="138" w:lineRule="exact"/>
        <w:rPr>
          <w:sz w:val="20"/>
          <w:szCs w:val="20"/>
          <w:color w:val="auto"/>
        </w:rPr>
      </w:pPr>
    </w:p>
    <w:p>
      <w:pPr>
        <w:ind w:right="360" w:firstLine="637"/>
        <w:spacing w:after="0" w:line="278" w:lineRule="auto"/>
        <w:rPr>
          <w:sz w:val="20"/>
          <w:szCs w:val="20"/>
          <w:color w:val="auto"/>
        </w:rPr>
      </w:pPr>
      <w:r>
        <w:rPr>
          <w:rFonts w:ascii="Arial" w:cs="Arial" w:eastAsia="Arial" w:hAnsi="Arial"/>
          <w:sz w:val="17"/>
          <w:szCs w:val="17"/>
          <w:color w:val="auto"/>
        </w:rPr>
        <w:t>TSL Advisers is required to solicit voting instructions from Equity Partners and Holdings II in respect of the shares of Common Stock of the Issuer beneficially owned by Holdings II and Equity Partners, respectively, in connection with any matter on which TSL Advisers is entitled to vote the TSL Shares. TSL Advisers is required to vote all proxies in respect of the TSL Shares proportionately in accordance with such instructions.</w:t>
      </w:r>
    </w:p>
    <w:p>
      <w:pPr>
        <w:spacing w:after="0" w:line="197" w:lineRule="exact"/>
        <w:rPr>
          <w:sz w:val="20"/>
          <w:szCs w:val="20"/>
          <w:color w:val="auto"/>
        </w:rPr>
      </w:pPr>
    </w:p>
    <w:p>
      <w:pPr>
        <w:ind w:right="340" w:firstLine="637"/>
        <w:spacing w:after="0" w:line="265" w:lineRule="auto"/>
        <w:rPr>
          <w:sz w:val="20"/>
          <w:szCs w:val="20"/>
          <w:color w:val="auto"/>
        </w:rPr>
      </w:pPr>
      <w:r>
        <w:rPr>
          <w:rFonts w:ascii="Arial" w:cs="Arial" w:eastAsia="Arial" w:hAnsi="Arial"/>
          <w:sz w:val="18"/>
          <w:szCs w:val="18"/>
          <w:color w:val="auto"/>
        </w:rPr>
        <w:t>As the directors, officers and sole stockholders of Group Advisors, Mr. Bonderman and Mr. Coulter may indirectly issue voting instructions to TSL Advisers in respect of the shares of Common Stock of the Issuer beneficially owned by Holdings II.</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0" w:name="page11"/>
    <w:bookmarkEnd w:id="10"/>
    <w:p>
      <w:pPr>
        <w:ind w:right="40" w:firstLine="637"/>
        <w:spacing w:after="0" w:line="295" w:lineRule="auto"/>
        <w:rPr>
          <w:sz w:val="20"/>
          <w:szCs w:val="20"/>
          <w:color w:val="auto"/>
        </w:rPr>
      </w:pPr>
      <w:r>
        <w:rPr>
          <w:rFonts w:ascii="Arial" w:cs="Arial" w:eastAsia="Arial" w:hAnsi="Arial"/>
          <w:sz w:val="17"/>
          <w:szCs w:val="17"/>
          <w:color w:val="auto"/>
        </w:rPr>
        <w:t>Equity Partners is required to solicit voting instructions from its limited partners in respect of their indirect interests in the TSL Shares. Equity Partners is required to instruct TSL Advisers to vote proxies in respect of its TSL Shares proportionately in accordance with such instructions.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50" w:lineRule="exact"/>
        <w:rPr>
          <w:sz w:val="20"/>
          <w:szCs w:val="20"/>
          <w:color w:val="auto"/>
        </w:rPr>
      </w:pPr>
    </w:p>
    <w:p>
      <w:pPr>
        <w:ind w:left="320" w:right="160" w:hanging="314"/>
        <w:spacing w:after="0" w:line="366" w:lineRule="auto"/>
        <w:tabs>
          <w:tab w:leader="none" w:pos="3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137" w:lineRule="exact"/>
        <w:rPr>
          <w:rFonts w:ascii="Arial" w:cs="Arial" w:eastAsia="Arial" w:hAnsi="Arial"/>
          <w:sz w:val="15"/>
          <w:szCs w:val="15"/>
          <w:color w:val="auto"/>
        </w:rPr>
      </w:pPr>
    </w:p>
    <w:p>
      <w:pPr>
        <w:ind w:left="320" w:right="440" w:hanging="314"/>
        <w:spacing w:after="0" w:line="265"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 (previously filed with the Original Schedule 13D).</w:t>
      </w:r>
    </w:p>
    <w:p>
      <w:pPr>
        <w:spacing w:after="0" w:line="206" w:lineRule="exact"/>
        <w:rPr>
          <w:rFonts w:ascii="Arial" w:cs="Arial" w:eastAsia="Arial" w:hAnsi="Arial"/>
          <w:sz w:val="18"/>
          <w:szCs w:val="18"/>
          <w:color w:val="auto"/>
        </w:rPr>
      </w:pPr>
    </w:p>
    <w:p>
      <w:pPr>
        <w:ind w:left="320" w:right="440" w:hanging="314"/>
        <w:spacing w:after="0" w:line="265"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 (previously filed with the Original Schedule 13D).</w:t>
      </w:r>
    </w:p>
    <w:p>
      <w:pPr>
        <w:spacing w:after="0" w:line="206" w:lineRule="exact"/>
        <w:rPr>
          <w:rFonts w:ascii="Arial" w:cs="Arial" w:eastAsia="Arial" w:hAnsi="Arial"/>
          <w:sz w:val="18"/>
          <w:szCs w:val="18"/>
          <w:color w:val="auto"/>
        </w:rPr>
      </w:pPr>
    </w:p>
    <w:p>
      <w:pPr>
        <w:ind w:left="320" w:hanging="314"/>
        <w:spacing w:after="0" w:line="265" w:lineRule="auto"/>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Subscription Agreement, dated as of December 2, 2011 between TPG Specialty Lending, Inc., TSL FOF, L.P. and TSL Advisers, LLC (previously filed with Amendment No. 2).</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SIGNATURE</w:t>
      </w:r>
    </w:p>
    <w:p>
      <w:pPr>
        <w:spacing w:after="0" w:line="250" w:lineRule="exact"/>
        <w:rPr>
          <w:sz w:val="20"/>
          <w:szCs w:val="20"/>
          <w:color w:val="auto"/>
        </w:rPr>
      </w:pPr>
    </w:p>
    <w:p>
      <w:pPr>
        <w:ind w:left="860"/>
        <w:spacing w:after="0"/>
        <w:rPr>
          <w:sz w:val="20"/>
          <w:szCs w:val="20"/>
          <w:color w:val="auto"/>
        </w:rPr>
      </w:pPr>
      <w:r>
        <w:rPr>
          <w:rFonts w:ascii="Arial" w:cs="Arial" w:eastAsia="Arial" w:hAnsi="Arial"/>
          <w:sz w:val="15"/>
          <w:szCs w:val="15"/>
          <w:color w:val="auto"/>
        </w:rPr>
        <w:t>After reasonable inquiry and to the best of my knowledge and belief, I certify that the information set forth in this statement is true, complete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20, 2011</w:t>
      </w:r>
    </w:p>
    <w:p>
      <w:pPr>
        <w:spacing w:after="0" w:line="24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TPG Group Holdings (SBS) Advisors, Inc.</w:t>
      </w:r>
    </w:p>
    <w:p>
      <w:pPr>
        <w:spacing w:after="0" w:line="21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-13335</wp:posOffset>
            </wp:positionV>
            <wp:extent cx="9271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27100"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18"/>
          <w:szCs w:val="18"/>
          <w:color w:val="auto"/>
        </w:rPr>
        <w:t>Name: Ronald Cami</w:t>
      </w:r>
    </w:p>
    <w:p>
      <w:pPr>
        <w:spacing w:after="0" w:line="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1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Tarrant Capital Advisors, Inc.</w:t>
      </w:r>
    </w:p>
    <w:p>
      <w:pPr>
        <w:spacing w:after="0" w:line="21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-13335</wp:posOffset>
            </wp:positionV>
            <wp:extent cx="9271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27100"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18"/>
          <w:szCs w:val="18"/>
          <w:color w:val="auto"/>
        </w:rPr>
        <w:t>Name: Ronald Cami</w:t>
      </w:r>
    </w:p>
    <w:p>
      <w:pPr>
        <w:spacing w:after="0" w:line="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1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David Bonderman</w:t>
      </w:r>
    </w:p>
    <w:p>
      <w:pPr>
        <w:spacing w:after="0" w:line="21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-13335</wp:posOffset>
            </wp:positionV>
            <wp:extent cx="9271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27100"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18"/>
          <w:szCs w:val="18"/>
          <w:color w:val="auto"/>
        </w:rPr>
        <w:t>Name: Ronald Cami on behalf of David Bonderman (1)</w:t>
      </w:r>
    </w:p>
    <w:p>
      <w:pPr>
        <w:spacing w:after="0" w:line="200" w:lineRule="exact"/>
        <w:rPr>
          <w:sz w:val="20"/>
          <w:szCs w:val="20"/>
          <w:color w:val="auto"/>
        </w:rPr>
      </w:pPr>
    </w:p>
    <w:p>
      <w:pPr>
        <w:spacing w:after="0" w:line="21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James G. Coulter</w:t>
      </w:r>
    </w:p>
    <w:p>
      <w:pPr>
        <w:spacing w:after="0" w:line="21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-13335</wp:posOffset>
            </wp:positionV>
            <wp:extent cx="9271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27100"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18"/>
          <w:szCs w:val="18"/>
          <w:color w:val="auto"/>
        </w:rPr>
        <w:t>Name: Ronald Cami on behalf of James G. Coulter (2)</w:t>
      </w:r>
    </w:p>
    <w:p>
      <w:pPr>
        <w:spacing w:after="0" w:line="200" w:lineRule="exact"/>
        <w:rPr>
          <w:sz w:val="20"/>
          <w:szCs w:val="20"/>
          <w:color w:val="auto"/>
        </w:rPr>
      </w:pPr>
    </w:p>
    <w:p>
      <w:pPr>
        <w:spacing w:after="0" w:line="21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Alan Waxman</w:t>
      </w:r>
    </w:p>
    <w:p>
      <w:pPr>
        <w:spacing w:after="0" w:line="21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-13335</wp:posOffset>
            </wp:positionV>
            <wp:extent cx="9271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27100" cy="8255"/>
                    </a:xfrm>
                    <a:prstGeom prst="rect">
                      <a:avLst/>
                    </a:prstGeom>
                    <a:noFill/>
                  </pic:spPr>
                </pic:pic>
              </a:graphicData>
            </a:graphic>
          </wp:anchor>
        </w:drawing>
      </w:r>
    </w:p>
    <w:p>
      <w:pPr>
        <w:ind w:left="4660"/>
        <w:spacing w:after="0"/>
        <w:rPr>
          <w:sz w:val="20"/>
          <w:szCs w:val="20"/>
          <w:color w:val="auto"/>
        </w:rPr>
      </w:pPr>
      <w:r>
        <w:rPr>
          <w:rFonts w:ascii="Arial" w:cs="Arial" w:eastAsia="Arial" w:hAnsi="Arial"/>
          <w:sz w:val="18"/>
          <w:szCs w:val="18"/>
          <w:color w:val="auto"/>
        </w:rPr>
        <w:t>Name: Ronald Cami on behalf of Alan Waxman (3)</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Page 12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140"/>
          </w:cols>
          <w:pgMar w:left="240" w:top="745" w:right="519" w:bottom="1440" w:gutter="0" w:footer="0" w:header="0"/>
        </w:sectPr>
      </w:pPr>
    </w:p>
    <w:bookmarkStart w:id="12" w:name="page13"/>
    <w:bookmarkEnd w:id="12"/>
    <w:p>
      <w:pPr>
        <w:ind w:left="314" w:right="20" w:hanging="314"/>
        <w:spacing w:after="0" w:line="366" w:lineRule="auto"/>
        <w:tabs>
          <w:tab w:leader="none" w:pos="314" w:val="left"/>
        </w:tabs>
        <w:numPr>
          <w:ilvl w:val="0"/>
          <w:numId w:val="47"/>
        </w:numPr>
        <w:rPr>
          <w:rFonts w:ascii="Arial" w:cs="Arial" w:eastAsia="Arial" w:hAnsi="Arial"/>
          <w:sz w:val="15"/>
          <w:szCs w:val="15"/>
          <w:color w:val="auto"/>
        </w:rPr>
      </w:pPr>
      <w:r>
        <w:rPr>
          <w:rFonts w:ascii="Arial" w:cs="Arial" w:eastAsia="Arial" w:hAnsi="Arial"/>
          <w:sz w:val="15"/>
          <w:szCs w:val="15"/>
          <w:color w:val="auto"/>
        </w:rPr>
        <w:t>Ronald Cami is signing on behalf of Mr. Bonderman pursuant to an authorization and designation letter dated July 1, 2010, which was previously filed with the Securities and Exchange Commission as an exhibit to a Schedule 13D filed by Mr. Bonderman on July 26, 2010 (SEC File No. 005-43571).</w:t>
      </w:r>
    </w:p>
    <w:p>
      <w:pPr>
        <w:spacing w:after="0" w:line="137" w:lineRule="exact"/>
        <w:rPr>
          <w:rFonts w:ascii="Arial" w:cs="Arial" w:eastAsia="Arial" w:hAnsi="Arial"/>
          <w:sz w:val="15"/>
          <w:szCs w:val="15"/>
          <w:color w:val="auto"/>
        </w:rPr>
      </w:pPr>
    </w:p>
    <w:p>
      <w:pPr>
        <w:ind w:left="314" w:hanging="314"/>
        <w:spacing w:after="0" w:line="295" w:lineRule="auto"/>
        <w:tabs>
          <w:tab w:leader="none" w:pos="314" w:val="left"/>
        </w:tabs>
        <w:numPr>
          <w:ilvl w:val="0"/>
          <w:numId w:val="47"/>
        </w:numPr>
        <w:rPr>
          <w:rFonts w:ascii="Arial" w:cs="Arial" w:eastAsia="Arial" w:hAnsi="Arial"/>
          <w:sz w:val="17"/>
          <w:szCs w:val="17"/>
          <w:color w:val="auto"/>
        </w:rPr>
      </w:pPr>
      <w:r>
        <w:rPr>
          <w:rFonts w:ascii="Arial" w:cs="Arial" w:eastAsia="Arial" w:hAnsi="Arial"/>
          <w:sz w:val="17"/>
          <w:szCs w:val="17"/>
          <w:color w:val="auto"/>
        </w:rPr>
        <w:t>Ronald Cami is signing on behalf of Mr. Coulter pursuant to the authorization and designation letter dated July 1, 2010, which was previously filed with the Securities and Exchange Commission as an exhibit to a Schedule 13D filed by Mr. Coulter on July 26, 2010 (SEC File No. 005-43571).</w:t>
      </w:r>
    </w:p>
    <w:p>
      <w:pPr>
        <w:spacing w:after="0" w:line="183" w:lineRule="exact"/>
        <w:rPr>
          <w:rFonts w:ascii="Arial" w:cs="Arial" w:eastAsia="Arial" w:hAnsi="Arial"/>
          <w:sz w:val="17"/>
          <w:szCs w:val="17"/>
          <w:color w:val="auto"/>
        </w:rPr>
      </w:pPr>
    </w:p>
    <w:p>
      <w:pPr>
        <w:ind w:left="314" w:right="280" w:hanging="314"/>
        <w:spacing w:after="0" w:line="366" w:lineRule="auto"/>
        <w:tabs>
          <w:tab w:leader="none" w:pos="314" w:val="left"/>
        </w:tabs>
        <w:numPr>
          <w:ilvl w:val="0"/>
          <w:numId w:val="47"/>
        </w:numPr>
        <w:rPr>
          <w:rFonts w:ascii="Arial" w:cs="Arial" w:eastAsia="Arial" w:hAnsi="Arial"/>
          <w:sz w:val="15"/>
          <w:szCs w:val="15"/>
          <w:color w:val="auto"/>
        </w:rPr>
      </w:pPr>
      <w:r>
        <w:rPr>
          <w:rFonts w:ascii="Arial" w:cs="Arial" w:eastAsia="Arial" w:hAnsi="Arial"/>
          <w:sz w:val="15"/>
          <w:szCs w:val="15"/>
          <w:color w:val="auto"/>
        </w:rPr>
        <w:t>Ronald Cami is signing on behalf of Mr. Waxman pursuant to the authorization and designation letter dated March 10, 2011, which was previously filed with the Securities and Exchange Commission as an exhibit to a Schedule 13D filed by Mr. Waxman on June 27, 2011 (SEC File No. 005-86304).</w:t>
      </w:r>
    </w:p>
    <w:p>
      <w:pPr>
        <w:spacing w:after="0" w:line="284" w:lineRule="exact"/>
        <w:rPr>
          <w:sz w:val="20"/>
          <w:szCs w:val="20"/>
          <w:color w:val="auto"/>
        </w:rPr>
      </w:pPr>
    </w:p>
    <w:p>
      <w:pPr>
        <w:jc w:val="center"/>
        <w:ind w:right="-53"/>
        <w:spacing w:after="0"/>
        <w:rPr>
          <w:sz w:val="20"/>
          <w:szCs w:val="20"/>
          <w:color w:val="auto"/>
        </w:rPr>
      </w:pPr>
      <w:r>
        <w:rPr>
          <w:rFonts w:ascii="Arial" w:cs="Arial" w:eastAsia="Arial" w:hAnsi="Arial"/>
          <w:sz w:val="18"/>
          <w:szCs w:val="18"/>
          <w:color w:val="auto"/>
        </w:rPr>
        <w:t>Page 13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76835</wp:posOffset>
            </wp:positionV>
            <wp:extent cx="725297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54"/>
          </w:cols>
          <w:pgMar w:left="246" w:top="512" w:right="29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Schedule I</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All addresses are c/o TPG Capital L.P., 301 Commerce Street, Suite 3300, Fort Worth, TX 76102.</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20" w:type="dxa"/>
            <w:vAlign w:val="bottom"/>
            <w:gridSpan w:val="2"/>
          </w:tcPr>
          <w:p>
            <w:pPr>
              <w:spacing w:after="0"/>
              <w:rPr>
                <w:sz w:val="20"/>
                <w:szCs w:val="20"/>
                <w:color w:val="auto"/>
              </w:rPr>
            </w:pPr>
            <w:r>
              <w:rPr>
                <w:rFonts w:ascii="Arial" w:cs="Arial" w:eastAsia="Arial" w:hAnsi="Arial"/>
                <w:sz w:val="18"/>
                <w:szCs w:val="18"/>
                <w:color w:val="auto"/>
              </w:rPr>
              <w:t>Name</w:t>
            </w:r>
          </w:p>
        </w:tc>
        <w:tc>
          <w:tcPr>
            <w:tcW w:w="2260" w:type="dxa"/>
            <w:vAlign w:val="bottom"/>
          </w:tcPr>
          <w:p>
            <w:pPr>
              <w:spacing w:after="0"/>
              <w:rPr>
                <w:sz w:val="17"/>
                <w:szCs w:val="17"/>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20"/>
        </w:trPr>
        <w:tc>
          <w:tcPr>
            <w:tcW w:w="42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485"/>
        </w:trPr>
        <w:tc>
          <w:tcPr>
            <w:tcW w:w="322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226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President and Chairman of the Board</w:t>
            </w:r>
          </w:p>
        </w:tc>
      </w:tr>
      <w:tr>
        <w:trPr>
          <w:trHeight w:val="212"/>
        </w:trPr>
        <w:tc>
          <w:tcPr>
            <w:tcW w:w="322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226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Senior Vice President and Director</w:t>
            </w:r>
          </w:p>
        </w:tc>
      </w:tr>
      <w:tr>
        <w:trPr>
          <w:trHeight w:val="212"/>
        </w:trPr>
        <w:tc>
          <w:tcPr>
            <w:tcW w:w="322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226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 and Treasurer</w:t>
            </w:r>
          </w:p>
        </w:tc>
      </w:tr>
      <w:tr>
        <w:trPr>
          <w:trHeight w:val="212"/>
        </w:trPr>
        <w:tc>
          <w:tcPr>
            <w:tcW w:w="322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226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 and Secretary</w:t>
            </w:r>
          </w:p>
        </w:tc>
      </w:tr>
      <w:tr>
        <w:trPr>
          <w:trHeight w:val="212"/>
        </w:trPr>
        <w:tc>
          <w:tcPr>
            <w:tcW w:w="322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226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Chief Compliance Officer and Assistant Secretary</w:t>
            </w:r>
          </w:p>
        </w:tc>
      </w:tr>
      <w:tr>
        <w:trPr>
          <w:trHeight w:val="212"/>
        </w:trPr>
        <w:tc>
          <w:tcPr>
            <w:tcW w:w="3220" w:type="dxa"/>
            <w:vAlign w:val="bottom"/>
            <w:gridSpan w:val="2"/>
          </w:tcPr>
          <w:p>
            <w:pPr>
              <w:spacing w:after="0"/>
              <w:rPr>
                <w:sz w:val="20"/>
                <w:szCs w:val="20"/>
                <w:color w:val="auto"/>
              </w:rPr>
            </w:pPr>
            <w:r>
              <w:rPr>
                <w:rFonts w:ascii="Arial" w:cs="Arial" w:eastAsia="Arial" w:hAnsi="Arial"/>
                <w:sz w:val="18"/>
                <w:szCs w:val="18"/>
                <w:color w:val="auto"/>
              </w:rPr>
              <w:t>G. Douglas Puckett</w:t>
            </w:r>
          </w:p>
        </w:tc>
        <w:tc>
          <w:tcPr>
            <w:tcW w:w="226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r>
        <w:trPr>
          <w:trHeight w:val="224"/>
        </w:trPr>
        <w:tc>
          <w:tcPr>
            <w:tcW w:w="322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226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r>
        <w:trPr>
          <w:trHeight w:val="571"/>
        </w:trPr>
        <w:tc>
          <w:tcPr>
            <w:tcW w:w="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200" w:type="dxa"/>
            <w:vAlign w:val="bottom"/>
            <w:gridSpan w:val="3"/>
          </w:tcPr>
          <w:p>
            <w:pPr>
              <w:ind w:left="1780"/>
              <w:spacing w:after="0"/>
              <w:rPr>
                <w:sz w:val="20"/>
                <w:szCs w:val="20"/>
                <w:color w:val="auto"/>
              </w:rPr>
            </w:pPr>
            <w:r>
              <w:rPr>
                <w:rFonts w:ascii="Arial" w:cs="Arial" w:eastAsia="Arial" w:hAnsi="Arial"/>
                <w:sz w:val="18"/>
                <w:szCs w:val="18"/>
                <w:color w:val="auto"/>
              </w:rPr>
              <w:t>Page 14 of 16 Pages</w:t>
            </w:r>
          </w:p>
        </w:tc>
      </w:tr>
      <w:tr>
        <w:trPr>
          <w:trHeight w:val="117"/>
        </w:trPr>
        <w:tc>
          <w:tcPr>
            <w:tcW w:w="420" w:type="dxa"/>
            <w:vAlign w:val="bottom"/>
            <w:tcBorders>
              <w:bottom w:val="single" w:sz="8" w:color="808080"/>
            </w:tcBorders>
          </w:tcPr>
          <w:p>
            <w:pPr>
              <w:spacing w:after="0"/>
              <w:rPr>
                <w:sz w:val="10"/>
                <w:szCs w:val="10"/>
                <w:color w:val="auto"/>
              </w:rPr>
            </w:pPr>
          </w:p>
        </w:tc>
        <w:tc>
          <w:tcPr>
            <w:tcW w:w="2800" w:type="dxa"/>
            <w:vAlign w:val="bottom"/>
            <w:tcBorders>
              <w:bottom w:val="single" w:sz="8" w:color="808080"/>
            </w:tcBorders>
          </w:tcPr>
          <w:p>
            <w:pPr>
              <w:spacing w:after="0"/>
              <w:rPr>
                <w:sz w:val="10"/>
                <w:szCs w:val="10"/>
                <w:color w:val="auto"/>
              </w:rPr>
            </w:pPr>
          </w:p>
        </w:tc>
        <w:tc>
          <w:tcPr>
            <w:tcW w:w="22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6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All addresses are c/o TPG Capital L.P., 301 Commerce Street, Suite 3300, Fort Worth, TX 76102.</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spacing w:after="0"/>
              <w:rPr>
                <w:sz w:val="20"/>
                <w:szCs w:val="20"/>
                <w:color w:val="auto"/>
              </w:rPr>
            </w:pPr>
            <w:r>
              <w:rPr>
                <w:rFonts w:ascii="Arial" w:cs="Arial" w:eastAsia="Arial" w:hAnsi="Arial"/>
                <w:sz w:val="18"/>
                <w:szCs w:val="18"/>
                <w:color w:val="auto"/>
              </w:rPr>
              <w:t>Name</w:t>
            </w:r>
          </w:p>
        </w:tc>
        <w:tc>
          <w:tcPr>
            <w:tcW w:w="2220" w:type="dxa"/>
            <w:vAlign w:val="bottom"/>
          </w:tcPr>
          <w:p>
            <w:pPr>
              <w:spacing w:after="0"/>
              <w:rPr>
                <w:sz w:val="17"/>
                <w:szCs w:val="17"/>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Title</w:t>
            </w:r>
          </w:p>
        </w:tc>
      </w:tr>
      <w:tr>
        <w:trPr>
          <w:trHeight w:val="20"/>
        </w:trPr>
        <w:tc>
          <w:tcPr>
            <w:tcW w:w="42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432"/>
        </w:trPr>
        <w:tc>
          <w:tcPr>
            <w:tcW w:w="326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2220" w:type="dxa"/>
            <w:vAlign w:val="bottom"/>
          </w:tcPr>
          <w:p>
            <w:pPr>
              <w:spacing w:after="0"/>
              <w:rPr>
                <w:sz w:val="24"/>
                <w:szCs w:val="24"/>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President and Chairman of the Board</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Executive Vice President and Director</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 and Treasurer</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 and Secretary</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Clive D. Bode</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Richard W. Boyce</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Kevin R. Burns</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Jonathan J. Coslet</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Timothy D. Dattels</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Kelvin L. Davis</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Eugene J. Frantz</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James R. Gates</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Asiff Hirji</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Michael MacDougall</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John W. Marren</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Todd Sisitsky</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Bryan Taylor</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Jerome C. Vascellaro</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Jack C. Weingart</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Carrie A. Wheeler</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James B. Williams</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Nathan H. Wright</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Chief Compliance Officer and Assistant Secretary</w:t>
            </w:r>
          </w:p>
        </w:tc>
      </w:tr>
      <w:tr>
        <w:trPr>
          <w:trHeight w:val="212"/>
        </w:trPr>
        <w:tc>
          <w:tcPr>
            <w:tcW w:w="3260" w:type="dxa"/>
            <w:vAlign w:val="bottom"/>
            <w:gridSpan w:val="2"/>
          </w:tcPr>
          <w:p>
            <w:pPr>
              <w:spacing w:after="0"/>
              <w:rPr>
                <w:sz w:val="20"/>
                <w:szCs w:val="20"/>
                <w:color w:val="auto"/>
              </w:rPr>
            </w:pPr>
            <w:r>
              <w:rPr>
                <w:rFonts w:ascii="Arial" w:cs="Arial" w:eastAsia="Arial" w:hAnsi="Arial"/>
                <w:sz w:val="18"/>
                <w:szCs w:val="18"/>
                <w:color w:val="auto"/>
              </w:rPr>
              <w:t>G. Douglas Puckett</w:t>
            </w:r>
          </w:p>
        </w:tc>
        <w:tc>
          <w:tcPr>
            <w:tcW w:w="22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r>
        <w:trPr>
          <w:trHeight w:val="224"/>
        </w:trPr>
        <w:tc>
          <w:tcPr>
            <w:tcW w:w="326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2220" w:type="dxa"/>
            <w:vAlign w:val="bottom"/>
          </w:tcPr>
          <w:p>
            <w:pPr>
              <w:spacing w:after="0"/>
              <w:rPr>
                <w:sz w:val="19"/>
                <w:szCs w:val="19"/>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Assistant Treasurer</w:t>
            </w:r>
          </w:p>
        </w:tc>
      </w:tr>
      <w:tr>
        <w:trPr>
          <w:trHeight w:val="810"/>
        </w:trPr>
        <w:tc>
          <w:tcPr>
            <w:tcW w:w="4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160" w:type="dxa"/>
            <w:vAlign w:val="bottom"/>
            <w:gridSpan w:val="3"/>
          </w:tcPr>
          <w:p>
            <w:pPr>
              <w:ind w:left="1740"/>
              <w:spacing w:after="0"/>
              <w:rPr>
                <w:sz w:val="20"/>
                <w:szCs w:val="20"/>
                <w:color w:val="auto"/>
              </w:rPr>
            </w:pPr>
            <w:r>
              <w:rPr>
                <w:rFonts w:ascii="Arial" w:cs="Arial" w:eastAsia="Arial" w:hAnsi="Arial"/>
                <w:sz w:val="18"/>
                <w:szCs w:val="18"/>
                <w:color w:val="auto"/>
              </w:rPr>
              <w:t>Page 15 of 16 Pages</w:t>
            </w:r>
          </w:p>
        </w:tc>
      </w:tr>
      <w:tr>
        <w:trPr>
          <w:trHeight w:val="117"/>
        </w:trPr>
        <w:tc>
          <w:tcPr>
            <w:tcW w:w="42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2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6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45" w:right="2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INDEX TO EXHIBITS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ectPr>
          <w:pgSz w:w="11900" w:h="16838" w:orient="portrait"/>
          <w:cols w:equalWidth="0" w:num="1">
            <w:col w:w="11420"/>
          </w:cols>
          <w:pgMar w:left="240" w:top="506" w:right="2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Number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26035</wp:posOffset>
            </wp:positionV>
            <wp:extent cx="7249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760" w:space="720"/>
            <w:col w:w="9940"/>
          </w:cols>
          <w:pgMar w:left="240" w:top="506" w:right="239" w:bottom="1440" w:gutter="0" w:footer="0" w:header="0"/>
          <w:type w:val="continuous"/>
        </w:sectPr>
      </w:pPr>
    </w:p>
    <w:p>
      <w:pPr>
        <w:jc w:val="both"/>
        <w:ind w:left="1120" w:hanging="1114"/>
        <w:spacing w:after="0" w:line="255" w:lineRule="auto"/>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216" w:lineRule="exact"/>
        <w:rPr>
          <w:rFonts w:ascii="Arial" w:cs="Arial" w:eastAsia="Arial" w:hAnsi="Arial"/>
          <w:sz w:val="18"/>
          <w:szCs w:val="18"/>
          <w:color w:val="auto"/>
        </w:rPr>
      </w:pPr>
    </w:p>
    <w:p>
      <w:pPr>
        <w:ind w:left="1120" w:hanging="1114"/>
        <w:spacing w:after="0" w:line="265" w:lineRule="auto"/>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 (previously filed with the Original Schedule 13D).</w:t>
      </w:r>
    </w:p>
    <w:p>
      <w:pPr>
        <w:spacing w:after="0" w:line="206" w:lineRule="exact"/>
        <w:rPr>
          <w:rFonts w:ascii="Arial" w:cs="Arial" w:eastAsia="Arial" w:hAnsi="Arial"/>
          <w:sz w:val="18"/>
          <w:szCs w:val="18"/>
          <w:color w:val="auto"/>
        </w:rPr>
      </w:pPr>
    </w:p>
    <w:p>
      <w:pPr>
        <w:ind w:left="1120" w:hanging="1114"/>
        <w:spacing w:after="0" w:line="265" w:lineRule="auto"/>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 (previously filed with the Original Schedule 13D).</w:t>
      </w:r>
    </w:p>
    <w:p>
      <w:pPr>
        <w:spacing w:after="0" w:line="206" w:lineRule="exact"/>
        <w:rPr>
          <w:rFonts w:ascii="Arial" w:cs="Arial" w:eastAsia="Arial" w:hAnsi="Arial"/>
          <w:sz w:val="18"/>
          <w:szCs w:val="18"/>
          <w:color w:val="auto"/>
        </w:rPr>
      </w:pPr>
    </w:p>
    <w:p>
      <w:pPr>
        <w:ind w:left="1120" w:right="800" w:hanging="1114"/>
        <w:spacing w:after="0" w:line="265" w:lineRule="auto"/>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Subscription Agreement, dated as of December 2, 2011 between TPG Specialty Lending, Inc., TSL FOF, L.P. and TSL Advisers, LLC (previously filed with Amendment No.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5297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506" w:right="239" w:bottom="1440" w:gutter="0" w:footer="0" w:header="0"/>
          <w:type w:val="continuous"/>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584200</wp:posOffset>
            </wp:positionV>
            <wp:extent cx="725297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bullet"/>
      <w:start w:val="1"/>
    </w:lvl>
  </w:abstractNum>
  <w:abstractNum w:abstractNumId="2">
    <w:nsid w:val="4353D0CD"/>
    <w:multiLevelType w:val="hybridMultilevel"/>
    <w:lvl w:ilvl="0">
      <w:lvlJc w:val="left"/>
      <w:lvlText w:val="2"/>
      <w:numFmt w:val="bullet"/>
      <w:start w:val="1"/>
    </w:lvl>
  </w:abstractNum>
  <w:abstractNum w:abstractNumId="3">
    <w:nsid w:val="B03E0C6"/>
    <w:multiLevelType w:val="hybridMultilevel"/>
    <w:lvl w:ilvl="0">
      <w:lvlJc w:val="left"/>
      <w:lvlText w:val="3"/>
      <w:numFmt w:val="bullet"/>
      <w:start w:val="1"/>
    </w:lvl>
  </w:abstractNum>
  <w:abstractNum w:abstractNumId="4">
    <w:nsid w:val="189A769B"/>
    <w:multiLevelType w:val="hybridMultilevel"/>
    <w:lvl w:ilvl="0">
      <w:lvlJc w:val="left"/>
      <w:lvlText w:val="4"/>
      <w:numFmt w:val="bullet"/>
      <w:start w:val="1"/>
    </w:lvl>
  </w:abstractNum>
  <w:abstractNum w:abstractNumId="5">
    <w:nsid w:val="54E49EB4"/>
    <w:multiLevelType w:val="hybridMultilevel"/>
    <w:lvl w:ilvl="0">
      <w:lvlJc w:val="left"/>
      <w:lvlText w:val="5"/>
      <w:numFmt w:val="bullet"/>
      <w:start w:val="1"/>
    </w:lvl>
  </w:abstractNum>
  <w:abstractNum w:abstractNumId="6">
    <w:nsid w:val="71F32454"/>
    <w:multiLevelType w:val="hybridMultilevel"/>
    <w:lvl w:ilvl="0">
      <w:lvlJc w:val="left"/>
      <w:lvlText w:val="6"/>
      <w:numFmt w:val="bullet"/>
      <w:start w:val="1"/>
    </w:lvl>
  </w:abstractNum>
  <w:abstractNum w:abstractNumId="7">
    <w:nsid w:val="2CA88611"/>
    <w:multiLevelType w:val="hybridMultilevel"/>
    <w:lvl w:ilvl="0">
      <w:lvlJc w:val="left"/>
      <w:lvlText w:val="%1"/>
      <w:numFmt w:val="decimal"/>
      <w:start w:val="1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bullet"/>
      <w:start w:val="1"/>
    </w:lvl>
  </w:abstractNum>
  <w:abstractNum w:abstractNumId="10">
    <w:nsid w:val="3A95F874"/>
    <w:multiLevelType w:val="hybridMultilevel"/>
    <w:lvl w:ilvl="0">
      <w:lvlJc w:val="left"/>
      <w:lvlText w:val="2"/>
      <w:numFmt w:val="bullet"/>
      <w:start w:val="1"/>
    </w:lvl>
  </w:abstractNum>
  <w:abstractNum w:abstractNumId="11">
    <w:nsid w:val="8138641"/>
    <w:multiLevelType w:val="hybridMultilevel"/>
    <w:lvl w:ilvl="0">
      <w:lvlJc w:val="left"/>
      <w:lvlText w:val="3"/>
      <w:numFmt w:val="bullet"/>
      <w:start w:val="1"/>
    </w:lvl>
  </w:abstractNum>
  <w:abstractNum w:abstractNumId="12">
    <w:nsid w:val="1E7FF521"/>
    <w:multiLevelType w:val="hybridMultilevel"/>
    <w:lvl w:ilvl="0">
      <w:lvlJc w:val="left"/>
      <w:lvlText w:val="4"/>
      <w:numFmt w:val="bullet"/>
      <w:start w:val="1"/>
    </w:lvl>
  </w:abstractNum>
  <w:abstractNum w:abstractNumId="13">
    <w:nsid w:val="7C3DBD3D"/>
    <w:multiLevelType w:val="hybridMultilevel"/>
    <w:lvl w:ilvl="0">
      <w:lvlJc w:val="left"/>
      <w:lvlText w:val="5"/>
      <w:numFmt w:val="bullet"/>
      <w:start w:val="1"/>
    </w:lvl>
  </w:abstractNum>
  <w:abstractNum w:abstractNumId="14">
    <w:nsid w:val="737B8DDC"/>
    <w:multiLevelType w:val="hybridMultilevel"/>
    <w:lvl w:ilvl="0">
      <w:lvlJc w:val="left"/>
      <w:lvlText w:val="6"/>
      <w:numFmt w:val="bullet"/>
      <w:start w:val="1"/>
    </w:lvl>
  </w:abstractNum>
  <w:abstractNum w:abstractNumId="15">
    <w:nsid w:val="6CEAF087"/>
    <w:multiLevelType w:val="hybridMultilevel"/>
    <w:lvl w:ilvl="0">
      <w:lvlJc w:val="left"/>
      <w:lvlText w:val="%1"/>
      <w:numFmt w:val="decimal"/>
      <w:start w:val="11"/>
    </w:lvl>
  </w:abstractNum>
  <w:abstractNum w:abstractNumId="16">
    <w:nsid w:val="22221A70"/>
    <w:multiLevelType w:val="hybridMultilevel"/>
    <w:lvl w:ilvl="0">
      <w:lvlJc w:val="left"/>
      <w:lvlText w:val="%1"/>
      <w:numFmt w:val="decimal"/>
      <w:start w:val="13"/>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bullet"/>
      <w:start w:val="1"/>
    </w:lvl>
  </w:abstractNum>
  <w:abstractNum w:abstractNumId="19">
    <w:nsid w:val="614FD4A1"/>
    <w:multiLevelType w:val="hybridMultilevel"/>
    <w:lvl w:ilvl="0">
      <w:lvlJc w:val="left"/>
      <w:lvlText w:val="2"/>
      <w:numFmt w:val="bullet"/>
      <w:start w:val="1"/>
    </w:lvl>
  </w:abstractNum>
  <w:abstractNum w:abstractNumId="20">
    <w:nsid w:val="419AC241"/>
    <w:multiLevelType w:val="hybridMultilevel"/>
    <w:lvl w:ilvl="0">
      <w:lvlJc w:val="left"/>
      <w:lvlText w:val="3"/>
      <w:numFmt w:val="bullet"/>
      <w:start w:val="1"/>
    </w:lvl>
  </w:abstractNum>
  <w:abstractNum w:abstractNumId="21">
    <w:nsid w:val="5577F8E1"/>
    <w:multiLevelType w:val="hybridMultilevel"/>
    <w:lvl w:ilvl="0">
      <w:lvlJc w:val="left"/>
      <w:lvlText w:val="4"/>
      <w:numFmt w:val="bullet"/>
      <w:start w:val="1"/>
    </w:lvl>
  </w:abstractNum>
  <w:abstractNum w:abstractNumId="22">
    <w:nsid w:val="440BADFC"/>
    <w:multiLevelType w:val="hybridMultilevel"/>
    <w:lvl w:ilvl="0">
      <w:lvlJc w:val="left"/>
      <w:lvlText w:val="5"/>
      <w:numFmt w:val="bullet"/>
      <w:start w:val="1"/>
    </w:lvl>
  </w:abstractNum>
  <w:abstractNum w:abstractNumId="23">
    <w:nsid w:val="5072367"/>
    <w:multiLevelType w:val="hybridMultilevel"/>
    <w:lvl w:ilvl="0">
      <w:lvlJc w:val="left"/>
      <w:lvlText w:val="6"/>
      <w:numFmt w:val="bullet"/>
      <w:start w:val="1"/>
    </w:lvl>
  </w:abstractNum>
  <w:abstractNum w:abstractNumId="24">
    <w:nsid w:val="3804823E"/>
    <w:multiLevelType w:val="hybridMultilevel"/>
    <w:lvl w:ilvl="0">
      <w:lvlJc w:val="left"/>
      <w:lvlText w:val="%1"/>
      <w:numFmt w:val="decimal"/>
      <w:start w:val="11"/>
    </w:lvl>
  </w:abstractNum>
  <w:abstractNum w:abstractNumId="25">
    <w:nsid w:val="77465F01"/>
    <w:multiLevelType w:val="hybridMultilevel"/>
    <w:lvl w:ilvl="0">
      <w:lvlJc w:val="left"/>
      <w:lvlText w:val="%1"/>
      <w:numFmt w:val="decimal"/>
      <w:start w:val="13"/>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bullet"/>
      <w:start w:val="1"/>
    </w:lvl>
  </w:abstractNum>
  <w:abstractNum w:abstractNumId="28">
    <w:nsid w:val="2463B9EA"/>
    <w:multiLevelType w:val="hybridMultilevel"/>
    <w:lvl w:ilvl="0">
      <w:lvlJc w:val="left"/>
      <w:lvlText w:val="2"/>
      <w:numFmt w:val="bullet"/>
      <w:start w:val="1"/>
    </w:lvl>
  </w:abstractNum>
  <w:abstractNum w:abstractNumId="29">
    <w:nsid w:val="5E884ADC"/>
    <w:multiLevelType w:val="hybridMultilevel"/>
    <w:lvl w:ilvl="0">
      <w:lvlJc w:val="left"/>
      <w:lvlText w:val="3"/>
      <w:numFmt w:val="bullet"/>
      <w:start w:val="1"/>
    </w:lvl>
  </w:abstractNum>
  <w:abstractNum w:abstractNumId="30">
    <w:nsid w:val="51EAD36B"/>
    <w:multiLevelType w:val="hybridMultilevel"/>
    <w:lvl w:ilvl="0">
      <w:lvlJc w:val="left"/>
      <w:lvlText w:val="4"/>
      <w:numFmt w:val="bullet"/>
      <w:start w:val="1"/>
    </w:lvl>
  </w:abstractNum>
  <w:abstractNum w:abstractNumId="31">
    <w:nsid w:val="2D517796"/>
    <w:multiLevelType w:val="hybridMultilevel"/>
    <w:lvl w:ilvl="0">
      <w:lvlJc w:val="left"/>
      <w:lvlText w:val="5"/>
      <w:numFmt w:val="bullet"/>
      <w:start w:val="1"/>
    </w:lvl>
  </w:abstractNum>
  <w:abstractNum w:abstractNumId="32">
    <w:nsid w:val="580BD78F"/>
    <w:multiLevelType w:val="hybridMultilevel"/>
    <w:lvl w:ilvl="0">
      <w:lvlJc w:val="left"/>
      <w:lvlText w:val="6"/>
      <w:numFmt w:val="bullet"/>
      <w:start w:val="1"/>
    </w:lvl>
  </w:abstractNum>
  <w:abstractNum w:abstractNumId="33">
    <w:nsid w:val="153EA438"/>
    <w:multiLevelType w:val="hybridMultilevel"/>
    <w:lvl w:ilvl="0">
      <w:lvlJc w:val="left"/>
      <w:lvlText w:val="%1"/>
      <w:numFmt w:val="decimal"/>
      <w:start w:val="1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bullet"/>
      <w:start w:val="1"/>
    </w:lvl>
  </w:abstractNum>
  <w:abstractNum w:abstractNumId="36">
    <w:nsid w:val="6A2342EC"/>
    <w:multiLevelType w:val="hybridMultilevel"/>
    <w:lvl w:ilvl="0">
      <w:lvlJc w:val="left"/>
      <w:lvlText w:val="2"/>
      <w:numFmt w:val="bullet"/>
      <w:start w:val="1"/>
    </w:lvl>
  </w:abstractNum>
  <w:abstractNum w:abstractNumId="37">
    <w:nsid w:val="2A487CB0"/>
    <w:multiLevelType w:val="hybridMultilevel"/>
    <w:lvl w:ilvl="0">
      <w:lvlJc w:val="left"/>
      <w:lvlText w:val="3"/>
      <w:numFmt w:val="bullet"/>
      <w:start w:val="1"/>
    </w:lvl>
  </w:abstractNum>
  <w:abstractNum w:abstractNumId="38">
    <w:nsid w:val="1D4ED43B"/>
    <w:multiLevelType w:val="hybridMultilevel"/>
    <w:lvl w:ilvl="0">
      <w:lvlJc w:val="left"/>
      <w:lvlText w:val="4"/>
      <w:numFmt w:val="bullet"/>
      <w:start w:val="1"/>
    </w:lvl>
  </w:abstractNum>
  <w:abstractNum w:abstractNumId="39">
    <w:nsid w:val="725A06FB"/>
    <w:multiLevelType w:val="hybridMultilevel"/>
    <w:lvl w:ilvl="0">
      <w:lvlJc w:val="left"/>
      <w:lvlText w:val="5"/>
      <w:numFmt w:val="bullet"/>
      <w:start w:val="1"/>
    </w:lvl>
  </w:abstractNum>
  <w:abstractNum w:abstractNumId="40">
    <w:nsid w:val="2CD89A32"/>
    <w:multiLevelType w:val="hybridMultilevel"/>
    <w:lvl w:ilvl="0">
      <w:lvlJc w:val="left"/>
      <w:lvlText w:val="6"/>
      <w:numFmt w:val="bullet"/>
      <w:start w:val="1"/>
    </w:lvl>
  </w:abstractNum>
  <w:abstractNum w:abstractNumId="41">
    <w:nsid w:val="57E4CCAF"/>
    <w:multiLevelType w:val="hybridMultilevel"/>
    <w:lvl w:ilvl="0">
      <w:lvlJc w:val="left"/>
      <w:lvlText w:val="%1"/>
      <w:numFmt w:val="decimal"/>
      <w:start w:val="11"/>
    </w:lvl>
  </w:abstractNum>
  <w:abstractNum w:abstractNumId="42">
    <w:nsid w:val="7A6D8D3C"/>
    <w:multiLevelType w:val="hybridMultilevel"/>
    <w:lvl w:ilvl="0">
      <w:lvlJc w:val="left"/>
      <w:lvlText w:val="%1"/>
      <w:numFmt w:val="decimal"/>
      <w:start w:val="13"/>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lowerLetter"/>
      <w:start w:val="3"/>
    </w:lvl>
  </w:abstractNum>
  <w:abstractNum w:abstractNumId="45">
    <w:nsid w:val="6DE91B18"/>
    <w:multiLevelType w:val="hybridMultilevel"/>
    <w:lvl w:ilvl="0">
      <w:lvlJc w:val="left"/>
      <w:lvlText w:val="%1."/>
      <w:numFmt w:val="decimal"/>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2019-12-11T09:31:12Z</dcterms:created>
  <dcterms:modified xsi:type="dcterms:W3CDTF">2019-12-11T09:31:12Z</dcterms:modified>
</cp:coreProperties>
</file>