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right="10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230" w:right="559" w:bottom="694"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Pr>
          <w:p>
            <w:pPr>
              <w:jc w:val="right"/>
              <w:ind w:right="8010"/>
              <w:spacing w:after="0"/>
              <w:rPr>
                <w:sz w:val="20"/>
                <w:szCs w:val="20"/>
                <w:color w:val="auto"/>
              </w:rPr>
            </w:pPr>
            <w:r>
              <w:rPr>
                <w:rFonts w:ascii="Arial" w:cs="Arial" w:eastAsia="Arial" w:hAnsi="Arial"/>
                <w:sz w:val="18"/>
                <w:szCs w:val="18"/>
                <w:color w:val="auto"/>
              </w:rPr>
              <w:t>, 2017</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To Our Stockholders: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0"/>
        </w:trPr>
        <w:tc>
          <w:tcPr>
            <w:tcW w:w="9280" w:type="dxa"/>
            <w:vAlign w:val="bottom"/>
          </w:tcPr>
          <w:p>
            <w:pPr>
              <w:ind w:left="460"/>
              <w:spacing w:after="0"/>
              <w:rPr>
                <w:sz w:val="20"/>
                <w:szCs w:val="20"/>
                <w:color w:val="auto"/>
              </w:rPr>
            </w:pPr>
            <w:r>
              <w:rPr>
                <w:rFonts w:ascii="Arial" w:cs="Arial" w:eastAsia="Arial" w:hAnsi="Arial"/>
                <w:sz w:val="18"/>
                <w:szCs w:val="18"/>
                <w:color w:val="auto"/>
                <w:w w:val="93"/>
              </w:rPr>
              <w:t>We are pleased to invite you to attend a Special Meeting of Stockholders of TPG Specialty Lending, Inc. to be held on</w:t>
            </w:r>
          </w:p>
        </w:tc>
        <w:tc>
          <w:tcPr>
            <w:tcW w:w="1340" w:type="dxa"/>
            <w:vAlign w:val="bottom"/>
          </w:tcPr>
          <w:p>
            <w:pPr>
              <w:ind w:left="280"/>
              <w:spacing w:after="0"/>
              <w:rPr>
                <w:sz w:val="20"/>
                <w:szCs w:val="20"/>
                <w:color w:val="auto"/>
              </w:rPr>
            </w:pPr>
            <w:r>
              <w:rPr>
                <w:rFonts w:ascii="Arial" w:cs="Arial" w:eastAsia="Arial" w:hAnsi="Arial"/>
                <w:sz w:val="18"/>
                <w:szCs w:val="18"/>
                <w:color w:val="auto"/>
              </w:rPr>
              <w:t>, 2017, at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local time, at the offices of TPG, 345 California Street, Suite 3300, San Francisco, CA 94104.</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without limitation, that the number of shares issued does not exceed 25% of its then-outstanding common stock immediately prior to each such offering).</w:t>
      </w:r>
    </w:p>
    <w:p>
      <w:pPr>
        <w:spacing w:after="0" w:line="173"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jc w:val="right"/>
        <w:ind w:right="10260"/>
        <w:spacing w:after="0"/>
        <w:rPr>
          <w:sz w:val="20"/>
          <w:szCs w:val="20"/>
          <w:color w:val="auto"/>
        </w:rPr>
      </w:pPr>
      <w:r>
        <w:rPr>
          <w:rFonts w:ascii="Arial" w:cs="Arial" w:eastAsia="Arial" w:hAnsi="Arial"/>
          <w:sz w:val="17"/>
          <w:szCs w:val="17"/>
          <w:color w:val="auto"/>
        </w:rPr>
        <w:t>Fort Worth, TX</w:t>
      </w:r>
    </w:p>
    <w:p>
      <w:pPr>
        <w:spacing w:after="0" w:line="35" w:lineRule="exact"/>
        <w:rPr>
          <w:sz w:val="20"/>
          <w:szCs w:val="20"/>
          <w:color w:val="auto"/>
        </w:rPr>
      </w:pPr>
    </w:p>
    <w:p>
      <w:pPr>
        <w:jc w:val="right"/>
        <w:ind w:right="10200"/>
        <w:spacing w:after="0"/>
        <w:rPr>
          <w:sz w:val="20"/>
          <w:szCs w:val="20"/>
          <w:color w:val="auto"/>
        </w:rPr>
      </w:pPr>
      <w:r>
        <w:rPr>
          <w:rFonts w:ascii="Arial" w:cs="Arial" w:eastAsia="Arial" w:hAnsi="Arial"/>
          <w:sz w:val="18"/>
          <w:szCs w:val="18"/>
          <w:color w:val="auto"/>
        </w:rPr>
        <w:t>, 2017</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4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4"/>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w w:val="94"/>
              </w:rPr>
              <w:t>Important Notice Regarding the Availability of Proxy Material for the Special Meeting of Stockholders to Be Held on</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r>
        <w:trPr>
          <w:trHeight w:val="432"/>
        </w:trPr>
        <w:tc>
          <w:tcPr>
            <w:tcW w:w="3840" w:type="dxa"/>
            <w:vAlign w:val="bottom"/>
            <w:gridSpan w:val="2"/>
          </w:tcPr>
          <w:p>
            <w:pPr>
              <w:ind w:left="460"/>
              <w:spacing w:after="0"/>
              <w:rPr>
                <w:sz w:val="20"/>
                <w:szCs w:val="20"/>
                <w:color w:val="auto"/>
              </w:rPr>
            </w:pPr>
            <w:r>
              <w:rPr>
                <w:rFonts w:ascii="Arial" w:cs="Arial" w:eastAsia="Arial" w:hAnsi="Arial"/>
                <w:sz w:val="18"/>
                <w:szCs w:val="18"/>
                <w:color w:val="auto"/>
              </w:rPr>
              <w:t>Our proxy statement is available online at</w:t>
            </w:r>
          </w:p>
        </w:tc>
        <w:tc>
          <w:tcPr>
            <w:tcW w:w="5440" w:type="dxa"/>
            <w:vAlign w:val="bottom"/>
          </w:tcPr>
          <w:p>
            <w:pPr>
              <w:jc w:val="right"/>
              <w:ind w:right="49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980"/>
          </w:cols>
          <w:pgMar w:left="240" w:top="446"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IS HEREBY GIVEN that a Special Meeting of Stockholders of TPG Specialty Lending, Inc. will be held at the offices of TPG, 345</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California Street, Suite 3300, San Francisco, CA 94104 on , 2017, at , local time. The Special Meeting of Stockholders is being held for the following purpose:</w:t>
      </w:r>
    </w:p>
    <w:p>
      <w:pPr>
        <w:spacing w:after="0" w:line="76" w:lineRule="exact"/>
        <w:rPr>
          <w:sz w:val="20"/>
          <w:szCs w:val="20"/>
          <w:color w:val="auto"/>
        </w:rPr>
      </w:pPr>
    </w:p>
    <w:p>
      <w:pPr>
        <w:jc w:val="both"/>
        <w:ind w:left="460" w:right="60" w:firstLine="443"/>
        <w:spacing w:after="0" w:line="259" w:lineRule="auto"/>
        <w:tabs>
          <w:tab w:leader="none" w:pos="10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without limitation, that the number of shares issued does not exceed 25% of its then-outstanding common stock immediately prior to each such offering).</w:t>
      </w:r>
    </w:p>
    <w:p>
      <w:pPr>
        <w:sectPr>
          <w:pgSz w:w="11900" w:h="16838" w:orient="portrait"/>
          <w:cols w:equalWidth="0" w:num="1">
            <w:col w:w="11400"/>
          </w:cols>
          <w:pgMar w:left="240" w:top="459" w:right="259" w:bottom="1440" w:gutter="0" w:footer="0" w:header="0"/>
        </w:sectPr>
      </w:pPr>
    </w:p>
    <w:p>
      <w:pPr>
        <w:spacing w:after="0" w:line="18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Only stockholders of record at the close of business on or any postponement or adjournment thereof.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2017, are entitled to notice of and to vote at the Special Meeting of Stockholders</w:t>
      </w:r>
    </w:p>
    <w:p>
      <w:pPr>
        <w:spacing w:after="0" w:line="464" w:lineRule="exact"/>
        <w:rPr>
          <w:sz w:val="20"/>
          <w:szCs w:val="20"/>
          <w:color w:val="auto"/>
        </w:rPr>
      </w:pPr>
    </w:p>
    <w:p>
      <w:pPr>
        <w:sectPr>
          <w:pgSz w:w="11900" w:h="16838" w:orient="portrait"/>
          <w:cols w:equalWidth="0" w:num="2">
            <w:col w:w="4640" w:space="720"/>
            <w:col w:w="6040"/>
          </w:cols>
          <w:pgMar w:left="240" w:top="459" w:right="259" w:bottom="1440" w:gutter="0" w:footer="0" w:header="0"/>
          <w:type w:val="continuous"/>
        </w:sectPr>
      </w:pPr>
    </w:p>
    <w:p>
      <w:pPr>
        <w:ind w:right="60" w:firstLine="456"/>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Since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8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211" w:lineRule="exact"/>
        <w:rPr>
          <w:sz w:val="20"/>
          <w:szCs w:val="20"/>
          <w:color w:val="auto"/>
        </w:rPr>
      </w:pPr>
    </w:p>
    <w:p>
      <w:pPr>
        <w:jc w:val="right"/>
        <w:ind w:right="10280"/>
        <w:spacing w:after="0"/>
        <w:rPr>
          <w:sz w:val="20"/>
          <w:szCs w:val="20"/>
          <w:color w:val="auto"/>
        </w:rPr>
      </w:pPr>
      <w:r>
        <w:rPr>
          <w:rFonts w:ascii="Arial" w:cs="Arial" w:eastAsia="Arial" w:hAnsi="Arial"/>
          <w:sz w:val="17"/>
          <w:szCs w:val="17"/>
          <w:color w:val="auto"/>
        </w:rPr>
        <w:t>Fort Worth, TX</w:t>
      </w:r>
    </w:p>
    <w:p>
      <w:pPr>
        <w:spacing w:after="0" w:line="35" w:lineRule="exact"/>
        <w:rPr>
          <w:sz w:val="20"/>
          <w:szCs w:val="20"/>
          <w:color w:val="auto"/>
        </w:rPr>
      </w:pPr>
    </w:p>
    <w:p>
      <w:pPr>
        <w:jc w:val="right"/>
        <w:ind w:right="10220"/>
        <w:spacing w:after="0"/>
        <w:rPr>
          <w:sz w:val="20"/>
          <w:szCs w:val="20"/>
          <w:color w:val="auto"/>
        </w:rPr>
      </w:pPr>
      <w:r>
        <w:rPr>
          <w:rFonts w:ascii="Arial" w:cs="Arial" w:eastAsia="Arial" w:hAnsi="Arial"/>
          <w:sz w:val="18"/>
          <w:szCs w:val="18"/>
          <w:color w:val="auto"/>
        </w:rPr>
        <w:t>, 2017</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9"/>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for a Special Meeting of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Security Ownership of Certain Beneficial Owners and Management</w:t>
              </w:r>
            </w:hyperlink>
          </w:p>
        </w:tc>
        <w:tc>
          <w:tcPr>
            <w:tcW w:w="616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1—Authorization of the Company to Sell or Otherwise Issue Shares of its Common Stock at a Price Below its Then-Current Net Asset</w:t>
              </w:r>
            </w:hyperlink>
          </w:p>
        </w:tc>
        <w:tc>
          <w:tcPr>
            <w:tcW w:w="3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8"/>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Value Per Share in One or More Offerings, in Each Case Subject to the Approval of its Board of Directors and Subject to the Conditions Set Forth</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 this Proposal</w:t>
              </w:r>
            </w:hyperlink>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Other Business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Stockholder Proposals and Nominations for 2018 Annual Meeting of Stockholders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Annual Report</w:t>
              </w:r>
            </w:hyperlink>
          </w:p>
        </w:tc>
        <w:tc>
          <w:tcPr>
            <w:tcW w:w="4860" w:type="dxa"/>
            <w:vAlign w:val="bottom"/>
            <w:tcBorders>
              <w:top w:val="single" w:sz="8" w:color="0000EE"/>
            </w:tcBorders>
            <w:gridSpan w:val="5"/>
          </w:tcPr>
          <w:p>
            <w:pPr>
              <w:spacing w:after="0"/>
              <w:rPr>
                <w:sz w:val="17"/>
                <w:szCs w:val="17"/>
                <w:color w:val="auto"/>
              </w:rPr>
            </w:pPr>
          </w:p>
        </w:tc>
        <w:tc>
          <w:tcPr>
            <w:tcW w:w="51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Householding of Proxy Materials</w:t>
              </w:r>
            </w:hyperlink>
          </w:p>
        </w:tc>
        <w:tc>
          <w:tcPr>
            <w:tcW w:w="8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Privacy Principles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to be held at the offices of TPG, 345 California Street, Suite 3300, San Francisco, CA 94104 on , 2017, at , local time. Only holders of record of our common stock at the close of business on , 2017, which is the record date, will be entitled to vote at the Meeting. At the close of business on the record date, we had shares of common stock outstanding and entitled to vote.</w:t>
      </w:r>
    </w:p>
    <w:p>
      <w:pPr>
        <w:sectPr>
          <w:pgSz w:w="11900" w:h="16838" w:orient="portrait"/>
          <w:cols w:equalWidth="0" w:num="1">
            <w:col w:w="11400"/>
          </w:cols>
          <w:pgMar w:left="240" w:top="459" w:right="259" w:bottom="1440" w:gutter="0" w:footer="0" w:header="0"/>
        </w:sectPr>
      </w:pP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 2017. This proxy statement, including the accompanying form of proxy (collectively, the “Proxy Statement”), will first be made available to stockholders on or about 2017. The Proxy Statement can be accessed online at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86" w:lineRule="exact"/>
        <w:rPr>
          <w:sz w:val="20"/>
          <w:szCs w:val="20"/>
          <w:color w:val="auto"/>
        </w:rPr>
      </w:pPr>
    </w:p>
    <w:p>
      <w:pPr>
        <w:sectPr>
          <w:pgSz w:w="11900" w:h="16838" w:orient="portrait"/>
          <w:cols w:equalWidth="0" w:num="2">
            <w:col w:w="11140" w:space="220"/>
            <w:col w:w="40"/>
          </w:cols>
          <w:pgMar w:left="240" w:top="459" w:right="259" w:bottom="1440" w:gutter="0" w:footer="0" w:header="0"/>
          <w:type w:val="continuous"/>
        </w:sectPr>
      </w:pPr>
    </w:p>
    <w:p>
      <w:pPr>
        <w:ind w:right="40" w:firstLine="456"/>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without limitation,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firstLine="464"/>
        <w:spacing w:after="0" w:line="259"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without limitation, that the number of shares issued does not exceed 25% of its then-outstanding common stock immediately prior to each such offering).</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many, if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 provide instructions to</w:t>
      </w:r>
      <w:r>
        <w:rPr>
          <w:rFonts w:ascii="Arial" w:cs="Arial" w:eastAsia="Arial" w:hAnsi="Arial"/>
          <w:sz w:val="17"/>
          <w:szCs w:val="17"/>
          <w:color w:val="auto"/>
        </w:rPr>
        <w:t xml:space="preserve"> </w:t>
      </w:r>
      <w:r>
        <w:rPr>
          <w:rFonts w:ascii="Arial" w:cs="Arial" w:eastAsia="Arial" w:hAnsi="Arial"/>
          <w:sz w:val="17"/>
          <w:szCs w:val="17"/>
          <w:b w:val="1"/>
          <w:bCs w:val="1"/>
          <w:color w:val="auto"/>
        </w:rPr>
        <w:t>their broker as to how to vote.</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without limitation,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Proposal 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named proxies for the Meeting are Jennifer Gordon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Regarding This Proxy</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and collection of proxies for a fee of approximately $ , plus reimbursement of expenses.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 assist with the distribution</w:t>
      </w:r>
    </w:p>
    <w:p>
      <w:pPr>
        <w:spacing w:after="0" w:line="396" w:lineRule="exact"/>
        <w:rPr>
          <w:sz w:val="20"/>
          <w:szCs w:val="20"/>
          <w:color w:val="auto"/>
        </w:rPr>
      </w:pPr>
    </w:p>
    <w:p>
      <w:pPr>
        <w:sectPr>
          <w:pgSz w:w="11900" w:h="16838" w:orient="portrait"/>
          <w:cols w:equalWidth="0" w:num="2">
            <w:col w:w="8560" w:space="720"/>
            <w:col w:w="21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720" w:hanging="263"/>
        <w:spacing w:after="0" w:line="258" w:lineRule="auto"/>
        <w:rPr>
          <w:sz w:val="20"/>
          <w:szCs w:val="20"/>
          <w:color w:val="auto"/>
        </w:rPr>
      </w:pPr>
      <w:r>
        <w:rPr>
          <w:rFonts w:ascii="Arial" w:cs="Arial" w:eastAsia="Arial" w:hAnsi="Arial"/>
          <w:sz w:val="18"/>
          <w:szCs w:val="18"/>
          <w:color w:val="auto"/>
        </w:rPr>
        <w:t>The Company has engaged the services of</w:t>
      </w:r>
      <w:r>
        <w:rPr>
          <w:sz w:val="20"/>
          <w:szCs w:val="20"/>
          <w:color w:val="auto"/>
        </w:rPr>
        <w:t xml:space="preserve"> </w:t>
      </w:r>
      <w:r>
        <w:rPr>
          <w:rFonts w:ascii="Arial" w:cs="Arial" w:eastAsia="Arial" w:hAnsi="Arial"/>
          <w:sz w:val="18"/>
          <w:szCs w:val="18"/>
          <w:color w:val="auto"/>
        </w:rPr>
        <w:t>to assist in the solicitation of proxies. The Company has estimated that it will pay approximately $ for such services. Please note that may solicit stockholder proxies by telephone on behalf of the Company. They will not attempt to</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influence how you vote your shares, but only ask that you take the time to authorize your proxy. You may also be asked if you would like to vote over the telephone and to have your vote transmitted to the proxy tabulation firm.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new proxy in accordance with applicable law bearing a later date to the Secretary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p>
    <w:p>
      <w:pPr>
        <w:spacing w:after="0" w:line="46"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Floor, New York, NY 10106. You can call us by dialing (212) 601-4753. You can access our proxy materials online at</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w:t>
      </w:r>
    </w:p>
    <w:p>
      <w:pPr>
        <w:ind w:right="220"/>
        <w:spacing w:after="0" w:line="292" w:lineRule="auto"/>
        <w:rPr>
          <w:sz w:val="20"/>
          <w:szCs w:val="20"/>
          <w:color w:val="auto"/>
        </w:rPr>
      </w:pPr>
      <w:r>
        <w:rPr>
          <w:rFonts w:ascii="Arial" w:cs="Arial" w:eastAsia="Arial" w:hAnsi="Arial"/>
          <w:sz w:val="16"/>
          <w:szCs w:val="16"/>
          <w:color w:val="auto"/>
        </w:rPr>
        <w:t>dispose or direct the disposition thereof or has the right to acquire these powers within 60 days. The following table sets forth, as of , 2017,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6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percentage ownership is based on shares of common stock outstanding as of , 2017.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8720" w:type="dxa"/>
            <w:vAlign w:val="bottom"/>
            <w:gridSpan w:val="2"/>
            <w:vMerge w:val="continue"/>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Owned(1)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Owned(1)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6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 (2)</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33,088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16,575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2,150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(14 persons) (3)(4)</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2,861,119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 (5)</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5,800,000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State Teachers Retirement Board of Ohio (6)</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4,357,090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Universities Superannuation Scheme Ltd. (7)</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3,488,476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&amp; Company (8)</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3,487,095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FMR LLC (9)</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3,344,041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40" w:hanging="452"/>
        <w:spacing w:after="0" w:line="26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8,625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14,169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460" w:right="8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ind w:left="460" w:right="1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27, 2017 by Wells Fargo &amp; Company on its own behalf and on behalf of certain subsidiaries. The address of Wells Fargo &amp; Company is 420 Montgomery Street, San Francisco, CA 94163.</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2017 by FMR LLC and Abigail P. Johnson. As of February 14, 2017 FMR LLC had</w:t>
      </w:r>
    </w:p>
    <w:p>
      <w:pPr>
        <w:spacing w:after="0" w:line="32" w:lineRule="exact"/>
        <w:rPr>
          <w:rFonts w:ascii="Arial" w:cs="Arial" w:eastAsia="Arial" w:hAnsi="Arial"/>
          <w:sz w:val="16"/>
          <w:szCs w:val="16"/>
          <w:color w:val="auto"/>
        </w:rPr>
      </w:pPr>
    </w:p>
    <w:p>
      <w:pPr>
        <w:ind w:left="460" w:right="20"/>
        <w:spacing w:after="0" w:line="286" w:lineRule="auto"/>
        <w:rPr>
          <w:rFonts w:ascii="Arial" w:cs="Arial" w:eastAsia="Arial" w:hAnsi="Arial"/>
          <w:sz w:val="16"/>
          <w:szCs w:val="16"/>
          <w:color w:val="auto"/>
        </w:rPr>
      </w:pPr>
      <w:r>
        <w:rPr>
          <w:rFonts w:ascii="Arial" w:cs="Arial" w:eastAsia="Arial" w:hAnsi="Arial"/>
          <w:sz w:val="16"/>
          <w:szCs w:val="16"/>
          <w:color w:val="auto"/>
        </w:rPr>
        <w:t>(i) sole power to vote 123,864 shares and (ii) sole power to dispose of 3,344,041 shares. Abigail P. Johnson had sole power to dispose of 3,344,041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9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1:1 debt-to-equity ratio.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There will be no limit on the percentage below net asset value per share at which shares may be sold by the Company under this proposal. If this proposal is approved, no further authorization from the stockholders will be solicited prior to any such issuance in accordance with the terms of this proposal. If approved, the authorization would be effective for securities issued during a twelve-month period expiring on the anniversary of the date of this Special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29" w:lineRule="exact"/>
        <w:rPr>
          <w:sz w:val="20"/>
          <w:szCs w:val="20"/>
          <w:color w:val="auto"/>
        </w:rPr>
      </w:pPr>
    </w:p>
    <w:p>
      <w:pPr>
        <w:ind w:left="900" w:right="5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286" w:lineRule="auto"/>
        <w:rPr>
          <w:sz w:val="20"/>
          <w:szCs w:val="20"/>
          <w:color w:val="auto"/>
        </w:rPr>
      </w:pPr>
      <w:r>
        <w:rPr>
          <w:rFonts w:ascii="Arial" w:cs="Arial" w:eastAsia="Arial" w:hAnsi="Arial"/>
          <w:sz w:val="17"/>
          <w:szCs w:val="17"/>
          <w:color w:val="auto"/>
        </w:rPr>
        <w:t>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71" w:lineRule="exact"/>
        <w:rPr>
          <w:sz w:val="20"/>
          <w:szCs w:val="20"/>
          <w:color w:val="auto"/>
        </w:rPr>
      </w:pPr>
    </w:p>
    <w:p>
      <w:pPr>
        <w:ind w:left="900" w:right="5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1:1 debt-to-equity ratio. In reaching that conclusion, the Board considered the following potential benefits to the Company’s stockholders: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year ended December 31, 2016 the Company declared total dividends of $1.56 per share of its common stock.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must meet a debt-to-equity ratio of less than 1:1 in order to incur debt or issue senior securities, which requires the Company to finance its investments with at least as much equity as debt and senior securities in the aggregate. In addition, the terms of the Company’s credit facilities also require that it maintain a debt-to-equity ratio of less than 1:1.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Exceeding the 1:1 debt-to-equity ratio could have severe negative consequences for a BDC, including the inability to pay dividends, breach of debt covenants and failure to qualify for tax treatment as a RIC. Although the Company does not currently expect that it will exceed this 1:1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each fiscal quarter during the last three fiscal years since the Company’s IPO and the first quarter of the current fiscal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20" w:type="dxa"/>
            <w:vAlign w:val="bottom"/>
            <w:gridSpan w:val="14"/>
          </w:tcPr>
          <w:p>
            <w:pPr>
              <w:spacing w:after="0"/>
              <w:rPr>
                <w:sz w:val="20"/>
                <w:szCs w:val="20"/>
                <w:color w:val="auto"/>
              </w:rPr>
            </w:pPr>
            <w:r>
              <w:rPr>
                <w:rFonts w:ascii="Arial" w:cs="Arial" w:eastAsia="Arial" w:hAnsi="Arial"/>
                <w:sz w:val="18"/>
                <w:szCs w:val="18"/>
                <w:color w:val="auto"/>
                <w:w w:val="90"/>
              </w:rPr>
              <w:t>year, the NAV of the Company’s common stock, the range of high and low closing sales prices of its common stock as reported on the New York Stock</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5"/>
          </w:tcPr>
          <w:p>
            <w:pPr>
              <w:spacing w:after="0"/>
              <w:rPr>
                <w:sz w:val="20"/>
                <w:szCs w:val="20"/>
                <w:color w:val="auto"/>
              </w:rPr>
            </w:pPr>
            <w:r>
              <w:rPr>
                <w:rFonts w:ascii="Arial" w:cs="Arial" w:eastAsia="Arial" w:hAnsi="Arial"/>
                <w:sz w:val="18"/>
                <w:szCs w:val="18"/>
                <w:color w:val="auto"/>
              </w:rPr>
              <w:t>Exchange (“NYSE”) and the closing sales price as a premium (discount) to NAV. On</w:t>
            </w:r>
          </w:p>
        </w:tc>
        <w:tc>
          <w:tcPr>
            <w:tcW w:w="4700" w:type="dxa"/>
            <w:vAlign w:val="bottom"/>
            <w:gridSpan w:val="11"/>
          </w:tcPr>
          <w:p>
            <w:pPr>
              <w:ind w:left="120"/>
              <w:spacing w:after="0"/>
              <w:rPr>
                <w:sz w:val="20"/>
                <w:szCs w:val="20"/>
                <w:color w:val="auto"/>
              </w:rPr>
            </w:pPr>
            <w:r>
              <w:rPr>
                <w:rFonts w:ascii="Arial" w:cs="Arial" w:eastAsia="Arial" w:hAnsi="Arial"/>
                <w:sz w:val="18"/>
                <w:szCs w:val="18"/>
                <w:color w:val="auto"/>
                <w:w w:val="93"/>
              </w:rPr>
              <w:t>, 2017, the last reported closing sales price of the Company’s</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common stock on the NYSE was $</w:t>
            </w:r>
          </w:p>
        </w:tc>
        <w:tc>
          <w:tcPr>
            <w:tcW w:w="5320" w:type="dxa"/>
            <w:vAlign w:val="bottom"/>
            <w:gridSpan w:val="7"/>
          </w:tcPr>
          <w:p>
            <w:pPr>
              <w:ind w:left="120"/>
              <w:spacing w:after="0"/>
              <w:rPr>
                <w:sz w:val="20"/>
                <w:szCs w:val="20"/>
                <w:color w:val="auto"/>
              </w:rPr>
            </w:pPr>
            <w:r>
              <w:rPr>
                <w:rFonts w:ascii="Arial" w:cs="Arial" w:eastAsia="Arial" w:hAnsi="Arial"/>
                <w:sz w:val="18"/>
                <w:szCs w:val="18"/>
                <w:color w:val="auto"/>
                <w:w w:val="94"/>
              </w:rPr>
              <w:t>per share, which represented a [discount][premium] of approximately</w:t>
            </w:r>
          </w:p>
        </w:tc>
        <w:tc>
          <w:tcPr>
            <w:tcW w:w="2980" w:type="dxa"/>
            <w:vAlign w:val="bottom"/>
            <w:gridSpan w:val="7"/>
          </w:tcPr>
          <w:p>
            <w:pPr>
              <w:jc w:val="right"/>
              <w:ind w:right="300"/>
              <w:spacing w:after="0"/>
              <w:rPr>
                <w:sz w:val="20"/>
                <w:szCs w:val="20"/>
                <w:color w:val="auto"/>
              </w:rPr>
            </w:pPr>
            <w:r>
              <w:rPr>
                <w:rFonts w:ascii="Arial" w:cs="Arial" w:eastAsia="Arial" w:hAnsi="Arial"/>
                <w:sz w:val="18"/>
                <w:szCs w:val="18"/>
                <w:color w:val="auto"/>
              </w:rPr>
              <w:t>% to the NAV reported by the</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Company as of December 31, 2016.</w:t>
            </w: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60" w:type="dxa"/>
            <w:vAlign w:val="bottom"/>
            <w:vMerge w:val="restart"/>
          </w:tcPr>
          <w:p>
            <w:pPr>
              <w:spacing w:after="0"/>
              <w:rPr>
                <w:sz w:val="24"/>
                <w:szCs w:val="2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1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NAV(1)</w:t>
            </w: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5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Value(2)</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Value(2)</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w w:val="95"/>
              </w:rPr>
              <w:t>First Quarter (beginning March 21, 2014)</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$15.51</w:t>
            </w:r>
          </w:p>
        </w:tc>
        <w:tc>
          <w:tcPr>
            <w:tcW w:w="500" w:type="dxa"/>
            <w:vAlign w:val="bottom"/>
          </w:tcPr>
          <w:p>
            <w:pPr>
              <w:spacing w:after="0"/>
              <w:rPr>
                <w:sz w:val="20"/>
                <w:szCs w:val="20"/>
                <w:color w:val="auto"/>
              </w:rPr>
            </w:pPr>
            <w:r>
              <w:rPr>
                <w:rFonts w:ascii="Arial" w:cs="Arial" w:eastAsia="Arial" w:hAnsi="Arial"/>
                <w:sz w:val="18"/>
                <w:szCs w:val="18"/>
                <w:color w:val="auto"/>
                <w:w w:val="87"/>
              </w:rPr>
              <w:t>$16.70</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$15.70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$23.90</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$16.60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$15.66</w:t>
            </w:r>
          </w:p>
        </w:tc>
        <w:tc>
          <w:tcPr>
            <w:tcW w:w="500" w:type="dxa"/>
            <w:vAlign w:val="bottom"/>
          </w:tcPr>
          <w:p>
            <w:pPr>
              <w:spacing w:after="0"/>
              <w:rPr>
                <w:sz w:val="20"/>
                <w:szCs w:val="20"/>
                <w:color w:val="auto"/>
              </w:rPr>
            </w:pPr>
            <w:r>
              <w:rPr>
                <w:rFonts w:ascii="Arial" w:cs="Arial" w:eastAsia="Arial" w:hAnsi="Arial"/>
                <w:sz w:val="18"/>
                <w:szCs w:val="18"/>
                <w:color w:val="auto"/>
                <w:w w:val="87"/>
              </w:rPr>
              <w:t>$22.36</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$16.01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42.8%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$15.53</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$18.00</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2015</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$15.60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$18.54</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$16.34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18"/>
                <w:szCs w:val="18"/>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$15.84</w:t>
            </w:r>
          </w:p>
        </w:tc>
        <w:tc>
          <w:tcPr>
            <w:tcW w:w="500" w:type="dxa"/>
            <w:vAlign w:val="bottom"/>
          </w:tcPr>
          <w:p>
            <w:pPr>
              <w:spacing w:after="0"/>
              <w:rPr>
                <w:sz w:val="20"/>
                <w:szCs w:val="20"/>
                <w:color w:val="auto"/>
              </w:rPr>
            </w:pPr>
            <w:r>
              <w:rPr>
                <w:rFonts w:ascii="Arial" w:cs="Arial" w:eastAsia="Arial" w:hAnsi="Arial"/>
                <w:sz w:val="18"/>
                <w:szCs w:val="18"/>
                <w:color w:val="auto"/>
                <w:w w:val="87"/>
              </w:rPr>
              <w:t>$18.35</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$17.00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$15.62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$18.00</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$16.22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18"/>
                <w:szCs w:val="18"/>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$15.15</w:t>
            </w:r>
          </w:p>
        </w:tc>
        <w:tc>
          <w:tcPr>
            <w:tcW w:w="500" w:type="dxa"/>
            <w:vAlign w:val="bottom"/>
          </w:tcPr>
          <w:p>
            <w:pPr>
              <w:spacing w:after="0"/>
              <w:rPr>
                <w:sz w:val="20"/>
                <w:szCs w:val="20"/>
                <w:color w:val="auto"/>
              </w:rPr>
            </w:pPr>
            <w:r>
              <w:rPr>
                <w:rFonts w:ascii="Arial" w:cs="Arial" w:eastAsia="Arial" w:hAnsi="Arial"/>
                <w:sz w:val="18"/>
                <w:szCs w:val="18"/>
                <w:color w:val="auto"/>
                <w:w w:val="87"/>
              </w:rPr>
              <w:t>$17.65</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$15.97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First Quarter</w:t>
            </w:r>
          </w:p>
        </w:tc>
        <w:tc>
          <w:tcPr>
            <w:tcW w:w="1160" w:type="dxa"/>
            <w:vAlign w:val="bottom"/>
          </w:tcPr>
          <w:p>
            <w:pPr>
              <w:spacing w:after="0"/>
              <w:rPr>
                <w:sz w:val="18"/>
                <w:szCs w:val="18"/>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$15.11</w:t>
            </w:r>
          </w:p>
        </w:tc>
        <w:tc>
          <w:tcPr>
            <w:tcW w:w="500" w:type="dxa"/>
            <w:vAlign w:val="bottom"/>
          </w:tcPr>
          <w:p>
            <w:pPr>
              <w:spacing w:after="0"/>
              <w:rPr>
                <w:sz w:val="20"/>
                <w:szCs w:val="20"/>
                <w:color w:val="auto"/>
              </w:rPr>
            </w:pPr>
            <w:r>
              <w:rPr>
                <w:rFonts w:ascii="Arial" w:cs="Arial" w:eastAsia="Arial" w:hAnsi="Arial"/>
                <w:sz w:val="18"/>
                <w:szCs w:val="18"/>
                <w:color w:val="auto"/>
                <w:w w:val="87"/>
              </w:rPr>
              <w:t>$16.86</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$15.15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$16.74</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$15.97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$15.78</w:t>
            </w:r>
          </w:p>
        </w:tc>
        <w:tc>
          <w:tcPr>
            <w:tcW w:w="500" w:type="dxa"/>
            <w:vAlign w:val="bottom"/>
          </w:tcPr>
          <w:p>
            <w:pPr>
              <w:spacing w:after="0"/>
              <w:rPr>
                <w:sz w:val="20"/>
                <w:szCs w:val="20"/>
                <w:color w:val="auto"/>
              </w:rPr>
            </w:pPr>
            <w:r>
              <w:rPr>
                <w:rFonts w:ascii="Arial" w:cs="Arial" w:eastAsia="Arial" w:hAnsi="Arial"/>
                <w:sz w:val="18"/>
                <w:szCs w:val="18"/>
                <w:color w:val="auto"/>
                <w:w w:val="87"/>
              </w:rPr>
              <w:t>$18.77</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$16.61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6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$15.95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$19.05</w:t>
            </w: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$17.43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2017</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2017)</w:t>
            </w: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5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right="20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 has not yet been calculated for this period. NAV for the first quarter of 2017 will be available with the filing of the Company’s Quarterly Report on Form 10-Q for such quarter, which will be filed on or about May 3,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There will be no limit on the percentage below net asset value per share at which shares may be sold by the Company under this proposal.</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the Company’s common stock at a price less than NAV on three different types of investors:</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examples assume that the issuer has 59.7 million shares outstanding, $1.7 billion in total assets and $0.7 billion in total liabilities (all figures correspond to actual data for the Company as at December 31, 2016). The current net asset value and NAV per share are thus $1.0 billion and $15.95 per share. The examples assume Stockholder A holds 59,716 shares, or 0.10% of shares outstanding, prior to the offering. The chart illustrates the dilutive effect on Stockholder A of (a) an offering of 3.0 million shares of common stock (5% of the outstanding shares) at $15.15 per share after offering expenses and commissions (a 5% discount from NAV per share), (b) an offering of 6.0 million shares of common stock (10% of the outstanding shares) at $14.36 per share after offering expenses and commissions (a 10% discount from NAV per share), (c) an offering of 11.9 million shares of common stock (20% of the outstanding shares) at $12.76 per share after offering expenses and commissions (a 20% discount from NAV per share), and (d) an offering of 14.9 million shares of common stock (25% of the outstanding shares) at $11.96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28"/>
              <w:spacing w:after="0" w:line="119" w:lineRule="exact"/>
              <w:rPr>
                <w:sz w:val="20"/>
                <w:szCs w:val="20"/>
                <w:color w:val="auto"/>
              </w:rPr>
            </w:pPr>
            <w:r>
              <w:rPr>
                <w:rFonts w:ascii="Arial" w:cs="Arial" w:eastAsia="Arial" w:hAnsi="Arial"/>
                <w:sz w:val="13"/>
                <w:szCs w:val="13"/>
                <w:b w:val="1"/>
                <w:bCs w:val="1"/>
                <w:color w:val="auto"/>
              </w:rPr>
              <w:t>20%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Sale</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15.11</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14.36</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59,716,205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62,702,015</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65,687,826</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71,659,446</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74,645,256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952,212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949,953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943,574</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920,503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904,637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Total Investment by Stockholder A (Assumed to be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$15.95 per Share)</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Example 1</w:t>
            </w:r>
          </w:p>
        </w:tc>
        <w:tc>
          <w:tcPr>
            <w:tcW w:w="120" w:type="dxa"/>
            <w:vAlign w:val="bottom"/>
          </w:tcPr>
          <w:p>
            <w:pPr>
              <w:spacing w:after="0"/>
              <w:rPr>
                <w:sz w:val="14"/>
                <w:szCs w:val="14"/>
                <w:color w:val="auto"/>
              </w:rPr>
            </w:pPr>
          </w:p>
        </w:tc>
        <w:tc>
          <w:tcPr>
            <w:tcW w:w="1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3</w:t>
            </w:r>
          </w:p>
        </w:tc>
        <w:tc>
          <w:tcPr>
            <w:tcW w:w="120" w:type="dxa"/>
            <w:vAlign w:val="bottom"/>
          </w:tcPr>
          <w:p>
            <w:pPr>
              <w:spacing w:after="0"/>
              <w:rPr>
                <w:sz w:val="14"/>
                <w:szCs w:val="14"/>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5% Offering at</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10% Offering at</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20% Offering at</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2"/>
              </w:rPr>
              <w:t>5% Discount</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5"/>
              </w:rPr>
              <w:t>10% Discount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20% Discount</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5"/>
              </w:rPr>
              <w:t>25% Discount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Prior to</w:t>
            </w:r>
          </w:p>
        </w:tc>
        <w:tc>
          <w:tcPr>
            <w:tcW w:w="260" w:type="dxa"/>
            <w:vAlign w:val="bottom"/>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9"/>
                <w:szCs w:val="9"/>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Following</w:t>
            </w:r>
          </w:p>
        </w:tc>
        <w:tc>
          <w:tcPr>
            <w:tcW w:w="4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Sale</w:t>
            </w:r>
          </w:p>
        </w:tc>
        <w:tc>
          <w:tcPr>
            <w:tcW w:w="86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Below NAV</w:t>
            </w: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0"/>
        </w:trPr>
        <w:tc>
          <w:tcPr>
            <w:tcW w:w="36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Dilution to Stockholder A (Total Net Asset Value</w:t>
            </w: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Less Total Investment)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(2,259)</w:t>
            </w: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(8,638)</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(31,709)</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(47,574)</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Investment per Share Held by Stockholder A (Assumed 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60"/>
              <w:spacing w:after="0"/>
              <w:rPr>
                <w:sz w:val="20"/>
                <w:szCs w:val="20"/>
                <w:color w:val="auto"/>
              </w:rPr>
            </w:pPr>
            <w:r>
              <w:rPr>
                <w:rFonts w:ascii="Arial" w:cs="Arial" w:eastAsia="Arial" w:hAnsi="Arial"/>
                <w:sz w:val="14"/>
                <w:szCs w:val="14"/>
                <w:color w:val="auto"/>
              </w:rPr>
              <w:t>be $15.95 per Share on 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15.95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15.95</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15.95</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15.95</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15.95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15.41</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15.15</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 (Net Asset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60"/>
              <w:spacing w:after="0"/>
              <w:rPr>
                <w:sz w:val="20"/>
                <w:szCs w:val="20"/>
                <w:color w:val="auto"/>
              </w:rPr>
            </w:pPr>
            <w:r>
              <w:rPr>
                <w:rFonts w:ascii="Arial" w:cs="Arial" w:eastAsia="Arial" w:hAnsi="Arial"/>
                <w:sz w:val="14"/>
                <w:szCs w:val="14"/>
                <w:color w:val="auto"/>
              </w:rPr>
              <w:t>Value per Share Less Investment per Share)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(0.15)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(0.54)</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(0.80)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Divided by Investment per Share)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11.9 million shares) rather than its</w:t>
      </w:r>
    </w:p>
    <w:p>
      <w:pPr>
        <w:ind w:right="120"/>
        <w:spacing w:after="0" w:line="254" w:lineRule="auto"/>
        <w:rPr>
          <w:sz w:val="20"/>
          <w:szCs w:val="20"/>
          <w:color w:val="auto"/>
        </w:rPr>
      </w:pPr>
      <w:r>
        <w:rPr>
          <w:rFonts w:ascii="Arial" w:cs="Arial" w:eastAsia="Arial" w:hAnsi="Arial"/>
          <w:sz w:val="18"/>
          <w:szCs w:val="18"/>
          <w:color w:val="auto"/>
        </w:rPr>
        <w:t>0.10% proportionate share and (b) 150% of such percentage (i.e., 0.15% of an offering of 11.9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Prior 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7"/>
              </w:rPr>
              <w:t>Following</w:t>
            </w:r>
          </w:p>
        </w:tc>
        <w:tc>
          <w:tcPr>
            <w:tcW w:w="46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Sale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Below NAV</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13.43</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13.43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12.76</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59,716,205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71,659,446</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71,659,446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Asset Value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15.41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15.41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Dilution/Accretion to Participating Stockholder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65,688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77,631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952,212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1,012,554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1,196,655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 $15.95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 on Shares Held Prior to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952,212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1,032,420</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1,192,837</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 Asset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Arial" w:cs="Arial" w:eastAsia="Arial" w:hAnsi="Arial"/>
                <w:sz w:val="18"/>
                <w:szCs w:val="18"/>
                <w:color w:val="auto"/>
              </w:rPr>
              <w:t>Value Less Total Investment)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(19,866)</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3,818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 to be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$15.95 per Share on Shares Held Prior to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15.41</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 Asset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Value per Share Less Investment per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 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the Company’s common stock below NAV, but whose investment per share is greater than the resulting NAV due to selling compensation and expenses paid by the Company, will experience an immediate decrease, although small, in the net asset value of their shares and their NAV compared to the price they pay for their shares. Investors who are not currently stockholders and who participate in an offering of shares of the Company’s common stock below NAV and whose investment per share is also less than the resulting NAV due to selling compensation and expenses paid by the Company being significantly less than the discount per share, will experience an immediate increase in the net asset value of their shares and their NAV compared to the price they pay for their shares.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These investors will experience a disproportionately greater participation in the Company’s earnings and assets and their voting power than the Company’s increase in assets, potential earning power and voting interests due to such offering. These investors will, however, be subject to the risk that the Company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This decrease could be more pronounced as the size of the offering and level of discounts increases. There is no maximum level of discount from NAV at which the Company may sell shares pursuant to this authority.</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28"/>
              <w:spacing w:after="0" w:line="119" w:lineRule="exact"/>
              <w:rPr>
                <w:sz w:val="20"/>
                <w:szCs w:val="20"/>
                <w:color w:val="auto"/>
              </w:rPr>
            </w:pPr>
            <w:r>
              <w:rPr>
                <w:rFonts w:ascii="Arial" w:cs="Arial" w:eastAsia="Arial" w:hAnsi="Arial"/>
                <w:sz w:val="13"/>
                <w:szCs w:val="13"/>
                <w:b w:val="1"/>
                <w:bCs w:val="1"/>
                <w:color w:val="auto"/>
              </w:rPr>
              <w:t>20% Offering at</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Prior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0"/>
                <w:szCs w:val="10"/>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0"/>
                <w:szCs w:val="10"/>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Sale</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3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14.36</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59,716,205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62,702,015</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65,687,826</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71,659,446</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74,645,256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15.91</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15.80</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15.41</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Shares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2,986</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5,972</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11,943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14,929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47,498</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94,358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184,101</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226,160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by Investor A (At Price to Public)</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47,624</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90,234</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160,417</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187,988</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80" w:type="dxa"/>
            <w:vAlign w:val="bottom"/>
          </w:tcPr>
          <w:p>
            <w:pPr>
              <w:spacing w:after="0" w:line="130" w:lineRule="exact"/>
              <w:rPr>
                <w:sz w:val="20"/>
                <w:szCs w:val="20"/>
                <w:color w:val="auto"/>
              </w:rPr>
            </w:pPr>
            <w:r>
              <w:rPr>
                <w:rFonts w:ascii="Arial" w:cs="Arial" w:eastAsia="Arial" w:hAnsi="Arial"/>
                <w:sz w:val="14"/>
                <w:szCs w:val="14"/>
                <w:color w:val="auto"/>
              </w:rPr>
              <w:t>Total Dilution/Accretion to Investor A (Total Net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Asset Value Less Total 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(126)</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4,123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23,685</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38,172</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15.11</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13.43</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12.59</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Net Asset Value per Share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15.91</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15.41</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Dilution/Accretion per Share Held by Investor A (Net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Asset Value per Share Less Investment 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0.69</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1.98</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2.56</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80" w:type="dxa"/>
            <w:vAlign w:val="bottom"/>
          </w:tcPr>
          <w:p>
            <w:pPr>
              <w:spacing w:after="0" w:line="130" w:lineRule="exact"/>
              <w:rPr>
                <w:sz w:val="20"/>
                <w:szCs w:val="20"/>
                <w:color w:val="auto"/>
              </w:rPr>
            </w:pPr>
            <w:r>
              <w:rPr>
                <w:rFonts w:ascii="Arial" w:cs="Arial" w:eastAsia="Arial" w:hAnsi="Arial"/>
                <w:sz w:val="14"/>
                <w:szCs w:val="14"/>
                <w:color w:val="auto"/>
                <w:w w:val="98"/>
              </w:rPr>
              <w:t>Percentage Dilution/Accretion to Investor A (Dilution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180" w:type="dxa"/>
            <w:vAlign w:val="bottom"/>
          </w:tcPr>
          <w:p>
            <w:pPr>
              <w:ind w:left="160"/>
              <w:spacing w:after="0"/>
              <w:rPr>
                <w:sz w:val="20"/>
                <w:szCs w:val="20"/>
                <w:color w:val="auto"/>
              </w:rPr>
            </w:pPr>
            <w:r>
              <w:rPr>
                <w:rFonts w:ascii="Arial" w:cs="Arial" w:eastAsia="Arial" w:hAnsi="Arial"/>
                <w:sz w:val="14"/>
                <w:szCs w:val="14"/>
                <w:color w:val="auto"/>
              </w:rPr>
              <w:t>per Share Divided by Investment per Share)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52" w:lineRule="exact"/>
        <w:rPr>
          <w:sz w:val="20"/>
          <w:szCs w:val="20"/>
          <w:color w:val="auto"/>
        </w:rPr>
      </w:pPr>
    </w:p>
    <w:p>
      <w:pPr>
        <w:ind w:left="900" w:right="3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without limitation, that the number of shares issued does not exceed 25% of its then-outstanding common stock immediately prior to each such offering).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2018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proposal of a stockholder intended to be included in our proxy statement and form of proxy/voting instruction card for the 2018 annual meeting of</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stockholders pursuant to Rule 14a-8 of the SEC’s rules must be received by us at our principal executive offices no later than , 2017.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2018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require that the proposal or recommendation for nomination must be received by our Secretary at our principal executive offices at the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above address no later than , 2018, unless the date of our 2018 annual meeting is more than 30 days before or more than 60 days after , 2018, the anniversary of our 2017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2016 to any stockholder upon request. Requests should be directed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63"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and Proxy Statement is available</w:t>
      </w:r>
    </w:p>
    <w:p>
      <w:pPr>
        <w:spacing w:after="0" w:line="2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ind w:left="5300"/>
        <w:spacing w:after="0"/>
        <w:tabs>
          <w:tab w:leader="none" w:pos="6280" w:val="left"/>
        </w:tabs>
        <w:rPr>
          <w:sz w:val="20"/>
          <w:szCs w:val="20"/>
          <w:color w:val="auto"/>
        </w:rPr>
      </w:pPr>
      <w:r>
        <w:rPr>
          <w:rFonts w:ascii="Arial" w:cs="Arial" w:eastAsia="Arial" w:hAnsi="Arial"/>
          <w:sz w:val="18"/>
          <w:szCs w:val="18"/>
          <w:b w:val="1"/>
          <w:bCs w:val="1"/>
          <w:color w:val="auto"/>
        </w:rPr>
        <w:t>, 2017</w:t>
      </w:r>
      <w:r>
        <w:rPr>
          <w:sz w:val="20"/>
          <w:szCs w:val="20"/>
          <w:color w:val="auto"/>
        </w:rPr>
        <w:tab/>
      </w:r>
      <w:r>
        <w:rPr>
          <w:rFonts w:ascii="Arial" w:cs="Arial" w:eastAsia="Arial" w:hAnsi="Arial"/>
          <w:sz w:val="18"/>
          <w:szCs w:val="18"/>
          <w:b w:val="1"/>
          <w:bCs w:val="1"/>
          <w:color w:val="auto"/>
        </w:rPr>
        <w:t>PDT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stockholders hereby appoint Jennifer Gordon and David Stiepleman, or either of them, as proxies, each with the power to appoint his or her substitute, and hereby authorize them to represent and to vote, as designated on the reverse side of this ballot, all of the shares of common stock of TPG SPECIALTY</w:t>
      </w:r>
    </w:p>
    <w:p>
      <w:pPr>
        <w:ind w:right="300"/>
        <w:spacing w:after="0" w:line="261" w:lineRule="auto"/>
        <w:rPr>
          <w:sz w:val="20"/>
          <w:szCs w:val="20"/>
          <w:color w:val="auto"/>
        </w:rPr>
      </w:pPr>
      <w:r>
        <w:rPr>
          <w:rFonts w:ascii="Arial" w:cs="Arial" w:eastAsia="Arial" w:hAnsi="Arial"/>
          <w:sz w:val="18"/>
          <w:szCs w:val="18"/>
          <w:color w:val="auto"/>
        </w:rPr>
        <w:t>LENDING, INC. that the stockholders are entitled to vote at a Special Meeting of stockholders to be held at PDT on , 2017 at the offices of TPG, 345 California Street, Suite 3300, San Francisco, CA 94104, and any adjournment or postponement thereof.</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spacing w:after="0"/>
        <w:tabs>
          <w:tab w:leader="none" w:pos="8880" w:val="left"/>
        </w:tabs>
        <w:rPr>
          <w:sz w:val="20"/>
          <w:szCs w:val="20"/>
          <w:color w:val="auto"/>
        </w:rPr>
      </w:pPr>
      <w:r>
        <w:rPr>
          <w:rFonts w:ascii="Arial" w:cs="Arial" w:eastAsia="Arial" w:hAnsi="Arial"/>
          <w:sz w:val="18"/>
          <w:szCs w:val="18"/>
          <w:color w:val="auto"/>
        </w:rPr>
        <w:t>Mark, sign and date your proxy card and return it in the postage-paid envelope we have provided or return it to</w:t>
      </w:r>
      <w:r>
        <w:rPr>
          <w:sz w:val="20"/>
          <w:szCs w:val="20"/>
          <w:color w:val="auto"/>
        </w:rPr>
        <w:tab/>
      </w:r>
      <w:r>
        <w:rPr>
          <w:rFonts w:ascii="Arial" w:cs="Arial" w:eastAsia="Arial" w:hAnsi="Arial"/>
          <w:sz w:val="14"/>
          <w:szCs w:val="14"/>
          <w:color w:val="auto"/>
        </w:rPr>
        <w:t>.</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TPG SPECIALTY LENDING,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00" w:right="32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firstLine="45"/>
        <w:spacing w:after="0" w:line="342"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540" w:val="left"/>
          <w:tab w:leader="none" w:pos="168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40" w:val="left"/>
          <w:tab w:leader="none" w:pos="16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83" w:lineRule="exact"/>
        <w:rPr>
          <w:sz w:val="20"/>
          <w:szCs w:val="20"/>
          <w:color w:val="auto"/>
        </w:rPr>
      </w:pPr>
    </w:p>
    <w:p>
      <w:pPr>
        <w:sectPr>
          <w:pgSz w:w="11900" w:h="16838" w:orient="portrait"/>
          <w:cols w:equalWidth="0" w:num="2">
            <w:col w:w="8460" w:space="40"/>
            <w:col w:w="2920"/>
          </w:cols>
          <w:pgMar w:left="240" w:top="459" w:right="239" w:bottom="1440" w:gutter="0" w:footer="0" w:header="0"/>
        </w:sectPr>
      </w:pPr>
    </w:p>
    <w:p>
      <w:pPr>
        <w:ind w:right="4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spacing w:after="0"/>
        <w:tabs>
          <w:tab w:leader="none" w:pos="8480" w:val="left"/>
          <w:tab w:leader="none" w:pos="904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500"/>
        <w:spacing w:after="0" w:line="181" w:lineRule="exact"/>
        <w:tabs>
          <w:tab w:leader="none" w:pos="9040" w:val="left"/>
        </w:tabs>
        <w:rPr>
          <w:sz w:val="20"/>
          <w:szCs w:val="20"/>
          <w:color w:val="auto"/>
        </w:rPr>
      </w:pPr>
      <w:r>
        <w:rPr>
          <w:rFonts w:ascii="MS PGothic" w:cs="MS PGothic" w:eastAsia="MS PGothic" w:hAnsi="MS PGothic"/>
          <w:sz w:val="18"/>
          <w:szCs w:val="18"/>
          <w:color w:val="auto"/>
        </w:rPr>
        <w:t>☐</w:t>
        <w:tab/>
        <w:t>☐</w:t>
      </w:r>
    </w:p>
    <w:p>
      <w:pPr>
        <w:spacing w:after="0" w:line="1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243205</wp:posOffset>
            </wp:positionV>
            <wp:extent cx="6226175" cy="2470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22617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 (File No. 001-36364)</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Preliminary Proxy Statement on Schedule 14A filed on March 17,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17, 2017,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on EDGAR a preliminary proxy statement on Schedule 14A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The Proxy Statement relates to the Company’s special meeting of stockholders scheduled to take place on May 18, 2017, at which the Company’s stockholders will be asked to approve a proposal to authorize the Company to sell or otherwise issue shares of its common stock at a price below its then-current net asset value per share in one or more offerings, in each case subject to the approval of its board of directors and subject to certain conditions set forth in the proxy statement. The Company currently anticipates releasing the definitive proxy statement to stockholders on or about April 7, 2017.</w:t>
      </w:r>
    </w:p>
    <w:p>
      <w:pPr>
        <w:spacing w:after="0" w:line="193"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If you have any questions or comments regarding the Proxy Statement, please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460" w:right="9680" w:hanging="452"/>
        <w:spacing w:after="0" w:line="291" w:lineRule="auto"/>
        <w:tabs>
          <w:tab w:leader="none" w:pos="4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David Stiepleman Jennifer Gordon</w:t>
      </w:r>
    </w:p>
    <w:p>
      <w:pPr>
        <w:ind w:left="92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10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Helena K. Grannis</w:t>
      </w:r>
    </w:p>
    <w:p>
      <w:pPr>
        <w:spacing w:after="0" w:line="2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100330</wp:posOffset>
            </wp:positionV>
            <wp:extent cx="385889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58895" cy="14605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2)"/>
      <w:numFmt w:val="decimal"/>
      <w:start w:val="1"/>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2019-12-07T14:31:42Z</dcterms:created>
  <dcterms:modified xsi:type="dcterms:W3CDTF">2019-12-07T14:31:42Z</dcterms:modified>
</cp:coreProperties>
</file>