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600" w:hanging="592"/>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TICC CAPITAL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20" w:hanging="412"/>
        <w:spacing w:after="0"/>
        <w:tabs>
          <w:tab w:leader="none" w:pos="4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117" w:lineRule="exact"/>
        <w:rPr>
          <w:sz w:val="24"/>
          <w:szCs w:val="24"/>
          <w:color w:val="auto"/>
        </w:rPr>
      </w:pPr>
    </w:p>
    <w:p>
      <w:pPr>
        <w:ind w:left="420" w:hanging="412"/>
        <w:spacing w:after="0"/>
        <w:tabs>
          <w:tab w:leader="none" w:pos="4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747"/>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160" w:hanging="747"/>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160" w:hanging="747"/>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1160" w:hanging="747"/>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160" w:hanging="747"/>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20" w:hanging="412"/>
        <w:spacing w:after="0"/>
        <w:tabs>
          <w:tab w:leader="none" w:pos="4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20" w:right="1740" w:hanging="412"/>
        <w:spacing w:after="0" w:line="264" w:lineRule="auto"/>
        <w:tabs>
          <w:tab w:leader="none" w:pos="4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6" w:lineRule="exact"/>
        <w:rPr>
          <w:rFonts w:ascii="MS PGothic" w:cs="MS PGothic" w:eastAsia="MS PGothic" w:hAnsi="MS PGothic"/>
          <w:sz w:val="18"/>
          <w:szCs w:val="18"/>
          <w:color w:val="auto"/>
        </w:rPr>
      </w:pPr>
    </w:p>
    <w:p>
      <w:pPr>
        <w:ind w:left="1160" w:hanging="681"/>
        <w:spacing w:after="0"/>
        <w:tabs>
          <w:tab w:leader="none" w:pos="1160" w:val="left"/>
        </w:tabs>
        <w:numPr>
          <w:ilvl w:val="2"/>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60" w:lineRule="exact"/>
        <w:rPr>
          <w:rFonts w:ascii="Arial" w:cs="Arial" w:eastAsia="Arial" w:hAnsi="Arial"/>
          <w:sz w:val="18"/>
          <w:szCs w:val="18"/>
          <w:color w:val="auto"/>
        </w:rPr>
      </w:pPr>
    </w:p>
    <w:p>
      <w:pPr>
        <w:ind w:left="1160" w:hanging="681"/>
        <w:spacing w:after="0"/>
        <w:tabs>
          <w:tab w:leader="none" w:pos="1160" w:val="left"/>
        </w:tabs>
        <w:numPr>
          <w:ilvl w:val="2"/>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0" w:lineRule="exact"/>
        <w:rPr>
          <w:rFonts w:ascii="Arial" w:cs="Arial" w:eastAsia="Arial" w:hAnsi="Arial"/>
          <w:sz w:val="18"/>
          <w:szCs w:val="18"/>
          <w:color w:val="auto"/>
        </w:rPr>
      </w:pPr>
    </w:p>
    <w:p>
      <w:pPr>
        <w:ind w:left="1160" w:hanging="681"/>
        <w:spacing w:after="0"/>
        <w:tabs>
          <w:tab w:leader="none" w:pos="1160" w:val="left"/>
        </w:tabs>
        <w:numPr>
          <w:ilvl w:val="2"/>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0" w:lineRule="exact"/>
        <w:rPr>
          <w:rFonts w:ascii="Arial" w:cs="Arial" w:eastAsia="Arial" w:hAnsi="Arial"/>
          <w:sz w:val="18"/>
          <w:szCs w:val="18"/>
          <w:color w:val="auto"/>
        </w:rPr>
      </w:pPr>
    </w:p>
    <w:p>
      <w:pPr>
        <w:ind w:left="1160" w:hanging="681"/>
        <w:spacing w:after="0"/>
        <w:tabs>
          <w:tab w:leader="none" w:pos="1160" w:val="left"/>
        </w:tabs>
        <w:numPr>
          <w:ilvl w:val="2"/>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742315</wp:posOffset>
            </wp:positionH>
            <wp:positionV relativeFrom="paragraph">
              <wp:posOffset>-4049395</wp:posOffset>
            </wp:positionV>
            <wp:extent cx="6508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-3620770</wp:posOffset>
            </wp:positionV>
            <wp:extent cx="6508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-3054350</wp:posOffset>
            </wp:positionV>
            <wp:extent cx="6508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-2625725</wp:posOffset>
            </wp:positionV>
            <wp:extent cx="6508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-2197100</wp:posOffset>
            </wp:positionV>
            <wp:extent cx="6508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-1219200</wp:posOffset>
            </wp:positionV>
            <wp:extent cx="6508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-859155</wp:posOffset>
            </wp:positionV>
            <wp:extent cx="6508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-499110</wp:posOffset>
            </wp:positionV>
            <wp:extent cx="6508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-139065</wp:posOffset>
            </wp:positionV>
            <wp:extent cx="6508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220980</wp:posOffset>
            </wp:positionV>
            <wp:extent cx="6508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94"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123190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October 15, 2015, TPG Specialty Lending, Inc. issued the following press release: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Sets the Record Straight on Management Fees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GOLD Will Allow Stockholders to Send a Message to the TICC Board that They Prefer the TSLX Offer</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NEW YORK—(</w:t>
      </w:r>
      <w:r>
        <w:rPr>
          <w:rFonts w:ascii="Arial" w:cs="Arial" w:eastAsia="Arial" w:hAnsi="Arial"/>
          <w:sz w:val="18"/>
          <w:szCs w:val="18"/>
          <w:u w:val="single" w:color="auto"/>
          <w:color w:val="auto"/>
        </w:rPr>
        <w:t>BUSINESS WIRE</w:t>
      </w:r>
      <w:r>
        <w:rPr>
          <w:rFonts w:ascii="Arial" w:cs="Arial" w:eastAsia="Arial" w:hAnsi="Arial"/>
          <w:sz w:val="18"/>
          <w:szCs w:val="18"/>
          <w:color w:val="auto"/>
        </w:rPr>
        <w:t>)—TPG Specialty Lending, Inc. (“TSLX”; NYSE: TSLX), a specialty finance company focused on lending to middle-market companies, today responded to a fundamentally flawed presentation by TICC Capital Corp. (“TICC”; Nasdaq: TICC) issued on October 14 regarding management fees.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Josh Easterly, Chairman and Co-Chief Executive Officer of TSLX stated: “TICC stockholders don’t need management’s ‘teach-in’ session on fees to understand that a discussion of fees without taking into account total stockholder returns is a waste of time. The simple fact is that TICC has collected $127 million in fees since its IPO while delivering results for stockholders below returns delivered by U.S. Treasuries. TICC’s one- and three-year total stockholder returns have been negative, but significant fees have still been collected.</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“TSLX has always outperformed TICC’s return on equity yet TICC’s presentation assumes an equal return on equity for both companies in comparing fees. Not only are TSLX’s fees highly competitive but they fund our active management strategy investing in privately sourced, higher yielding credit opportunities that deliver results that significantly outpace those of TICC and the industry as a whole. In fact, a stockholder looking for the lowest headline fees on assets alone would likely have ended up investing in TICC, and this would have led to the significant value destruction of that investment. To state the obvious, TICC is not an index fund. To achieve superior performance requires superior management not just the lowest possible fees.</w:t>
      </w:r>
    </w:p>
    <w:p>
      <w:pPr>
        <w:spacing w:after="0" w:line="15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“Stockholders care about the results management achieves for the fees it is paid. TSLX delivers those results. After years of dismal performance, it seems TICC’s board has forgotten to think about stockholder results altogether.”</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TSLX also reminds stockholders that changing the external manager as TICC has proposed it is estimated the transaction will generate $60 million in payments to TICC’s current external manager which includes members of TICC’s Board. Furthermore, an independent analyst recently noted that one member of the three person special committee of the TICC Board of Directors is paid $279,000 per year by other businesses related to Mr. Royce, who stands to gain from the $60 million payment. TICC has not refuted this claim or released details about the payment to the external manager.</w:t>
      </w:r>
    </w:p>
    <w:p>
      <w:pPr>
        <w:spacing w:after="0" w:line="17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TSLX also notes that TICC’s recent materials produced by the TICC board states on slide eight of the October presentation for stockholders that maintaining status quo with the existing board and external manager is a negative for stockholders. Stockholders should question why the board, which is required to act in the best interest of stockholders, believes it will be a negative outcome for stockholders to remain in place. Is the board indicating it won’t act to maximize value for stockholders?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TSLX is offering to acquire TICC in a stock-for-stock transaction valuing TICC at $7.50 per share, a 20% premium to TICC’s undisturbed stock price the day before we publicly announced our offer.</w:t>
      </w:r>
      <w:r>
        <w:rPr>
          <w:rFonts w:ascii="Arial" w:cs="Arial" w:eastAsia="Arial" w:hAnsi="Arial"/>
          <w:sz w:val="15"/>
          <w:szCs w:val="15"/>
          <w:color w:val="auto"/>
        </w:rPr>
        <w:t>1</w:t>
      </w:r>
      <w:r>
        <w:rPr>
          <w:rFonts w:ascii="Arial" w:cs="Arial" w:eastAsia="Arial" w:hAnsi="Arial"/>
          <w:sz w:val="18"/>
          <w:szCs w:val="18"/>
          <w:color w:val="auto"/>
        </w:rPr>
        <w:t xml:space="preserve"> TSLX urges stockholders to vote the GOLD proxy card AGAINST management proposals at the upcoming special meeting of TICC stockholders on October 27, 2015. For more information about voting and TSLX’s proposal, TSLX stockholders should visit </w:t>
      </w:r>
      <w:r>
        <w:rPr>
          <w:rFonts w:ascii="Arial" w:cs="Arial" w:eastAsia="Arial" w:hAnsi="Arial"/>
          <w:sz w:val="18"/>
          <w:szCs w:val="18"/>
          <w:u w:val="single" w:color="auto"/>
          <w:color w:val="auto"/>
        </w:rPr>
        <w:t>www.changeTICCnow.com</w:t>
      </w:r>
      <w:r>
        <w:rPr>
          <w:rFonts w:ascii="Arial" w:cs="Arial" w:eastAsia="Arial" w:hAnsi="Arial"/>
          <w:sz w:val="18"/>
          <w:szCs w:val="18"/>
          <w:color w:val="auto"/>
        </w:rPr>
        <w:t>.</w:t>
      </w:r>
    </w:p>
    <w:p>
      <w:pPr>
        <w:spacing w:after="0" w:line="187" w:lineRule="exact"/>
        <w:rPr>
          <w:sz w:val="20"/>
          <w:szCs w:val="20"/>
          <w:color w:val="auto"/>
        </w:rPr>
      </w:pPr>
    </w:p>
    <w:p>
      <w:pPr>
        <w:ind w:right="200" w:firstLine="8"/>
        <w:spacing w:after="0" w:line="277" w:lineRule="auto"/>
        <w:tabs>
          <w:tab w:leader="none" w:pos="121" w:val="left"/>
        </w:tabs>
        <w:numPr>
          <w:ilvl w:val="0"/>
          <w:numId w:val="6"/>
        </w:numPr>
        <w:rPr>
          <w:rFonts w:ascii="Arial" w:cs="Arial" w:eastAsia="Arial" w:hAnsi="Arial"/>
          <w:sz w:val="15"/>
          <w:szCs w:val="15"/>
          <w:color w:val="auto"/>
        </w:rPr>
      </w:pPr>
      <w:r>
        <w:rPr>
          <w:rFonts w:ascii="Arial" w:cs="Arial" w:eastAsia="Arial" w:hAnsi="Arial"/>
          <w:sz w:val="18"/>
          <w:szCs w:val="18"/>
          <w:color w:val="auto"/>
        </w:rPr>
        <w:t>For reference, the TSLX Proposal represents a 12.8% discount to TICC’s NAV as of June 30, 2015, a narrower discount than the price at which the shares have traded since June 30th.</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$12 billion of assets under management, and the broader TPG platform, a global private investment firm with over $74 billion of assets under management. For more information, visit the Company’s website at </w:t>
      </w:r>
      <w:r>
        <w:rPr>
          <w:rFonts w:ascii="Arial" w:cs="Arial" w:eastAsia="Arial" w:hAnsi="Arial"/>
          <w:sz w:val="17"/>
          <w:szCs w:val="17"/>
          <w:u w:val="single" w:color="auto"/>
          <w:color w:val="auto"/>
        </w:rPr>
        <w:t>www.tpgspecialtylending.com</w:t>
      </w:r>
      <w:r>
        <w:rPr>
          <w:rFonts w:ascii="Arial" w:cs="Arial" w:eastAsia="Arial" w:hAnsi="Arial"/>
          <w:sz w:val="17"/>
          <w:szCs w:val="17"/>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Information set forth herein includes forward-looking statements. These forward-looking statements include, but are not limited to, statements regarding TSLX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 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 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 In addition to these factors, other factors that may affect TSLX’s plans, results or stock price are set forth in TSLX’s Annual Report on Form 10-K and in its reports on Forms 10-Q and 8-K. 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ectPr>
          <w:pgSz w:w="11900" w:h="16838" w:orient="portrait"/>
          <w:cols w:equalWidth="0" w:num="1">
            <w:col w:w="11400"/>
          </w:cols>
          <w:pgMar w:left="240" w:top="27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Solicitation Information</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information set forth herein is provided for informational purposes only and does not constitute an offer to purchase or the solicitation of an offer to sell any securities. TSLX has filed with the SEC and mailed to TICC stockholders a definitive proxy statement and accompanying GOLD proxy card to be used to solicit votes at a special meeting of stockholders of TICC scheduled to be held on October 27, 2015 against (a) approval of the new advisory agreement between TICC and TICC Management, LLC (the “Adviser”), to take effect upon a change of control of the Adviser in connection with the entrance of the Adviser into a purchase agreement with an affiliate of Benefit Street Partners L.L.C. (“BSP”), pursuant to which BSP will acquire control of the Adviser,</w:t>
      </w:r>
    </w:p>
    <w:p>
      <w:pPr>
        <w:spacing w:after="0" w:line="2" w:lineRule="exact"/>
        <w:rPr>
          <w:sz w:val="20"/>
          <w:szCs w:val="20"/>
          <w:color w:val="auto"/>
        </w:rPr>
      </w:pPr>
    </w:p>
    <w:p>
      <w:pPr>
        <w:ind w:right="440" w:firstLine="8"/>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six directors nominated by TICC’s board of directors, and (c) the proposal to adjourn the meeting if necessary or appropriate to solicit additional votes.</w:t>
      </w:r>
    </w:p>
    <w:p>
      <w:pPr>
        <w:spacing w:after="0" w:line="1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TSLX STRONGLY ADVISES ALL STOCKHOLDERS OF TICC TO READ THE TSLX PROXY STATEMENT AND ITS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AT TSLX’S WEBSITE</w:t>
      </w:r>
    </w:p>
    <w:p>
      <w:pPr>
        <w:ind w:right="440"/>
        <w:spacing w:after="0" w:line="255"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participant in the solicitation is TSLX and certain of its directors and executive officers may also be deemed to be participants in the solicitation. As of the date hereof, TSLX directly beneficially owned 1,633,660 shares of common stock of TICC.</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Ollwerther, 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bollwerther@tpg.com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Charlie Koons, 212-929-5708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ckoons@mackenziepartners.com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Tom Johnson or Pat Tucker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pct@abmac.com</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2019-12-20T22:09:21Z</dcterms:created>
  <dcterms:modified xsi:type="dcterms:W3CDTF">2019-12-20T22:09:21Z</dcterms:modified>
</cp:coreProperties>
</file>