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1, 2022, the registrant issued a press release announcing its financial results for the quarter ended September 30, 2022.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November 1, 2022, the registrant issued a press release, included herewith as Exhibit 99.1, announcing the declaration of a fourth quarter 2022 base dividend per share of $0.45 to shareholders of record as of December 15, 2022, payable on December 30, 2022.</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0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0000EE"/>
              </w:rPr>
              <w:t>Press Release, dated November 1, 2022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79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00" w:type="dxa"/>
            <w:vAlign w:val="bottom"/>
          </w:tcPr>
          <w:p>
            <w:pPr>
              <w:spacing w:after="0"/>
              <w:rPr>
                <w:sz w:val="20"/>
                <w:szCs w:val="20"/>
                <w:color w:val="auto"/>
              </w:rPr>
            </w:pPr>
          </w:p>
        </w:tc>
        <w:tc>
          <w:tcPr>
            <w:tcW w:w="7540" w:type="dxa"/>
            <w:vAlign w:val="bottom"/>
            <w:gridSpan w:val="2"/>
          </w:tcPr>
          <w:p>
            <w:pPr>
              <w:ind w:left="192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 2022</w:t>
            </w:r>
          </w:p>
        </w:tc>
        <w:tc>
          <w:tcPr>
            <w:tcW w:w="7540" w:type="dxa"/>
            <w:vAlign w:val="bottom"/>
            <w:gridSpan w:val="2"/>
          </w:tcPr>
          <w:p>
            <w:pPr>
              <w:ind w:left="1920"/>
              <w:spacing w:after="0"/>
              <w:rPr>
                <w:sz w:val="20"/>
                <w:szCs w:val="20"/>
                <w:color w:val="auto"/>
              </w:rPr>
            </w:pPr>
            <w:r>
              <w:rPr>
                <w:rFonts w:ascii="Arial" w:cs="Arial" w:eastAsia="Arial" w:hAnsi="Arial"/>
                <w:sz w:val="18"/>
                <w:szCs w:val="18"/>
                <w:color w:val="auto"/>
              </w:rPr>
              <w:t>By: /s/ Ian Simmonds</w:t>
            </w:r>
          </w:p>
        </w:tc>
      </w:tr>
      <w:tr>
        <w:trPr>
          <w:trHeight w:val="195"/>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THIRD QUARTER 2022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Sixth Street Specialty Lending, Inc. Reports Third Quarter Adjusted Net Investment Income Per Share of $0.47 and NAV Per Share of $16.36; Declares a $0.03 Per Share Increase in Fourth Quarter Base Dividend Per Share to $0.45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NEW YORK—November 1, 2022— Sixth Street Specialty Lending, Inc. (NYSE: TSLX, or the “Company”) today reported adjusted net investment income of $0.47 per share and adjusted net income of $0.43 per share for the third quarter ended September 30, 2022. These results correspond to an annualized return on equity (ROE) on adjusted net investment income and adjusted net income of 11.5% and 10.6%,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45720</wp:posOffset>
            </wp:positionV>
            <wp:extent cx="234886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net investment income and net income for the quarter ended September 30, 2022 were $37.2 million, or $0.47 per share, and $34.4 million, or $0.43 per share, respectively. Net investment income in the third quarter was driven by an increase in the core earnings power of the portfolio primarily from higher base rates. The difference between this quarter’s net investment income and net income was unrealized losses primarily from wider credit spreads, and not as a result of material changes in the underlying credit quality of the Company’s investments.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announced that its Board of Directors has declared a $0.03 per share increase to its fourth quarter base dividend per share from $0.42 to $0.45 to shareholders of record as of December 15, 2022, payable on December 30, 2022. The increase reflects the Company’s updated view on forward earnings, which incorporates the anticipated positive impact of the interest rate environment on the Company’s income statement.</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Reported net asset value (NAV) per share was $16.36 at September 30, 2022 as compared to $16.27 at June 30, 2022. The primary driver of this quarter’s NAV per share growth was the accretive impact of issuing shares to settle the majority of the Company’s 2022 convertible notes which matured in August. Spread widening and lower implied equity values during the quarter resulted in approximately $0.05 per share of unrealized losses, thereby partially offsetting the increase in net asset value experienced from the combination of accretion from the notes conversion and earnings above the base dividend level. As of September 30, 2022, 0.01% of the portfolio at fair value was on non-accrual status, which is flat compared to June 30, 2022. No new portfolio companies were added to non-accrual during the quarter.</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 2022, the Company completed an equity issuance of approximately 4.4 million shares in accordance with the settlement of the $100 million principal value of convertible notes that remained outstanding as of June 30, 2022. The conversion election of approximately $79 million principal value of note holders and corresponding equity issuance translated to approximately $0.08 per share of accretion to the Company’s net asset value for the third quarter.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348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$0.47</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$0.47</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1"/>
              </w:rPr>
              <w:t>Net Income Per Share</w:t>
            </w:r>
          </w:p>
        </w:tc>
        <w:tc>
          <w:tcPr>
            <w:tcW w:w="860" w:type="dxa"/>
            <w:vAlign w:val="bottom"/>
            <w:shd w:val="clear" w:color="auto" w:fill="0F2F50"/>
          </w:tcPr>
          <w:p>
            <w:pPr>
              <w:spacing w:after="0"/>
              <w:rPr>
                <w:sz w:val="24"/>
                <w:szCs w:val="24"/>
                <w:color w:val="auto"/>
              </w:rPr>
            </w:pPr>
          </w:p>
        </w:tc>
      </w:tr>
      <w:tr>
        <w:trPr>
          <w:trHeight w:val="108"/>
        </w:trPr>
        <w:tc>
          <w:tcPr>
            <w:tcW w:w="320" w:type="dxa"/>
            <w:vAlign w:val="bottom"/>
            <w:shd w:val="clear" w:color="auto" w:fill="0F2F50"/>
          </w:tcPr>
          <w:p>
            <w:pPr>
              <w:spacing w:after="0"/>
              <w:rPr>
                <w:sz w:val="9"/>
                <w:szCs w:val="9"/>
                <w:color w:val="auto"/>
              </w:rPr>
            </w:pPr>
          </w:p>
        </w:tc>
        <w:tc>
          <w:tcPr>
            <w:tcW w:w="400" w:type="dxa"/>
            <w:vAlign w:val="bottom"/>
            <w:shd w:val="clear" w:color="auto" w:fill="0F2F50"/>
          </w:tcPr>
          <w:p>
            <w:pPr>
              <w:spacing w:after="0"/>
              <w:rPr>
                <w:sz w:val="9"/>
                <w:szCs w:val="9"/>
                <w:color w:val="auto"/>
              </w:rPr>
            </w:pPr>
          </w:p>
        </w:tc>
        <w:tc>
          <w:tcPr>
            <w:tcW w:w="2120" w:type="dxa"/>
            <w:vAlign w:val="bottom"/>
            <w:shd w:val="clear" w:color="auto" w:fill="0F2F50"/>
          </w:tcPr>
          <w:p>
            <w:pPr>
              <w:spacing w:after="0"/>
              <w:rPr>
                <w:sz w:val="9"/>
                <w:szCs w:val="9"/>
                <w:color w:val="auto"/>
              </w:rPr>
            </w:pPr>
          </w:p>
        </w:tc>
        <w:tc>
          <w:tcPr>
            <w:tcW w:w="860" w:type="dxa"/>
            <w:vAlign w:val="bottom"/>
            <w:shd w:val="clear" w:color="auto" w:fill="0F2F50"/>
          </w:tcPr>
          <w:p>
            <w:pPr>
              <w:spacing w:after="0"/>
              <w:rPr>
                <w:sz w:val="9"/>
                <w:szCs w:val="9"/>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$0.43</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$0.43</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30"/>
              <w:spacing w:after="0"/>
              <w:rPr>
                <w:sz w:val="20"/>
                <w:szCs w:val="20"/>
                <w:color w:val="auto"/>
              </w:rPr>
            </w:pPr>
            <w:r>
              <w:rPr>
                <w:rFonts w:ascii="Arial" w:cs="Arial" w:eastAsia="Arial" w:hAnsi="Arial"/>
                <w:sz w:val="18"/>
                <w:szCs w:val="18"/>
                <w:b w:val="1"/>
                <w:bCs w:val="1"/>
                <w:color w:val="FFFFFF"/>
                <w:w w:val="94"/>
              </w:rPr>
              <w:t>Annualized ROE</w:t>
            </w:r>
          </w:p>
        </w:tc>
        <w:tc>
          <w:tcPr>
            <w:tcW w:w="86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2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108"/>
        </w:trPr>
        <w:tc>
          <w:tcPr>
            <w:tcW w:w="320" w:type="dxa"/>
            <w:vAlign w:val="bottom"/>
            <w:tcBorders>
              <w:bottom w:val="single" w:sz="8" w:color="D9DDE1"/>
            </w:tcBorders>
          </w:tcPr>
          <w:p>
            <w:pPr>
              <w:spacing w:after="0"/>
              <w:rPr>
                <w:sz w:val="9"/>
                <w:szCs w:val="9"/>
                <w:color w:val="auto"/>
              </w:rPr>
            </w:pPr>
          </w:p>
        </w:tc>
        <w:tc>
          <w:tcPr>
            <w:tcW w:w="400" w:type="dxa"/>
            <w:vAlign w:val="bottom"/>
            <w:tcBorders>
              <w:bottom w:val="single" w:sz="8" w:color="D9DDE1"/>
            </w:tcBorders>
          </w:tcPr>
          <w:p>
            <w:pPr>
              <w:spacing w:after="0"/>
              <w:rPr>
                <w:sz w:val="9"/>
                <w:szCs w:val="9"/>
                <w:color w:val="auto"/>
              </w:rPr>
            </w:pPr>
          </w:p>
        </w:tc>
        <w:tc>
          <w:tcPr>
            <w:tcW w:w="2120" w:type="dxa"/>
            <w:vAlign w:val="bottom"/>
            <w:tcBorders>
              <w:bottom w:val="single" w:sz="8" w:color="D9DDE1"/>
            </w:tcBorders>
          </w:tcPr>
          <w:p>
            <w:pPr>
              <w:spacing w:after="0"/>
              <w:rPr>
                <w:sz w:val="9"/>
                <w:szCs w:val="9"/>
                <w:color w:val="auto"/>
              </w:rPr>
            </w:pPr>
          </w:p>
        </w:tc>
        <w:tc>
          <w:tcPr>
            <w:tcW w:w="860" w:type="dxa"/>
            <w:vAlign w:val="bottom"/>
            <w:tcBorders>
              <w:bottom w:val="single" w:sz="8" w:color="D9DDE1"/>
            </w:tcBorders>
          </w:tcPr>
          <w:p>
            <w:pPr>
              <w:spacing w:after="0"/>
              <w:rPr>
                <w:sz w:val="9"/>
                <w:szCs w:val="9"/>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10.7%</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9"/>
              </w:rPr>
              <w:t>NAV</w:t>
            </w:r>
          </w:p>
        </w:tc>
        <w:tc>
          <w:tcPr>
            <w:tcW w:w="86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1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$1,328.1</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2120" w:type="dxa"/>
            <w:vAlign w:val="bottom"/>
            <w:tcBorders>
              <w:bottom w:val="single" w:sz="8" w:color="D9DDE1"/>
            </w:tcBorders>
          </w:tcPr>
          <w:p>
            <w:pPr>
              <w:spacing w:after="0"/>
              <w:rPr>
                <w:sz w:val="8"/>
                <w:szCs w:val="8"/>
                <w:color w:val="auto"/>
              </w:rPr>
            </w:pPr>
          </w:p>
        </w:tc>
        <w:tc>
          <w:tcPr>
            <w:tcW w:w="86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$16.36</w:t>
            </w:r>
          </w:p>
        </w:tc>
      </w:tr>
      <w:tr>
        <w:trPr>
          <w:trHeight w:val="81"/>
        </w:trPr>
        <w:tc>
          <w:tcPr>
            <w:tcW w:w="320" w:type="dxa"/>
            <w:vAlign w:val="bottom"/>
            <w:tcBorders>
              <w:bottom w:val="single" w:sz="8" w:color="D9DDE1"/>
            </w:tcBorders>
          </w:tcPr>
          <w:p>
            <w:pPr>
              <w:spacing w:after="0"/>
              <w:rPr>
                <w:sz w:val="7"/>
                <w:szCs w:val="7"/>
                <w:color w:val="auto"/>
              </w:rPr>
            </w:pPr>
          </w:p>
        </w:tc>
        <w:tc>
          <w:tcPr>
            <w:tcW w:w="3380" w:type="dxa"/>
            <w:vAlign w:val="bottom"/>
            <w:tcBorders>
              <w:bottom w:val="single" w:sz="8" w:color="D9DDE1"/>
            </w:tcBorders>
            <w:gridSpan w:val="3"/>
          </w:tcPr>
          <w:p>
            <w:pPr>
              <w:spacing w:after="0"/>
              <w:rPr>
                <w:sz w:val="7"/>
                <w:szCs w:val="7"/>
                <w:color w:val="auto"/>
              </w:rPr>
            </w:pPr>
          </w:p>
        </w:tc>
      </w:tr>
      <w:tr>
        <w:trPr>
          <w:trHeight w:val="236"/>
        </w:trPr>
        <w:tc>
          <w:tcPr>
            <w:tcW w:w="320" w:type="dxa"/>
            <w:vAlign w:val="bottom"/>
          </w:tcPr>
          <w:p>
            <w:pPr>
              <w:spacing w:after="0"/>
              <w:rPr>
                <w:sz w:val="20"/>
                <w:szCs w:val="20"/>
                <w:color w:val="auto"/>
              </w:rPr>
            </w:pPr>
          </w:p>
        </w:tc>
        <w:tc>
          <w:tcPr>
            <w:tcW w:w="3380" w:type="dxa"/>
            <w:vAlign w:val="bottom"/>
            <w:gridSpan w:val="3"/>
          </w:tcPr>
          <w:p>
            <w:pPr>
              <w:spacing w:after="0"/>
              <w:rPr>
                <w:sz w:val="20"/>
                <w:szCs w:val="20"/>
                <w:color w:val="auto"/>
              </w:rPr>
            </w:pPr>
          </w:p>
        </w:tc>
      </w:tr>
      <w:tr>
        <w:trPr>
          <w:trHeight w:val="297"/>
        </w:trPr>
        <w:tc>
          <w:tcPr>
            <w:tcW w:w="320" w:type="dxa"/>
            <w:vAlign w:val="bottom"/>
            <w:shd w:val="clear" w:color="auto" w:fill="0F2F50"/>
          </w:tcPr>
          <w:p>
            <w:pPr>
              <w:spacing w:after="0"/>
              <w:rPr>
                <w:sz w:val="24"/>
                <w:szCs w:val="24"/>
                <w:color w:val="auto"/>
              </w:rPr>
            </w:pPr>
          </w:p>
        </w:tc>
        <w:tc>
          <w:tcPr>
            <w:tcW w:w="3380" w:type="dxa"/>
            <w:vAlign w:val="bottom"/>
            <w:gridSpan w:val="3"/>
            <w:shd w:val="clear" w:color="auto" w:fill="0F2F50"/>
          </w:tcPr>
          <w:p>
            <w:pPr>
              <w:jc w:val="center"/>
              <w:ind w:right="230"/>
              <w:spacing w:after="0"/>
              <w:rPr>
                <w:sz w:val="20"/>
                <w:szCs w:val="20"/>
                <w:color w:val="auto"/>
              </w:rPr>
            </w:pPr>
            <w:r>
              <w:rPr>
                <w:rFonts w:ascii="Arial" w:cs="Arial" w:eastAsia="Arial" w:hAnsi="Arial"/>
                <w:sz w:val="18"/>
                <w:szCs w:val="18"/>
                <w:b w:val="1"/>
                <w:bCs w:val="1"/>
                <w:color w:val="FFFFFF"/>
                <w:w w:val="89"/>
              </w:rPr>
              <w:t>Dividends Declared (per share)</w:t>
            </w: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25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$0.42</w:t>
            </w:r>
          </w:p>
        </w:tc>
      </w:tr>
      <w:tr>
        <w:trPr>
          <w:trHeight w:val="54"/>
        </w:trPr>
        <w:tc>
          <w:tcPr>
            <w:tcW w:w="2840" w:type="dxa"/>
            <w:vAlign w:val="bottom"/>
            <w:tcBorders>
              <w:bottom w:val="single" w:sz="8" w:color="D9DDE1"/>
            </w:tcBorders>
            <w:gridSpan w:val="3"/>
          </w:tcPr>
          <w:p>
            <w:pPr>
              <w:spacing w:after="0"/>
              <w:rPr>
                <w:sz w:val="4"/>
                <w:szCs w:val="4"/>
                <w:color w:val="auto"/>
              </w:rPr>
            </w:pPr>
          </w:p>
        </w:tc>
        <w:tc>
          <w:tcPr>
            <w:tcW w:w="860" w:type="dxa"/>
            <w:vAlign w:val="bottom"/>
            <w:tcBorders>
              <w:bottom w:val="single" w:sz="8" w:color="D9DDE1"/>
            </w:tcBorders>
          </w:tcPr>
          <w:p>
            <w:pPr>
              <w:spacing w:after="0"/>
              <w:rPr>
                <w:sz w:val="4"/>
                <w:szCs w:val="4"/>
                <w:color w:val="auto"/>
              </w:rPr>
            </w:pPr>
          </w:p>
        </w:tc>
      </w:tr>
      <w:tr>
        <w:trPr>
          <w:trHeight w:val="250"/>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Q3’22 (Base):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r>
      <w:tr>
        <w:trPr>
          <w:trHeight w:val="54"/>
        </w:trPr>
        <w:tc>
          <w:tcPr>
            <w:tcW w:w="2840" w:type="dxa"/>
            <w:vAlign w:val="bottom"/>
            <w:tcBorders>
              <w:bottom w:val="single" w:sz="8" w:color="D9DDE1"/>
            </w:tcBorders>
            <w:gridSpan w:val="3"/>
          </w:tcPr>
          <w:p>
            <w:pPr>
              <w:spacing w:after="0"/>
              <w:rPr>
                <w:sz w:val="4"/>
                <w:szCs w:val="4"/>
                <w:color w:val="auto"/>
              </w:rPr>
            </w:pPr>
          </w:p>
        </w:tc>
        <w:tc>
          <w:tcPr>
            <w:tcW w:w="860" w:type="dxa"/>
            <w:vAlign w:val="bottom"/>
            <w:tcBorders>
              <w:bottom w:val="single" w:sz="8" w:color="D9DDE1"/>
            </w:tcBorders>
          </w:tcPr>
          <w:p>
            <w:pPr>
              <w:spacing w:after="0"/>
              <w:rPr>
                <w:sz w:val="4"/>
                <w:szCs w:val="4"/>
                <w:color w:val="auto"/>
              </w:rPr>
            </w:pPr>
          </w:p>
        </w:tc>
      </w:tr>
      <w:tr>
        <w:trPr>
          <w:trHeight w:val="250"/>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Q3’22 (Supp/Special):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$0.65</w:t>
            </w:r>
          </w:p>
        </w:tc>
      </w:tr>
      <w:tr>
        <w:trPr>
          <w:trHeight w:val="40"/>
        </w:trPr>
        <w:tc>
          <w:tcPr>
            <w:tcW w:w="2840" w:type="dxa"/>
            <w:vAlign w:val="bottom"/>
            <w:tcBorders>
              <w:bottom w:val="single" w:sz="8" w:color="D9DDE1"/>
            </w:tcBorders>
            <w:gridSpan w:val="3"/>
          </w:tcPr>
          <w:p>
            <w:pPr>
              <w:spacing w:after="0"/>
              <w:rPr>
                <w:sz w:val="3"/>
                <w:szCs w:val="3"/>
                <w:color w:val="auto"/>
              </w:rPr>
            </w:pPr>
          </w:p>
        </w:tc>
        <w:tc>
          <w:tcPr>
            <w:tcW w:w="860" w:type="dxa"/>
            <w:vAlign w:val="bottom"/>
            <w:tcBorders>
              <w:bottom w:val="single" w:sz="8" w:color="D9DDE1"/>
            </w:tcBorders>
          </w:tcPr>
          <w:p>
            <w:pPr>
              <w:spacing w:after="0"/>
              <w:rPr>
                <w:sz w:val="3"/>
                <w:szCs w:val="3"/>
                <w:color w:val="auto"/>
              </w:rPr>
            </w:pPr>
          </w:p>
        </w:tc>
      </w:tr>
      <w:tr>
        <w:trPr>
          <w:trHeight w:val="236"/>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Q3’22 (Total):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$2.30</w:t>
            </w:r>
          </w:p>
        </w:tc>
      </w:tr>
    </w:tbl>
    <w:p>
      <w:pPr>
        <w:spacing w:after="0" w:line="200" w:lineRule="exact"/>
        <w:rPr>
          <w:sz w:val="20"/>
          <w:szCs w:val="20"/>
          <w:color w:val="auto"/>
        </w:rPr>
      </w:pPr>
    </w:p>
    <w:p>
      <w:pPr>
        <w:sectPr>
          <w:pgSz w:w="11900" w:h="16838" w:orient="portrait"/>
          <w:cols w:equalWidth="0" w:num="2">
            <w:col w:w="7200" w:space="340"/>
            <w:col w:w="3700"/>
          </w:cols>
          <w:pgMar w:left="320" w:top="121" w:right="339" w:bottom="1440" w:gutter="0" w:footer="0" w:header="0"/>
          <w:type w:val="continuous"/>
        </w:sectPr>
      </w:pPr>
    </w:p>
    <w:p>
      <w:pPr>
        <w:spacing w:after="0" w:line="339"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September 30, 2022, new investment commitments totaled $384.6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compares to $378.9 million for the quarter ended June 30, 2022.</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quarter ended September 30, 2022, the principal amount of investments funded was $274.4 million in 25</w:t>
      </w:r>
      <w:r>
        <w:rPr>
          <w:rFonts w:ascii="Arial" w:cs="Arial" w:eastAsia="Arial" w:hAnsi="Arial"/>
          <w:sz w:val="14"/>
          <w:szCs w:val="14"/>
          <w:color w:val="auto"/>
        </w:rPr>
        <w:t>1</w:t>
      </w:r>
      <w:r>
        <w:rPr>
          <w:rFonts w:ascii="Arial" w:cs="Arial" w:eastAsia="Arial" w:hAnsi="Arial"/>
          <w:sz w:val="17"/>
          <w:szCs w:val="17"/>
          <w:color w:val="auto"/>
        </w:rPr>
        <w:t xml:space="preserve"> new investments and six upsizes to existing portfolio companies. For this period, the Company had $15.8 million aggregate principal amount in exits and repayments. For the quarter ended June 30, 2022, the principal amount of new investments funded was $324.8 million in 30</w:t>
      </w:r>
      <w:r>
        <w:rPr>
          <w:rFonts w:ascii="Arial" w:cs="Arial" w:eastAsia="Arial" w:hAnsi="Arial"/>
          <w:sz w:val="14"/>
          <w:szCs w:val="14"/>
          <w:color w:val="auto"/>
        </w:rPr>
        <w:t>1</w:t>
      </w:r>
      <w:r>
        <w:rPr>
          <w:rFonts w:ascii="Arial" w:cs="Arial" w:eastAsia="Arial" w:hAnsi="Arial"/>
          <w:sz w:val="17"/>
          <w:szCs w:val="17"/>
          <w:color w:val="auto"/>
        </w:rPr>
        <w:t xml:space="preserve"> new and two upsizes to existing portfolio companies. For that period, the Company had $211.7 million aggregate principal amount in exits and repayments.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and June 30, 2022, the Company had investments in 75</w:t>
      </w:r>
      <w:r>
        <w:rPr>
          <w:rFonts w:ascii="Arial" w:cs="Arial" w:eastAsia="Arial" w:hAnsi="Arial"/>
          <w:sz w:val="15"/>
          <w:szCs w:val="15"/>
          <w:color w:val="auto"/>
        </w:rPr>
        <w:t>2</w:t>
      </w:r>
      <w:r>
        <w:rPr>
          <w:rFonts w:ascii="Arial" w:cs="Arial" w:eastAsia="Arial" w:hAnsi="Arial"/>
          <w:sz w:val="18"/>
          <w:szCs w:val="18"/>
          <w:color w:val="auto"/>
        </w:rPr>
        <w:t xml:space="preserve"> and 69</w:t>
      </w:r>
      <w:r>
        <w:rPr>
          <w:rFonts w:ascii="Arial" w:cs="Arial" w:eastAsia="Arial" w:hAnsi="Arial"/>
          <w:sz w:val="15"/>
          <w:szCs w:val="15"/>
          <w:color w:val="auto"/>
        </w:rPr>
        <w:t>3</w:t>
      </w:r>
      <w:r>
        <w:rPr>
          <w:rFonts w:ascii="Arial" w:cs="Arial" w:eastAsia="Arial" w:hAnsi="Arial"/>
          <w:sz w:val="18"/>
          <w:szCs w:val="18"/>
          <w:color w:val="auto"/>
        </w:rPr>
        <w:t xml:space="preserve"> portfolio companies, respectively, with an aggregate fair value of $2,806.1 million and $2,536.4 million, respectively. As of September 30, 2022, the average investment size in each portfolio company was $36.7</w:t>
      </w:r>
      <w:r>
        <w:rPr>
          <w:rFonts w:ascii="Arial" w:cs="Arial" w:eastAsia="Arial" w:hAnsi="Arial"/>
          <w:sz w:val="15"/>
          <w:szCs w:val="15"/>
          <w:color w:val="auto"/>
        </w:rPr>
        <w:t>2</w:t>
      </w:r>
      <w:r>
        <w:rPr>
          <w:rFonts w:ascii="Arial" w:cs="Arial" w:eastAsia="Arial" w:hAnsi="Arial"/>
          <w:sz w:val="18"/>
          <w:szCs w:val="18"/>
          <w:color w:val="auto"/>
        </w:rPr>
        <w:t xml:space="preserve"> million based on fair value.</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2022, the Company’s portfolio based on fair value consisted of 90.4% first-lien debt investments, 1.5% second-lien debt investments, 1.8% structured credit investments, 0.4% mezzanine investments, and 5.9% equity and other investments. As of June 30, 2022, the Company’s portfolio based on fair value consisted of 90.5% first-lien debt investments, 1.6% second-lien debt investments, 1.2% structured credit investments, 0.4% mezzanine investments, and 6.3% equity and other investments. As of September 30, 2022 and June 30, 2022 approximately 91.9% and 92.1% of the portfolio was invested in secured debt, respectively.</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2022, 98.9% of debt investments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2022 and June 30, 2022, the weighted average total yield of debt and income-producing securities at fair value (which includes interest income and amortization of fees and discounts) was 12.3% and 10.9%, respectively, and the weighted average total yield of debt and income-producing securities at amortized cost (which includes interest income and amortization of fees and discounts) was 12.2% and 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34886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Commitments:</w:t>
            </w:r>
          </w:p>
        </w:tc>
        <w:tc>
          <w:tcPr>
            <w:tcW w:w="1760" w:type="dxa"/>
            <w:vAlign w:val="bottom"/>
          </w:tcPr>
          <w:p>
            <w:pPr>
              <w:ind w:left="700"/>
              <w:spacing w:after="0"/>
              <w:rPr>
                <w:sz w:val="20"/>
                <w:szCs w:val="20"/>
                <w:color w:val="auto"/>
              </w:rPr>
            </w:pPr>
            <w:r>
              <w:rPr>
                <w:rFonts w:ascii="Arial" w:cs="Arial" w:eastAsia="Arial" w:hAnsi="Arial"/>
                <w:sz w:val="18"/>
                <w:szCs w:val="18"/>
                <w:b w:val="1"/>
                <w:bCs w:val="1"/>
                <w:color w:val="auto"/>
              </w:rPr>
              <w:t>$384.6MM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Fundings:</w:t>
            </w:r>
          </w:p>
        </w:tc>
        <w:tc>
          <w:tcPr>
            <w:tcW w:w="1760" w:type="dxa"/>
            <w:vAlign w:val="bottom"/>
          </w:tcPr>
          <w:p>
            <w:pPr>
              <w:ind w:left="700"/>
              <w:spacing w:after="0"/>
              <w:rPr>
                <w:sz w:val="20"/>
                <w:szCs w:val="20"/>
                <w:color w:val="auto"/>
              </w:rPr>
            </w:pPr>
            <w:r>
              <w:rPr>
                <w:rFonts w:ascii="Arial" w:cs="Arial" w:eastAsia="Arial" w:hAnsi="Arial"/>
                <w:sz w:val="18"/>
                <w:szCs w:val="18"/>
                <w:b w:val="1"/>
                <w:bCs w:val="1"/>
                <w:color w:val="auto"/>
              </w:rPr>
              <w:t>$274.4MM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Net Fundings:</w:t>
            </w:r>
          </w:p>
        </w:tc>
        <w:tc>
          <w:tcPr>
            <w:tcW w:w="1760" w:type="dxa"/>
            <w:vAlign w:val="bottom"/>
          </w:tcPr>
          <w:p>
            <w:pPr>
              <w:ind w:left="700"/>
              <w:spacing w:after="0"/>
              <w:rPr>
                <w:sz w:val="20"/>
                <w:szCs w:val="20"/>
                <w:color w:val="auto"/>
              </w:rPr>
            </w:pPr>
            <w:r>
              <w:rPr>
                <w:rFonts w:ascii="Arial" w:cs="Arial" w:eastAsia="Arial" w:hAnsi="Arial"/>
                <w:sz w:val="18"/>
                <w:szCs w:val="18"/>
                <w:b w:val="1"/>
                <w:bCs w:val="1"/>
                <w:color w:val="auto"/>
              </w:rPr>
              <w:t>$258.7MM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634365</wp:posOffset>
            </wp:positionV>
            <wp:extent cx="234886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r>
        <w:rPr>
          <w:rFonts w:ascii="Arial" w:cs="Arial" w:eastAsia="Arial" w:hAnsi="Arial"/>
          <w:sz w:val="15"/>
          <w:szCs w:val="15"/>
          <w:b w:val="1"/>
          <w:bCs w:val="1"/>
          <w:color w:val="FFFFFF"/>
        </w:rPr>
        <w:t>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$36.7MM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(1.3%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234886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248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234886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Fair Value:</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12.3%</w:t>
            </w:r>
          </w:p>
        </w:tc>
      </w:tr>
      <w:tr>
        <w:trPr>
          <w:trHeight w:val="81"/>
        </w:trPr>
        <w:tc>
          <w:tcPr>
            <w:tcW w:w="2500" w:type="dxa"/>
            <w:vAlign w:val="bottom"/>
            <w:tcBorders>
              <w:bottom w:val="single" w:sz="8" w:color="D9DDE1"/>
            </w:tcBorders>
          </w:tcPr>
          <w:p>
            <w:pPr>
              <w:spacing w:after="0"/>
              <w:rPr>
                <w:sz w:val="7"/>
                <w:szCs w:val="7"/>
                <w:color w:val="auto"/>
              </w:rPr>
            </w:pPr>
          </w:p>
        </w:tc>
        <w:tc>
          <w:tcPr>
            <w:tcW w:w="1200" w:type="dxa"/>
            <w:vAlign w:val="bottom"/>
            <w:tcBorders>
              <w:bottom w:val="single" w:sz="8" w:color="D9DDE1"/>
            </w:tcBorders>
          </w:tcPr>
          <w:p>
            <w:pPr>
              <w:spacing w:after="0"/>
              <w:rPr>
                <w:sz w:val="7"/>
                <w:szCs w:val="7"/>
                <w:color w:val="auto"/>
              </w:rPr>
            </w:pPr>
          </w:p>
        </w:tc>
      </w:tr>
      <w:tr>
        <w:trPr>
          <w:trHeight w:val="290"/>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Amortized Cost: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12.2%</w:t>
            </w:r>
          </w:p>
        </w:tc>
      </w:tr>
    </w:tbl>
    <w:p>
      <w:pPr>
        <w:spacing w:after="0" w:line="200" w:lineRule="exact"/>
        <w:rPr>
          <w:sz w:val="20"/>
          <w:szCs w:val="20"/>
          <w:color w:val="auto"/>
        </w:rPr>
      </w:pPr>
    </w:p>
    <w:p>
      <w:pPr>
        <w:sectPr>
          <w:pgSz w:w="11900" w:h="16838" w:orient="portrait"/>
          <w:cols w:equalWidth="0" w:num="2">
            <w:col w:w="7200" w:space="320"/>
            <w:col w:w="3720"/>
          </w:cols>
          <w:pgMar w:left="320" w:top="1435" w:right="339" w:bottom="1440" w:gutter="0" w:footer="0" w:header="0"/>
        </w:sectPr>
      </w:pPr>
    </w:p>
    <w:p>
      <w:pPr>
        <w:spacing w:after="0" w:line="11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September 30, 2022, and June 30, 2022, includes 18 and 22 new structured credit investments, respectively.</w:t>
      </w:r>
    </w:p>
    <w:p>
      <w:pPr>
        <w:ind w:left="260" w:hanging="252"/>
        <w:spacing w:after="0" w:line="22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September 30, 2022, excludes 43 structured credit investments with a total fair value of $52.0 million.</w:t>
      </w:r>
    </w:p>
    <w:p>
      <w:pPr>
        <w:ind w:left="260" w:hanging="252"/>
        <w:spacing w:after="0" w:line="22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June 30, 2022, excludes 25 structured credit investments with a total fair value of $30.2 million.</w:t>
      </w: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Calculation includes income earning debt investments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SEPTEMBER 30, 2022</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35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September 30, 2022 and 2021, total investment income was $77.8 million and $71.2 million, respectively. The increase was primarily the result of higher interest from investments driven by increased all-in yields.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3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expenses totaled $40.3 million and $34.6 million for the three months ended September 30, 2022 and 2021, respectively. The increase was predominately driven by higher interest expense on average outstanding indebtedness from the upward movement in reference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September 30, 2022, the Company had $30.3 million in cash and cash equivalents (including $15.6 million of restricted cash), total principal value of debt outstanding of $1,536.8 million, and $845.7 million of undrawn capacity on its revolving credit facility, subject to borrowing base and other limitations. The Company’s weighted average interest rate on debt outstanding was 4.3% and 3.1% for the three-month periods ended September 30, 2022 and June 30, 2022, respectively. This increase was driven by the upward movement in reference rates which increases the Company’s weighted average interest rate on average debt outstanding. At September 30, 2022, the Company’s debt to equity ratio was 1.16x, compared to 1.06x at June 30, 2022. Average debt to equity was 1.15x for the three-month period ended September 30, 2022, compared to 0.90x for the three-month period ended June 30, 2022. The increase in the Company’s average debt-to-equity ratio was primarily driven by net funding activity.</w:t>
      </w:r>
    </w:p>
    <w:p>
      <w:pPr>
        <w:spacing w:after="0" w:line="154" w:lineRule="exact"/>
        <w:rPr>
          <w:sz w:val="20"/>
          <w:szCs w:val="20"/>
          <w:color w:val="auto"/>
        </w:rPr>
      </w:pPr>
    </w:p>
    <w:p>
      <w:pPr>
        <w:jc w:val="both"/>
        <w:ind w:left="260" w:right="20" w:hanging="252"/>
        <w:spacing w:after="0" w:line="238"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$77.8MM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874395</wp:posOffset>
            </wp:positionV>
            <wp:extent cx="2348865"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$40.3MM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677545</wp:posOffset>
            </wp:positionV>
            <wp:extent cx="234886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$1,536.8MM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248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2022 Quarter End:</w:t>
            </w: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rPr>
              <w:t>1.16x</w:t>
            </w:r>
          </w:p>
        </w:tc>
      </w:tr>
      <w:tr>
        <w:trPr>
          <w:trHeight w:val="40"/>
        </w:trPr>
        <w:tc>
          <w:tcPr>
            <w:tcW w:w="320" w:type="dxa"/>
            <w:vAlign w:val="bottom"/>
            <w:tcBorders>
              <w:bottom w:val="single" w:sz="8" w:color="D9DDE1"/>
            </w:tcBorders>
          </w:tcPr>
          <w:p>
            <w:pPr>
              <w:spacing w:after="0"/>
              <w:rPr>
                <w:sz w:val="3"/>
                <w:szCs w:val="3"/>
                <w:color w:val="auto"/>
              </w:rPr>
            </w:pPr>
          </w:p>
        </w:tc>
        <w:tc>
          <w:tcPr>
            <w:tcW w:w="2100" w:type="dxa"/>
            <w:vAlign w:val="bottom"/>
            <w:tcBorders>
              <w:bottom w:val="single" w:sz="8" w:color="D9DDE1"/>
            </w:tcBorders>
          </w:tcPr>
          <w:p>
            <w:pPr>
              <w:spacing w:after="0"/>
              <w:rPr>
                <w:sz w:val="3"/>
                <w:szCs w:val="3"/>
                <w:color w:val="auto"/>
              </w:rPr>
            </w:pPr>
          </w:p>
        </w:tc>
        <w:tc>
          <w:tcPr>
            <w:tcW w:w="1280" w:type="dxa"/>
            <w:vAlign w:val="bottom"/>
            <w:tcBorders>
              <w:bottom w:val="single" w:sz="8" w:color="D9DDE1"/>
            </w:tcBorders>
          </w:tcPr>
          <w:p>
            <w:pPr>
              <w:spacing w:after="0"/>
              <w:rPr>
                <w:sz w:val="3"/>
                <w:szCs w:val="3"/>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2022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rPr>
              <w:t>1.15x</w:t>
            </w:r>
          </w:p>
        </w:tc>
      </w:tr>
    </w:tbl>
    <w:p>
      <w:pPr>
        <w:spacing w:after="0" w:line="660" w:lineRule="exact"/>
        <w:rPr>
          <w:sz w:val="20"/>
          <w:szCs w:val="20"/>
          <w:color w:val="auto"/>
        </w:rPr>
      </w:pPr>
    </w:p>
    <w:p>
      <w:pPr>
        <w:sectPr>
          <w:pgSz w:w="11900" w:h="16838" w:orient="portrait"/>
          <w:cols w:equalWidth="0" w:num="2">
            <w:col w:w="7200" w:space="340"/>
            <w:col w:w="370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liquidity at September 30, 2022 and changes to unfunded commitments since June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shd w:val="clear" w:color="auto" w:fill="0F2F50"/>
          </w:tcPr>
          <w:p>
            <w:pPr>
              <w:spacing w:after="0"/>
              <w:rPr>
                <w:sz w:val="23"/>
                <w:szCs w:val="23"/>
                <w:color w:val="auto"/>
              </w:rPr>
            </w:pPr>
          </w:p>
        </w:tc>
        <w:tc>
          <w:tcPr>
            <w:tcW w:w="220" w:type="dxa"/>
            <w:vAlign w:val="bottom"/>
          </w:tcPr>
          <w:p>
            <w:pPr>
              <w:spacing w:after="0"/>
              <w:rPr>
                <w:sz w:val="23"/>
                <w:szCs w:val="23"/>
                <w:color w:val="auto"/>
              </w:rPr>
            </w:pPr>
          </w:p>
        </w:tc>
        <w:tc>
          <w:tcPr>
            <w:tcW w:w="4560" w:type="dxa"/>
            <w:vAlign w:val="bottom"/>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shd w:val="clear" w:color="auto" w:fill="0F2F50"/>
          </w:tcPr>
          <w:p>
            <w:pPr>
              <w:spacing w:after="0"/>
              <w:rPr>
                <w:sz w:val="23"/>
                <w:szCs w:val="23"/>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6/30/22 10-Q)</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$321</w:t>
            </w: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2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($739)</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$15</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$860</w:t>
            </w:r>
          </w:p>
        </w:tc>
      </w:tr>
      <w:tr>
        <w:trPr>
          <w:trHeight w:val="196"/>
        </w:trPr>
        <w:tc>
          <w:tcPr>
            <w:tcW w:w="452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($184)</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$676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$394</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($209)</w:t>
            </w:r>
          </w:p>
        </w:tc>
        <w:tc>
          <w:tcPr>
            <w:tcW w:w="20" w:type="dxa"/>
            <w:vAlign w:val="bottom"/>
          </w:tcPr>
          <w:p>
            <w:pPr>
              <w:spacing w:after="0"/>
              <w:rPr>
                <w:sz w:val="17"/>
                <w:szCs w:val="17"/>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funding mix at September 30, 2022 was comprised of 52% unsecured and 48% secured debt. As illustrated below, the Company’s nearest debt maturity is in January 2023 at $150 million, and the weighted average remaining life of investments funded with debt was ~2.4 years, compared to a weighted average remaining maturity on debt of ~3.8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74295</wp:posOffset>
            </wp:positionV>
            <wp:extent cx="5777865" cy="3094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36"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and $50 million of non-extending commitments with a maturity of February 4, 2026 and a revolving period ending February 4, 2025.</w:t>
      </w:r>
    </w:p>
    <w:p>
      <w:pPr>
        <w:spacing w:after="0" w:line="124" w:lineRule="exact"/>
        <w:rPr>
          <w:sz w:val="20"/>
          <w:szCs w:val="20"/>
          <w:color w:val="auto"/>
        </w:rPr>
      </w:pPr>
    </w:p>
    <w:p>
      <w:pPr>
        <w:ind w:left="400" w:hanging="392"/>
        <w:spacing w:after="0" w:line="243" w:lineRule="auto"/>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of Deferred Financing Costs and Interest Rate Fair Value Hedging. Deferred Financing Costs total $20.8M at 9/30/21, $19.1M at 12/31/21, $17.8M at 3/31/22, $20.6M at 6/30/22 and $19.1M at 9/30/22. Fair value hedge on interest rate swaps related to the 2024 and 2026 notes total $2.5M at 9/30/21, ($5.9M) at 12/31/21, ($33.0M) at 3/31/22, ($41.1M) at 6/30/22 and ($58.3M) at 9/30/22.</w:t>
      </w:r>
    </w:p>
    <w:p>
      <w:pPr>
        <w:jc w:val="both"/>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equity capital. This analysis assumes longer-dated investments are currently funded by equity capital (48% of investments) and the remaining (shorter-dated) investments (52% of investments) are currently funded by debt financing. Investments for purposes of this analysis exclude unfunded commitments, and equity capital is defined as 9/30/22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November 2, 2022.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1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Research analysts who wish to participate in the conference call must first register at https://register.vevent.com/register/BI3dd88ee46ea8409cac1ade405cbfbf11. Upon registration, all telephone participants will receive a confirmation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u w:val="single" w:color="auto"/>
          <w:color w:val="auto"/>
        </w:rPr>
        <w:t>https://sixthstreetspecialtylending.gcs-web.com/events-and-presentations</w:t>
      </w:r>
      <w:r>
        <w:rPr>
          <w:rFonts w:ascii="Arial" w:cs="Arial" w:eastAsia="Arial" w:hAnsi="Arial"/>
          <w:sz w:val="18"/>
          <w:szCs w:val="18"/>
          <w:color w:val="auto"/>
        </w:rPr>
        <w:t>) following the conclusion of the conference call.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September 30, 2022</w:t>
            </w:r>
          </w:p>
        </w:tc>
        <w:tc>
          <w:tcPr>
            <w:tcW w:w="16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June 30, 2022</w:t>
            </w:r>
          </w:p>
        </w:tc>
        <w:tc>
          <w:tcPr>
            <w:tcW w:w="80" w:type="dxa"/>
            <w:vAlign w:val="bottom"/>
          </w:tcPr>
          <w:p>
            <w:pPr>
              <w:spacing w:after="0"/>
              <w:rPr>
                <w:sz w:val="14"/>
                <w:szCs w:val="1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September 30, 2021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2,806.1</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2,536.4</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2,859.7</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2,580.4</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2,438.5</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Special Dividend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16.27</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Investment Income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77.8</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9"/>
                <w:szCs w:val="19"/>
                <w:color w:val="auto"/>
              </w:rPr>
            </w:pPr>
          </w:p>
        </w:tc>
      </w:tr>
      <w:tr>
        <w:trPr>
          <w:trHeight w:val="25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15"/>
                <w:szCs w:val="15"/>
                <w:color w:val="auto"/>
              </w:rPr>
              <w:t>(2)</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FF0FC"/>
          </w:tcPr>
          <w:p>
            <w:pPr>
              <w:spacing w:after="0"/>
              <w:rPr>
                <w:sz w:val="22"/>
                <w:szCs w:val="22"/>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Income (Loss) </w:t>
            </w:r>
            <w:r>
              <w:rPr>
                <w:rFonts w:ascii="Arial" w:cs="Arial" w:eastAsia="Arial" w:hAnsi="Arial"/>
                <w:sz w:val="15"/>
                <w:szCs w:val="15"/>
                <w:color w:val="auto"/>
              </w:rPr>
              <w:t>(2)</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9"/>
                <w:szCs w:val="19"/>
                <w:color w:val="auto"/>
              </w:rPr>
            </w:pPr>
          </w:p>
        </w:tc>
      </w:tr>
      <w:tr>
        <w:trPr>
          <w:trHeight w:val="25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22"/>
                <w:szCs w:val="22"/>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9"/>
                <w:szCs w:val="19"/>
                <w:color w:val="auto"/>
              </w:rPr>
            </w:pPr>
          </w:p>
        </w:tc>
      </w:tr>
      <w:tr>
        <w:trPr>
          <w:trHeight w:val="257"/>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FF0FC"/>
          </w:tcPr>
          <w:p>
            <w:pPr>
              <w:spacing w:after="0"/>
              <w:rPr>
                <w:sz w:val="22"/>
                <w:szCs w:val="22"/>
                <w:color w:val="auto"/>
              </w:rPr>
            </w:pPr>
          </w:p>
        </w:tc>
      </w:tr>
      <w:tr>
        <w:trPr>
          <w:trHeight w:val="229"/>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7"/>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15"/>
                <w:szCs w:val="15"/>
                <w:color w:val="auto"/>
              </w:rPr>
              <w:t>(2)</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FF0FC"/>
          </w:tcPr>
          <w:p>
            <w:pPr>
              <w:spacing w:after="0"/>
              <w:rPr>
                <w:sz w:val="22"/>
                <w:szCs w:val="22"/>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Income (Loss) Per Share </w:t>
            </w:r>
            <w:r>
              <w:rPr>
                <w:rFonts w:ascii="Arial" w:cs="Arial" w:eastAsia="Arial" w:hAnsi="Arial"/>
                <w:sz w:val="15"/>
                <w:szCs w:val="15"/>
                <w:color w:val="auto"/>
              </w:rPr>
              <w:t>(2)</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9"/>
                <w:szCs w:val="19"/>
                <w:color w:val="auto"/>
              </w:rPr>
            </w:pPr>
          </w:p>
        </w:tc>
      </w:tr>
      <w:tr>
        <w:trPr>
          <w:trHeight w:val="257"/>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FF0FC"/>
          </w:tcPr>
          <w:p>
            <w:pPr>
              <w:spacing w:after="0"/>
              <w:rPr>
                <w:sz w:val="22"/>
                <w:szCs w:val="22"/>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(0.18)</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(Adjusted Net Income (Loss)) </w:t>
            </w: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(Net Income (Loss))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r>
      <w:tr>
        <w:trPr>
          <w:trHeight w:val="257"/>
        </w:trPr>
        <w:tc>
          <w:tcPr>
            <w:tcW w:w="6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r>
    </w:tbl>
    <w:p>
      <w:pPr>
        <w:spacing w:after="0" w:line="210" w:lineRule="exact"/>
        <w:rPr>
          <w:sz w:val="20"/>
          <w:szCs w:val="20"/>
          <w:color w:val="auto"/>
        </w:rPr>
      </w:pPr>
    </w:p>
    <w:p>
      <w:pPr>
        <w:ind w:left="800" w:hanging="401"/>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or special dividend in the applicable period.</w:t>
      </w:r>
    </w:p>
    <w:p>
      <w:pPr>
        <w:spacing w:after="0" w:line="82" w:lineRule="exact"/>
        <w:rPr>
          <w:rFonts w:ascii="Arial" w:cs="Arial" w:eastAsia="Arial" w:hAnsi="Arial"/>
          <w:sz w:val="14"/>
          <w:szCs w:val="14"/>
          <w:color w:val="auto"/>
        </w:rPr>
      </w:pPr>
    </w:p>
    <w:p>
      <w:pPr>
        <w:ind w:left="800" w:hanging="401"/>
        <w:spacing w:after="0" w:line="230"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800" w:hanging="401"/>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70" w:lineRule="exact"/>
        <w:rPr>
          <w:rFonts w:ascii="Arial" w:cs="Arial" w:eastAsia="Arial" w:hAnsi="Arial"/>
          <w:sz w:val="14"/>
          <w:szCs w:val="14"/>
          <w:color w:val="auto"/>
        </w:rPr>
      </w:pPr>
    </w:p>
    <w:p>
      <w:pPr>
        <w:ind w:left="800" w:right="20" w:hanging="401"/>
        <w:spacing w:after="0" w:line="253"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$2,727,409 and $2,354,984,</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2,735,794</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100" w:type="dxa"/>
            <w:vAlign w:val="bottom"/>
            <w:shd w:val="clear" w:color="auto" w:fill="CFF0FC"/>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$0 and $12,666, respectively)</w:t>
            </w:r>
          </w:p>
        </w:tc>
        <w:tc>
          <w:tcPr>
            <w:tcW w:w="2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$65,364 and $64,362, respectively)</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$2,792,773 and $2,432,012,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2,806,063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2,521,593</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$15,627 and $14,399, respectively)</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19,830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2,859,721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$19,136 and $19,147, respectively)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1,457,048</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1,531,669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1,276,009</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81,647,551</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76,067,586 shares issued, respectively; and 81,170,965 and 75,771,542</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1,290,161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1,189,275</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476,586 and 296,044 shares held, respectively</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1,328,052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1,275,848</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2,859,721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September 30, 2021</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September 30, 2022</w:t>
            </w:r>
          </w:p>
        </w:tc>
        <w:tc>
          <w:tcPr>
            <w:tcW w:w="100" w:type="dxa"/>
            <w:vAlign w:val="bottom"/>
          </w:tcPr>
          <w:p>
            <w:pPr>
              <w:spacing w:after="0"/>
              <w:rPr>
                <w:sz w:val="14"/>
                <w:szCs w:val="14"/>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September 30, 2021</w:t>
            </w:r>
          </w:p>
        </w:tc>
      </w:tr>
      <w:tr>
        <w:trPr>
          <w:trHeight w:val="155"/>
        </w:trPr>
        <w:tc>
          <w:tcPr>
            <w:tcW w:w="5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3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6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73,769</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67,369</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198,047</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188,852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1,777</w:t>
            </w:r>
          </w:p>
        </w:tc>
        <w:tc>
          <w:tcPr>
            <w:tcW w:w="2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6,091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5,191</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76,513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69,950</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205,499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196,124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0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3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w:t>
            </w:r>
          </w:p>
        </w:tc>
        <w:tc>
          <w:tcPr>
            <w:tcW w:w="2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00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3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3,523</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2,970</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0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3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77,839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71,200</w:t>
            </w:r>
          </w:p>
        </w:tc>
        <w:tc>
          <w:tcPr>
            <w:tcW w:w="2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209,155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200,269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Interest</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18,851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9,856</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28,999</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Management fees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9,545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29,148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27,701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investment income</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8,466</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23,273</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Incentive fees on net capital gains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3,444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(7,720)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13,548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Professional fees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1,626</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Directors’ fees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Other general and administrative</w:t>
            </w:r>
          </w:p>
        </w:tc>
        <w:tc>
          <w:tcPr>
            <w:tcW w:w="3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1,569</w:t>
            </w:r>
          </w:p>
        </w:tc>
        <w:tc>
          <w:tcPr>
            <w:tcW w:w="2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4,688</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00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3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40,492</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34,686</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94,186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103,563</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Management fees waived (Note 3)</w:t>
            </w:r>
          </w:p>
        </w:tc>
        <w:tc>
          <w:tcPr>
            <w:tcW w:w="3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w:t>
            </w:r>
          </w:p>
        </w:tc>
        <w:tc>
          <w:tcPr>
            <w:tcW w:w="2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3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40,303</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34,626</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93,985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103,373</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37,536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36,574</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115,170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96,896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taxes, including excise taxes</w:t>
            </w:r>
          </w:p>
        </w:tc>
        <w:tc>
          <w:tcPr>
            <w:tcW w:w="3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37,180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36,470</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113,714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96,167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Net change in unrealized gains (losses):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7,674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(71,428)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43,111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4,115</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(14,350)</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3,711</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4,289</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Interest rate swaps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(2,591)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(1,502)</w:t>
            </w:r>
          </w:p>
        </w:tc>
        <w:tc>
          <w:tcPr>
            <w:tcW w:w="3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(7,184)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(4,775)</w:t>
            </w:r>
          </w:p>
        </w:tc>
        <w:tc>
          <w:tcPr>
            <w:tcW w:w="20" w:type="dxa"/>
            <w:vAlign w:val="bottom"/>
          </w:tcPr>
          <w:p>
            <w:pPr>
              <w:spacing w:after="0"/>
              <w:rPr>
                <w:sz w:val="14"/>
                <w:szCs w:val="14"/>
                <w:color w:val="auto"/>
              </w:rPr>
            </w:pPr>
          </w:p>
        </w:tc>
      </w:tr>
      <w:tr>
        <w:trPr>
          <w:trHeight w:val="155"/>
        </w:trPr>
        <w:tc>
          <w:tcPr>
            <w:tcW w:w="50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3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(5,134)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29,046</w:t>
            </w:r>
          </w:p>
        </w:tc>
        <w:tc>
          <w:tcPr>
            <w:tcW w:w="26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(68,379)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67,747</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color w:val="auto"/>
              </w:rPr>
              <w:t>Realized gains (losses):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(10,512)</w:t>
            </w: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6,129</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Interest rate swaps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transactions</w:t>
            </w:r>
          </w:p>
        </w:tc>
        <w:tc>
          <w:tcPr>
            <w:tcW w:w="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(48)</w:t>
            </w:r>
          </w:p>
        </w:tc>
        <w:tc>
          <w:tcPr>
            <w:tcW w:w="3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4"/>
                <w:szCs w:val="14"/>
                <w:color w:val="auto"/>
              </w:rPr>
            </w:pPr>
          </w:p>
        </w:tc>
      </w:tr>
      <w:tr>
        <w:trPr>
          <w:trHeight w:val="155"/>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3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(10,560)</w:t>
            </w:r>
          </w:p>
        </w:tc>
        <w:tc>
          <w:tcPr>
            <w:tcW w:w="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16,456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000" w:type="dxa"/>
            <w:vAlign w:val="bottom"/>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3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(2,749)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18,486</w:t>
            </w:r>
          </w:p>
        </w:tc>
        <w:tc>
          <w:tcPr>
            <w:tcW w:w="2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(51,923)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73,795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500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3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34,431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54,956</w:t>
            </w:r>
          </w:p>
        </w:tc>
        <w:tc>
          <w:tcPr>
            <w:tcW w:w="2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61,791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169,962</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43"/>
        </w:trPr>
        <w:tc>
          <w:tcPr>
            <w:tcW w:w="50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Earnings per common share—basic</w:t>
            </w:r>
          </w:p>
        </w:tc>
        <w:tc>
          <w:tcPr>
            <w:tcW w:w="32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0.43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42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0.75</w:t>
            </w:r>
          </w:p>
        </w:tc>
        <w:tc>
          <w:tcPr>
            <w:tcW w:w="26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0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2.37</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5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3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79,476,419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72,808,730</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77,250,889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71,696,874</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Earnings per common share—diluted</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3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80,515,411</w:t>
            </w:r>
          </w:p>
        </w:tc>
        <w:tc>
          <w:tcPr>
            <w:tcW w:w="2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79,403,555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5"/>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345"/>
        </w:trPr>
        <w:tc>
          <w:tcPr>
            <w:tcW w:w="5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quarter ended September 30, 2022 and 2021 is presented below (information presented herein is at par value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93"/>
              </w:rPr>
              <w:t>September 30, 2022</w:t>
            </w: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September 30, 2021</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1,910.1</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1,525.5</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384.6</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239.6</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274.4</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reference rate of</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floating rate investment commitments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5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5"/>
        </w:trPr>
        <w:tc>
          <w:tcPr>
            <w:tcW w:w="56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$60 billion in assets under management and committed capital. For more information, visit the Company’s website at https://sixthstreetspecialtylending.com.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Sixth Street is a global investment firm with over $60 billion in assets under management and committed capital. The firm uses its long-term flexible capital, data-enabled capabilities, and One Team culture to develop themes and offer solutions to companies across all stages of growth. Founded in 2009, Sixth Street has more than 400 team members including over 180 investment professionals around the world. For more information, visit https://sixthstreet.com or follow Sixth Street on LinkedIn.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260-241-7837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2022-11-01T15:14:27Z</dcterms:created>
  <dcterms:modified xsi:type="dcterms:W3CDTF">2022-11-01T15:14:27Z</dcterms:modified>
</cp:coreProperties>
</file>