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 w:lineRule="exact"/>
        <w:rPr>
          <w:sz w:val="24"/>
          <w:szCs w:val="24"/>
          <w:color w:val="auto"/>
        </w:rPr>
      </w:pPr>
    </w:p>
    <w:p>
      <w:pPr>
        <w:ind w:left="3900" w:right="420" w:hanging="3892"/>
        <w:spacing w:after="0" w:line="260" w:lineRule="auto"/>
        <w:tabs>
          <w:tab w:leader="none" w:pos="45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7" w:lineRule="exact"/>
        <w:rPr>
          <w:sz w:val="24"/>
          <w:szCs w:val="24"/>
          <w:color w:val="auto"/>
        </w:rPr>
      </w:pPr>
    </w:p>
    <w:p>
      <w:pPr>
        <w:ind w:left="460" w:right="460" w:hanging="452"/>
        <w:spacing w:after="0" w:line="243"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814-00854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0"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6300" w:type="dxa"/>
            <w:vAlign w:val="bottom"/>
          </w:tcPr>
          <w:p>
            <w:pPr>
              <w:ind w:left="20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40" w:type="dxa"/>
            <w:vAlign w:val="bottom"/>
          </w:tcPr>
          <w:p>
            <w:pPr>
              <w:spacing w:after="0"/>
              <w:rPr>
                <w:sz w:val="17"/>
                <w:szCs w:val="17"/>
                <w:color w:val="auto"/>
              </w:rPr>
            </w:pPr>
          </w:p>
        </w:tc>
      </w:tr>
      <w:tr>
        <w:trPr>
          <w:trHeight w:val="218"/>
        </w:trPr>
        <w:tc>
          <w:tcPr>
            <w:tcW w:w="6300" w:type="dxa"/>
            <w:vAlign w:val="bottom"/>
          </w:tcPr>
          <w:p>
            <w:pPr>
              <w:jc w:val="center"/>
              <w:ind w:right="3721"/>
              <w:spacing w:after="0"/>
              <w:rPr>
                <w:sz w:val="20"/>
                <w:szCs w:val="20"/>
                <w:color w:val="auto"/>
              </w:rPr>
            </w:pPr>
            <w:r>
              <w:rPr>
                <w:rFonts w:ascii="Arial" w:cs="Arial" w:eastAsia="Arial" w:hAnsi="Arial"/>
                <w:sz w:val="18"/>
                <w:szCs w:val="18"/>
                <w:b w:val="1"/>
                <w:bCs w:val="1"/>
                <w:color w:val="auto"/>
                <w:w w:val="88"/>
              </w:rPr>
              <w:t>Delaware</w:t>
            </w:r>
          </w:p>
        </w:tc>
        <w:tc>
          <w:tcPr>
            <w:tcW w:w="124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6300" w:type="dxa"/>
            <w:vAlign w:val="bottom"/>
          </w:tcPr>
          <w:p>
            <w:pPr>
              <w:jc w:val="center"/>
              <w:ind w:right="372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24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00" w:type="dxa"/>
            <w:vAlign w:val="bottom"/>
          </w:tcPr>
          <w:p>
            <w:pPr>
              <w:jc w:val="center"/>
              <w:ind w:right="3721"/>
              <w:spacing w:after="0"/>
              <w:rPr>
                <w:sz w:val="20"/>
                <w:szCs w:val="20"/>
                <w:color w:val="auto"/>
              </w:rPr>
            </w:pPr>
            <w:r>
              <w:rPr>
                <w:rFonts w:ascii="Arial" w:cs="Arial" w:eastAsia="Arial" w:hAnsi="Arial"/>
                <w:sz w:val="14"/>
                <w:szCs w:val="14"/>
                <w:b w:val="1"/>
                <w:bCs w:val="1"/>
                <w:color w:val="auto"/>
                <w:w w:val="89"/>
              </w:rPr>
              <w:t>Incorporation or Organization)</w:t>
            </w: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00" w:type="dxa"/>
            <w:vAlign w:val="bottom"/>
          </w:tcPr>
          <w:p>
            <w:pPr>
              <w:jc w:val="center"/>
              <w:ind w:right="3701"/>
              <w:spacing w:after="0"/>
              <w:rPr>
                <w:sz w:val="20"/>
                <w:szCs w:val="20"/>
                <w:color w:val="auto"/>
              </w:rPr>
            </w:pPr>
            <w:r>
              <w:rPr>
                <w:rFonts w:ascii="Arial" w:cs="Arial" w:eastAsia="Arial" w:hAnsi="Arial"/>
                <w:sz w:val="18"/>
                <w:szCs w:val="18"/>
                <w:b w:val="1"/>
                <w:bCs w:val="1"/>
                <w:color w:val="auto"/>
                <w:w w:val="87"/>
              </w:rPr>
              <w:t>301 Commerce Street, Suite 3300,</w:t>
            </w:r>
          </w:p>
        </w:tc>
        <w:tc>
          <w:tcPr>
            <w:tcW w:w="1240" w:type="dxa"/>
            <w:vAlign w:val="bottom"/>
          </w:tcPr>
          <w:p>
            <w:pPr>
              <w:spacing w:after="0"/>
              <w:rPr>
                <w:sz w:val="24"/>
                <w:szCs w:val="24"/>
                <w:color w:val="auto"/>
              </w:rPr>
            </w:pPr>
          </w:p>
        </w:tc>
      </w:tr>
      <w:tr>
        <w:trPr>
          <w:trHeight w:val="231"/>
        </w:trPr>
        <w:tc>
          <w:tcPr>
            <w:tcW w:w="6300" w:type="dxa"/>
            <w:vAlign w:val="bottom"/>
          </w:tcPr>
          <w:p>
            <w:pPr>
              <w:jc w:val="center"/>
              <w:ind w:right="3721"/>
              <w:spacing w:after="0"/>
              <w:rPr>
                <w:sz w:val="20"/>
                <w:szCs w:val="20"/>
                <w:color w:val="auto"/>
              </w:rPr>
            </w:pPr>
            <w:r>
              <w:rPr>
                <w:rFonts w:ascii="Arial" w:cs="Arial" w:eastAsia="Arial" w:hAnsi="Arial"/>
                <w:sz w:val="18"/>
                <w:szCs w:val="18"/>
                <w:b w:val="1"/>
                <w:bCs w:val="1"/>
                <w:color w:val="auto"/>
                <w:w w:val="94"/>
              </w:rPr>
              <w:t>Fort Worth, TX</w:t>
            </w:r>
          </w:p>
        </w:tc>
        <w:tc>
          <w:tcPr>
            <w:tcW w:w="124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6300" w:type="dxa"/>
            <w:vAlign w:val="bottom"/>
          </w:tcPr>
          <w:p>
            <w:pPr>
              <w:jc w:val="center"/>
              <w:ind w:right="372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ectPr>
          <w:pgSz w:w="11900" w:h="16838" w:orient="portrait"/>
          <w:cols w:equalWidth="0" w:num="1">
            <w:col w:w="11420"/>
          </w:cols>
          <w:pgMar w:left="240" w:top="230" w:right="239" w:bottom="1440" w:gutter="0" w:footer="0" w:header="0"/>
        </w:sectPr>
      </w:pPr>
    </w:p>
    <w:p>
      <w:pPr>
        <w:spacing w:after="0" w:line="16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-129540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0" w:lineRule="exact"/>
        <w:rPr>
          <w:sz w:val="24"/>
          <w:szCs w:val="24"/>
          <w:color w:val="auto"/>
        </w:rPr>
      </w:pPr>
    </w:p>
    <w:p>
      <w:pPr>
        <w:sectPr>
          <w:pgSz w:w="11900" w:h="16838" w:orient="portrait"/>
          <w:cols w:equalWidth="0" w:num="4">
            <w:col w:w="8240" w:space="160"/>
            <w:col w:w="340" w:space="80"/>
            <w:col w:w="160" w:space="180"/>
            <w:col w:w="2260"/>
          </w:cols>
          <w:pgMar w:left="240" w:top="230" w:right="23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7" w:lineRule="exact"/>
        <w:rPr>
          <w:sz w:val="24"/>
          <w:szCs w:val="24"/>
          <w:color w:val="auto"/>
        </w:rPr>
      </w:pPr>
    </w:p>
    <w:p>
      <w:pPr>
        <w:sectPr>
          <w:pgSz w:w="11900" w:h="16838" w:orient="portrait"/>
          <w:cols w:equalWidth="0" w:num="4">
            <w:col w:w="8400" w:space="180"/>
            <w:col w:w="320" w:space="100"/>
            <w:col w:w="160" w:space="180"/>
            <w:col w:w="2080"/>
          </w:cols>
          <w:pgMar w:left="240" w:top="230" w:right="239" w:bottom="1440" w:gutter="0" w:footer="0" w:header="0"/>
          <w:type w:val="continuous"/>
        </w:sect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700"/>
        <w:spacing w:after="0" w:line="31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Securities Exchange Act. (Check one):</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40" w:space="520"/>
            <w:col w:w="5780" w:space="720"/>
            <w:col w:w="18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40" w:space="620"/>
            <w:col w:w="160" w:space="80"/>
            <w:col w:w="5540" w:space="720"/>
            <w:col w:w="1960" w:space="640"/>
            <w:col w:w="160"/>
          </w:cols>
          <w:pgMar w:left="240" w:top="230" w:right="23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As of December 31, 2013, there was no established public market for the registrant’s common stock.</w:t>
      </w:r>
    </w:p>
    <w:p>
      <w:pPr>
        <w:sectPr>
          <w:pgSz w:w="11900" w:h="16838" w:orient="portrait"/>
          <w:cols w:equalWidth="0" w:num="1">
            <w:col w:w="11420"/>
          </w:cols>
          <w:pgMar w:left="240" w:top="230" w:right="239" w:bottom="1440" w:gutter="0" w:footer="0" w:header="0"/>
          <w:type w:val="continuous"/>
        </w:sectPr>
      </w:pP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$.01 par value per share, outstanding at March 4, 2014 was 41,762,724.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8"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Registrant’s proxy statement for the 2014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920" w:type="dxa"/>
            <w:vAlign w:val="bottom"/>
            <w:gridSpan w:val="10"/>
          </w:tcPr>
          <w:p>
            <w:pPr>
              <w:jc w:val="center"/>
              <w:ind w:right="3540"/>
              <w:spacing w:after="0"/>
              <w:rPr>
                <w:sz w:val="20"/>
                <w:szCs w:val="20"/>
                <w:color w:val="auto"/>
              </w:rPr>
            </w:pPr>
            <w:r>
              <w:rPr>
                <w:rFonts w:ascii="Arial" w:cs="Arial" w:eastAsia="Arial" w:hAnsi="Arial"/>
                <w:sz w:val="22"/>
                <w:szCs w:val="22"/>
                <w:b w:val="1"/>
                <w:bCs w:val="1"/>
                <w:color w:val="auto"/>
                <w:w w:val="99"/>
              </w:rPr>
              <w:t>TPG SPECIALTY LENDING, INC.</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20" w:type="dxa"/>
            <w:vAlign w:val="bottom"/>
            <w:gridSpan w:val="10"/>
          </w:tcPr>
          <w:p>
            <w:pPr>
              <w:jc w:val="center"/>
              <w:ind w:right="3520"/>
              <w:spacing w:after="0"/>
              <w:rPr>
                <w:sz w:val="20"/>
                <w:szCs w:val="20"/>
                <w:color w:val="auto"/>
              </w:rPr>
            </w:pPr>
            <w:r>
              <w:rPr>
                <w:rFonts w:ascii="Arial" w:cs="Arial" w:eastAsia="Arial" w:hAnsi="Arial"/>
                <w:sz w:val="18"/>
                <w:szCs w:val="18"/>
                <w:b w:val="1"/>
                <w:bCs w:val="1"/>
                <w:color w:val="auto"/>
                <w:w w:val="90"/>
              </w:rPr>
              <w:t>Index to Annual Report on Form 10-K for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gridSpan w:val="8"/>
          </w:tcPr>
          <w:p>
            <w:pPr>
              <w:jc w:val="center"/>
              <w:ind w:right="4000"/>
              <w:spacing w:after="0"/>
              <w:rPr>
                <w:sz w:val="20"/>
                <w:szCs w:val="20"/>
                <w:color w:val="auto"/>
              </w:rPr>
            </w:pPr>
            <w:r>
              <w:rPr>
                <w:rFonts w:ascii="Arial" w:cs="Arial" w:eastAsia="Arial" w:hAnsi="Arial"/>
                <w:sz w:val="18"/>
                <w:szCs w:val="18"/>
                <w:b w:val="1"/>
                <w:bCs w:val="1"/>
                <w:color w:val="auto"/>
                <w:w w:val="87"/>
              </w:rPr>
              <w:t>Year Ended December 31, 2013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580" w:type="dxa"/>
            <w:vAlign w:val="bottom"/>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66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66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7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Risk Factors</w:t>
              </w:r>
            </w:hyperlink>
          </w:p>
        </w:tc>
        <w:tc>
          <w:tcPr>
            <w:tcW w:w="882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Unresolved Staff Comments</w:t>
              </w:r>
            </w:hyperlink>
          </w:p>
        </w:tc>
        <w:tc>
          <w:tcPr>
            <w:tcW w:w="77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970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Properties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Legal Proceedings</w:t>
              </w:r>
            </w:hyperlink>
          </w:p>
        </w:tc>
        <w:tc>
          <w:tcPr>
            <w:tcW w:w="840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w w:val="98"/>
              </w:rPr>
              <w:t>ITEM 5.</w:t>
            </w:r>
          </w:p>
        </w:tc>
        <w:tc>
          <w:tcPr>
            <w:tcW w:w="600" w:type="dxa"/>
            <w:vAlign w:val="bottom"/>
            <w:gridSpan w:val="3"/>
          </w:tcPr>
          <w:p>
            <w:pPr>
              <w:spacing w:after="0"/>
              <w:rPr>
                <w:sz w:val="17"/>
                <w:szCs w:val="17"/>
                <w:color w:val="auto"/>
              </w:rPr>
            </w:pPr>
          </w:p>
        </w:tc>
        <w:tc>
          <w:tcPr>
            <w:tcW w:w="78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Market for Registrant’s Common Equity, Related Stockholder Matters and Issuer Purchases of Equity Securities</w:t>
              </w:r>
            </w:hyperlink>
          </w:p>
        </w:tc>
        <w:tc>
          <w:tcPr>
            <w:tcW w:w="18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970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Selected Financial Data</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Management’s Discussion and Analysis of Financial Condition and Results of Operations</w:t>
              </w:r>
            </w:hyperlink>
          </w:p>
        </w:tc>
        <w:tc>
          <w:tcPr>
            <w:tcW w:w="34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9700" w:type="dxa"/>
            <w:vAlign w:val="bottom"/>
            <w:gridSpan w:val="2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Financial Statements and Supplementary Data</w:t>
              </w:r>
            </w:hyperlink>
          </w:p>
        </w:tc>
        <w:tc>
          <w:tcPr>
            <w:tcW w:w="546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Changes in and Disagreements with Accountants on Accounting and Financial Disclosure</w:t>
              </w:r>
            </w:hyperlink>
          </w:p>
        </w:tc>
        <w:tc>
          <w:tcPr>
            <w:tcW w:w="33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700" w:type="dxa"/>
            <w:vAlign w:val="bottom"/>
            <w:gridSpan w:val="2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Controls and Procedures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798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III</w:t>
              </w:r>
            </w:hyperlink>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Directors, Executive Officers and Corporate Governance</w:t>
              </w:r>
            </w:hyperlink>
          </w:p>
        </w:tc>
        <w:tc>
          <w:tcPr>
            <w:tcW w:w="57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Executive Compensation</w:t>
              </w:r>
            </w:hyperlink>
          </w:p>
        </w:tc>
        <w:tc>
          <w:tcPr>
            <w:tcW w:w="79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Security Ownership of Certain Beneficial Owners and Management and Related Stockholder Matters</w:t>
              </w:r>
            </w:hyperlink>
          </w:p>
        </w:tc>
        <w:tc>
          <w:tcPr>
            <w:tcW w:w="25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Certain Relationships and Related Transactions, and Director Independence</w:t>
              </w:r>
            </w:hyperlink>
          </w:p>
        </w:tc>
        <w:tc>
          <w:tcPr>
            <w:tcW w:w="43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700" w:type="dxa"/>
            <w:vAlign w:val="bottom"/>
            <w:gridSpan w:val="2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Principal Accountant Fees and Services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80" w:type="dxa"/>
            <w:vAlign w:val="bottom"/>
            <w:gridSpan w:val="11"/>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Exhibits and Financial Statement Schedules</w:t>
              </w:r>
            </w:hyperlink>
          </w:p>
        </w:tc>
        <w:tc>
          <w:tcPr>
            <w:tcW w:w="66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4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report and elsewhere in our filings with the SEC.</w:t>
      </w:r>
    </w:p>
    <w:p>
      <w:pPr>
        <w:spacing w:after="0" w:line="19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1934 Act, which preclude civil liability for certain forward-looking statements, do not apply to the forward-looking statements in this report because we are an investment company.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 this Annual Report, except where the context suggests otherwise, the terms “TSL,” “we,” “us,” “our,” and “the Company” refer to TPG Specialty Lending, Inc. The term “Adviser” refers to TSL Advisers, LLC, a Delaware limited liability company. The term “TSSP” refers to TPG Special Situations Partners. The term “TPG” refers to TPG Global, LLC and its affiliates.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are a specialty finance company focused on lending to middle-market companies. Since we began our investment activities in July 2011, we have originated more than $2.2 billion aggregate principal amount of investments and retained approximately $1.5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0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In conducting our investment activities, we believe that we benefit from the significant scale and resources of our Adviser and its affiliates.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December 31, 2013, our portfolio consisted of 86.3% first-lien debt investments, 13.5% second-lien debt investments, and 0.2% equity investments. Approximately 98.8% of our investments based on fair value as of December 31, 2013 are floating rate in nature, subject to interest rate floors, which we believe helps act as a portfolio-wide hedge against inflation. As of December 31, 2013 and 2012, we had debt and equity investments in 27 and 21 portfolio companies, respectively. As of December 31, 2013, our average investment in each of our portfolio companies was $37.6 million.</w:t>
      </w:r>
    </w:p>
    <w:p>
      <w:pPr>
        <w:spacing w:after="0" w:line="12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As of December 31, 2013, our portfolio was invested across 17 different industries. The largest industries in our portfolio, based on fair value as of December 31, 2013, were business services, financial services, and healthcare and pharmaceuticals, which represented, as a percentage of our portfolio, 16.5%, 11.6%, and 10.8%, respectively. We expect that no single investment will represent more than 15% of our total investment portfolio, based on fair value.</w:t>
      </w:r>
    </w:p>
    <w:p>
      <w:pPr>
        <w:spacing w:after="0" w:line="88"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We are an externally managed, closed-end, non-diversified management investment company that has elected to be regulated as a business development company, or BDC, under the Investment Company Act of 1940, as amended, or the 1940 Act. In addition, for U.S. income tax purposes, we have elected to be treated as a regulated investment company, or RIC, under Subchapter M of the Internal Revenue Code of 1986, as amended, which we refer to as the Code.</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Because we elected to be a BDC and have elected to be treated as a RIC for U.S. tax purposes, our portfolio is and will continue to be subject to diversification and other requirements to maintain such status elections.</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Currently, we employ a variety of credit facilities. We may, in the future, enter into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 date, we have conducted private offerings of our common stock to investors in reliance on exemptions from the registration requirements of the U.S. Securities Act of 1933, as amended, or the Securities Act, and other applicable securities laws. At the closing of each private offering, investors made capital commitments to purchase our common stock from time to time at net asset value. We have raised a total of $1.5 billion in committed capital in private offerings, which does not include equity issued through our dividend reinvestment plan. As of December 31, 2013, we have drawn $517.5 million of these capital commitments, and issued $35.6 million of equity through our dividend reinvestment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comprise only a single reportable segment.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Adviser</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TSL Advisers, LLC is our external manager. Our Adviser is a Delaware limited liability company and acts as our investment adviser and administrator. Our Adviser is also a registered investment adviser with the SEC under the Investment Advisers Act of 1940, as amended, or the Advisers Act.</w:t>
      </w:r>
    </w:p>
    <w:p>
      <w:pPr>
        <w:spacing w:after="0" w:line="85"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10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December 31, 2013, our Adviser owned 6.3% of our common stock and had committed $100 million in equity capital under a subscription agreement like those entered into with our existing investors.</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November 5, 2013, our Board renewed the Investment Advisory Agreement. Unless earlier terminated, the Investment Advisory Agreement will remain in effect until November 5, 2014, and may be extended subject to required approvals.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Decision Process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and Sourcing</w:t>
      </w:r>
    </w:p>
    <w:p>
      <w:pPr>
        <w:spacing w:after="0" w:line="90" w:lineRule="exact"/>
        <w:rPr>
          <w:sz w:val="20"/>
          <w:szCs w:val="20"/>
          <w:color w:val="auto"/>
        </w:rPr>
      </w:pPr>
    </w:p>
    <w:p>
      <w:pPr>
        <w:jc w:val="both"/>
        <w:ind w:right="240" w:firstLine="456"/>
        <w:spacing w:after="0" w:line="294"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Process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 Investment Process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Formal Commitment</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Monitoring</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13"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59" w:lineRule="exact"/>
        <w:rPr>
          <w:sz w:val="20"/>
          <w:szCs w:val="20"/>
          <w:color w:val="auto"/>
        </w:rPr>
      </w:pPr>
    </w:p>
    <w:p>
      <w:pPr>
        <w:ind w:left="900" w:right="16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distribution of our investments on the 1 to 5 investment performance rating scale at fair value as of December 31, 2013:</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29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5"/>
              </w:rPr>
              <w:t>Investments at</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89"/>
              </w:rPr>
              <w:t>Fair Value</w:t>
            </w:r>
          </w:p>
        </w:tc>
        <w:tc>
          <w:tcPr>
            <w:tcW w:w="106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1"/>
        </w:trPr>
        <w:tc>
          <w:tcPr>
            <w:tcW w:w="19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 in millions)</w:t>
            </w:r>
          </w:p>
        </w:tc>
        <w:tc>
          <w:tcPr>
            <w:tcW w:w="2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2760" w:type="dxa"/>
            <w:vAlign w:val="bottom"/>
            <w:gridSpan w:val="2"/>
            <w:vMerge w:val="restart"/>
            <w:shd w:val="clear" w:color="auto" w:fill="CCEEFF"/>
          </w:tcPr>
          <w:p>
            <w:pPr>
              <w:jc w:val="center"/>
              <w:ind w:left="1872"/>
              <w:spacing w:after="0"/>
              <w:rPr>
                <w:sz w:val="20"/>
                <w:szCs w:val="20"/>
                <w:color w:val="auto"/>
              </w:rPr>
            </w:pPr>
            <w:r>
              <w:rPr>
                <w:rFonts w:ascii="Arial" w:cs="Arial" w:eastAsia="Arial" w:hAnsi="Arial"/>
                <w:sz w:val="18"/>
                <w:szCs w:val="18"/>
                <w:color w:val="auto"/>
                <w:w w:val="79"/>
              </w:rPr>
              <w:t>1</w:t>
            </w:r>
          </w:p>
        </w:tc>
        <w:tc>
          <w:tcPr>
            <w:tcW w:w="2960" w:type="dxa"/>
            <w:vAlign w:val="bottom"/>
            <w:gridSpan w:val="2"/>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gridSpan w:val="2"/>
            <w:vMerge w:val="continue"/>
            <w:shd w:val="clear" w:color="auto" w:fill="CCEEFF"/>
          </w:tcPr>
          <w:p>
            <w:pPr>
              <w:spacing w:after="0"/>
              <w:rPr>
                <w:sz w:val="17"/>
                <w:szCs w:val="17"/>
                <w:color w:val="auto"/>
              </w:rPr>
            </w:pPr>
          </w:p>
        </w:tc>
        <w:tc>
          <w:tcPr>
            <w:tcW w:w="29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859.4</w:t>
            </w:r>
          </w:p>
        </w:tc>
        <w:tc>
          <w:tcPr>
            <w:tcW w:w="106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760" w:type="dxa"/>
            <w:vAlign w:val="bottom"/>
            <w:gridSpan w:val="2"/>
          </w:tcPr>
          <w:p>
            <w:pPr>
              <w:jc w:val="center"/>
              <w:ind w:left="1872"/>
              <w:spacing w:after="0"/>
              <w:rPr>
                <w:sz w:val="20"/>
                <w:szCs w:val="20"/>
                <w:color w:val="auto"/>
              </w:rPr>
            </w:pPr>
            <w:r>
              <w:rPr>
                <w:rFonts w:ascii="Arial" w:cs="Arial" w:eastAsia="Arial" w:hAnsi="Arial"/>
                <w:sz w:val="18"/>
                <w:szCs w:val="18"/>
                <w:color w:val="auto"/>
                <w:w w:val="79"/>
              </w:rPr>
              <w:t>2</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116.4</w:t>
            </w: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jc w:val="center"/>
              <w:ind w:left="1872"/>
              <w:spacing w:after="0"/>
              <w:rPr>
                <w:sz w:val="20"/>
                <w:szCs w:val="20"/>
                <w:color w:val="auto"/>
              </w:rPr>
            </w:pPr>
            <w:r>
              <w:rPr>
                <w:rFonts w:ascii="Arial" w:cs="Arial" w:eastAsia="Arial" w:hAnsi="Arial"/>
                <w:sz w:val="18"/>
                <w:szCs w:val="18"/>
                <w:color w:val="auto"/>
                <w:w w:val="79"/>
              </w:rPr>
              <w:t>3</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760" w:type="dxa"/>
            <w:vAlign w:val="bottom"/>
            <w:gridSpan w:val="2"/>
          </w:tcPr>
          <w:p>
            <w:pPr>
              <w:jc w:val="center"/>
              <w:ind w:left="1872"/>
              <w:spacing w:after="0"/>
              <w:rPr>
                <w:sz w:val="20"/>
                <w:szCs w:val="20"/>
                <w:color w:val="auto"/>
              </w:rPr>
            </w:pPr>
            <w:r>
              <w:rPr>
                <w:rFonts w:ascii="Arial" w:cs="Arial" w:eastAsia="Arial" w:hAnsi="Arial"/>
                <w:sz w:val="18"/>
                <w:szCs w:val="18"/>
                <w:color w:val="auto"/>
                <w:w w:val="79"/>
              </w:rPr>
              <w:t>4</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jc w:val="center"/>
              <w:ind w:left="1872"/>
              <w:spacing w:after="0"/>
              <w:rPr>
                <w:sz w:val="20"/>
                <w:szCs w:val="20"/>
                <w:color w:val="auto"/>
              </w:rPr>
            </w:pPr>
            <w:r>
              <w:rPr>
                <w:rFonts w:ascii="Arial" w:cs="Arial" w:eastAsia="Arial" w:hAnsi="Arial"/>
                <w:sz w:val="18"/>
                <w:szCs w:val="18"/>
                <w:color w:val="auto"/>
                <w:w w:val="79"/>
              </w:rPr>
              <w:t>5</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3040" w:type="dxa"/>
            <w:vAlign w:val="bottom"/>
            <w:gridSpan w:val="3"/>
          </w:tcPr>
          <w:p>
            <w:pPr>
              <w:ind w:left="29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1,016.5</w:t>
            </w: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Investments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our risk while providing funding to help the portfolio company achieve its business plan. We invest in the following types of debt:</w:t>
      </w:r>
    </w:p>
    <w:p>
      <w:pPr>
        <w:spacing w:after="0" w:line="84" w:lineRule="exact"/>
        <w:rPr>
          <w:sz w:val="20"/>
          <w:szCs w:val="20"/>
          <w:color w:val="auto"/>
        </w:rPr>
      </w:pPr>
    </w:p>
    <w:p>
      <w:pPr>
        <w:ind w:left="900" w:right="140" w:hanging="325"/>
        <w:spacing w:after="0" w:line="25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55" w:lineRule="exact"/>
        <w:rPr>
          <w:rFonts w:ascii="Arial" w:cs="Arial" w:eastAsia="Arial" w:hAnsi="Arial"/>
          <w:sz w:val="18"/>
          <w:szCs w:val="18"/>
          <w:color w:val="auto"/>
        </w:rPr>
      </w:pPr>
    </w:p>
    <w:p>
      <w:pPr>
        <w:ind w:left="1480" w:right="280" w:hanging="446"/>
        <w:spacing w:after="0" w:line="275"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that is subject to the first-priority security interest.</w:t>
      </w:r>
    </w:p>
    <w:p>
      <w:pPr>
        <w:spacing w:after="0" w:line="38" w:lineRule="exact"/>
        <w:rPr>
          <w:rFonts w:ascii="Arial" w:cs="Arial" w:eastAsia="Arial" w:hAnsi="Arial"/>
          <w:sz w:val="18"/>
          <w:szCs w:val="18"/>
          <w:color w:val="auto"/>
        </w:rPr>
      </w:pPr>
    </w:p>
    <w:p>
      <w:pPr>
        <w:ind w:left="1480" w:right="40" w:hanging="446"/>
        <w:spacing w:after="0" w:line="290"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“Last out” first-lien loans. </w:t>
      </w:r>
      <w:r>
        <w:rPr>
          <w:rFonts w:ascii="Arial" w:cs="Arial" w:eastAsia="Arial" w:hAnsi="Arial"/>
          <w:sz w:val="16"/>
          <w:szCs w:val="16"/>
          <w:color w:val="auto"/>
        </w:rPr>
        <w:t>“Last out” first-lien loans have a secondary priority behind super-senior “first out” first-lien loans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31" w:lineRule="exact"/>
        <w:rPr>
          <w:rFonts w:ascii="Arial" w:cs="Arial" w:eastAsia="Arial" w:hAnsi="Arial"/>
          <w:sz w:val="16"/>
          <w:szCs w:val="16"/>
          <w:color w:val="auto"/>
        </w:rPr>
      </w:pPr>
    </w:p>
    <w:p>
      <w:pPr>
        <w:ind w:left="1480" w:right="100" w:hanging="446"/>
        <w:spacing w:after="0" w:line="310"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b w:val="1"/>
          <w:b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16"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57" w:lineRule="exact"/>
        <w:rPr>
          <w:rFonts w:ascii="Arial" w:cs="Arial" w:eastAsia="Arial" w:hAnsi="Arial"/>
          <w:sz w:val="18"/>
          <w:szCs w:val="18"/>
          <w:color w:val="auto"/>
        </w:rPr>
      </w:pPr>
    </w:p>
    <w:p>
      <w:pPr>
        <w:ind w:left="900" w:right="40" w:hanging="325"/>
        <w:spacing w:after="0" w:line="29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“Mezzanine” debt. </w:t>
      </w:r>
      <w:r>
        <w:rPr>
          <w:rFonts w:ascii="Arial" w:cs="Arial" w:eastAsia="Arial" w:hAnsi="Arial"/>
          <w:sz w:val="16"/>
          <w:szCs w:val="16"/>
          <w:color w:val="auto"/>
        </w:rPr>
        <w:t>Structurally, mezzanine debt usually ranks subordinate in priority of payment to first-lien and second-lien debt, is often</w:t>
      </w:r>
      <w:r>
        <w:rPr>
          <w:rFonts w:ascii="Arial" w:cs="Arial" w:eastAsia="Arial" w:hAnsi="Arial"/>
          <w:sz w:val="16"/>
          <w:szCs w:val="16"/>
          <w:b w:val="1"/>
          <w:bCs w:val="1"/>
          <w:color w:val="auto"/>
        </w:rPr>
        <w:t xml:space="preserve"> </w:t>
      </w:r>
      <w:r>
        <w:rPr>
          <w:rFonts w:ascii="Arial" w:cs="Arial" w:eastAsia="Arial" w:hAnsi="Arial"/>
          <w:sz w:val="16"/>
          <w:szCs w:val="16"/>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1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 and</w:t>
      </w:r>
    </w:p>
    <w:p>
      <w:pPr>
        <w:spacing w:after="0" w:line="180"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As of December 31, 2013 and December 31, 2012, we had made investments with an aggregate fair value of $1,016.5 million and $653.9 million, respectively, in 27 and 21 portfolio companies,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2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Amortized Cost</w:t>
            </w:r>
          </w:p>
        </w:tc>
        <w:tc>
          <w:tcPr>
            <w:tcW w:w="90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Net Unrealized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9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877.2</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Equity investments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2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Amortized Cost</w:t>
            </w:r>
          </w:p>
        </w:tc>
        <w:tc>
          <w:tcPr>
            <w:tcW w:w="90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Net Unrealized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9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582.3</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67.3</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Equity investments</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6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653.9</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1360" w:right="1580" w:hanging="434"/>
        <w:spacing w:after="0" w:line="268" w:lineRule="auto"/>
        <w:tabs>
          <w:tab w:leader="none" w:pos="12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2013 and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1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2013</w:t>
            </w:r>
          </w:p>
        </w:tc>
        <w:tc>
          <w:tcPr>
            <w:tcW w:w="1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34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w:t>
            </w:r>
          </w:p>
        </w:tc>
        <w:tc>
          <w:tcPr>
            <w:tcW w:w="56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Automotive</w:t>
            </w:r>
          </w:p>
        </w:tc>
        <w:tc>
          <w:tcPr>
            <w:tcW w:w="3140" w:type="dxa"/>
            <w:vAlign w:val="bottom"/>
            <w:gridSpan w:val="3"/>
          </w:tcPr>
          <w:p>
            <w:pPr>
              <w:jc w:val="right"/>
              <w:ind w:right="580"/>
              <w:spacing w:after="0"/>
              <w:rPr>
                <w:sz w:val="20"/>
                <w:szCs w:val="20"/>
                <w:color w:val="auto"/>
              </w:rPr>
            </w:pPr>
            <w:r>
              <w:rPr>
                <w:rFonts w:ascii="Arial" w:cs="Arial" w:eastAsia="Arial" w:hAnsi="Arial"/>
                <w:sz w:val="18"/>
                <w:szCs w:val="18"/>
                <w:color w:val="auto"/>
              </w:rPr>
              <w:t>6.1%</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Business services</w:t>
            </w:r>
          </w:p>
        </w:tc>
        <w:tc>
          <w:tcPr>
            <w:tcW w:w="3140" w:type="dxa"/>
            <w:vAlign w:val="bottom"/>
            <w:gridSpan w:val="3"/>
          </w:tcPr>
          <w:p>
            <w:pPr>
              <w:jc w:val="right"/>
              <w:ind w:right="580"/>
              <w:spacing w:after="0"/>
              <w:rPr>
                <w:sz w:val="20"/>
                <w:szCs w:val="20"/>
                <w:color w:val="auto"/>
              </w:rPr>
            </w:pPr>
            <w:r>
              <w:rPr>
                <w:rFonts w:ascii="Arial" w:cs="Arial" w:eastAsia="Arial" w:hAnsi="Arial"/>
                <w:sz w:val="18"/>
                <w:szCs w:val="18"/>
                <w:color w:val="auto"/>
              </w:rPr>
              <w:t>16.5%</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140" w:type="dxa"/>
            <w:vAlign w:val="bottom"/>
            <w:gridSpan w:val="3"/>
          </w:tcPr>
          <w:p>
            <w:pPr>
              <w:jc w:val="right"/>
              <w:ind w:right="580"/>
              <w:spacing w:after="0"/>
              <w:rPr>
                <w:sz w:val="20"/>
                <w:szCs w:val="20"/>
                <w:color w:val="auto"/>
              </w:rPr>
            </w:pPr>
            <w:r>
              <w:rPr>
                <w:rFonts w:ascii="Arial" w:cs="Arial" w:eastAsia="Arial" w:hAnsi="Arial"/>
                <w:sz w:val="18"/>
                <w:szCs w:val="18"/>
                <w:color w:val="auto"/>
              </w:rPr>
              <w:t>5.1%</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Education</w:t>
            </w:r>
          </w:p>
        </w:tc>
        <w:tc>
          <w:tcPr>
            <w:tcW w:w="3140" w:type="dxa"/>
            <w:vAlign w:val="bottom"/>
            <w:gridSpan w:val="3"/>
          </w:tcPr>
          <w:p>
            <w:pPr>
              <w:jc w:val="right"/>
              <w:ind w:right="58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Financial services</w:t>
            </w:r>
          </w:p>
        </w:tc>
        <w:tc>
          <w:tcPr>
            <w:tcW w:w="3140" w:type="dxa"/>
            <w:vAlign w:val="bottom"/>
            <w:gridSpan w:val="3"/>
          </w:tcPr>
          <w:p>
            <w:pPr>
              <w:jc w:val="right"/>
              <w:ind w:right="580"/>
              <w:spacing w:after="0"/>
              <w:rPr>
                <w:sz w:val="20"/>
                <w:szCs w:val="20"/>
                <w:color w:val="auto"/>
              </w:rPr>
            </w:pPr>
            <w:r>
              <w:rPr>
                <w:rFonts w:ascii="Arial" w:cs="Arial" w:eastAsia="Arial" w:hAnsi="Arial"/>
                <w:sz w:val="18"/>
                <w:szCs w:val="18"/>
                <w:color w:val="auto"/>
              </w:rPr>
              <w:t>11.6%</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40" w:type="dxa"/>
            <w:vAlign w:val="bottom"/>
            <w:gridSpan w:val="3"/>
          </w:tcPr>
          <w:p>
            <w:pPr>
              <w:jc w:val="right"/>
              <w:ind w:right="580"/>
              <w:spacing w:after="0"/>
              <w:rPr>
                <w:sz w:val="20"/>
                <w:szCs w:val="20"/>
                <w:color w:val="auto"/>
              </w:rPr>
            </w:pPr>
            <w:r>
              <w:rPr>
                <w:rFonts w:ascii="Arial" w:cs="Arial" w:eastAsia="Arial" w:hAnsi="Arial"/>
                <w:sz w:val="18"/>
                <w:szCs w:val="18"/>
                <w:color w:val="auto"/>
              </w:rPr>
              <w:t>7.2%</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Insurance</w:t>
            </w:r>
          </w:p>
        </w:tc>
        <w:tc>
          <w:tcPr>
            <w:tcW w:w="3140" w:type="dxa"/>
            <w:vAlign w:val="bottom"/>
            <w:gridSpan w:val="3"/>
          </w:tcPr>
          <w:p>
            <w:pPr>
              <w:jc w:val="right"/>
              <w:ind w:right="580"/>
              <w:spacing w:after="0"/>
              <w:rPr>
                <w:sz w:val="20"/>
                <w:szCs w:val="20"/>
                <w:color w:val="auto"/>
              </w:rPr>
            </w:pPr>
            <w:r>
              <w:rPr>
                <w:rFonts w:ascii="Arial" w:cs="Arial" w:eastAsia="Arial" w:hAnsi="Arial"/>
                <w:sz w:val="18"/>
                <w:szCs w:val="18"/>
                <w:color w:val="auto"/>
              </w:rPr>
              <w:t>3.2%</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Metals and mining</w:t>
            </w:r>
          </w:p>
        </w:tc>
        <w:tc>
          <w:tcPr>
            <w:tcW w:w="3140" w:type="dxa"/>
            <w:vAlign w:val="bottom"/>
            <w:gridSpan w:val="3"/>
          </w:tcPr>
          <w:p>
            <w:pPr>
              <w:jc w:val="right"/>
              <w:ind w:right="58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140" w:type="dxa"/>
            <w:vAlign w:val="bottom"/>
            <w:gridSpan w:val="3"/>
          </w:tcPr>
          <w:p>
            <w:pPr>
              <w:jc w:val="right"/>
              <w:ind w:right="58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 or services (such as software) directed to those end-markets.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2013 and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2013</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60" w:type="dxa"/>
            <w:vAlign w:val="bottom"/>
            <w:gridSpan w:val="3"/>
          </w:tcPr>
          <w:p>
            <w:pPr>
              <w:jc w:val="right"/>
              <w:ind w:right="600"/>
              <w:spacing w:after="0"/>
              <w:rPr>
                <w:sz w:val="20"/>
                <w:szCs w:val="20"/>
                <w:color w:val="auto"/>
              </w:rPr>
            </w:pPr>
            <w:r>
              <w:rPr>
                <w:rFonts w:ascii="Arial" w:cs="Arial" w:eastAsia="Arial" w:hAnsi="Arial"/>
                <w:sz w:val="18"/>
                <w:szCs w:val="18"/>
                <w:color w:val="auto"/>
              </w:rPr>
              <w:t>14.2%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South</w:t>
            </w:r>
          </w:p>
        </w:tc>
        <w:tc>
          <w:tcPr>
            <w:tcW w:w="3760" w:type="dxa"/>
            <w:vAlign w:val="bottom"/>
            <w:gridSpan w:val="3"/>
          </w:tcPr>
          <w:p>
            <w:pPr>
              <w:jc w:val="right"/>
              <w:ind w:right="600"/>
              <w:spacing w:after="0"/>
              <w:rPr>
                <w:sz w:val="20"/>
                <w:szCs w:val="20"/>
                <w:color w:val="auto"/>
              </w:rPr>
            </w:pPr>
            <w:r>
              <w:rPr>
                <w:rFonts w:ascii="Arial" w:cs="Arial" w:eastAsia="Arial" w:hAnsi="Arial"/>
                <w:sz w:val="18"/>
                <w:szCs w:val="18"/>
                <w:color w:val="auto"/>
              </w:rPr>
              <w:t>19.7%</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Europe</w:t>
            </w:r>
          </w:p>
        </w:tc>
        <w:tc>
          <w:tcPr>
            <w:tcW w:w="1920" w:type="dxa"/>
            <w:vAlign w:val="bottom"/>
          </w:tcPr>
          <w:p>
            <w:pPr>
              <w:spacing w:after="0"/>
              <w:rPr>
                <w:sz w:val="18"/>
                <w:szCs w:val="18"/>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9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2012, we had the following commitments to fund investments: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20"/>
                <w:szCs w:val="20"/>
                <w:color w:val="auto"/>
              </w:rPr>
            </w:pPr>
            <w:r>
              <w:rPr>
                <w:rFonts w:ascii="Arial" w:cs="Arial" w:eastAsia="Arial" w:hAnsi="Arial"/>
                <w:sz w:val="14"/>
                <w:szCs w:val="14"/>
                <w:color w:val="auto"/>
              </w:rPr>
              <w:t>($ in millions)</w:t>
            </w:r>
          </w:p>
        </w:tc>
        <w:tc>
          <w:tcPr>
            <w:tcW w:w="19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2013</w:t>
            </w:r>
          </w:p>
        </w:tc>
        <w:tc>
          <w:tcPr>
            <w:tcW w:w="130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2012</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9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9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23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7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940" w:type="dxa"/>
            <w:vAlign w:val="bottom"/>
            <w:vMerge w:val="restart"/>
          </w:tcPr>
          <w:p>
            <w:pPr>
              <w:jc w:val="right"/>
              <w:ind w:right="1032"/>
              <w:spacing w:after="0"/>
              <w:rPr>
                <w:sz w:val="20"/>
                <w:szCs w:val="20"/>
                <w:color w:val="auto"/>
              </w:rPr>
            </w:pPr>
            <w:r>
              <w:rPr>
                <w:rFonts w:ascii="Arial" w:cs="Arial" w:eastAsia="Arial" w:hAnsi="Arial"/>
                <w:sz w:val="18"/>
                <w:szCs w:val="18"/>
                <w:color w:val="auto"/>
              </w:rPr>
              <w:t>10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Commitments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As of December 31, 2013 and 2012, we had $1.5 billion and $1.4 billion, respectively, in total capital commitments from investors ($1.0 billion and $0.9 billion unfunded, respectively), of which $117.1 million and $114.1 million, respectively, is from the Adviser and its affiliates ($76.7 million and $76.6 million unfunded,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compete for investments with a number of BDCs and other investment funds (including private equity funds and venture capital funds), special purpose acquisition company sponsors, or SPACs, investment banks with underwriting activities, hedge funds that invest in private investments in public equities, or PIPEs,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Arial" w:cs="Arial" w:eastAsia="Arial" w:hAnsi="Arial"/>
          <w:sz w:val="16"/>
          <w:szCs w:val="16"/>
          <w:i w:val="1"/>
          <w:iCs w:val="1"/>
          <w:color w:val="auto"/>
        </w:rPr>
        <w:t>ITEM 1A. RISK FACTORS—Risks Related to Our Business and Structure—We</w:t>
      </w:r>
      <w:r>
        <w:rPr>
          <w:rFonts w:ascii="Arial" w:cs="Arial" w:eastAsia="Arial" w:hAnsi="Arial"/>
          <w:sz w:val="16"/>
          <w:szCs w:val="16"/>
          <w:color w:val="auto"/>
        </w:rPr>
        <w:t xml:space="preserve"> </w:t>
      </w:r>
      <w:r>
        <w:rPr>
          <w:rFonts w:ascii="Arial" w:cs="Arial" w:eastAsia="Arial" w:hAnsi="Arial"/>
          <w:sz w:val="16"/>
          <w:szCs w:val="16"/>
          <w:i w:val="1"/>
          <w:iCs w:val="1"/>
          <w:color w:val="auto"/>
        </w:rPr>
        <w:t>operate in a highly competitive market for investment opportunities.</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Borrowings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We anticipate generating cash in the future from issuances of common stock and cash flows from operations, including interest received on our cash and cash equivalents, U.S. government securities and other high-quality debt investments that mature in one year or less. See </w:t>
      </w:r>
      <w:r>
        <w:rPr>
          <w:rFonts w:ascii="Arial" w:cs="Arial" w:eastAsia="Arial" w:hAnsi="Arial"/>
          <w:sz w:val="18"/>
          <w:szCs w:val="18"/>
          <w:i w:val="1"/>
          <w:iCs w:val="1"/>
          <w:color w:val="auto"/>
        </w:rPr>
        <w:t>“Capital Commitments”</w:t>
      </w:r>
      <w:r>
        <w:rPr>
          <w:rFonts w:ascii="Arial" w:cs="Arial" w:eastAsia="Arial" w:hAnsi="Arial"/>
          <w:sz w:val="18"/>
          <w:szCs w:val="18"/>
          <w:color w:val="auto"/>
        </w:rPr>
        <w:t xml:space="preserve"> above for our total capital available from investors.</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Additionally, we are permitted, under specified conditions, to issue multiple classes of indebtedness and one class of shares senior to our common stock if our asset coverage, as defined in the 1940 Act, is at least equal to 200% immediately after each such issuance. As of December 31, 2013 and 2012, our asset coverage was 232.9% and 244.6%, respectively. See “</w:t>
      </w:r>
      <w:r>
        <w:rPr>
          <w:rFonts w:ascii="Arial" w:cs="Arial" w:eastAsia="Arial" w:hAnsi="Arial"/>
          <w:sz w:val="16"/>
          <w:szCs w:val="16"/>
          <w:i w:val="1"/>
          <w:iCs w:val="1"/>
          <w:color w:val="auto"/>
        </w:rPr>
        <w:t>Regulation as a Business Development Company—Senior Securities</w:t>
      </w:r>
      <w:r>
        <w:rPr>
          <w:rFonts w:ascii="Arial" w:cs="Arial" w:eastAsia="Arial" w:hAnsi="Arial"/>
          <w:sz w:val="16"/>
          <w:szCs w:val="16"/>
          <w:color w:val="auto"/>
        </w:rPr>
        <w:t>” below.</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Furthermore, while any indebtedness and senior securities remain outstanding, we must make provisions to prohibit any distribution to our stockholders (which may cause the Company to fail to distribute amounts necessary to avoid entity-level taxation under the Code), or the repurchase of such securities or shares unless we meet the applicable asset coverage ratios at the time of the distribution or repurchase. In connection with our borrowings, among other requirements, our lenders have required us to pledge investor commitments to fund capital calls and the proceeds of those capital calls. In addition, we must also comply with positive and negative covenants customary for these types of facilities.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Obligations</w:t>
      </w:r>
      <w:r>
        <w:rPr>
          <w:rFonts w:ascii="Arial" w:cs="Arial" w:eastAsia="Arial" w:hAnsi="Arial"/>
          <w:sz w:val="18"/>
          <w:szCs w:val="18"/>
          <w:color w:val="auto"/>
        </w:rPr>
        <w:t>. Our debt obligations consisted of the following as of December 31, 2013 and 2012:</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Borrowings</w:t>
            </w: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3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8"/>
              </w:rPr>
              <w:t>Total Facility</w:t>
            </w:r>
          </w:p>
        </w:tc>
        <w:tc>
          <w:tcPr>
            <w:tcW w:w="86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49"/>
        </w:trPr>
        <w:tc>
          <w:tcPr>
            <w:tcW w:w="5320" w:type="dxa"/>
            <w:vAlign w:val="bottom"/>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44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(1)</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77.8</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w:t>
            </w: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145.5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December 31, 2012</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Borrowings</w:t>
            </w: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3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8"/>
              </w:rPr>
              <w:t>Total Facility</w:t>
            </w:r>
          </w:p>
        </w:tc>
        <w:tc>
          <w:tcPr>
            <w:tcW w:w="86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49"/>
        </w:trPr>
        <w:tc>
          <w:tcPr>
            <w:tcW w:w="5320" w:type="dxa"/>
            <w:vAlign w:val="bottom"/>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44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(1)</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66.8</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r>
              <w:rPr>
                <w:rFonts w:ascii="Arial" w:cs="Arial" w:eastAsia="Arial" w:hAnsi="Arial"/>
                <w:sz w:val="18"/>
                <w:szCs w:val="18"/>
                <w:u w:val="single" w:color="auto"/>
                <w:color w:val="auto"/>
              </w:rPr>
              <w:t>0</w:t>
            </w: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331.8</w:t>
            </w:r>
          </w:p>
        </w:tc>
        <w:tc>
          <w:tcPr>
            <w:tcW w:w="8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189.8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2720" w:firstLine="466"/>
        <w:spacing w:after="0" w:line="551" w:lineRule="auto"/>
        <w:tabs>
          <w:tab w:leader="none" w:pos="1347" w:val="left"/>
        </w:tabs>
        <w:numPr>
          <w:ilvl w:val="0"/>
          <w:numId w:val="15"/>
        </w:numPr>
        <w:rPr>
          <w:rFonts w:ascii="Arial" w:cs="Arial" w:eastAsia="Arial" w:hAnsi="Arial"/>
          <w:sz w:val="10"/>
          <w:szCs w:val="10"/>
          <w:color w:val="auto"/>
        </w:rPr>
      </w:pPr>
      <w:r>
        <w:rPr>
          <w:rFonts w:ascii="Arial" w:cs="Arial" w:eastAsia="Arial" w:hAnsi="Arial"/>
          <w:sz w:val="15"/>
          <w:szCs w:val="15"/>
          <w:color w:val="auto"/>
        </w:rPr>
        <w:t>The amount available considers any limitations related to the respective debt facilities’ borrowing bases. For the years ended December 31, 2013, 2012 and 2011, the components of interest expense were as follows:</w:t>
      </w:r>
    </w:p>
    <w:tbl>
      <w:tblPr>
        <w:tblLayout w:type="fixed"/>
        <w:tblInd w:w="46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93"/>
              </w:rPr>
              <w:t>Year Ended</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w w:val="93"/>
              </w:rPr>
              <w:t>Year Ended</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61"/>
        </w:trPr>
        <w:tc>
          <w:tcPr>
            <w:tcW w:w="4640" w:type="dxa"/>
            <w:vAlign w:val="bottom"/>
          </w:tcPr>
          <w:p>
            <w:pPr>
              <w:spacing w:after="0"/>
              <w:rPr>
                <w:sz w:val="20"/>
                <w:szCs w:val="20"/>
                <w:color w:val="auto"/>
              </w:rPr>
            </w:pPr>
            <w:r>
              <w:rPr>
                <w:rFonts w:ascii="Arial" w:cs="Arial" w:eastAsia="Arial" w:hAnsi="Arial"/>
                <w:sz w:val="14"/>
                <w:szCs w:val="14"/>
                <w:color w:val="auto"/>
              </w:rPr>
              <w:t>($ in millions)</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2013</w:t>
            </w:r>
          </w:p>
        </w:tc>
        <w:tc>
          <w:tcPr>
            <w:tcW w:w="12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December 31, 2012</w:t>
            </w:r>
          </w:p>
        </w:tc>
        <w:tc>
          <w:tcPr>
            <w:tcW w:w="126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r>
      <w:tr>
        <w:trPr>
          <w:trHeight w:val="210"/>
        </w:trPr>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Commitment fees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2"/>
        </w:trPr>
        <w:tc>
          <w:tcPr>
            <w:tcW w:w="464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more information on our debt, see “</w:t>
      </w:r>
      <w:r>
        <w:rPr>
          <w:rFonts w:ascii="Arial" w:cs="Arial" w:eastAsia="Arial" w:hAnsi="Arial"/>
          <w:sz w:val="18"/>
          <w:szCs w:val="18"/>
          <w:i w:val="1"/>
          <w:iCs w:val="1"/>
          <w:color w:val="auto"/>
        </w:rPr>
        <w:t>Management’s Discussion and Analysis of Financial Condition and Results of Operations—Financial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3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“ITEM 1A. RISK FACTORS—Risks related to Our Business and Structure—We will be subject to corporate-level income tax if we are unable to maintain our qualification as a RIC under Subchapter M of the Code.”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Reinvestment Plan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adopted a dividend reinvestment plan, pursuant to which the Company will reinvest all cash dividends declared by the Board on behalf of investors who do not elect to receive their dividends in cash as provided below. As a result, if the Board authorizes, and we declare, a cash dividend or other distribution, then our stockholders who have not opted out of our dividend reinvestment plan will have their cash dividends automatically reinvested in additional common stock as described below.</w:t>
      </w:r>
    </w:p>
    <w:p>
      <w:pPr>
        <w:spacing w:after="0" w:line="143"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The number of shares to be issued to a stockholder under the dividend reinvestment plan will be determined by dividing the total dollar amount of the dividend payable to such stockholder by (i) prior to an initial public offering of our common stock, or IPO, the net asset value per share of our common stock as of the last day of our fiscal quarter immediately preceding the date such dividend was declared, or the Reference NAV; provided that in the event a dividend is declared on the last day of a fiscal quarter, the Reference NAV shall be deemed to be the net asset value per share of our common stock as of such day; or,</w:t>
      </w:r>
    </w:p>
    <w:p>
      <w:pPr>
        <w:spacing w:after="0" w:line="3" w:lineRule="exact"/>
        <w:rPr>
          <w:sz w:val="20"/>
          <w:szCs w:val="20"/>
          <w:color w:val="auto"/>
        </w:rPr>
      </w:pPr>
    </w:p>
    <w:p>
      <w:pPr>
        <w:ind w:right="100" w:firstLine="8"/>
        <w:spacing w:after="0" w:line="255" w:lineRule="auto"/>
        <w:tabs>
          <w:tab w:leader="none" w:pos="2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following an IPO, the market price of our common stock, subject to certain adjustments. The number of shares to be issued to the stockholder pursuant to the foregoing shall be rounded downward to the nearest whole share to avoid the issuance of fractional shares, with any fractional shares being paid in cash. We intend to use primarily newly issued shares to implement the plan.</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No action will be required on the part of a registered stockholder to have its cash dividend or other distribution reinvested in our common stock. A registered stockholder will be able to elect to receive an entire cash dividend in cash by notifying the Adviser in writing, so that such notice is received by the Adviser no later than 10 days prior to the record date for dividends to the stockholders.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distribution by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Arial" w:cs="Arial" w:eastAsia="Arial" w:hAnsi="Arial"/>
          <w:sz w:val="16"/>
          <w:szCs w:val="16"/>
          <w:i w:val="1"/>
          <w:iCs w:val="1"/>
          <w:color w:val="auto"/>
        </w:rPr>
        <w:t>Investment Advisory</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 Administration Agreement; License Agreement</w:t>
      </w:r>
      <w:r>
        <w:rPr>
          <w:rFonts w:ascii="Arial" w:cs="Arial" w:eastAsia="Arial" w:hAnsi="Arial"/>
          <w:sz w:val="16"/>
          <w:szCs w:val="16"/>
          <w:color w:val="auto"/>
        </w:rPr>
        <w:t>” below.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amended on December 12,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the Investment Advisory Agreement, we pay the Adviser the Management Fee and may also pay certain Incentive Fees.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our gross assets, which equals total assets before deduction of any liabilities, at the end of that calendar quarter, adjusted for share issuances and repurchases during that period. Beginning October 1, 2011, the Management Fee has been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Until such time that we complete an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40" w:hanging="446"/>
        <w:spacing w:after="0" w:line="289"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15% of the total pre-Incentive Fee net investment income for that quarter (17.5% subsequent to an IPO) and, for pre-Incentive Fee net 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 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right="40" w:hanging="446"/>
        <w:spacing w:after="0" w:line="287"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2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an IPO, the pre-Incentive Fee net investment income is expressed as a rate of return on an average daily hurdle calculation value. The average daily hurdle calculation value, on any given day, equals:</w:t>
      </w:r>
    </w:p>
    <w:p>
      <w:pPr>
        <w:spacing w:after="0" w:line="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Following an IPO,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the completion of an IPO, if cumulative net realized losses from our inception exceeded the aggregate dollar amount of dividends paid by us through that date, the Adviser would forgo the right to receive its quarterly Incentive Fee payments with respect to pre-Incentive Fee net investment income until the time that cumulative net realized losses were less than or equal to the aggregate amount of dividend payments. To date, cumulative net realized losses from our inception have not exceeded the aggregate dollar amount of dividends paid by us.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8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below,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but will not apply following an IPO.</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 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4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w:t>
      </w:r>
      <w:r>
        <w:rPr>
          <w:rFonts w:ascii="Arial" w:cs="Arial" w:eastAsia="Arial" w:hAnsi="Arial"/>
          <w:sz w:val="16"/>
          <w:szCs w:val="16"/>
          <w:i w:val="1"/>
          <w:iCs w:val="1"/>
          <w:color w:val="auto"/>
        </w:rPr>
        <w:t>Payment of Our</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below. In addition, the Adviser is permitted to delegate its duties under the Administration Agreement to affiliates or third parties and we pay or</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 the Adviser expenses incurred by any such affiliates or third parties for work done on our behalf.</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 See “Risk Factors—Risks Related to Our Business and Structure—We are dependent upon management personnel of the Adviser for our future success.”</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2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46" w:lineRule="exact"/>
        <w:rPr>
          <w:sz w:val="20"/>
          <w:szCs w:val="20"/>
          <w:color w:val="auto"/>
        </w:rPr>
      </w:pPr>
    </w:p>
    <w:p>
      <w:pPr>
        <w:ind w:left="460" w:right="3560" w:firstLine="3097"/>
        <w:spacing w:after="0" w:line="604" w:lineRule="auto"/>
        <w:rPr>
          <w:sz w:val="20"/>
          <w:szCs w:val="20"/>
          <w:color w:val="auto"/>
        </w:rPr>
      </w:pPr>
      <w:r>
        <w:rPr>
          <w:rFonts w:ascii="Arial" w:cs="Arial" w:eastAsia="Arial" w:hAnsi="Arial"/>
          <w:sz w:val="15"/>
          <w:szCs w:val="15"/>
          <w:b w:val="1"/>
          <w:bCs w:val="1"/>
          <w:color w:val="auto"/>
        </w:rPr>
        <w:t xml:space="preserve">Quarterly Incentive Fee Based on Net Investment Income </w:t>
      </w:r>
      <w:r>
        <w:rPr>
          <w:rFonts w:ascii="Arial" w:cs="Arial" w:eastAsia="Arial" w:hAnsi="Arial"/>
          <w:sz w:val="15"/>
          <w:szCs w:val="15"/>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-35560</wp:posOffset>
            </wp:positionV>
            <wp:extent cx="4528185" cy="892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2818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4000"/>
        <w:spacing w:after="0" w:line="250" w:lineRule="auto"/>
        <w:rPr>
          <w:sz w:val="20"/>
          <w:szCs w:val="20"/>
          <w:color w:val="auto"/>
        </w:rPr>
      </w:pPr>
      <w:r>
        <w:rPr>
          <w:rFonts w:ascii="Arial" w:cs="Arial" w:eastAsia="Arial" w:hAnsi="Arial"/>
          <w:sz w:val="18"/>
          <w:szCs w:val="18"/>
          <w:color w:val="auto"/>
        </w:rPr>
        <w:t>Incentive Fee = 15% × pre-Incentive Fee net investment income, subject to “catch-up” (4) Incentive Fee = 100% × “catch-up” + (15% × (pre-Incentive Fee net investment income – 1.76%)) Catch-up = 1.76% – 1.5% = 0.26%</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0.26%) + (15% × (2.925% – 1.76%))</w:t>
      </w:r>
    </w:p>
    <w:p>
      <w:pPr>
        <w:spacing w:after="0" w:line="9" w:lineRule="exact"/>
        <w:rPr>
          <w:sz w:val="20"/>
          <w:szCs w:val="20"/>
          <w:color w:val="auto"/>
        </w:rPr>
      </w:pPr>
    </w:p>
    <w:p>
      <w:pPr>
        <w:ind w:left="1060" w:hanging="139"/>
        <w:spacing w:after="0"/>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0.26% + (15% × 1.165%)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0.26% + 0.175%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0.435%</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95"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15% on all of our pre-Incentive Fee net investment income as if a hurdle rate did not apply when our net investment income exceeds 15% in any calendar quarter and is not applied once the Adviser has received 15% of investment income in a quarter. The “catch-up” portion of our pre-Incentive Fee Net Investment Income is the portion that exceeds the 1.5% hurdle rate but is less than or equal to approximately 1.76% (that is, 1.5% divided by (1 – 0.15)) in any fiscal quarter.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example assumes that this IPO of our common stock has occurred.</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hypothetical amount of pre-Incentive Fee net investment income shown is based on a percentage of total net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59"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4"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1200" w:type="dxa"/>
            <w:vAlign w:val="bottom"/>
            <w:gridSpan w:val="3"/>
          </w:tcPr>
          <w:p>
            <w:pPr>
              <w:ind w:left="360"/>
              <w:spacing w:after="0"/>
              <w:rPr>
                <w:sz w:val="20"/>
                <w:szCs w:val="20"/>
                <w:color w:val="auto"/>
              </w:rPr>
            </w:pPr>
            <w:r>
              <w:rPr>
                <w:rFonts w:ascii="Arial" w:cs="Arial" w:eastAsia="Arial" w:hAnsi="Arial"/>
                <w:sz w:val="14"/>
                <w:szCs w:val="14"/>
                <w:b w:val="1"/>
                <w:bCs w:val="1"/>
                <w:color w:val="auto"/>
              </w:rPr>
              <w:t>Cumulative</w:t>
            </w:r>
          </w:p>
        </w:tc>
        <w:tc>
          <w:tcPr>
            <w:tcW w:w="880" w:type="dxa"/>
            <w:vAlign w:val="bottom"/>
            <w:gridSpan w:val="3"/>
          </w:tcPr>
          <w:p>
            <w:pPr>
              <w:jc w:val="center"/>
              <w:ind w:left="73"/>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3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Realized</w:t>
            </w:r>
          </w:p>
        </w:tc>
        <w:tc>
          <w:tcPr>
            <w:tcW w:w="1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3"/>
              </w:rPr>
              <w:t>Investment</w:t>
            </w:r>
          </w:p>
        </w:tc>
        <w:tc>
          <w:tcPr>
            <w:tcW w:w="3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4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Investment</w:t>
            </w:r>
          </w:p>
        </w:tc>
        <w:tc>
          <w:tcPr>
            <w:tcW w:w="34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3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60" w:type="dxa"/>
            <w:vAlign w:val="bottom"/>
          </w:tcPr>
          <w:p>
            <w:pPr>
              <w:ind w:left="280"/>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B</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C</w:t>
            </w:r>
          </w:p>
        </w:tc>
        <w:tc>
          <w:tcPr>
            <w:tcW w:w="340" w:type="dxa"/>
            <w:vAlign w:val="bottom"/>
          </w:tcPr>
          <w:p>
            <w:pPr>
              <w:spacing w:after="0"/>
              <w:rPr>
                <w:sz w:val="14"/>
                <w:szCs w:val="14"/>
                <w:color w:val="auto"/>
              </w:rPr>
            </w:pPr>
          </w:p>
        </w:tc>
        <w:tc>
          <w:tcPr>
            <w:tcW w:w="660" w:type="dxa"/>
            <w:vAlign w:val="bottom"/>
          </w:tcPr>
          <w:p>
            <w:pPr>
              <w:ind w:left="280"/>
              <w:spacing w:after="0"/>
              <w:rPr>
                <w:sz w:val="20"/>
                <w:szCs w:val="20"/>
                <w:color w:val="auto"/>
              </w:rPr>
            </w:pPr>
            <w:r>
              <w:rPr>
                <w:rFonts w:ascii="Arial" w:cs="Arial" w:eastAsia="Arial" w:hAnsi="Arial"/>
                <w:sz w:val="14"/>
                <w:szCs w:val="14"/>
                <w:b w:val="1"/>
                <w:bCs w:val="1"/>
                <w:color w:val="auto"/>
              </w:rPr>
              <w:t>D</w:t>
            </w:r>
          </w:p>
        </w:tc>
        <w:tc>
          <w:tcPr>
            <w:tcW w:w="34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E</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F</w:t>
            </w: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Depreciation</w:t>
            </w:r>
          </w:p>
        </w:tc>
        <w:tc>
          <w:tcPr>
            <w:tcW w:w="3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Losses</w:t>
            </w:r>
          </w:p>
        </w:tc>
        <w:tc>
          <w:tcPr>
            <w:tcW w:w="1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6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(cost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basis)</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basis)</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660" w:type="dxa"/>
            <w:vAlign w:val="bottom"/>
            <w:gridSpan w:val="2"/>
          </w:tcPr>
          <w:p>
            <w:pPr>
              <w:spacing w:after="0"/>
              <w:rPr>
                <w:sz w:val="20"/>
                <w:szCs w:val="20"/>
                <w:color w:val="auto"/>
              </w:rPr>
            </w:pPr>
            <w:r>
              <w:rPr>
                <w:rFonts w:ascii="Arial" w:cs="Arial" w:eastAsia="Arial" w:hAnsi="Arial"/>
                <w:sz w:val="18"/>
                <w:szCs w:val="18"/>
                <w:color w:val="auto"/>
              </w:rPr>
              <w:t>Year 2</w:t>
            </w:r>
          </w:p>
        </w:tc>
        <w:tc>
          <w:tcPr>
            <w:tcW w:w="660" w:type="dxa"/>
            <w:vAlign w:val="bottom"/>
          </w:tcPr>
          <w:p>
            <w:pPr>
              <w:spacing w:after="0"/>
              <w:rPr>
                <w:sz w:val="20"/>
                <w:szCs w:val="20"/>
                <w:color w:val="auto"/>
              </w:rPr>
            </w:pPr>
            <w:r>
              <w:rPr>
                <w:rFonts w:ascii="Arial" w:cs="Arial" w:eastAsia="Arial" w:hAnsi="Arial"/>
                <w:sz w:val="18"/>
                <w:szCs w:val="18"/>
                <w:color w:val="auto"/>
              </w:rPr>
              <w:t>$20</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3"/>
                <w:szCs w:val="23"/>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3"/>
                <w:szCs w:val="23"/>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r>
              <w:rPr>
                <w:rFonts w:ascii="Arial" w:cs="Arial" w:eastAsia="Arial" w:hAnsi="Arial"/>
                <w:sz w:val="18"/>
                <w:szCs w:val="18"/>
                <w:color w:val="auto"/>
              </w:rPr>
              <w:t>$2</w:t>
            </w: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million</w:t>
            </w: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million</w:t>
            </w: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million</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(sale</w:t>
            </w: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FMV</w:t>
            </w: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FMV</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price)</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3 (IPO)</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FMV</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FMV</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at IPO</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at IPO</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at IPO</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660" w:type="dxa"/>
            <w:vAlign w:val="bottom"/>
            <w:gridSpan w:val="2"/>
          </w:tcPr>
          <w:p>
            <w:pPr>
              <w:spacing w:after="0"/>
              <w:rPr>
                <w:sz w:val="20"/>
                <w:szCs w:val="20"/>
                <w:color w:val="auto"/>
              </w:rPr>
            </w:pPr>
            <w:r>
              <w:rPr>
                <w:rFonts w:ascii="Arial" w:cs="Arial" w:eastAsia="Arial" w:hAnsi="Arial"/>
                <w:sz w:val="18"/>
                <w:szCs w:val="18"/>
                <w:color w:val="auto"/>
              </w:rPr>
              <w:t>Year 4</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3"/>
                <w:szCs w:val="23"/>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$16</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3"/>
                <w:szCs w:val="23"/>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million</w:t>
            </w: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100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(sale</w:t>
            </w: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FMV</w:t>
            </w:r>
          </w:p>
        </w:tc>
        <w:tc>
          <w:tcPr>
            <w:tcW w:w="1000" w:type="dxa"/>
            <w:vAlign w:val="bottom"/>
            <w:gridSpan w:val="2"/>
          </w:tcPr>
          <w:p>
            <w:pPr>
              <w:spacing w:after="0"/>
              <w:rPr>
                <w:sz w:val="20"/>
                <w:szCs w:val="20"/>
                <w:color w:val="auto"/>
              </w:rPr>
            </w:pPr>
            <w:r>
              <w:rPr>
                <w:rFonts w:ascii="Arial" w:cs="Arial" w:eastAsia="Arial" w:hAnsi="Arial"/>
                <w:sz w:val="18"/>
                <w:szCs w:val="18"/>
                <w:color w:val="auto"/>
              </w:rPr>
              <w:t>(cost</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price)</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basis)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FMV</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price)</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660" w:type="dxa"/>
            <w:vAlign w:val="bottom"/>
            <w:gridSpan w:val="2"/>
          </w:tcPr>
          <w:p>
            <w:pPr>
              <w:spacing w:after="0"/>
              <w:rPr>
                <w:sz w:val="20"/>
                <w:szCs w:val="20"/>
                <w:color w:val="auto"/>
              </w:rPr>
            </w:pPr>
            <w:r>
              <w:rPr>
                <w:rFonts w:ascii="Arial" w:cs="Arial" w:eastAsia="Arial" w:hAnsi="Arial"/>
                <w:sz w:val="18"/>
                <w:szCs w:val="18"/>
                <w:color w:val="auto"/>
              </w:rPr>
              <w:t>Year 6</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3"/>
                <w:szCs w:val="23"/>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3"/>
                <w:szCs w:val="23"/>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w:t>
            </w: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100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740" w:type="dxa"/>
            <w:vAlign w:val="bottom"/>
          </w:tcPr>
          <w:p>
            <w:pPr>
              <w:spacing w:after="0"/>
              <w:rPr>
                <w:sz w:val="20"/>
                <w:szCs w:val="20"/>
                <w:color w:val="auto"/>
              </w:rPr>
            </w:pPr>
            <w:r>
              <w:rPr>
                <w:rFonts w:ascii="Arial" w:cs="Arial" w:eastAsia="Arial" w:hAnsi="Arial"/>
                <w:sz w:val="18"/>
                <w:szCs w:val="18"/>
                <w:color w:val="auto"/>
              </w:rPr>
              <w:t>million</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(sale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FMV</w:t>
            </w:r>
          </w:p>
        </w:tc>
        <w:tc>
          <w:tcPr>
            <w:tcW w:w="1000" w:type="dxa"/>
            <w:vAlign w:val="bottom"/>
            <w:gridSpan w:val="2"/>
          </w:tcPr>
          <w:p>
            <w:pPr>
              <w:spacing w:after="0"/>
              <w:rPr>
                <w:sz w:val="20"/>
                <w:szCs w:val="20"/>
                <w:color w:val="auto"/>
              </w:rPr>
            </w:pPr>
            <w:r>
              <w:rPr>
                <w:rFonts w:ascii="Arial" w:cs="Arial" w:eastAsia="Arial" w:hAnsi="Arial"/>
                <w:sz w:val="18"/>
                <w:szCs w:val="18"/>
                <w:color w:val="auto"/>
              </w:rPr>
              <w:t>FMV</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7</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7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million</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(sale</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price)</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660" w:type="dxa"/>
            <w:vAlign w:val="bottom"/>
            <w:gridSpan w:val="2"/>
          </w:tcPr>
          <w:p>
            <w:pPr>
              <w:spacing w:after="0"/>
              <w:rPr>
                <w:sz w:val="20"/>
                <w:szCs w:val="20"/>
                <w:color w:val="auto"/>
              </w:rPr>
            </w:pPr>
            <w:r>
              <w:rPr>
                <w:rFonts w:ascii="Arial" w:cs="Arial" w:eastAsia="Arial" w:hAnsi="Arial"/>
                <w:sz w:val="18"/>
                <w:szCs w:val="18"/>
                <w:color w:val="auto"/>
              </w:rPr>
              <w:t>Year 8</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3"/>
                <w:szCs w:val="23"/>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740" w:type="dxa"/>
            <w:vAlign w:val="bottom"/>
          </w:tcPr>
          <w:p>
            <w:pPr>
              <w:spacing w:after="0"/>
              <w:rPr>
                <w:sz w:val="18"/>
                <w:szCs w:val="18"/>
                <w:color w:val="auto"/>
              </w:rPr>
            </w:pP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million</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(sale</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price)</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2:</w:t>
      </w:r>
    </w:p>
    <w:p>
      <w:pPr>
        <w:spacing w:after="0" w:line="90" w:lineRule="exact"/>
        <w:rPr>
          <w:sz w:val="20"/>
          <w:szCs w:val="20"/>
          <w:color w:val="auto"/>
        </w:rPr>
      </w:pPr>
    </w:p>
    <w:p>
      <w:pPr>
        <w:ind w:left="1720" w:right="360"/>
        <w:spacing w:after="0" w:line="268"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5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3:</w:t>
      </w:r>
    </w:p>
    <w:p>
      <w:pPr>
        <w:spacing w:after="0" w:line="90" w:lineRule="exact"/>
        <w:rPr>
          <w:sz w:val="20"/>
          <w:szCs w:val="20"/>
          <w:color w:val="auto"/>
        </w:rPr>
      </w:pPr>
    </w:p>
    <w:p>
      <w:pPr>
        <w:ind w:left="1720" w:right="40"/>
        <w:spacing w:after="0" w:line="33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4" w:lineRule="exact"/>
        <w:rPr>
          <w:sz w:val="20"/>
          <w:szCs w:val="20"/>
          <w:color w:val="auto"/>
        </w:rPr>
      </w:pPr>
    </w:p>
    <w:p>
      <w:pPr>
        <w:ind w:left="1720" w:right="20"/>
        <w:spacing w:after="0" w:line="268"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4:</w:t>
      </w:r>
    </w:p>
    <w:p>
      <w:pPr>
        <w:spacing w:after="0" w:line="90" w:lineRule="exact"/>
        <w:rPr>
          <w:sz w:val="20"/>
          <w:szCs w:val="20"/>
          <w:color w:val="auto"/>
        </w:rPr>
      </w:pPr>
    </w:p>
    <w:p>
      <w:pPr>
        <w:ind w:left="1720" w:right="280"/>
        <w:spacing w:after="0" w:line="268"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51" w:lineRule="exact"/>
        <w:rPr>
          <w:sz w:val="20"/>
          <w:szCs w:val="20"/>
          <w:color w:val="auto"/>
        </w:rPr>
      </w:pPr>
    </w:p>
    <w:p>
      <w:pPr>
        <w:ind w:left="1720" w:right="20"/>
        <w:spacing w:after="0" w:line="268"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5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 5:</w:t>
      </w:r>
    </w:p>
    <w:p>
      <w:pPr>
        <w:spacing w:after="0" w:line="90" w:lineRule="exact"/>
        <w:rPr>
          <w:sz w:val="20"/>
          <w:szCs w:val="20"/>
          <w:color w:val="auto"/>
        </w:rPr>
      </w:pPr>
    </w:p>
    <w:p>
      <w:pPr>
        <w:ind w:left="1720" w:right="280"/>
        <w:spacing w:after="0" w:line="268"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51" w:lineRule="exact"/>
        <w:rPr>
          <w:sz w:val="20"/>
          <w:szCs w:val="20"/>
          <w:color w:val="auto"/>
        </w:rPr>
      </w:pPr>
    </w:p>
    <w:p>
      <w:pPr>
        <w:ind w:left="1720" w:right="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Year 6:</w:t>
      </w:r>
    </w:p>
    <w:p>
      <w:pPr>
        <w:spacing w:after="0" w:line="90" w:lineRule="exact"/>
        <w:rPr>
          <w:sz w:val="20"/>
          <w:szCs w:val="20"/>
          <w:color w:val="auto"/>
        </w:rPr>
      </w:pPr>
    </w:p>
    <w:p>
      <w:pPr>
        <w:ind w:left="172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4" w:lineRule="exact"/>
        <w:rPr>
          <w:sz w:val="20"/>
          <w:szCs w:val="20"/>
          <w:color w:val="auto"/>
        </w:rPr>
      </w:pPr>
    </w:p>
    <w:p>
      <w:pPr>
        <w:ind w:left="1720" w:right="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Year 7:</w:t>
      </w:r>
    </w:p>
    <w:p>
      <w:pPr>
        <w:spacing w:after="0" w:line="90" w:lineRule="exact"/>
        <w:rPr>
          <w:sz w:val="20"/>
          <w:szCs w:val="20"/>
          <w:color w:val="auto"/>
        </w:rPr>
      </w:pPr>
    </w:p>
    <w:p>
      <w:pPr>
        <w:ind w:left="1720" w:right="44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4" w:lineRule="exact"/>
        <w:rPr>
          <w:sz w:val="20"/>
          <w:szCs w:val="20"/>
          <w:color w:val="auto"/>
        </w:rPr>
      </w:pPr>
    </w:p>
    <w:p>
      <w:pPr>
        <w:ind w:left="1720" w:right="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Year 8:</w:t>
      </w:r>
    </w:p>
    <w:p>
      <w:pPr>
        <w:spacing w:after="0" w:line="90" w:lineRule="exact"/>
        <w:rPr>
          <w:sz w:val="20"/>
          <w:szCs w:val="20"/>
          <w:color w:val="auto"/>
        </w:rPr>
      </w:pPr>
    </w:p>
    <w:p>
      <w:pPr>
        <w:jc w:val="both"/>
        <w:ind w:left="1720" w:right="440"/>
        <w:spacing w:after="0" w:line="259" w:lineRule="auto"/>
        <w:rPr>
          <w:sz w:val="20"/>
          <w:szCs w:val="20"/>
          <w:color w:val="auto"/>
        </w:rPr>
      </w:pPr>
      <w:r>
        <w:rPr>
          <w:rFonts w:ascii="Arial" w:cs="Arial" w:eastAsia="Arial" w:hAnsi="Arial"/>
          <w:sz w:val="18"/>
          <w:szCs w:val="18"/>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8"/>
          <w:szCs w:val="18"/>
          <w:b w:val="1"/>
          <w:bCs w:val="1"/>
          <w:color w:val="auto"/>
        </w:rPr>
        <w:t>$1.39</w:t>
      </w:r>
      <w:r>
        <w:rPr>
          <w:rFonts w:ascii="Arial" w:cs="Arial" w:eastAsia="Arial" w:hAnsi="Arial"/>
          <w:sz w:val="18"/>
          <w:szCs w:val="18"/>
          <w:color w:val="auto"/>
        </w:rPr>
        <w:t xml:space="preserve"> </w:t>
      </w:r>
      <w:r>
        <w:rPr>
          <w:rFonts w:ascii="Arial" w:cs="Arial" w:eastAsia="Arial" w:hAnsi="Arial"/>
          <w:sz w:val="18"/>
          <w:szCs w:val="18"/>
          <w:b w:val="1"/>
          <w:bCs w:val="1"/>
          <w:color w:val="auto"/>
        </w:rPr>
        <w:t>million</w:t>
      </w:r>
    </w:p>
    <w:p>
      <w:pPr>
        <w:spacing w:after="0" w:line="59" w:lineRule="exact"/>
        <w:rPr>
          <w:sz w:val="20"/>
          <w:szCs w:val="20"/>
          <w:color w:val="auto"/>
        </w:rPr>
      </w:pPr>
    </w:p>
    <w:p>
      <w:pPr>
        <w:ind w:left="1720" w:right="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Our Expenses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For more information on costs and expenses, see “</w:t>
      </w:r>
      <w:r>
        <w:rPr>
          <w:rFonts w:ascii="Arial" w:cs="Arial" w:eastAsia="Arial" w:hAnsi="Arial"/>
          <w:sz w:val="18"/>
          <w:szCs w:val="18"/>
          <w:i w:val="1"/>
          <w:iCs w:val="1"/>
          <w:color w:val="auto"/>
        </w:rPr>
        <w:t>Management’s Discussion and Analysis of Financial Condition and Results of Operations—Key Components of Our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expenses are ultimately borne by our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Termination</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this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2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those services under the Investment Advisory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In addition,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Factors—Risks Related to Our Business and Structure—We borrow money, which magnifies the potential for gain or loss and increases the risk of investing in us.” As of December 31, 2013 and 2012 our asset coverage was 232.9% and 244.6%, respectively.</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We do not intend to acquire securities issued by any investment company that exceed the limits imposed by the 1940 Act. Under these limits, except for registered money market funds, the Company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w:t>
      </w:r>
      <w:r>
        <w:rPr>
          <w:rFonts w:ascii="Arial" w:cs="Arial" w:eastAsia="Arial" w:hAnsi="Arial"/>
          <w:sz w:val="16"/>
          <w:szCs w:val="16"/>
          <w:i w:val="1"/>
          <w:iCs w:val="1"/>
          <w:color w:val="auto"/>
        </w:rPr>
        <w:t>“Regulated Investment Company Classification”</w:t>
      </w:r>
      <w:r>
        <w:rPr>
          <w:rFonts w:ascii="Arial" w:cs="Arial" w:eastAsia="Arial" w:hAnsi="Arial"/>
          <w:sz w:val="16"/>
          <w:szCs w:val="16"/>
          <w:color w:val="auto"/>
        </w:rPr>
        <w:t xml:space="preserve"> for more information.</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w:t>
      </w:r>
      <w:r>
        <w:rPr>
          <w:rFonts w:ascii="Arial" w:cs="Arial" w:eastAsia="Arial" w:hAnsi="Arial"/>
          <w:sz w:val="16"/>
          <w:szCs w:val="16"/>
          <w:i w:val="1"/>
          <w:iCs w:val="1"/>
          <w:color w:val="auto"/>
        </w:rPr>
        <w:t>ITEM 1A. RISK FACTORS—Risks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 and Structure—Regulations governing our operation as a BDC affect our ability to, and the way in which we, raise additional capital.</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do not intend to issue and sell our common stock, or warrants, options or rights to acquire our common stock, at a price below the then current net asset value of our common stock but we may elect to do so if our Board determines that such sale is in our best interests and the best interests of our stockholders, and our stockholders have approved our policy and practice of making such sales within the preceding 12 months. In any such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1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applied for an exemptive order from the SEC that, if granted,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our Independent Directors. The terms and conditions of the investment applicable to any affiliates of TSSP and TPG also must be the same as those applicable to us.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granted exemptive relief, we would undertake that, in connection with any commitment to a co-investment, a “required majority” (as defined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57(o) of the 1940 Act) of Independent Directors would make certain conclusions, including that:</w:t>
      </w:r>
    </w:p>
    <w:p>
      <w:pPr>
        <w:spacing w:after="0" w:line="84" w:lineRule="exact"/>
        <w:rPr>
          <w:sz w:val="20"/>
          <w:szCs w:val="20"/>
          <w:color w:val="auto"/>
        </w:rPr>
      </w:pPr>
    </w:p>
    <w:p>
      <w:pPr>
        <w:ind w:left="900" w:right="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the proposed transaction are reasonable and fair to us and our stockholders and do not involve overreaching of us or our stockholders on the part of any person concerned;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strategies and policies.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cannot assure you, however, when or whether the SEC will grant our exemptive relief request, or that, if granted, it will be on the terms set forth above. See “</w:t>
      </w:r>
      <w:r>
        <w:rPr>
          <w:rFonts w:ascii="Arial" w:cs="Arial" w:eastAsia="Arial" w:hAnsi="Arial"/>
          <w:sz w:val="18"/>
          <w:szCs w:val="18"/>
          <w:i w:val="1"/>
          <w:iCs w:val="1"/>
          <w:color w:val="auto"/>
        </w:rPr>
        <w:t>ITEM 13. CERTAIN RELATIONSHIPS AND RELATED TRANSACTIONS, AND DIRECTOR INDEPENDENCE.</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BDC, we are subject to certain risks and uncertainties. See “</w:t>
      </w:r>
      <w:r>
        <w:rPr>
          <w:rFonts w:ascii="Arial" w:cs="Arial" w:eastAsia="Arial" w:hAnsi="Arial"/>
          <w:sz w:val="16"/>
          <w:szCs w:val="16"/>
          <w:i w:val="1"/>
          <w:iCs w:val="1"/>
          <w:color w:val="auto"/>
        </w:rPr>
        <w:t>ITEM 1A. RISK FACTORS—Risks Related to Our Business and Structure.</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Assets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wholly-owned by the Company) or a company that would be an investment company but for certain exclusions under the 1940 Act;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0" w:lineRule="exact"/>
        <w:rPr>
          <w:rFonts w:ascii="Arial" w:cs="Arial" w:eastAsia="Arial" w:hAnsi="Arial"/>
          <w:sz w:val="18"/>
          <w:szCs w:val="18"/>
          <w:color w:val="auto"/>
        </w:rPr>
      </w:pPr>
    </w:p>
    <w:p>
      <w:pPr>
        <w:ind w:left="1920" w:right="400" w:hanging="318"/>
        <w:spacing w:after="0" w:line="268" w:lineRule="auto"/>
        <w:tabs>
          <w:tab w:leader="none" w:pos="19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50" w:lineRule="exact"/>
        <w:rPr>
          <w:rFonts w:ascii="Arial" w:cs="Arial" w:eastAsia="Arial" w:hAnsi="Arial"/>
          <w:sz w:val="18"/>
          <w:szCs w:val="18"/>
          <w:color w:val="auto"/>
        </w:rPr>
      </w:pPr>
    </w:p>
    <w:p>
      <w:pPr>
        <w:ind w:left="1920" w:hanging="318"/>
        <w:spacing w:after="0" w:line="259" w:lineRule="auto"/>
        <w:tabs>
          <w:tab w:leader="none" w:pos="19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59" w:lineRule="exact"/>
        <w:rPr>
          <w:rFonts w:ascii="Arial" w:cs="Arial" w:eastAsia="Arial" w:hAnsi="Arial"/>
          <w:sz w:val="18"/>
          <w:szCs w:val="18"/>
          <w:color w:val="auto"/>
        </w:rPr>
      </w:pPr>
    </w:p>
    <w:p>
      <w:pPr>
        <w:ind w:left="1920" w:hanging="318"/>
        <w:spacing w:after="0"/>
        <w:tabs>
          <w:tab w:leader="none" w:pos="19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is a small and solvent company having total assets of not more than $4 million and capital and surplus of not less than $2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90" w:lineRule="exact"/>
        <w:rPr>
          <w:rFonts w:ascii="Arial" w:cs="Arial" w:eastAsia="Arial" w:hAnsi="Arial"/>
          <w:sz w:val="18"/>
          <w:szCs w:val="18"/>
          <w:color w:val="auto"/>
        </w:rPr>
      </w:pPr>
    </w:p>
    <w:p>
      <w:pPr>
        <w:ind w:left="900" w:right="40" w:hanging="325"/>
        <w:spacing w:after="0" w:line="335"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As a BDC, the Company generally must have 200% asset coverage for its debt after incurring any new indebtedness, meaning that the total value of the Company’s assets must be at least twice the amount of the debt (i.e., 50% leverage). As of December 31, 2013 and 2012, our asset coverage was 232.9% and 244.6%, respectively.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as defined in the 1940 Act, is at least equal to 200% immediately after each such issuance. In addition, while any preferred stock or publicly-traded debt securities are outstanding, we may be prohibited from making distributions to our stockholders or the repurchasing of such securities or shares unless we meet the applicable asset coverage ratios at the time of the distribution or repurchase. We may also borrow amounts up to 5% of the value of our total assets for temporary or emergency purposes without regard to asset coverage.</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1940 Act imposes limitations on a BDC’s issuance of preferred stock, which is considered “senior securities” and thus is subject to the 200% asset coverage requirement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adopted a Code of Business Conduct and Ethics which applies to, among others, our executive officers, including our principal executive officer and principal financial officer, as well as every officer, director and employee of the Company. There have been no material changes to our Code of Business Conduct and Ethics or material waivers of the code that apply to our Co-Chief Executive Officers or Chief Financial Officer.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hereby undertake to provide a copy of this code to any person, without charge, upon request. Requests for a copy of this code may be made in writing addressed to the Secretary of the Company, Jennifer Mello, TPG Specialty Lending, Inc. 345 California Street, Suite 3300, San Francisco, CA 94104.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Policies and Procedures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Sarbanes-Oxley Act of 2002</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51" w:lineRule="exact"/>
        <w:rPr>
          <w:sz w:val="20"/>
          <w:szCs w:val="20"/>
          <w:color w:val="auto"/>
        </w:rPr>
      </w:pPr>
    </w:p>
    <w:p>
      <w:pPr>
        <w:ind w:left="900" w:right="4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pursuant to Rule 13a-15 of the Exchange Act, subject to certain assumptions, our management is required to prepare an annual report regarding its assessment of our internal control over financial reporting and, depending on our accelerated filer status, this report may be required to be audited by our independent registered public accounting firm; and,</w:t>
      </w:r>
    </w:p>
    <w:p>
      <w:pPr>
        <w:spacing w:after="0" w:line="59"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Policies and Procedures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Adviser will vote all proxies based upon the guiding principle of seeking the maximization of the ultimate long 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decisions will require a mandatory conflicts of interest review by the Company’s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the Company’s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Principles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may collect nonpublic personal information regarding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in order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or Company transactions.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in order to provide services to the Company and investors. The Company maintains physical, electronic and procedural safeguards to seek to guard investor nonpublic personal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Obligations</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1934 Act.</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 Investor Relations, or by emailing us at </w:t>
      </w:r>
      <w:r>
        <w:rPr>
          <w:rFonts w:ascii="Arial" w:cs="Arial" w:eastAsia="Arial" w:hAnsi="Arial"/>
          <w:sz w:val="16"/>
          <w:szCs w:val="16"/>
          <w:i w:val="1"/>
          <w:iCs w:val="1"/>
          <w:color w:val="auto"/>
        </w:rPr>
        <w:t>IRTSL@tpg.com</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certain non-U.S. stockholders with respect to our taxable years commencing after December 31, 2013 may be eligible for look-through tax treatment if Congress extends certain rules to apply to such taxable years.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90" w:lineRule="exact"/>
        <w:rPr>
          <w:rFonts w:ascii="Arial" w:cs="Arial" w:eastAsia="Arial" w:hAnsi="Arial"/>
          <w:sz w:val="18"/>
          <w:szCs w:val="18"/>
          <w:color w:val="auto"/>
        </w:rPr>
      </w:pPr>
    </w:p>
    <w:p>
      <w:pPr>
        <w:ind w:left="1480" w:right="240" w:hanging="446"/>
        <w:spacing w:after="0" w:line="306" w:lineRule="auto"/>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25" w:lineRule="exact"/>
        <w:rPr>
          <w:rFonts w:ascii="Arial" w:cs="Arial" w:eastAsia="Arial" w:hAnsi="Arial"/>
          <w:sz w:val="16"/>
          <w:szCs w:val="16"/>
          <w:color w:val="auto"/>
        </w:rPr>
      </w:pPr>
    </w:p>
    <w:p>
      <w:pPr>
        <w:ind w:left="1480" w:right="40" w:hanging="446"/>
        <w:spacing w:after="0" w:line="306" w:lineRule="auto"/>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39"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generally expect to distribute substantially all of our earnings on a quarterly basis, but will reinvest dividends on behalf of those investors that do not elect to receive their dividends in cash. See “</w:t>
      </w:r>
      <w:r>
        <w:rPr>
          <w:rFonts w:ascii="Arial" w:cs="Arial" w:eastAsia="Arial" w:hAnsi="Arial"/>
          <w:sz w:val="16"/>
          <w:szCs w:val="16"/>
          <w:i w:val="1"/>
          <w:iCs w:val="1"/>
          <w:color w:val="auto"/>
        </w:rPr>
        <w:t>Dividend Policy</w:t>
      </w:r>
      <w:r>
        <w:rPr>
          <w:rFonts w:ascii="Arial" w:cs="Arial" w:eastAsia="Arial" w:hAnsi="Arial"/>
          <w:sz w:val="16"/>
          <w:szCs w:val="16"/>
          <w:color w:val="auto"/>
        </w:rPr>
        <w:t>” and “</w:t>
      </w:r>
      <w:r>
        <w:rPr>
          <w:rFonts w:ascii="Arial" w:cs="Arial" w:eastAsia="Arial" w:hAnsi="Arial"/>
          <w:sz w:val="16"/>
          <w:szCs w:val="16"/>
          <w:i w:val="1"/>
          <w:iCs w:val="1"/>
          <w:color w:val="auto"/>
        </w:rPr>
        <w:t>Dividend Reinvestment Plan</w:t>
      </w:r>
      <w:r>
        <w:rPr>
          <w:rFonts w:ascii="Arial" w:cs="Arial" w:eastAsia="Arial" w:hAnsi="Arial"/>
          <w:sz w:val="16"/>
          <w:szCs w:val="16"/>
          <w:color w:val="auto"/>
        </w:rPr>
        <w:t>” for a description of our dividend policy and obligations. One or more of the considerations described below, however, could result in the deferral of dividend distributions until the end of the fiscal year:</w:t>
      </w:r>
    </w:p>
    <w:p>
      <w:pPr>
        <w:spacing w:after="0" w:line="26" w:lineRule="exact"/>
        <w:rPr>
          <w:sz w:val="20"/>
          <w:szCs w:val="20"/>
          <w:color w:val="auto"/>
        </w:rPr>
      </w:pPr>
    </w:p>
    <w:p>
      <w:pPr>
        <w:ind w:left="900" w:right="60" w:hanging="325"/>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50" w:lineRule="exact"/>
        <w:rPr>
          <w:rFonts w:ascii="Arial" w:cs="Arial" w:eastAsia="Arial" w:hAnsi="Arial"/>
          <w:sz w:val="18"/>
          <w:szCs w:val="18"/>
          <w:color w:val="auto"/>
        </w:rPr>
      </w:pPr>
    </w:p>
    <w:p>
      <w:pPr>
        <w:jc w:val="both"/>
        <w:ind w:left="900" w:right="32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certain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February 18, 2014, we filed a registration statement on Form N-2 (File No. 333-193986) with the SEC related to an initial public offering of our common stock. We expect to use the net proceeds from the initial public offering to repay certain of our indebtedness. The timing of our initial public offering is uncertain. The SEC has not declared this registration statement effective and securities may not be sold, nor may offers to buy the securities be accepted, prior to the time this registration statement becomes effective.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February 24, 2014, we filed a definitive proxy statement with the SEC to solicit consents from our stockholders to effect the following amendments to our certificate of incorporation:</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the number of authorized shares of common stock to 400,000,000 shares;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elimination of the ability of stockholders to act by written consent outside of an annual or special meeting of stockholders.</w:t>
      </w:r>
    </w:p>
    <w:p>
      <w:pPr>
        <w:spacing w:after="0" w:line="171"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If we receive the requisite consents for one or both of these proposed amendments, we will file a certificate of amendment to our certificate of incorporation effecting the approved amendments.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December 31, 2013, we delivered a capital drawdown notice to our investors relating to the sale of 4,234,501 shares of our common stock for an aggregate offering price of $65.0 million. The sale closed on January 15, 2014. On February 13, 2014, we issued 502,200 shares of our common stock through our dividend reinvestment plan for $7.8 million. Neither of these issuances of our common stock are reflected in the number of shares issued for the year ended December 31, 2013 as disclosed in this Form 10-K or the consolidated financial statements for the year ended December 31, 2013.</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January 21, 2014, we amended the Revolving Credit Facility (Natixis) to, among other things, increase the size of the facility to $175 million. We also modified pricing under the Revolving Credit Facility (Natixis) to allow TPG SL SPV, at its option, to borrow at an interest rate equal to the lenders’ cost of funds plus a margin, thereby lowering the interest rate currently applicable on our borrowings under the facility. On February 27, 2014, we amended the Revolving Credit Facility (SunTrust) to, among other things, increase the size of the facility to $581.3 million. On February 27, 2014, we terminated the Revolving Credit Facility (DBTCA), effective March 4, 2014. The outstanding balance under the Revolving Credit Facility (DBTCA) was paid down prior to terminating the facility. For more information, see “</w:t>
      </w:r>
      <w:r>
        <w:rPr>
          <w:rFonts w:ascii="Arial" w:cs="Arial" w:eastAsia="Arial" w:hAnsi="Arial"/>
          <w:sz w:val="18"/>
          <w:szCs w:val="18"/>
          <w:i w:val="1"/>
          <w:iCs w:val="1"/>
          <w:color w:val="auto"/>
        </w:rPr>
        <w:t>ITEM 7. Management’s Discussion and Analysis of Financial Condition and Results of Operations—Financial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common stock involves a number of significant risks. Before you invest in our common stock,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 formed company with relatively little operating history.</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upon at least 60 days’ written notice to the other party. The holders of a majority of our outstanding voting securities may also terminate the Investment Advisory Agreement without penalty upon not less than 60 days’ written notice.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The 1940 Act imposes numerous constraints on the operations of business development companies. See </w:t>
      </w:r>
      <w:r>
        <w:rPr>
          <w:rFonts w:ascii="Arial" w:cs="Arial" w:eastAsia="Arial" w:hAnsi="Arial"/>
          <w:sz w:val="18"/>
          <w:szCs w:val="18"/>
          <w:i w:val="1"/>
          <w:iCs w:val="1"/>
          <w:color w:val="auto"/>
        </w:rPr>
        <w:t>“Regulation as a Business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 </w:t>
      </w:r>
      <w:r>
        <w:rPr>
          <w:rFonts w:ascii="Arial" w:cs="Arial" w:eastAsia="Arial" w:hAnsi="Arial"/>
          <w:sz w:val="18"/>
          <w:szCs w:val="18"/>
          <w:color w:val="auto"/>
        </w:rPr>
        <w:t>for a discussion of business development company limitations. For example, business development companies are required to invest at least 70%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Regulations governing our operation as a business development company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Although we currently have no plans to issue preferred stock, if we issue preferred stock, it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price below net asset value per share, existing stockholders will experience net asset value dilution and the investors who acquire shares in the offering may thereafter experience the same type of dilution from subsequent offerings at a discount.</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securitize certain of our investments, which may subject us to certain structured financing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part of our business strategy, we borrow from and may in the future issue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credit facilities also impose financial and operating covenants that restrict our business activities, remedies on default and similar matters. As of the date of this Annual Report,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2013, we had $432.3 million of outstanding indebtedness, which would have an annualized interest cost of 2.5% under the terms of our credit facilities, excluding fees (such as fees on undrawn amounts and amortization of upfront fees), to the extent the amount remains outstanding. For us to cover these annualized interest payments on indebtedness, we must achieve annual returns on our investments of at least 1.0%. Since we generally pay interest at a floating rate on our credit facilities, an increase in interest rates will generally increase our borrowing costs.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90"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19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32"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90"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2" w:lineRule="exact"/>
        <w:rPr>
          <w:sz w:val="20"/>
          <w:szCs w:val="20"/>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50" w:lineRule="exact"/>
        <w:rPr>
          <w:rFonts w:ascii="Arial" w:cs="Arial" w:eastAsia="Arial" w:hAnsi="Arial"/>
          <w:sz w:val="18"/>
          <w:szCs w:val="18"/>
          <w:color w:val="auto"/>
        </w:rPr>
      </w:pPr>
    </w:p>
    <w:p>
      <w:pPr>
        <w:ind w:left="900" w:right="260" w:hanging="325"/>
        <w:spacing w:after="0" w:line="335" w:lineRule="auto"/>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the calendar years ended December 31, 2013 and December 31, 2012, we retained $3.0 million and $2.8 million of income and capital gains, respectively, in order to provide us with additional liquidity and we recorded a net expense of $0.2 million and $0.1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Arial" w:cs="Arial" w:eastAsia="Arial" w:hAnsi="Arial"/>
          <w:sz w:val="18"/>
          <w:szCs w:val="18"/>
          <w:i w:val="1"/>
          <w:iCs w:val="1"/>
          <w:color w:val="auto"/>
        </w:rPr>
        <w:t>ITEM 1. BUSINESS</w:t>
      </w:r>
      <w:r>
        <w:rPr>
          <w:rFonts w:ascii="Arial" w:cs="Arial" w:eastAsia="Arial" w:hAnsi="Arial"/>
          <w:sz w:val="18"/>
          <w:szCs w:val="18"/>
          <w:color w:val="auto"/>
        </w:rPr>
        <w:t>—Regulation as a Business Development Company—</w:t>
      </w:r>
      <w:r>
        <w:rPr>
          <w:rFonts w:ascii="Arial" w:cs="Arial" w:eastAsia="Arial" w:hAnsi="Arial"/>
          <w:sz w:val="18"/>
          <w:szCs w:val="18"/>
          <w:i w:val="1"/>
          <w:iCs w:val="1"/>
          <w:color w:val="auto"/>
        </w:rPr>
        <w:t>Regulated Investment Company Classification</w:t>
      </w:r>
      <w:r>
        <w:rPr>
          <w:rFonts w:ascii="Arial" w:cs="Arial" w:eastAsia="Arial" w:hAnsi="Arial"/>
          <w:sz w:val="18"/>
          <w:szCs w:val="18"/>
          <w:color w:val="auto"/>
        </w:rPr>
        <w:t xml:space="preserve">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Adviser has the right, under the Investment Advisory Agreement and the Administration Agreement, to resign at any time upon not less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2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 and default rates on our investments. As a result of these and other possible factors, results for any period should not be relied upon as being indicative of performance in future periods.</w:t>
      </w:r>
    </w:p>
    <w:p>
      <w:pPr>
        <w:spacing w:after="0" w:line="22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32"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90"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“—Unless Congress renews certain exemptions that expired for taxable years commencing after December 31, 2013, certain dividend distributions we make to certain non-U.S. stockholders will be subject to U.S. withholding tax.”</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32" w:lineRule="exact"/>
        <w:rPr>
          <w:sz w:val="20"/>
          <w:szCs w:val="20"/>
          <w:color w:val="auto"/>
        </w:rPr>
      </w:pPr>
    </w:p>
    <w:p>
      <w:pPr>
        <w:ind w:left="5620" w:right="4980" w:hanging="5045"/>
        <w:spacing w:after="0" w:line="525" w:lineRule="auto"/>
        <w:tabs>
          <w:tab w:leader="none" w:pos="89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receipt of a reduced level of interest income from our portfolio companies; 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about financial stability could have a significant adverse effect on our business, results of operations and financial condition.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continues to negatively impact consumer confidence and consumer credit factors, our business and results of operations could be significantly and adversely affected.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43" w:lineRule="exact"/>
        <w:rPr>
          <w:sz w:val="20"/>
          <w:szCs w:val="20"/>
          <w:color w:val="auto"/>
        </w:rPr>
      </w:pPr>
    </w:p>
    <w:p>
      <w:pPr>
        <w:jc w:val="both"/>
        <w:ind w:right="640" w:firstLine="456"/>
        <w:spacing w:after="0" w:line="306" w:lineRule="auto"/>
        <w:rPr>
          <w:sz w:val="20"/>
          <w:szCs w:val="20"/>
          <w:color w:val="auto"/>
        </w:rPr>
      </w:pPr>
      <w:r>
        <w:rPr>
          <w:rFonts w:ascii="Arial" w:cs="Arial" w:eastAsia="Arial" w:hAnsi="Arial"/>
          <w:sz w:val="16"/>
          <w:szCs w:val="16"/>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18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failure or the perceived risk of a failure to raise the statutory debt limit of the United States, or a shutdown of the United States federal government, could have a material adverse effect on our business, financial condition and results of operations.</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widely reported, the federal government may not be able to meet its debt payments in the relatively near future unless the federal debt ceiling is raised. If legislation increasing the debt ceiling is not enacted and the debt ceiling is reached, the federal government may stop or delay making payments on its obligations. A failure by Congress to raise the debt limit would increase the risk of default by the United States on its obligations, as well as the risk of other economic dislocations.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U.S. government fails to complete its budget process or to provide for a continuing resolution before the expiration of the current continuing resolution, a federal government shutdown may result. Such a failure or the perceived risk of such a failure consequently could have a material adverse effect on the financial markets and economic conditions in the United States and throughout the world. It could also limit our ability and the ability of our portfolio companies to obtain financing, and it could have a material adverse effect on the valuation of our portfolio companies. Consequently, the continued uncertainty in the general economic environment, including the recent government shutdown and potential debt ceiling implications, as well in specific economies of several individual geographic markets in which our portfolio companies operate, could adversely affect our business, financial condition and results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annual report.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“—There are certain risks associated with holding debt obligations that have original issue discount or PIK.”</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w:t>
      </w:r>
      <w:r>
        <w:rPr>
          <w:rFonts w:ascii="Arial" w:cs="Arial" w:eastAsia="Arial" w:hAnsi="Arial"/>
          <w:sz w:val="16"/>
          <w:szCs w:val="16"/>
          <w:i w:val="1"/>
          <w:iCs w:val="1"/>
          <w:color w:val="auto"/>
        </w:rPr>
        <w:t>Regulated Investment Company Classification</w:t>
      </w:r>
      <w:r>
        <w:rPr>
          <w:rFonts w:ascii="Arial" w:cs="Arial" w:eastAsia="Arial" w:hAnsi="Arial"/>
          <w:sz w:val="16"/>
          <w:szCs w:val="16"/>
          <w:color w:val="auto"/>
        </w:rPr>
        <w: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That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investment adviser, the amount of accrued income written off in any period will reduce the income in the period in which the write-off is taken and thereby reduce that period’s Incentive Fee payment, if any.</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filing requirements under the 1934 Act as a result of your investment in the Company.</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Because our common stock is registered under the 1934 Act, ownership information for any person who beneficially owns 5% or more of our common stock will have to be disclosed in a Schedule 13G or other filings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with the SEC. Beneficial ownership for these purposes is determined in accordance with the rules of the SEC, and includes having voting or investment power over the securities. In some circumstances, investors who choose to reinvest their dividends may see their percentage stake in the Company increased to more than 5%, thus triggering this filing requirement. Although we will provide in our quarterly statements the amount of outstanding shares and the amount of the investor’s shares, the responsibility for determining the filing obligation and preparing the filing remains with the investor.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have adopted a dividend reinvestment plan, pursuant to which the Company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Arial" w:cs="Arial" w:eastAsia="Arial" w:hAnsi="Arial"/>
          <w:sz w:val="16"/>
          <w:szCs w:val="16"/>
          <w:i w:val="1"/>
          <w:iCs w:val="1"/>
          <w:color w:val="auto"/>
        </w:rPr>
        <w:t>“ITEM 1. Our Business—Dividend Policy”</w:t>
      </w:r>
      <w:r>
        <w:rPr>
          <w:rFonts w:ascii="Arial" w:cs="Arial" w:eastAsia="Arial" w:hAnsi="Arial"/>
          <w:sz w:val="16"/>
          <w:szCs w:val="16"/>
          <w:color w:val="auto"/>
        </w:rPr>
        <w:t xml:space="preserve"> and </w:t>
      </w:r>
      <w:r>
        <w:rPr>
          <w:rFonts w:ascii="Arial" w:cs="Arial" w:eastAsia="Arial" w:hAnsi="Arial"/>
          <w:sz w:val="16"/>
          <w:szCs w:val="16"/>
          <w:i w:val="1"/>
          <w:iCs w:val="1"/>
          <w:color w:val="auto"/>
        </w:rPr>
        <w:t>“ITEM 1. Our Business—Dividend Reinvestment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Plan” </w:t>
      </w:r>
      <w:r>
        <w:rPr>
          <w:rFonts w:ascii="Arial" w:cs="Arial" w:eastAsia="Arial" w:hAnsi="Arial"/>
          <w:sz w:val="16"/>
          <w:szCs w:val="16"/>
          <w:color w:val="auto"/>
        </w:rPr>
        <w:t>for a description of our dividend policy and obligations. Stockholders that opt out of our dividend reinvestment plan will experience dilution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percentage of our common stock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primarily invest in first-lien debt, second-lien debt, mezzanine debt or equity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Exposure to below investment grade instruments involves certain risks, including speculation with respect to the borrower’s capacity to pay interest and repay principal.</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First-Lien Debt</w:t>
      </w:r>
      <w:r>
        <w:rPr>
          <w:rFonts w:ascii="Arial" w:cs="Arial" w:eastAsia="Arial" w:hAnsi="Arial"/>
          <w:sz w:val="16"/>
          <w:szCs w:val="16"/>
          <w:color w:val="auto"/>
        </w:rPr>
        <w:t>. When we make a first-lien loan, we generally take a security interest in the available assets of the portfolio company, including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color w:val="auto"/>
        </w:rPr>
        <w:t>Second-Lien and Mezzanine Debt</w:t>
      </w:r>
      <w:r>
        <w:rPr>
          <w:rFonts w:ascii="Arial" w:cs="Arial" w:eastAsia="Arial" w:hAnsi="Arial"/>
          <w:sz w:val="15"/>
          <w:szCs w:val="15"/>
          <w:color w:val="auto"/>
        </w:rPr>
        <w:t>. Our investments in second-lien and mezzanine debt generally are subordinated to senior loans and will either have junior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security interests or be unsecured. As such, other creditors may rank senior to us in the event of insolvency. This may result in greater risk and loss of principal.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When we invest in first-lien debt, second-lien debt or mezzanine debt, we may acquire equity securities, such as warrants,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90" w:lineRule="exact"/>
        <w:rPr>
          <w:sz w:val="20"/>
          <w:szCs w:val="20"/>
          <w:color w:val="auto"/>
        </w:rPr>
      </w:pPr>
    </w:p>
    <w:p>
      <w:pPr>
        <w:ind w:left="1480" w:right="60" w:hanging="446"/>
        <w:spacing w:after="0" w:line="259" w:lineRule="auto"/>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59" w:lineRule="exact"/>
        <w:rPr>
          <w:rFonts w:ascii="Arial" w:cs="Arial" w:eastAsia="Arial" w:hAnsi="Arial"/>
          <w:sz w:val="18"/>
          <w:szCs w:val="18"/>
          <w:color w:val="auto"/>
        </w:rPr>
      </w:pPr>
    </w:p>
    <w:p>
      <w:pPr>
        <w:ind w:left="1480" w:right="260" w:hanging="446"/>
        <w:spacing w:after="0" w:line="332" w:lineRule="auto"/>
        <w:tabs>
          <w:tab w:leader="none" w:pos="1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4" w:lineRule="exact"/>
        <w:rPr>
          <w:rFonts w:ascii="Arial" w:cs="Arial" w:eastAsia="Arial" w:hAnsi="Arial"/>
          <w:sz w:val="16"/>
          <w:szCs w:val="16"/>
          <w:color w:val="auto"/>
        </w:rPr>
      </w:pPr>
    </w:p>
    <w:p>
      <w:pPr>
        <w:ind w:left="1480" w:right="140" w:hanging="446"/>
        <w:spacing w:after="0" w:line="306" w:lineRule="auto"/>
        <w:tabs>
          <w:tab w:leader="none" w:pos="1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90" w:lineRule="exact"/>
        <w:rPr>
          <w:sz w:val="20"/>
          <w:szCs w:val="20"/>
          <w:color w:val="auto"/>
        </w:rPr>
      </w:pPr>
    </w:p>
    <w:p>
      <w:pPr>
        <w:ind w:left="1480" w:right="260" w:hanging="446"/>
        <w:spacing w:after="0" w:line="259"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1480" w:right="280" w:hanging="446"/>
        <w:spacing w:after="0" w:line="259"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59" w:lineRule="exact"/>
        <w:rPr>
          <w:rFonts w:ascii="Arial" w:cs="Arial" w:eastAsia="Arial" w:hAnsi="Arial"/>
          <w:sz w:val="18"/>
          <w:szCs w:val="18"/>
          <w:color w:val="auto"/>
        </w:rPr>
      </w:pPr>
    </w:p>
    <w:p>
      <w:pPr>
        <w:ind w:left="1480" w:hanging="446"/>
        <w:spacing w:after="0" w:line="259"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rFonts w:ascii="Arial" w:cs="Arial" w:eastAsia="Arial" w:hAnsi="Arial"/>
          <w:sz w:val="18"/>
          <w:szCs w:val="18"/>
          <w:color w:val="auto"/>
        </w:rPr>
      </w:pPr>
    </w:p>
    <w:p>
      <w:pPr>
        <w:ind w:left="1480" w:right="360" w:hanging="446"/>
        <w:spacing w:after="0" w:line="259"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59" w:lineRule="exact"/>
        <w:rPr>
          <w:rFonts w:ascii="Arial" w:cs="Arial" w:eastAsia="Arial" w:hAnsi="Arial"/>
          <w:sz w:val="18"/>
          <w:szCs w:val="18"/>
          <w:color w:val="auto"/>
        </w:rPr>
      </w:pPr>
    </w:p>
    <w:p>
      <w:pPr>
        <w:ind w:left="1480" w:right="200" w:hanging="446"/>
        <w:spacing w:after="0" w:line="268"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50" w:lineRule="exact"/>
        <w:rPr>
          <w:rFonts w:ascii="Arial" w:cs="Arial" w:eastAsia="Arial" w:hAnsi="Arial"/>
          <w:sz w:val="18"/>
          <w:szCs w:val="18"/>
          <w:color w:val="auto"/>
        </w:rPr>
      </w:pPr>
    </w:p>
    <w:p>
      <w:pPr>
        <w:ind w:left="1480" w:right="280" w:hanging="446"/>
        <w:spacing w:after="0" w:line="259"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59" w:lineRule="exact"/>
        <w:rPr>
          <w:rFonts w:ascii="Arial" w:cs="Arial" w:eastAsia="Arial" w:hAnsi="Arial"/>
          <w:sz w:val="18"/>
          <w:szCs w:val="18"/>
          <w:color w:val="auto"/>
        </w:rPr>
      </w:pPr>
    </w:p>
    <w:p>
      <w:pPr>
        <w:ind w:left="1480" w:right="460" w:hanging="446"/>
        <w:spacing w:after="0" w:line="268"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1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19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Amended and Restated Revolving Credit and Security Agreement between our wholly owned subsidiary, TPG SL SPV, LLC, and Natixis, New York Branch, which we refer to as the Revolving Credit Facility (Natixis), to form a CLO or other securitization vehicle in the future.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be exposed to many of the same risks as described above with respect to our wholly owned subsidiary that supports our Revolving Credit Facility (Natixis). However, in the event we formed a CLO or other securitization vehicle, many of the risks described above would be heightened because we may incur a higher degree of leverage under a CLO or other securitization vehicle than we are permitted to incur under our Revolving Credit Facility (Natixis).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213"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i w:val="1"/>
          <w:iCs w:val="1"/>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ind w:firstLine="456"/>
        <w:spacing w:after="0" w:line="256" w:lineRule="auto"/>
        <w:rPr>
          <w:sz w:val="20"/>
          <w:szCs w:val="20"/>
          <w:color w:val="auto"/>
        </w:rPr>
      </w:pPr>
      <w:r>
        <w:rPr>
          <w:rFonts w:ascii="Arial" w:cs="Arial" w:eastAsia="Arial" w:hAnsi="Arial"/>
          <w:sz w:val="18"/>
          <w:szCs w:val="18"/>
          <w:color w:val="auto"/>
        </w:rPr>
        <w:t>We are a lender, and loans (and any equity investments we make)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 holders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color w:val="auto"/>
        </w:rPr>
        <w:t>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1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13"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include counter-party credit risk. To the extent we have non-U.S. investments, particularly investments denominated in non-U.S. currencies, our hedging costs will increase.</w:t>
      </w:r>
    </w:p>
    <w:p>
      <w:pPr>
        <w:spacing w:after="0" w:line="9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also have the ability to borrow in certain foreign currencies under our second amended and restated senior secured revolving credit agreement with SunTrust Bank, as administrative agent, and certain lenders, which we refer to as the Revolving Credit Facility (SunTrust).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(SunTrust), we may seek to utilize interest rate derivatives to hedge our exposure to changes in the associated rate.</w:t>
      </w:r>
    </w:p>
    <w:p>
      <w:pPr>
        <w:spacing w:after="0" w:line="144"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success of our hedging strategy will depend on our ability to correctly identify appropriate exposures for hedging. To date, we have entered into hedging transactions to seek to reduce currency exchange rate risk.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variety of reasons, we may not seek to (or be able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Adviser has been granted relief under a no-action letter, known as Letter 12-40, issued by the staff of the Commodity Futures Trading Commission,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CFTC. Letter 12-40 relieves our Adviser from registering with the CFTC as the commodity pool operator, or CPO of us, so long as we:</w:t>
      </w:r>
    </w:p>
    <w:p>
      <w:pPr>
        <w:spacing w:after="0" w:line="84"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Investments in below-investment grade debt instruments and certain equity securities may present special tax issues for us. U.S. federal income tax rules are not entirely clear about issues, including when we may cease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Arial" w:cs="Arial" w:eastAsia="Arial" w:hAnsi="Arial"/>
          <w:sz w:val="15"/>
          <w:szCs w:val="15"/>
          <w:i w:val="1"/>
          <w:iCs w:val="1"/>
          <w:color w:val="auto"/>
        </w:rPr>
        <w:t>ITEM 1. BUSINESS</w:t>
      </w:r>
      <w:r>
        <w:rPr>
          <w:rFonts w:ascii="Arial" w:cs="Arial" w:eastAsia="Arial" w:hAnsi="Arial"/>
          <w:sz w:val="15"/>
          <w:szCs w:val="15"/>
          <w:color w:val="auto"/>
        </w:rPr>
        <w:t>—</w:t>
      </w:r>
      <w:r>
        <w:rPr>
          <w:rFonts w:ascii="Arial" w:cs="Arial" w:eastAsia="Arial" w:hAnsi="Arial"/>
          <w:sz w:val="15"/>
          <w:szCs w:val="15"/>
          <w:i w:val="1"/>
          <w:iCs w:val="1"/>
          <w:color w:val="auto"/>
        </w:rPr>
        <w:t>Regulation as a Business Development Company</w:t>
      </w:r>
      <w:r>
        <w:rPr>
          <w:rFonts w:ascii="Arial" w:cs="Arial" w:eastAsia="Arial" w:hAnsi="Arial"/>
          <w:sz w:val="15"/>
          <w:szCs w:val="15"/>
          <w:color w:val="auto"/>
        </w:rPr>
        <w:t>—</w:t>
      </w:r>
      <w:r>
        <w:rPr>
          <w:rFonts w:ascii="Arial" w:cs="Arial" w:eastAsia="Arial" w:hAnsi="Arial"/>
          <w:sz w:val="15"/>
          <w:szCs w:val="15"/>
          <w:i w:val="1"/>
          <w:iCs w:val="1"/>
          <w:color w:val="auto"/>
        </w:rPr>
        <w:t>Regulated Investment Company Classification</w:t>
      </w:r>
      <w:r>
        <w:rPr>
          <w:rFonts w:ascii="Arial" w:cs="Arial" w:eastAsia="Arial" w:hAnsi="Arial"/>
          <w:sz w:val="15"/>
          <w:szCs w:val="15"/>
          <w:color w:val="auto"/>
        </w:rPr>
        <w:t xml:space="preserve"> for more information.”</w:t>
      </w:r>
    </w:p>
    <w:p>
      <w:pPr>
        <w:spacing w:after="0" w:line="18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51"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In recent years, Congress has renewed the rules under which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PIK.</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through contractual payment-in-kind, or PIK, interest (meaning interest paid in the form of additional principal amount of the loan instead of in cash), or in certain other circumstances.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accounting purposes, any cash distributions to shareholders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maintain our principal executive office at 301 Commerce Street, Suite 3300, Fort Worth, Texas 76102. We do not own any real estate.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4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Until an IPO, our outstanding common stock will be offered and sold in transactions exempt from registration under the Securities Act under section 4(2) and Regulation D. There is not currently a public market for our common stock, nor can we give any assurance that one will develop.</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our common stock is being acquired by investors in one or more transactions “not involving a public offering,” they are “restricted securities” and may be required to be held indefinitely. Our common stock may not be sold, transferred, assigned, pledged or otherwise disposed of unless (i) our consent is granted; and, (ii) the common stock is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the common stock until we are liquidated. No sale, transfer, assignment, pledge or other disposition, whether voluntary or involuntary, of the common stock may be made except by registration of the transfer on our books. Each transferee will be required to execute an instrument agreeing to be bound by these restrictions and the other restrictions imposed on the common stock and to execute such other instruments or certifications as are reasonably required by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4, 2014, there were approximately 56 holders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31, 2013, our issued and outstanding shares totaled 37,026,023, as adjusted for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0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tcPr>
          <w:p>
            <w:pPr>
              <w:jc w:val="right"/>
              <w:ind w:right="1380"/>
              <w:spacing w:after="0"/>
              <w:rPr>
                <w:sz w:val="20"/>
                <w:szCs w:val="20"/>
                <w:color w:val="auto"/>
              </w:rPr>
            </w:pPr>
            <w:r>
              <w:rPr>
                <w:rFonts w:ascii="Arial" w:cs="Arial" w:eastAsia="Arial" w:hAnsi="Arial"/>
                <w:sz w:val="14"/>
                <w:szCs w:val="14"/>
                <w:b w:val="1"/>
                <w:bCs w:val="1"/>
                <w:color w:val="auto"/>
                <w:w w:val="87"/>
              </w:rPr>
              <w:t>December 31, 2013</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8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4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w w:val="98"/>
              </w:rPr>
              <w:t>Dividend per</w:t>
            </w:r>
          </w:p>
        </w:tc>
        <w:tc>
          <w:tcPr>
            <w:tcW w:w="100" w:type="dxa"/>
            <w:vAlign w:val="bottom"/>
          </w:tcPr>
          <w:p>
            <w:pPr>
              <w:spacing w:after="0"/>
              <w:rPr>
                <w:sz w:val="10"/>
                <w:szCs w:val="10"/>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3260" w:type="dxa"/>
            <w:vAlign w:val="bottom"/>
          </w:tcPr>
          <w:p>
            <w:pPr>
              <w:spacing w:after="0"/>
              <w:rPr>
                <w:sz w:val="15"/>
                <w:szCs w:val="15"/>
                <w:color w:val="auto"/>
              </w:rPr>
            </w:pPr>
          </w:p>
        </w:tc>
        <w:tc>
          <w:tcPr>
            <w:tcW w:w="210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25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5"/>
                <w:szCs w:val="15"/>
                <w:color w:val="auto"/>
              </w:rPr>
            </w:pPr>
          </w:p>
        </w:tc>
        <w:tc>
          <w:tcPr>
            <w:tcW w:w="74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rPr>
              <w:t xml:space="preserve">Share </w:t>
            </w:r>
            <w:r>
              <w:rPr>
                <w:rFonts w:ascii="Arial" w:cs="Arial" w:eastAsia="Arial" w:hAnsi="Arial"/>
                <w:sz w:val="18"/>
                <w:szCs w:val="18"/>
                <w:b w:val="1"/>
                <w:bCs w:val="1"/>
                <w:color w:val="auto"/>
                <w:vertAlign w:val="superscript"/>
              </w:rPr>
              <w:t>(2)</w:t>
            </w:r>
          </w:p>
        </w:tc>
      </w:tr>
      <w:tr>
        <w:trPr>
          <w:trHeight w:val="203"/>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2013</w:t>
            </w:r>
          </w:p>
        </w:tc>
        <w:tc>
          <w:tcPr>
            <w:tcW w:w="6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w w:val="86"/>
              </w:rPr>
              <w:t>May 6, 2013</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2100" w:type="dxa"/>
            <w:vAlign w:val="bottom"/>
            <w:gridSpan w:val="2"/>
          </w:tcPr>
          <w:p>
            <w:pPr>
              <w:jc w:val="right"/>
              <w:ind w:right="620"/>
              <w:spacing w:after="0"/>
              <w:rPr>
                <w:sz w:val="20"/>
                <w:szCs w:val="20"/>
                <w:color w:val="auto"/>
              </w:rPr>
            </w:pPr>
            <w:r>
              <w:rPr>
                <w:rFonts w:ascii="Arial" w:cs="Arial" w:eastAsia="Arial" w:hAnsi="Arial"/>
                <w:sz w:val="18"/>
                <w:szCs w:val="18"/>
                <w:color w:val="auto"/>
              </w:rPr>
              <w:t>June 30, 2013</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July 31, 2013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September 30, 2013</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90"/>
              </w:rPr>
              <w:t>October 31, 2013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 xml:space="preserve">December 31, 2013 </w:t>
            </w:r>
            <w:r>
              <w:rPr>
                <w:rFonts w:ascii="Arial" w:cs="Arial" w:eastAsia="Arial" w:hAnsi="Arial"/>
                <w:sz w:val="11"/>
                <w:szCs w:val="11"/>
                <w:color w:val="auto"/>
              </w:rPr>
              <w:t>(1)</w:t>
            </w:r>
          </w:p>
        </w:tc>
        <w:tc>
          <w:tcPr>
            <w:tcW w:w="210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December 31, 2013</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w w:val="90"/>
              </w:rPr>
              <w:t>January 30, 2014</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15" w:lineRule="exact"/>
        <w:rPr>
          <w:rFonts w:ascii="Arial" w:cs="Arial" w:eastAsia="Arial" w:hAnsi="Arial"/>
          <w:sz w:val="18"/>
          <w:szCs w:val="18"/>
          <w:color w:val="auto"/>
        </w:rPr>
      </w:pPr>
    </w:p>
    <w:p>
      <w:pPr>
        <w:ind w:left="1480" w:right="380" w:hanging="567"/>
        <w:spacing w:after="0" w:line="261"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indicated amounts for dates prior to December 3, 2013 have been retroactively adjusted for the stock split which was effected in the form of a stock dividend. See Note 9 of our consolidated financial statements included in this 10-K.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0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tcPr>
          <w:p>
            <w:pPr>
              <w:jc w:val="right"/>
              <w:ind w:right="1380"/>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8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4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w w:val="98"/>
              </w:rPr>
              <w:t>Dividend per</w:t>
            </w:r>
          </w:p>
        </w:tc>
        <w:tc>
          <w:tcPr>
            <w:tcW w:w="100" w:type="dxa"/>
            <w:vAlign w:val="bottom"/>
          </w:tcPr>
          <w:p>
            <w:pPr>
              <w:spacing w:after="0"/>
              <w:rPr>
                <w:sz w:val="10"/>
                <w:szCs w:val="10"/>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3260" w:type="dxa"/>
            <w:vAlign w:val="bottom"/>
          </w:tcPr>
          <w:p>
            <w:pPr>
              <w:spacing w:after="0"/>
              <w:rPr>
                <w:sz w:val="15"/>
                <w:szCs w:val="15"/>
                <w:color w:val="auto"/>
              </w:rPr>
            </w:pPr>
          </w:p>
        </w:tc>
        <w:tc>
          <w:tcPr>
            <w:tcW w:w="210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25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5"/>
                <w:szCs w:val="15"/>
                <w:color w:val="auto"/>
              </w:rPr>
            </w:pPr>
          </w:p>
        </w:tc>
        <w:tc>
          <w:tcPr>
            <w:tcW w:w="74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rPr>
              <w:t xml:space="preserve">Share </w:t>
            </w:r>
            <w:r>
              <w:rPr>
                <w:rFonts w:ascii="Arial" w:cs="Arial" w:eastAsia="Arial" w:hAnsi="Arial"/>
                <w:sz w:val="18"/>
                <w:szCs w:val="18"/>
                <w:b w:val="1"/>
                <w:bCs w:val="1"/>
                <w:color w:val="auto"/>
                <w:vertAlign w:val="superscript"/>
              </w:rPr>
              <w:t>(2)</w:t>
            </w:r>
          </w:p>
        </w:tc>
      </w:tr>
      <w:tr>
        <w:trPr>
          <w:trHeight w:val="203"/>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6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w w:val="86"/>
              </w:rPr>
              <w:t>May 7, 2012</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100" w:type="dxa"/>
            <w:vAlign w:val="bottom"/>
            <w:gridSpan w:val="2"/>
          </w:tcPr>
          <w:p>
            <w:pPr>
              <w:jc w:val="right"/>
              <w:ind w:right="620"/>
              <w:spacing w:after="0"/>
              <w:rPr>
                <w:sz w:val="20"/>
                <w:szCs w:val="20"/>
                <w:color w:val="auto"/>
              </w:rPr>
            </w:pPr>
            <w:r>
              <w:rPr>
                <w:rFonts w:ascii="Arial" w:cs="Arial" w:eastAsia="Arial" w:hAnsi="Arial"/>
                <w:sz w:val="18"/>
                <w:szCs w:val="18"/>
                <w:color w:val="auto"/>
              </w:rPr>
              <w:t>June 30, 2012</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August 3, 2012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September 30, 2012</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90"/>
              </w:rPr>
              <w:t>October 30, 2012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210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December 31, 2012</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w w:val="90"/>
              </w:rPr>
              <w:t>January 31, 2013</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5" w:lineRule="exact"/>
        <w:rPr>
          <w:rFonts w:ascii="Arial" w:cs="Arial" w:eastAsia="Arial" w:hAnsi="Arial"/>
          <w:sz w:val="18"/>
          <w:szCs w:val="18"/>
          <w:color w:val="auto"/>
        </w:rPr>
      </w:pPr>
    </w:p>
    <w:p>
      <w:pPr>
        <w:ind w:left="1480" w:hanging="567"/>
        <w:spacing w:after="0" w:line="261"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indicated amounts have been retroactively adjusted for the stock split which was effected in the form of a stock dividend. See Note 9 of our consolidated financial statements included in this 10-K.</w:t>
      </w:r>
    </w:p>
    <w:p>
      <w:pPr>
        <w:spacing w:after="0" w:line="13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The dividends declared during the years ended December 31, 2013 and December 31, 2012, were derived from net investment income and capital gains, determined on a tax basis. See </w:t>
      </w:r>
      <w:r>
        <w:rPr>
          <w:rFonts w:ascii="Arial" w:cs="Arial" w:eastAsia="Arial" w:hAnsi="Arial"/>
          <w:sz w:val="18"/>
          <w:szCs w:val="18"/>
          <w:i w:val="1"/>
          <w:iCs w:val="1"/>
          <w:color w:val="auto"/>
        </w:rPr>
        <w:t>“ITEM 1. Our Business—Dividend Policy” and “ITEM 1. Our Business—Dividend Reinvestment Plan”</w:t>
      </w:r>
      <w:r>
        <w:rPr>
          <w:rFonts w:ascii="Arial" w:cs="Arial" w:eastAsia="Arial" w:hAnsi="Arial"/>
          <w:sz w:val="18"/>
          <w:szCs w:val="18"/>
          <w:color w:val="auto"/>
        </w:rPr>
        <w:t xml:space="preserve"> for a description of our dividend policy and obligations.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table below sets forth our selected consolidated historical financial data for the periods indicated. The selected consolidated income statement data for the years ended December 31, 2013, 2012 and 2011 and the selected consolidated balance sheet data as of December 31, 2013 and 2012, have been derived from our audited consolidated financial statements, which are included elsewhere in this Form 10-K and our SEC filings.</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selected consolidated financial information and other data presented below should be read in conjunction with the information contained in “ITEM 7. MANAGEMENT’S DISCUSSION AND ANALYSIS OF FINANCIAL CONDITION AND RESULTS OF OPERATIONS,” the audited consolidated financial statements and the notes thereto included elsewhere in this annual report on Form 10-K.</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940" w:type="dxa"/>
            <w:vAlign w:val="bottom"/>
          </w:tcPr>
          <w:p>
            <w:pPr>
              <w:spacing w:after="0"/>
              <w:rPr>
                <w:sz w:val="14"/>
                <w:szCs w:val="14"/>
                <w:color w:val="auto"/>
              </w:rPr>
            </w:pPr>
          </w:p>
        </w:tc>
        <w:tc>
          <w:tcPr>
            <w:tcW w:w="17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4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40" w:type="dxa"/>
            <w:vAlign w:val="bottom"/>
          </w:tcPr>
          <w:p>
            <w:pPr>
              <w:spacing w:after="0"/>
              <w:rPr>
                <w:sz w:val="12"/>
                <w:szCs w:val="12"/>
                <w:color w:val="auto"/>
              </w:rPr>
            </w:pPr>
          </w:p>
        </w:tc>
        <w:tc>
          <w:tcPr>
            <w:tcW w:w="176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4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 Income</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Expenses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Investment Income (Loss) Before Income Taxes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Change in Net Unrealized Gains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Net Realized Gains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r>
    </w:tbl>
    <w:p>
      <w:pPr>
        <w:spacing w:after="0" w:line="194" w:lineRule="exact"/>
        <w:rPr>
          <w:sz w:val="20"/>
          <w:szCs w:val="20"/>
          <w:color w:val="auto"/>
        </w:rPr>
      </w:pPr>
    </w:p>
    <w:p>
      <w:pPr>
        <w:ind w:left="460" w:right="4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consolidated financial statements included in this 10-K.</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Arial" w:cs="Arial" w:eastAsia="Arial" w:hAnsi="Arial"/>
                <w:sz w:val="14"/>
                <w:szCs w:val="14"/>
                <w:color w:val="auto"/>
              </w:rPr>
              <w:t>($ in millions, except per share amounts)</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vMerge w:val="continue"/>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w w:val="84"/>
              </w:rPr>
              <w:t>161.8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1,016.5</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4"/>
              </w:rPr>
              <w:t>653.9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Total assets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1,039.2</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w w:val="84"/>
              </w:rPr>
              <w:t>833.1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4"/>
              </w:rPr>
              <w:t>331.8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Total liabilities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464.5</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w w:val="84"/>
              </w:rPr>
              <w:t>353.3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4"/>
              </w:rPr>
              <w:t>479.8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1"/>
                <w:szCs w:val="11"/>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15.52</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w w:val="84"/>
              </w:rPr>
              <w:t>15.19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Number of portfolio companies at year end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Dividends declared per share </w:t>
            </w:r>
            <w:r>
              <w:rPr>
                <w:rFonts w:ascii="Arial" w:cs="Arial" w:eastAsia="Arial" w:hAnsi="Arial"/>
                <w:sz w:val="11"/>
                <w:szCs w:val="11"/>
                <w:color w:val="auto"/>
              </w:rPr>
              <w:t>(1)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yield of debt and income producing securities at fair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1"/>
                <w:szCs w:val="11"/>
                <w:color w:val="auto"/>
              </w:rPr>
              <w:t>(3)</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8"/>
        </w:trPr>
        <w:tc>
          <w:tcPr>
            <w:tcW w:w="5820" w:type="dxa"/>
            <w:vAlign w:val="bottom"/>
          </w:tcPr>
          <w:p>
            <w:pPr>
              <w:spacing w:after="0"/>
              <w:rPr>
                <w:sz w:val="20"/>
                <w:szCs w:val="20"/>
                <w:color w:val="auto"/>
              </w:rPr>
            </w:pPr>
            <w:r>
              <w:rPr>
                <w:rFonts w:ascii="Arial" w:cs="Arial" w:eastAsia="Arial" w:hAnsi="Arial"/>
                <w:sz w:val="18"/>
                <w:szCs w:val="18"/>
                <w:color w:val="auto"/>
                <w:w w:val="94"/>
              </w:rPr>
              <w:t>Weighted average yield of debt and income producing securities at amortized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20"/>
              <w:spacing w:after="0"/>
              <w:rPr>
                <w:sz w:val="20"/>
                <w:szCs w:val="20"/>
                <w:color w:val="auto"/>
              </w:rPr>
            </w:pPr>
            <w:r>
              <w:rPr>
                <w:rFonts w:ascii="Arial" w:cs="Arial" w:eastAsia="Arial" w:hAnsi="Arial"/>
                <w:sz w:val="18"/>
                <w:szCs w:val="18"/>
                <w:color w:val="auto"/>
              </w:rPr>
              <w:t xml:space="preserve">cost </w:t>
            </w:r>
            <w:r>
              <w:rPr>
                <w:rFonts w:ascii="Arial" w:cs="Arial" w:eastAsia="Arial" w:hAnsi="Arial"/>
                <w:sz w:val="11"/>
                <w:szCs w:val="11"/>
                <w:color w:val="auto"/>
              </w:rPr>
              <w:t>(3)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debt investments as a percentage of principal</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w w:val="94"/>
              </w:rPr>
              <w:t>Weighted average fair value of debt investments as a percentage of call price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100" w:hanging="452"/>
        <w:spacing w:after="0" w:line="25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consolidated financial statements included in this 10-K.</w:t>
      </w:r>
    </w:p>
    <w:p>
      <w:pPr>
        <w:ind w:left="460" w:hanging="452"/>
        <w:spacing w:after="0" w:line="281"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460" w:right="60" w:hanging="452"/>
        <w:spacing w:after="0" w:line="288"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Weighted average yield on debt and income producing securities at fair value is computed as (a) the annual stated interest rate or yield earned plus additional interest, if any, as a result of arrangements between the Company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the Company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6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Management’s Discussion and Analysis should be read in conjunction with ITEM 8.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TPG Specialty Lending, Inc. is a Delaware corporation formed on July 21, 2010. The Adviser is our external manager. We have two wholly owned subsidiaries, TC Lending, LLC, a Delaware limited liability company, which holds a California finance lender and broker license, and TPG SL SPV, LLC, a Delaware limited liability company, in which we hold assets to support our asset-backed credit facility. Our results reflect our ramp-up of initial investments, which is now complete, as well as the ongoing measured growth of our portfolio of investments.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we have originated more than $2.2 billion aggregate principal amount of investments and retained approximately $1.5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2013, based on fair value, our borrowers had weighted average annual revenue of $202 million and weighted average annual EBITDA of $35 million.</w:t>
      </w:r>
    </w:p>
    <w:p>
      <w:pPr>
        <w:spacing w:after="0" w:line="14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our average investment based on fair value in each of our portfolio companies was $38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expect that no single investment will represent more than 15% of our total investment portfolio, based on fair value. The debt in which we invest typically is not rated by any rating agency, but if these instruments were rated, they would likely receive a rating of below investment grade (that is, below BBB- or Baa3).</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Adviser, we consider potential investments utilizing a four-tiered investment framework and against our existing portfolio as a whole:</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no industry represented more than 17% of our portfolio based on fair value.</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December 31, 2013,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99.8% of the fair value of our portfolio was invested in secured debt, including 86.3%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2013, the weighted average term on new investment commitments in new portfolio companies was 5.0 years.</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 transaction.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2013, a substantial majority of our portfolio investments were sourced through our direct or proprietary relationships.</w:t>
      </w:r>
    </w:p>
    <w:p>
      <w:pPr>
        <w:spacing w:after="0" w:line="8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 future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Based on fair value as of December 31, 2013, we had call protection on 94.4% of our debt investments, with weighted average call prices based on fair value of 106.7% for one year, 103.5% for two years and 101.4% for the third year, in each case from the date of the initial investment. Based on fair value as of December 31, 2013, 98.8% of our debt investments bore interest at floating rates, subject to interest rate floors, which we believe helps act as a portfolio-wide hedge against inflation.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Our debt investments typically have a term of two to six years, and, based on fair value as of December 31, 2013, 98.8% bear interest at a floating rate, subject to interest rate floors. Interest on debt securities is generally payable quarterly or semiannually. Some of our investments provide for deferred interest payments or PIK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59"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306"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Amended and Restated Revolving Credit and Security Agreement between our wholly owned subsidiary, TPG SL SPV, LLC and Natixis, which we refer to as the Revolving Credit Facility (Natixis).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40" w:lineRule="exact"/>
        <w:rPr>
          <w:sz w:val="20"/>
          <w:szCs w:val="20"/>
          <w:color w:val="auto"/>
        </w:rPr>
      </w:pPr>
    </w:p>
    <w:p>
      <w:pPr>
        <w:ind w:right="420" w:firstLine="456"/>
        <w:spacing w:after="0" w:line="323" w:lineRule="auto"/>
        <w:rPr>
          <w:sz w:val="20"/>
          <w:szCs w:val="20"/>
          <w:color w:val="auto"/>
        </w:rPr>
      </w:pPr>
      <w:r>
        <w:rPr>
          <w:rFonts w:ascii="Arial" w:cs="Arial" w:eastAsia="Arial" w:hAnsi="Arial"/>
          <w:sz w:val="15"/>
          <w:szCs w:val="15"/>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Based on fair value as of December 31, 2013, our portfolio consisted of 86.3% first-lien debt investments, 13.5% second-lien debt investments, and 0.2% equity investments.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fair value as of December 31, 2012, our portfolio consisted of 89.0% first-lien debt investments, 10.7% second-lien debt investments, and 0.3% equity investments. As of December 31, 2013 and December 31, 2012, our weighted average total yield on investments at fair value (which includes interest income and amortization of fees and discounts) was 10.4% and 10.6%, respectively, and our weighted average total yield on investments at amortized cost (which includes interest income and amortization of fees and discounts) was 10.6% and 10.7%, respectively.</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2013 and December 31, 2012, we had investments in 27 and 21 portfolio companies, respectively, with an aggregate fair value of $1,016.5 million and $653.9 million, respectively.</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For the year ended December 31, 2011, we made new investment commitments of $197.2 million in seven new portfolio companies and had no repayments.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investment activity for the years ended December 31, 2013, 2012 and 2011 is presented below (information presented herein is at par value unless otherwise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r>
      <w:tr>
        <w:trPr>
          <w:trHeight w:val="161"/>
        </w:trPr>
        <w:tc>
          <w:tcPr>
            <w:tcW w:w="54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Gross originations</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897.5</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1,071.7</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syndications/sell downs</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Total new investment commitments</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606.2</w:t>
            </w:r>
          </w:p>
        </w:tc>
        <w:tc>
          <w:tcPr>
            <w:tcW w:w="10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714.2</w:t>
            </w:r>
          </w:p>
        </w:tc>
        <w:tc>
          <w:tcPr>
            <w:tcW w:w="10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First-lien</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497.9</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603.9</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Second-lien</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Mezzanine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579.4</w:t>
            </w:r>
          </w:p>
        </w:tc>
        <w:tc>
          <w:tcPr>
            <w:tcW w:w="10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680.6</w:t>
            </w:r>
          </w:p>
        </w:tc>
        <w:tc>
          <w:tcPr>
            <w:tcW w:w="10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First-lien</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173.4</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161.0</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Second-lien</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Mezzanine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192.1</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193.1</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line="201" w:lineRule="exact"/>
              <w:rPr>
                <w:sz w:val="20"/>
                <w:szCs w:val="20"/>
                <w:color w:val="auto"/>
              </w:rPr>
            </w:pPr>
            <w:r>
              <w:rPr>
                <w:rFonts w:ascii="Arial" w:cs="Arial" w:eastAsia="Arial" w:hAnsi="Arial"/>
                <w:sz w:val="18"/>
                <w:szCs w:val="18"/>
                <w:b w:val="1"/>
                <w:bCs w:val="1"/>
                <w:color w:val="auto"/>
              </w:rPr>
              <w:t>Average new investment commitment amount in new portfolio</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38.3</w:t>
            </w:r>
          </w:p>
        </w:tc>
        <w:tc>
          <w:tcPr>
            <w:tcW w:w="10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30.7</w:t>
            </w:r>
          </w:p>
        </w:tc>
        <w:tc>
          <w:tcPr>
            <w:tcW w:w="10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53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97"/>
              </w:rPr>
              <w:t>Weighted average term for new investment commitments in new</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 (in years)</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w w:val="95"/>
              </w:rPr>
              <w:t>Percentage of new debt investment commitments at floating rates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90.5%</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Percentage of new debt investment commitments at fixed rates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w w:val="98"/>
              </w:rPr>
              <w:t>Weighted average interest rate of new investment commitments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Weighted average spread over LIBOR of new floating rate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investment commitments</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28"/>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w w:val="96"/>
              </w:rPr>
              <w:t>Weighted average interest rate on investments sold or paid down</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bl>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our investments consisted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December 31, 2013</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December 31, 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7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3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7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Amortized Cost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582.3</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137.5</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131.1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Equity investments</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1,016.5</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997.3</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653.9</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auto"/>
              </w:rPr>
              <w:t>63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amortized cost of our performing and non-accrual investments as of December 31, 2013 and December 31,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280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1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87"/>
              </w:rPr>
              <w:t>December 31, 2013</w:t>
            </w:r>
          </w:p>
        </w:tc>
        <w:tc>
          <w:tcPr>
            <w:tcW w:w="6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87"/>
              </w:rPr>
              <w:t>December 31, 2012</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2800" w:type="dxa"/>
            <w:vAlign w:val="bottom"/>
            <w:tcBorders>
              <w:bottom w:val="single" w:sz="8" w:color="CCEEFF"/>
            </w:tcBorders>
            <w:gridSpan w:val="2"/>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8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Percentage</w:t>
            </w:r>
          </w:p>
        </w:tc>
        <w:tc>
          <w:tcPr>
            <w:tcW w:w="5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8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Percentage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Performing</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ind w:left="137"/>
              <w:spacing w:after="0"/>
              <w:rPr>
                <w:sz w:val="20"/>
                <w:szCs w:val="20"/>
                <w:color w:val="auto"/>
              </w:rPr>
            </w:pPr>
            <w:r>
              <w:rPr>
                <w:rFonts w:ascii="Arial" w:cs="Arial" w:eastAsia="Arial" w:hAnsi="Arial"/>
                <w:sz w:val="18"/>
                <w:szCs w:val="18"/>
                <w:color w:val="auto"/>
                <w:w w:val="88"/>
              </w:rPr>
              <w:t>997.3</w:t>
            </w:r>
          </w:p>
        </w:tc>
        <w:tc>
          <w:tcPr>
            <w:tcW w:w="8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Non-accrual (1)</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center"/>
              <w:ind w:left="177"/>
              <w:spacing w:after="0"/>
              <w:rPr>
                <w:sz w:val="20"/>
                <w:szCs w:val="20"/>
                <w:color w:val="auto"/>
              </w:rPr>
            </w:pPr>
            <w:r>
              <w:rPr>
                <w:rFonts w:ascii="Arial" w:cs="Arial" w:eastAsia="Arial" w:hAnsi="Arial"/>
                <w:sz w:val="18"/>
                <w:szCs w:val="18"/>
                <w:color w:val="auto"/>
                <w:w w:val="88"/>
              </w:rPr>
              <w:t>—</w:t>
            </w:r>
          </w:p>
        </w:tc>
        <w:tc>
          <w:tcPr>
            <w:tcW w:w="8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8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ind w:left="137"/>
              <w:spacing w:after="0"/>
              <w:rPr>
                <w:sz w:val="20"/>
                <w:szCs w:val="20"/>
                <w:color w:val="auto"/>
              </w:rPr>
            </w:pPr>
            <w:r>
              <w:rPr>
                <w:rFonts w:ascii="Arial" w:cs="Arial" w:eastAsia="Arial" w:hAnsi="Arial"/>
                <w:sz w:val="18"/>
                <w:szCs w:val="18"/>
                <w:color w:val="auto"/>
                <w:w w:val="88"/>
              </w:rPr>
              <w:t>997.3</w:t>
            </w:r>
          </w:p>
        </w:tc>
        <w:tc>
          <w:tcPr>
            <w:tcW w:w="8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98"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The weighted average yields and interest rates of our debt investments at fair value as of December 31, 2013 and December 31, 2012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56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w w:val="85"/>
              </w:rPr>
              <w:t>December 31, 2013</w:t>
            </w:r>
          </w:p>
        </w:tc>
        <w:tc>
          <w:tcPr>
            <w:tcW w:w="1740" w:type="dxa"/>
            <w:vAlign w:val="bottom"/>
            <w:gridSpan w:val="7"/>
          </w:tcPr>
          <w:p>
            <w:pPr>
              <w:spacing w:after="0"/>
              <w:rPr>
                <w:sz w:val="20"/>
                <w:szCs w:val="20"/>
                <w:color w:val="auto"/>
              </w:rPr>
            </w:pPr>
            <w:r>
              <w:rPr>
                <w:rFonts w:ascii="Arial" w:cs="Arial" w:eastAsia="Arial" w:hAnsi="Arial"/>
                <w:sz w:val="14"/>
                <w:szCs w:val="14"/>
                <w:b w:val="1"/>
                <w:bCs w:val="1"/>
                <w:color w:val="auto"/>
              </w:rPr>
              <w:t>December 31, 2012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57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Weighted average total yield of debt and income producing</w:t>
            </w:r>
          </w:p>
        </w:tc>
        <w:tc>
          <w:tcPr>
            <w:tcW w:w="110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25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Weighted average interest rate of debt and income producing</w:t>
            </w: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securities</w:t>
            </w:r>
          </w:p>
        </w:tc>
        <w:tc>
          <w:tcPr>
            <w:tcW w:w="2560" w:type="dxa"/>
            <w:vAlign w:val="bottom"/>
            <w:gridSpan w:val="2"/>
          </w:tcPr>
          <w:p>
            <w:pPr>
              <w:jc w:val="right"/>
              <w:ind w:right="13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25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0" w:type="dxa"/>
            <w:vAlign w:val="bottom"/>
            <w:gridSpan w:val="5"/>
          </w:tcPr>
          <w:p>
            <w:pPr>
              <w:ind w:left="460"/>
              <w:spacing w:after="0"/>
              <w:rPr>
                <w:sz w:val="20"/>
                <w:szCs w:val="20"/>
                <w:color w:val="auto"/>
              </w:rPr>
            </w:pPr>
            <w:r>
              <w:rPr>
                <w:rFonts w:ascii="Arial" w:cs="Arial" w:eastAsia="Arial" w:hAnsi="Arial"/>
                <w:sz w:val="18"/>
                <w:szCs w:val="18"/>
                <w:color w:val="auto"/>
              </w:rPr>
              <w:t>Operating results for the years ended December 31, 2013, 2012 and 2011 were as follows: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640" w:type="dxa"/>
            <w:vAlign w:val="bottom"/>
            <w:gridSpan w:val="3"/>
            <w:vMerge w:val="restart"/>
          </w:tcPr>
          <w:p>
            <w:pPr>
              <w:spacing w:after="0"/>
              <w:rPr>
                <w:sz w:val="20"/>
                <w:szCs w:val="20"/>
                <w:color w:val="auto"/>
              </w:rPr>
            </w:pPr>
            <w:r>
              <w:rPr>
                <w:rFonts w:ascii="Arial" w:cs="Arial" w:eastAsia="Arial" w:hAnsi="Arial"/>
                <w:sz w:val="14"/>
                <w:szCs w:val="14"/>
                <w:color w:val="auto"/>
              </w:rPr>
              <w:t>($ in millions)</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40" w:type="dxa"/>
            <w:vAlign w:val="bottom"/>
            <w:gridSpan w:val="3"/>
            <w:vMerge w:val="continue"/>
          </w:tcPr>
          <w:p>
            <w:pPr>
              <w:spacing w:after="0"/>
              <w:rPr>
                <w:sz w:val="12"/>
                <w:szCs w:val="12"/>
                <w:color w:val="auto"/>
              </w:rPr>
            </w:pPr>
          </w:p>
        </w:tc>
        <w:tc>
          <w:tcPr>
            <w:tcW w:w="1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$92.6</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$51.0</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3"/>
          </w:tcPr>
          <w:p>
            <w:pPr>
              <w:spacing w:after="0"/>
              <w:rPr>
                <w:sz w:val="20"/>
                <w:szCs w:val="20"/>
                <w:color w:val="auto"/>
              </w:rPr>
            </w:pPr>
            <w:r>
              <w:rPr>
                <w:rFonts w:ascii="Arial" w:cs="Arial" w:eastAsia="Arial" w:hAnsi="Arial"/>
                <w:sz w:val="18"/>
                <w:szCs w:val="18"/>
                <w:color w:val="auto"/>
              </w:rPr>
              <w:t>Net expenses</w:t>
            </w: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400" w:type="dxa"/>
            <w:vAlign w:val="bottom"/>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22.9</w:t>
            </w:r>
          </w:p>
        </w:tc>
        <w:tc>
          <w:tcPr>
            <w:tcW w:w="4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Net investment income (loss) before income taxes</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28.1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640" w:type="dxa"/>
            <w:vAlign w:val="bottom"/>
            <w:gridSpan w:val="3"/>
          </w:tcPr>
          <w:p>
            <w:pPr>
              <w:ind w:left="440"/>
              <w:spacing w:after="0"/>
              <w:rPr>
                <w:sz w:val="20"/>
                <w:szCs w:val="20"/>
                <w:color w:val="auto"/>
              </w:rPr>
            </w:pPr>
            <w:r>
              <w:rPr>
                <w:rFonts w:ascii="Arial" w:cs="Arial" w:eastAsia="Arial" w:hAnsi="Arial"/>
                <w:sz w:val="18"/>
                <w:szCs w:val="18"/>
                <w:color w:val="auto"/>
              </w:rPr>
              <w:t>Income taxes, including excise taxes</w:t>
            </w: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9"/>
                <w:szCs w:val="19"/>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Net investment income (loss)</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28.0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Net realized gains on investments (1)</w:t>
            </w: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40" w:type="dxa"/>
            <w:vAlign w:val="bottom"/>
            <w:gridSpan w:val="5"/>
          </w:tcPr>
          <w:p>
            <w:pPr>
              <w:jc w:val="right"/>
              <w:ind w:right="420"/>
              <w:spacing w:after="0"/>
              <w:rPr>
                <w:sz w:val="20"/>
                <w:szCs w:val="20"/>
                <w:color w:val="auto"/>
              </w:rPr>
            </w:pPr>
            <w:r>
              <w:rPr>
                <w:rFonts w:ascii="Arial" w:cs="Arial" w:eastAsia="Arial" w:hAnsi="Arial"/>
                <w:sz w:val="18"/>
                <w:szCs w:val="18"/>
                <w:color w:val="auto"/>
              </w:rPr>
              <w:t>4.4</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 (1)</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gridSpan w:val="3"/>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w:t>
            </w:r>
          </w:p>
        </w:tc>
        <w:tc>
          <w:tcPr>
            <w:tcW w:w="1240" w:type="dxa"/>
            <w:vAlign w:val="bottom"/>
            <w:gridSpan w:val="5"/>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$ 0.8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760" w:type="dxa"/>
            <w:vAlign w:val="bottom"/>
          </w:tcPr>
          <w:p>
            <w:pPr>
              <w:spacing w:after="0"/>
              <w:rPr>
                <w:sz w:val="14"/>
                <w:szCs w:val="14"/>
                <w:color w:val="auto"/>
              </w:rPr>
            </w:pPr>
          </w:p>
        </w:tc>
        <w:tc>
          <w:tcPr>
            <w:tcW w:w="18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87"/>
              </w:rPr>
              <w:t>Year Ended 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37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from investments</w:t>
            </w:r>
          </w:p>
        </w:tc>
        <w:tc>
          <w:tcPr>
            <w:tcW w:w="37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$90.4</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$49.1</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Dividend income</w:t>
            </w:r>
          </w:p>
        </w:tc>
        <w:tc>
          <w:tcPr>
            <w:tcW w:w="3760" w:type="dxa"/>
            <w:vAlign w:val="bottom"/>
          </w:tcPr>
          <w:p>
            <w:pPr>
              <w:spacing w:after="0"/>
              <w:rPr>
                <w:sz w:val="18"/>
                <w:szCs w:val="18"/>
                <w:color w:val="auto"/>
              </w:rPr>
            </w:pPr>
          </w:p>
        </w:tc>
        <w:tc>
          <w:tcPr>
            <w:tcW w:w="4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7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80" w:type="dxa"/>
            <w:vAlign w:val="bottom"/>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4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51.0</w:t>
            </w:r>
          </w:p>
        </w:tc>
        <w:tc>
          <w:tcPr>
            <w:tcW w:w="54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$ 5.3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760" w:type="dxa"/>
            <w:vAlign w:val="bottom"/>
            <w:vMerge w:val="restart"/>
          </w:tcPr>
          <w:p>
            <w:pPr>
              <w:jc w:val="right"/>
              <w:ind w:right="2272"/>
              <w:spacing w:after="0"/>
              <w:rPr>
                <w:sz w:val="20"/>
                <w:szCs w:val="20"/>
                <w:color w:val="auto"/>
              </w:rPr>
            </w:pPr>
            <w:r>
              <w:rPr>
                <w:rFonts w:ascii="Arial" w:cs="Arial" w:eastAsia="Arial" w:hAnsi="Arial"/>
                <w:sz w:val="18"/>
                <w:szCs w:val="18"/>
                <w:color w:val="auto"/>
              </w:rPr>
              <w:t>64</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Interest from investments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There was no dividend income in the year ended December 31, 2013. These prepayment fees resulted from full or partial paydowns on five portfolio investments. Other income increased from $0.7 million for the year ended December 31, 2012 to $2.2 million for the year ended December 31, 2013, primarily due to higher syndication, amendment and agency fees earned during 2013.</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 from investments increased from $5.3 million for the year ended December 31, 2011 to $49.1 million for the year ended December 31, 2012, primarily due to the increase in the size of our portfolio. The average size of our total investment portfolio at fair value increased from $57 million during the year ended December 31, 2011 to $417 million during the year ended December 31, 2012. In addition, prepayment fees increased from zero for the year ended December 31, 2011 to $0.9 million for the year ended December 31, 2012. These prepayment fees resulted from full paydowns on two portfolio investments. There was no dividend income in the year ended December 31, 2011. Dividend income was $1.2 million for the year ended December 31, 2012 due to the receipt of a dividend in the fourth quarter of 2012 from a non-controlled, affiliated investment. There was no other income in the year ended December 31, 2011. Other income for the year ended December 31, 2012 was $0.7 million primarily due to higher amendment and agency fees earned during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years ended December 31, 2013, 2012 and 2011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340" w:type="dxa"/>
            <w:vAlign w:val="bottom"/>
          </w:tcPr>
          <w:p>
            <w:pPr>
              <w:spacing w:after="0"/>
              <w:rPr>
                <w:sz w:val="14"/>
                <w:szCs w:val="14"/>
                <w:color w:val="auto"/>
              </w:rPr>
            </w:pPr>
          </w:p>
        </w:tc>
        <w:tc>
          <w:tcPr>
            <w:tcW w:w="18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87"/>
              </w:rPr>
              <w:t>Year Ended 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$10.5</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Initial organization</w:t>
            </w:r>
          </w:p>
        </w:tc>
        <w:tc>
          <w:tcPr>
            <w:tcW w:w="1340" w:type="dxa"/>
            <w:vAlign w:val="bottom"/>
          </w:tcPr>
          <w:p>
            <w:pPr>
              <w:spacing w:after="0"/>
              <w:rPr>
                <w:sz w:val="18"/>
                <w:szCs w:val="18"/>
                <w:color w:val="auto"/>
              </w:rPr>
            </w:pPr>
          </w:p>
        </w:tc>
        <w:tc>
          <w:tcPr>
            <w:tcW w:w="4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(net of waivers)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Incentive fees related to Pre-incentive fee net investment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5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Professional fees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3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Expenses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22.9</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weighted average interest rate on our debt outstanding decreased from 2.9% for the year ended December 31, 2012 to 2.7% for the year ended December 31, 2013.</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Interest, including other debt financing expenses, increased from $0.8 million for the year ended December 31, 2011 to $6.0 million for the year ended December 31, 2012. This increase was primarily due to the addition of our Revolving Credit Facility (Natixis) in May 2012 and our Revolving Credit Facility (SunTrust) in August 2012 and an increase in the weighted average debt outstanding from $11 million for the year ended December 31, 2011 to $111 million for the year ended December 31, 2012. The weighted average interest rate on our debt outstanding decreased from 3.0% for the year ended December 31, 2011 to 2.9% for the year ended December 31, 2012.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$611 million for the year ended December 31, 2012 to an average of $907 million for the year ended December 31, 2013. Management Fees waived increased from $3.7 million for the year ended December 31, 2012 to $7.1 million for the year ended December 31, 2013 due to an increase in total assets, as described below.</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Management Fees (net of waivers) increased from $1.6 million for the year ended December 31, 2011 to $5.2 million for the year ended December 31, 2012. Management Fees increased from $1.6 million for the year ended December 31, 2011 to $8.9 million for the year ended December 31, 2012 due to the increase in total assets, which increased from an average of $115 million for the year ended December 31, 2011 to an average of $611 million for the year ended December 31, 2012. Management Fees waived increased from $7 thousand for the year ended December 31, 2011 to $3.7 million for the year ended December 31, 2012 due to an increase in total assets.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Until an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an IPO, the Adviser does not intend to waive its right to receive the full Management Fee. See “</w:t>
      </w:r>
      <w:r>
        <w:rPr>
          <w:rFonts w:ascii="Arial" w:cs="Arial" w:eastAsia="Arial" w:hAnsi="Arial"/>
          <w:sz w:val="16"/>
          <w:szCs w:val="16"/>
          <w:i w:val="1"/>
          <w:iCs w:val="1"/>
          <w:color w:val="auto"/>
        </w:rPr>
        <w:t>ITEM 1. BUSINESS—Management Agreements—Investment Advisory Agreement; Administration Agreement; License Agreement.</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 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There were no Incentive Fees related to pre-Incentive Fee net investment income for the year ended December 31, 2011. Incentive fees related to pre-Incentive Fee net investment income were $5.3 million for the year ended December 31, 2012 due to an increase in the size of the portfolio and related increase in pre-Incentive Fee net investment income. Incentive Fees related to capital gains increased from $0.3 million for the year ended December 31, 2011 to $1.7 million for the year ended December 31, 2012 due to changes in unrealized gains and losses on our investments and realized gains on our investments.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Fees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Professional fees increased from $1.6 million for the year ended December 31, 2011 to $2.9 million for the year ended December 31, 2012 and other general and administrative fees increased from $0.8 million for the year ended December 31, 2011 to $1.5 million for the year ended December 31, 2012, both due to an increase in costs associated with servicing a growing investment portfolio. A significant portion of our expenses for the year ended December 31, 2011 were related to the initial organization of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4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each of the calendar years ended December 31, 2013 and 2012 we recorded a net expense of $0.2 million and $0.1 million, respectively,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excise tax. For the calendar year ended December 31, 2011, we did not incur any U.S. federal excise tax.</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240" w:top="45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2013, we had $1.1 million of net realized gains, including realized gains on foreign currency forward contracts.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2012, we had $4.4 million of net realized gains. During the year ended December 31, 2011, we had no net realized gains.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realized gains and losses on investments during the years ended December 31, 2013, 2012 and 2011 consisted of the following (certain gains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have been rounded to zero):</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vMerge w:val="continue"/>
          </w:tcPr>
          <w:p>
            <w:pPr>
              <w:spacing w:after="0"/>
              <w:rPr>
                <w:sz w:val="12"/>
                <w:szCs w:val="12"/>
                <w:color w:val="auto"/>
              </w:rPr>
            </w:pPr>
          </w:p>
        </w:tc>
        <w:tc>
          <w:tcPr>
            <w:tcW w:w="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left="278"/>
              <w:spacing w:after="0" w:line="142" w:lineRule="exact"/>
              <w:rPr>
                <w:sz w:val="20"/>
                <w:szCs w:val="20"/>
                <w:color w:val="auto"/>
              </w:rPr>
            </w:pPr>
            <w:r>
              <w:rPr>
                <w:rFonts w:ascii="Arial" w:cs="Arial" w:eastAsia="Arial" w:hAnsi="Arial"/>
                <w:sz w:val="14"/>
                <w:szCs w:val="14"/>
                <w:b w:val="1"/>
                <w:bCs w:val="1"/>
                <w:color w:val="auto"/>
                <w:w w:val="83"/>
              </w:rPr>
              <w:t>2012</w:t>
            </w:r>
          </w:p>
        </w:tc>
        <w:tc>
          <w:tcPr>
            <w:tcW w:w="44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Attachmate</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$(0.0)</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AFS Technologies, Inc.</w:t>
            </w:r>
          </w:p>
        </w:tc>
        <w:tc>
          <w:tcPr>
            <w:tcW w:w="58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5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5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58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5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SumTotal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Synagro Technologies, Inc.</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Subtotal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$ 1.1</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$ 4.4</w:t>
            </w:r>
          </w:p>
        </w:tc>
        <w:tc>
          <w:tcPr>
            <w:tcW w:w="44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b w:val="1"/>
                <w:bCs w:val="1"/>
                <w:color w:val="auto"/>
              </w:rPr>
              <w:t>Net Realized Gains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$ 1.1</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$ 4.4</w:t>
            </w:r>
          </w:p>
        </w:tc>
        <w:tc>
          <w:tcPr>
            <w:tcW w:w="44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Since we began investing in 2011 through December 31, 2013, our exited investments have resulted in an aggregate cash flow realized gross internal rate of return to us of 17.6% (based on cash invested of $359 million and total proceeds from these exited investments of $405 million). Eighty percent of these exited investments resulted in an aggregate cash flow realized gross internal rate of return to us of 10% or greater.</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59"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Total capital invested for an investment is the sum of capital invested and realized losses on hedging activity, with respect to the investment.</w:t>
      </w:r>
    </w:p>
    <w:p>
      <w:pPr>
        <w:spacing w:after="0" w:line="113" w:lineRule="exact"/>
        <w:rPr>
          <w:rFonts w:ascii="Arial" w:cs="Arial" w:eastAsia="Arial" w:hAnsi="Arial"/>
          <w:sz w:val="16"/>
          <w:szCs w:val="16"/>
          <w:color w:val="auto"/>
        </w:rPr>
      </w:pPr>
    </w:p>
    <w:p>
      <w:pPr>
        <w:ind w:left="1480" w:right="480" w:hanging="446"/>
        <w:spacing w:after="0" w:line="268"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w:t>
      </w:r>
    </w:p>
    <w:p>
      <w:pPr>
        <w:spacing w:after="0" w:line="50" w:lineRule="exact"/>
        <w:rPr>
          <w:rFonts w:ascii="Arial" w:cs="Arial" w:eastAsia="Arial" w:hAnsi="Arial"/>
          <w:sz w:val="18"/>
          <w:szCs w:val="18"/>
          <w:color w:val="auto"/>
        </w:rPr>
      </w:pPr>
    </w:p>
    <w:p>
      <w:pPr>
        <w:ind w:left="1480" w:right="560" w:hanging="446"/>
        <w:spacing w:after="0" w:line="268"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Realized losses on hedging activity, with respect to an investment, represent any inception-to-date realized losses on foreign currency forward contracts allocable to the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Total realized returns from an investment is the sum of realized returns and realized gains on hedging activity, with respect to the investment.</w:t>
      </w:r>
    </w:p>
    <w:p>
      <w:pPr>
        <w:spacing w:after="0" w:line="113" w:lineRule="exact"/>
        <w:rPr>
          <w:rFonts w:ascii="Arial" w:cs="Arial" w:eastAsia="Arial" w:hAnsi="Arial"/>
          <w:sz w:val="16"/>
          <w:szCs w:val="16"/>
          <w:color w:val="auto"/>
        </w:rPr>
      </w:pPr>
    </w:p>
    <w:p>
      <w:pPr>
        <w:jc w:val="both"/>
        <w:ind w:left="1480" w:right="80" w:hanging="446"/>
        <w:spacing w:after="0" w:line="306" w:lineRule="auto"/>
        <w:tabs>
          <w:tab w:leader="none" w:pos="14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0" w:hanging="446"/>
        <w:spacing w:after="0" w:line="268" w:lineRule="auto"/>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Realized gains on hedging activity, with respect to an investment, represent any inception-to-date realized gains on foreign currency forward contracts allocable to the investment.</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 For additional information on these amounts, see “—Results of Operations—Expenses” and “—Results of Operations—Income Tax Expense, Including Excise Tax” above.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 For additional information on our unrealized gains and losses, see “—Results of Operations—Net Change in Unrealized Gains/Losses”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Gains/Losses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value our investments quarterly and any changes in fair value are recorded as unrealized gains or losses. See “—Critical Accounting Policies— Investments at Fair Value.”</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years ended December 31, 2013, 2012 and 2011, the net change in unrealized gains (losses) on our investment portfolio, including losses on foreign currency forward contracts, consisted of the following:</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vMerge w:val="continue"/>
          </w:tcPr>
          <w:p>
            <w:pPr>
              <w:spacing w:after="0"/>
              <w:rPr>
                <w:sz w:val="12"/>
                <w:szCs w:val="12"/>
                <w:color w:val="auto"/>
              </w:rPr>
            </w:pPr>
          </w:p>
        </w:tc>
        <w:tc>
          <w:tcPr>
            <w:tcW w:w="328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780" w:type="dxa"/>
            <w:vAlign w:val="bottom"/>
            <w:gridSpan w:val="2"/>
          </w:tcPr>
          <w:p>
            <w:pPr>
              <w:jc w:val="center"/>
              <w:ind w:left="324"/>
              <w:spacing w:after="0" w:line="142" w:lineRule="exact"/>
              <w:rPr>
                <w:sz w:val="20"/>
                <w:szCs w:val="20"/>
                <w:color w:val="auto"/>
              </w:rPr>
            </w:pPr>
            <w:r>
              <w:rPr>
                <w:rFonts w:ascii="Arial" w:cs="Arial" w:eastAsia="Arial" w:hAnsi="Arial"/>
                <w:sz w:val="14"/>
                <w:szCs w:val="14"/>
                <w:b w:val="1"/>
                <w:bCs w:val="1"/>
                <w:color w:val="auto"/>
                <w:w w:val="83"/>
              </w:rPr>
              <w:t>2012</w:t>
            </w:r>
          </w:p>
        </w:tc>
        <w:tc>
          <w:tcPr>
            <w:tcW w:w="40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Change in unrealized gains</w:t>
            </w:r>
          </w:p>
        </w:tc>
        <w:tc>
          <w:tcPr>
            <w:tcW w:w="3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13.4</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$ 9.2</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Change in unrealized losses</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(3.8)</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(2.0)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$ 7.2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80" w:type="dxa"/>
            <w:vAlign w:val="bottom"/>
            <w:vMerge w:val="restart"/>
          </w:tcPr>
          <w:p>
            <w:pPr>
              <w:jc w:val="right"/>
              <w:ind w:right="2092"/>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net change in unrealized gains (losses) for the years ended December 31, 2013, 2012 and 2011 consisted of the following (certain gains (losses) have been rounded to zero):</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vMerge w:val="continue"/>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Pr>
          <w:p>
            <w:pPr>
              <w:spacing w:after="0"/>
              <w:rPr>
                <w:sz w:val="12"/>
                <w:szCs w:val="12"/>
                <w:color w:val="auto"/>
              </w:rPr>
            </w:pPr>
          </w:p>
        </w:tc>
        <w:tc>
          <w:tcPr>
            <w:tcW w:w="720" w:type="dxa"/>
            <w:vAlign w:val="bottom"/>
            <w:gridSpan w:val="2"/>
          </w:tcPr>
          <w:p>
            <w:pPr>
              <w:jc w:val="center"/>
              <w:ind w:left="255"/>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Actian Corporation</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$ 0.6</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8"/>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AFS Technologies, Inc.</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AMF Bowling Worldwide, Inc.</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Attachmate Corporation</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Campus Management, Inc</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Centaur, LLC.</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Consona Holdings, Inc.</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Ecommerce Industries, Inc.</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Embarcadero Technologies, Inc.</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eResearch Technology, Inc.</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Federal Signal Corporation</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Global Geophysical</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Infogix, Inc.</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Intelident Solutions, Inc.</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International Equipment Solutions, Inc.</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Jeeves Information Systems AB.</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Kewill, Ltd</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Mandalay Baseball Properties, LLC</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Mannington Mills, Inc.</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Mediware Information Systems, Inc.</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Metalico, Inc</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MSC Software Corporation</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Network Merchants, Inc</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The Newark Group, Inc.</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PAI Group, Inc.</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Sage Automotive Interiors, Inc.</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Soho House Bond Ltd.</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Solarsoft, LP (f/k/a CMS-XKO Holding Company, LP)</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SRS Software, LLC.</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SumTotal Systems, LLC.</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Teletrac, Inc.</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Vivint, Inc.</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Subtotal</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w:t>
            </w:r>
            <w:r>
              <w:rPr>
                <w:rFonts w:ascii="Arial" w:cs="Arial" w:eastAsia="Arial" w:hAnsi="Arial"/>
                <w:sz w:val="18"/>
                <w:szCs w:val="18"/>
                <w:u w:val="single" w:color="auto"/>
                <w:color w:val="auto"/>
              </w:rPr>
              <w:t>2</w:t>
            </w:r>
          </w:p>
        </w:tc>
        <w:tc>
          <w:tcPr>
            <w:tcW w:w="3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w:t>
            </w:r>
          </w:p>
        </w:tc>
        <w:tc>
          <w:tcPr>
            <w:tcW w:w="3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the year ended December 31, 2013, we had $13.4 million in unrealized appreciation on 24 portfolio company investments, which was partially offset by $3.8 million in unrealized depreciation on nine portfolio company investments, excluding unrealized losses on foreign currency forward contracts. Unrealized</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For the year ended December 31, 2012, we had $9.2 million in unrealized appreciation on 13 portfolio company investments, which was partially offset by $2.0 million in unrealized depreciation on five portfolio company investments. For the year ended December 31, 2011, we had $2.4 million in unrealized appreciation on six portfolio company investments, which was partially offset by $0.1 million in unrealized depreciation on one portfolio company investment.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During the year ended December 31, 2013, we entered into foreign currency forward contracts related to our investments in Jeeves Information Systems AB and Soho House Bond Ltd., which in total generated an unrealized loss of $1.2 million and a realized gain of less than $0.1 million. Other than these foreign currency forward contracts, we did not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2012 and 2011, we did not enter into any interest rate, foreign exchange or other derivative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1"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capital commitments of our existing investors terminate on the completion of an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2013, 2012 and 2011, our asset coverage ratio was 232.9%, 244.6% and 211.7%, respectively.</w:t>
      </w:r>
    </w:p>
    <w:p>
      <w:pPr>
        <w:spacing w:after="0" w:line="14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Cash and cash equivalents as of December 31, 2013, taken together with cash available under our credit facilities, is expected to be sufficient for our investing activities and to conduct our operations in the near term. On February 27, 2014, we terminated the Revolving Credit Facility (DBTCA), effective March 4, 2014. The outstanding balance under the Revolving Credit Facility (DBTCA) was paid down prior to terminating the facility.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 $14.3 million. Lastly, cash provided by financing activities was $131.3 million during the period, primarily due to proceeds from issuance of common stock of $56.9 million and net borrowings on debt of $100.4 million, partially offset by debt issuance costs of $1.6 million and dividends paid of $24.4 million.</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December 31, 2012, we had $161.8 million in cash and cash equivalents, an increase of $18.1 million from December 31, 2011. The increase was primarily attributable to additional borrowings under the debt facilities and proceeds from investor drawdown notices received near December 31, 2012. During the year ended December 31, 2012, we used $430.1 million in operating activities, primarily as a result of funding of portfolio investments of $760.7 million. This was partially offset by proceeds from investments of $119.1 million, repayments on investments of $190.6 million, an increase in net assets resulting from operations of $39.6 million and other operating activity of $18.7 million. Lastly, cash provided by financing activities was $448.2 million during the period, primarily due to proceeds from issuance of common stock of $287.7 million and net borrowings on debt of $176.8 million, partially offset by debt issuance costs of $5.3 million and dividends paid of $11.0 million.</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December 31, 2013, we had $6.3 million of restricted cash in our wholly owned subsidiary TPG SL SPV, an increase of $2.0 million from December 31, 2012.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Revolving Credit Facility (Natixis), following which excess cash generated in TPG SL SPV may be distributed to us. Restricted cash is a component of prepaid expenses and other assets in our consolidated financial statements. For additional information concerning restricted cash and our revolving credit facility, see “—Financial Condition, Liquidity and Capital Resources— Revolving Credit Facility (Natixis).”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years ended December 31, 2013, 2012 and 2011,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December 31, 2013, we have drawn down a total of $0.5 billion of capital and issued 34.7 million shares, excluding equity and shares issued through our dividend reinvestment plan. As of December 31, 2013, $1.0 billion of capital commitments remained unfunded.</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years ended December 31, 2013, 2012 and 2011, we delivered drawdown notices to our investors relating to the issuance of 3,713,053 shares, 19,199,421 shares and 11,770,448 shares, respectively, of our common stock for aggregate proceeds of $57 million, $288 million and $173 million, respectively. Proceeds from the issuances were used in investing activities and for other general corporate purposes.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December 31, 2013, we delivered a capital drawdown notice to our investors relating to the sale of 4,234,501 shares of our common stock for an aggregate offering price of $65.0 million. The sale closed on January 15, 2014. This capital drawdown notice is not reflected in the number of shares issued for the year ended December 31, 2013 in the prior paragraph or the consolidated financial statements for the year ended December 31, 2013.</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to the drawdowns noted above, during the years ended December 31, 2013 and 2012, we issued 1,730,042 and 613,020 shares of our common stock, respectively, to investors who have not opted out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dividend reinvestment plan for proceeds of $26.4 million and $9.2 million, respectively. We did not issue any shares to investors through our dividend reinvestment plan for the year ended December 31, 2011. On February 13, 2014, we issued 502,200 shares of our common stock through our dividend reinvestment plan for $7.8 million, which is not reflected in the number of shares issued for the year ended December 31, 2013 in this section or the consolidated financial statements for the year ended December 31,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2012 and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Borrowings</w:t>
            </w: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16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1400" w:type="dxa"/>
            <w:vAlign w:val="bottom"/>
          </w:tcPr>
          <w:p>
            <w:pPr>
              <w:spacing w:after="0"/>
              <w:rPr>
                <w:sz w:val="11"/>
                <w:szCs w:val="11"/>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1"/>
              </w:rPr>
              <w:t>Total Facility</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49"/>
        </w:trPr>
        <w:tc>
          <w:tcPr>
            <w:tcW w:w="41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44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Revolving Credit Facility (DBTCA) </w:t>
            </w:r>
            <w:r>
              <w:rPr>
                <w:rFonts w:ascii="Arial" w:cs="Arial" w:eastAsia="Arial" w:hAnsi="Arial"/>
                <w:sz w:val="11"/>
                <w:szCs w:val="11"/>
                <w:color w:val="auto"/>
              </w:rPr>
              <w:t>(2)</w:t>
            </w:r>
          </w:p>
        </w:tc>
        <w:tc>
          <w:tcPr>
            <w:tcW w:w="1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 xml:space="preserve">Revolving Credit Facility (Natixis) </w:t>
            </w:r>
            <w:r>
              <w:rPr>
                <w:rFonts w:ascii="Arial" w:cs="Arial" w:eastAsia="Arial" w:hAnsi="Arial"/>
                <w:sz w:val="11"/>
                <w:szCs w:val="11"/>
                <w:color w:val="auto"/>
              </w:rPr>
              <w:t>(3)</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77.8</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Revolving Credit Facility (SunTrust) </w:t>
            </w:r>
            <w:r>
              <w:rPr>
                <w:rFonts w:ascii="Arial" w:cs="Arial" w:eastAsia="Arial" w:hAnsi="Arial"/>
                <w:sz w:val="11"/>
                <w:szCs w:val="11"/>
                <w:color w:val="auto"/>
              </w:rPr>
              <w:t>(4)</w:t>
            </w:r>
          </w:p>
        </w:tc>
        <w:tc>
          <w:tcPr>
            <w:tcW w:w="14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640" w:type="dxa"/>
            <w:vAlign w:val="bottom"/>
            <w:gridSpan w:val="3"/>
          </w:tcPr>
          <w:p>
            <w:pPr>
              <w:ind w:left="14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600.0</w:t>
            </w:r>
          </w:p>
        </w:tc>
        <w:tc>
          <w:tcPr>
            <w:tcW w:w="40" w:type="dxa"/>
            <w:vAlign w:val="bottom"/>
          </w:tcPr>
          <w:p>
            <w:pPr>
              <w:spacing w:after="0"/>
              <w:rPr>
                <w:sz w:val="19"/>
                <w:szCs w:val="19"/>
                <w:color w:val="auto"/>
              </w:rPr>
            </w:pPr>
          </w:p>
        </w:tc>
        <w:tc>
          <w:tcPr>
            <w:tcW w:w="110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432.3</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December 31, 2012</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Borrowings</w:t>
            </w: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16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1400" w:type="dxa"/>
            <w:vAlign w:val="bottom"/>
          </w:tcPr>
          <w:p>
            <w:pPr>
              <w:spacing w:after="0"/>
              <w:rPr>
                <w:sz w:val="11"/>
                <w:szCs w:val="11"/>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1"/>
              </w:rPr>
              <w:t>Total Facility</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49"/>
        </w:trPr>
        <w:tc>
          <w:tcPr>
            <w:tcW w:w="41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44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Revolving Credit Facility (DBTCA) </w:t>
            </w:r>
            <w:r>
              <w:rPr>
                <w:rFonts w:ascii="Arial" w:cs="Arial" w:eastAsia="Arial" w:hAnsi="Arial"/>
                <w:sz w:val="11"/>
                <w:szCs w:val="11"/>
                <w:color w:val="auto"/>
              </w:rPr>
              <w:t>(2)</w:t>
            </w:r>
          </w:p>
        </w:tc>
        <w:tc>
          <w:tcPr>
            <w:tcW w:w="1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 xml:space="preserve">Revolving Credit Facility (Natixis) </w:t>
            </w:r>
            <w:r>
              <w:rPr>
                <w:rFonts w:ascii="Arial" w:cs="Arial" w:eastAsia="Arial" w:hAnsi="Arial"/>
                <w:sz w:val="11"/>
                <w:szCs w:val="11"/>
                <w:color w:val="auto"/>
              </w:rPr>
              <w:t>(3)</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66.8</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Revolving Credit Facility (SunTrust) </w:t>
            </w:r>
            <w:r>
              <w:rPr>
                <w:rFonts w:ascii="Arial" w:cs="Arial" w:eastAsia="Arial" w:hAnsi="Arial"/>
                <w:sz w:val="11"/>
                <w:szCs w:val="11"/>
                <w:color w:val="auto"/>
              </w:rPr>
              <w:t>(4)</w:t>
            </w:r>
          </w:p>
        </w:tc>
        <w:tc>
          <w:tcPr>
            <w:tcW w:w="14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640" w:type="dxa"/>
            <w:vAlign w:val="bottom"/>
            <w:gridSpan w:val="3"/>
          </w:tcPr>
          <w:p>
            <w:pPr>
              <w:ind w:left="14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550.0</w:t>
            </w:r>
          </w:p>
        </w:tc>
        <w:tc>
          <w:tcPr>
            <w:tcW w:w="40" w:type="dxa"/>
            <w:vAlign w:val="bottom"/>
          </w:tcPr>
          <w:p>
            <w:pPr>
              <w:spacing w:after="0"/>
              <w:rPr>
                <w:sz w:val="19"/>
                <w:szCs w:val="19"/>
                <w:color w:val="auto"/>
              </w:rPr>
            </w:pPr>
          </w:p>
        </w:tc>
        <w:tc>
          <w:tcPr>
            <w:tcW w:w="110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331.8</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Borrowings</w:t>
            </w: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0" w:type="dxa"/>
            <w:vAlign w:val="bottom"/>
            <w:vMerge w:val="restart"/>
          </w:tcPr>
          <w:p>
            <w:pPr>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in millions)</w:t>
            </w:r>
          </w:p>
        </w:tc>
        <w:tc>
          <w:tcPr>
            <w:tcW w:w="3340" w:type="dxa"/>
            <w:vAlign w:val="bottom"/>
            <w:vMerge w:val="restart"/>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8"/>
              </w:rPr>
              <w:t>Total Facility</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55"/>
        </w:trPr>
        <w:tc>
          <w:tcPr>
            <w:tcW w:w="820" w:type="dxa"/>
            <w:vAlign w:val="bottom"/>
            <w:tcBorders>
              <w:bottom w:val="single" w:sz="8" w:color="auto"/>
            </w:tcBorders>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3"/>
                <w:szCs w:val="13"/>
                <w:color w:val="auto"/>
              </w:rPr>
            </w:pPr>
          </w:p>
        </w:tc>
        <w:tc>
          <w:tcPr>
            <w:tcW w:w="44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Revolving Credit Facility (DBTCA) </w:t>
            </w:r>
            <w:r>
              <w:rPr>
                <w:rFonts w:ascii="Arial" w:cs="Arial" w:eastAsia="Arial" w:hAnsi="Arial"/>
                <w:sz w:val="11"/>
                <w:szCs w:val="11"/>
                <w:color w:val="auto"/>
              </w:rPr>
              <w:t>(2)</w:t>
            </w:r>
          </w:p>
        </w:tc>
        <w:tc>
          <w:tcPr>
            <w:tcW w:w="142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w:t>
            </w:r>
            <w:r>
              <w:rPr>
                <w:rFonts w:ascii="Arial" w:cs="Arial" w:eastAsia="Arial" w:hAnsi="Arial"/>
                <w:sz w:val="18"/>
                <w:szCs w:val="18"/>
                <w:u w:val="single" w:color="auto"/>
                <w:color w:val="auto"/>
              </w:rPr>
              <w:t>0</w:t>
            </w:r>
          </w:p>
        </w:tc>
        <w:tc>
          <w:tcPr>
            <w:tcW w:w="90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155.0</w:t>
            </w: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1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640" w:type="dxa"/>
            <w:vAlign w:val="bottom"/>
            <w:gridSpan w:val="3"/>
          </w:tcPr>
          <w:p>
            <w:pPr>
              <w:ind w:left="1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250.</w:t>
            </w:r>
            <w:r>
              <w:rPr>
                <w:rFonts w:ascii="Arial" w:cs="Arial" w:eastAsia="Arial" w:hAnsi="Arial"/>
                <w:sz w:val="18"/>
                <w:szCs w:val="18"/>
                <w:u w:val="single" w:color="auto"/>
                <w:color w:val="auto"/>
              </w:rPr>
              <w:t>0</w:t>
            </w:r>
          </w:p>
        </w:tc>
        <w:tc>
          <w:tcPr>
            <w:tcW w:w="110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155.0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1480" w:right="100" w:hanging="567"/>
        <w:spacing w:after="0" w:line="250" w:lineRule="auto"/>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February 27, 2014, we terminated the Revolving Credit Facility (DBTCA), effective March 4, 2014. The outstanding balance under the Revolving Credit Facility (DBTCA) was paid down prior to terminating the facility.</w:t>
      </w:r>
    </w:p>
    <w:p>
      <w:pPr>
        <w:ind w:left="1480" w:hanging="567"/>
        <w:spacing w:after="0"/>
        <w:tabs>
          <w:tab w:leader="none" w:pos="1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 January 21, 2014, we amended the Revolving Credit Facility (Natixis) to increase the size of the facility to $175.0 million.</w:t>
      </w:r>
    </w:p>
    <w:p>
      <w:pPr>
        <w:spacing w:after="0" w:line="32" w:lineRule="exact"/>
        <w:rPr>
          <w:rFonts w:ascii="Arial" w:cs="Arial" w:eastAsia="Arial" w:hAnsi="Arial"/>
          <w:sz w:val="16"/>
          <w:szCs w:val="16"/>
          <w:color w:val="auto"/>
        </w:rPr>
      </w:pPr>
    </w:p>
    <w:p>
      <w:pPr>
        <w:ind w:left="1480" w:hanging="567"/>
        <w:spacing w:after="0"/>
        <w:tabs>
          <w:tab w:leader="none" w:pos="1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 February 27, 2014, we amended the Revolving Credit Facility (SunTrust) to increase the size of the facility to $581.3 million.</w:t>
      </w:r>
    </w:p>
    <w:p>
      <w:pPr>
        <w:spacing w:after="0" w:line="18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December 31, 2013, 2012 and 2011, we were in compliance with the terms of our debt arrangements. We intend to continue to utilize our credit facilities to fund investments and for other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August 23, 2012, we entered into a senior secured revolving credit agreement with SunTrust Bank, as administrative agent, and certain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(SunTrust). The second amended and restated Revolving Credit Facility (SunTrust), among other things:</w:t>
      </w:r>
    </w:p>
    <w:p>
      <w:pPr>
        <w:spacing w:after="0" w:line="51"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640" w:hanging="446"/>
        <w:spacing w:after="0" w:line="268"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borrow amounts in U.S. dollars or certain other permitted currencies. Amounts drawn under the Revolving Credit Facility (SunTrust),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Revolving Credit Facility (SunTrust) is guaranteed by TC Lending, LLC and certain of our domestic subsidiaries that are formed or acquired by us in the future. The Revolving Credit Facility (SunTrust)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0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8, 2012, the “Natixis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Revolving Credit Facility (Natixis) may be used to finance the acquisition of eligible assets by TPG SL SPV,</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Amounts drawn under the amended and restated Revolving Credit Facility (Natixis) and the original credit and security agreement bear interest at LIBOR plus a margin or base rate plus a margin or, in the case of the amended and restated Revolving Credit Facility (Natixis), the lenders’ cost of funds plus a margin, in each case at TPG SL SPV’s option. TPG SL SPV’s ability to borrow at lenders’ cost of funds plus a margin lowers the interest rate currently applicable on our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our other debt obligations.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our borrowings for purposes of complying with the asset coverage requirements of the 1940 Act.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September 28, 2011, we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which we refer to as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July 2013, we reduced the capacity of the Revolving Credit Facility (DBTCA) from $250 million to $100 million. The elective reduction did not have a significant effect on our liquidity as (i) our borrowings are limited by the 1940 Act’s asset coverage requirement; and (ii) there was adequate availability under our other credit facilities.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November 5, 2013, we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we terminated the Revolving Credit Facility (DBTCA), effective March 4, 2014. The outstanding balance under the Revolving Credit Facility (DBTCA) was paid down prior to terminating the facility. We did not incur any fees or penalties in conjunction with the termination.</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our existing investors.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Interest rates on obligations under the Revolving Credit Facility (DBTCA) were based on prevailing LIBOR or prime lending rate plus an applicable margin. We could have elected either the LIBOR or prime rate at the time of draw-down, and loans could have been converted from one rate to another at any time, subject to certain conditions. We also paid a fee of 0.375% on undrawn amounts of the Revolving Credit Facility (DBTCA). In respect of each letter of credit, we paid a fee and a fixed rate while the letter of credit was outstanding.</w:t>
      </w:r>
    </w:p>
    <w:p>
      <w:pPr>
        <w:spacing w:after="0" w:line="11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Revolving Credit Facility (DBTCA) contained customary covenants on us and our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2013, 2012 and 2011, we had the following commitments to fund investments:</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 in millions)</w:t>
            </w:r>
          </w:p>
        </w:tc>
        <w:tc>
          <w:tcPr>
            <w:tcW w:w="600" w:type="dxa"/>
            <w:vAlign w:val="bottom"/>
          </w:tcPr>
          <w:p>
            <w:pPr>
              <w:spacing w:after="0"/>
              <w:rPr>
                <w:sz w:val="14"/>
                <w:szCs w:val="14"/>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5"/>
              </w:rPr>
              <w:t>December 31, 2013</w:t>
            </w:r>
          </w:p>
        </w:tc>
        <w:tc>
          <w:tcPr>
            <w:tcW w:w="5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December 31, 2012</w:t>
            </w:r>
          </w:p>
        </w:tc>
        <w:tc>
          <w:tcPr>
            <w:tcW w:w="112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r>
      <w:tr>
        <w:trPr>
          <w:trHeight w:val="188"/>
        </w:trPr>
        <w:tc>
          <w:tcPr>
            <w:tcW w:w="33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Senior secured revolving loan</w:t>
            </w:r>
          </w:p>
        </w:tc>
        <w:tc>
          <w:tcPr>
            <w:tcW w:w="6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w:t>
            </w:r>
          </w:p>
        </w:tc>
        <w:tc>
          <w:tcPr>
            <w:tcW w:w="10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18.4</w:t>
            </w: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36.6</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02"/>
        </w:trPr>
        <w:tc>
          <w:tcPr>
            <w:tcW w:w="33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b w:val="1"/>
                <w:bCs w:val="1"/>
                <w:color w:val="auto"/>
              </w:rPr>
              <w:t>Total Portfolio Company</w:t>
            </w:r>
          </w:p>
        </w:tc>
        <w:tc>
          <w:tcPr>
            <w:tcW w:w="6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Commitments</w:t>
            </w:r>
          </w:p>
        </w:tc>
        <w:tc>
          <w:tcPr>
            <w:tcW w:w="10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55.0</w:t>
            </w: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r>
      <w:tr>
        <w:trPr>
          <w:trHeight w:val="20"/>
        </w:trPr>
        <w:tc>
          <w:tcPr>
            <w:tcW w:w="3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December 31, 2013, 2012 and 2011, we had $1.5 billion, $1.4 billion and $1.2 billion, respectively, in total capital commitments from investors ($1.0 billion, $0.9 billion and $1.0 billion unfunded, respectively). Of these amounts, $117.1 million, $114.1 million and $70.4 million, respectively, is from the Adviser and its affiliates ($76.7 million, $76.6 million and $60.3 million unfunded, respectively). These unfunded commitments will no longer remain in effect following the completion of an IPO.</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December 31, 2013, 2012 and 2011, we had outstanding commitments to fund investments totaling $55.0 million, $32.0 million and $6.8 million, respectively.</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6"/>
              </w:rPr>
              <w:t>Payments Due by Period</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140" w:type="dxa"/>
            <w:vAlign w:val="bottom"/>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5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After 5 years</w:t>
            </w: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Revolving Credit Facility (DBTCA) </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77.8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center"/>
              <w:ind w:left="92"/>
              <w:spacing w:after="0"/>
              <w:rPr>
                <w:sz w:val="20"/>
                <w:szCs w:val="20"/>
                <w:color w:val="auto"/>
              </w:rPr>
            </w:pPr>
            <w:r>
              <w:rPr>
                <w:rFonts w:ascii="Arial" w:cs="Arial" w:eastAsia="Arial" w:hAnsi="Arial"/>
                <w:sz w:val="18"/>
                <w:szCs w:val="18"/>
                <w:color w:val="auto"/>
                <w:w w:val="85"/>
              </w:rPr>
              <w:t>77.8</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322.5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322.5</w:t>
            </w:r>
          </w:p>
        </w:tc>
        <w:tc>
          <w:tcPr>
            <w:tcW w:w="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22"/>
        </w:trPr>
        <w:tc>
          <w:tcPr>
            <w:tcW w:w="6140" w:type="dxa"/>
            <w:vAlign w:val="bottom"/>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432.3</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322.5</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92"/>
              <w:spacing w:after="0"/>
              <w:rPr>
                <w:sz w:val="20"/>
                <w:szCs w:val="20"/>
                <w:color w:val="auto"/>
              </w:rPr>
            </w:pPr>
            <w:r>
              <w:rPr>
                <w:rFonts w:ascii="Arial" w:cs="Arial" w:eastAsia="Arial" w:hAnsi="Arial"/>
                <w:sz w:val="18"/>
                <w:szCs w:val="18"/>
                <w:color w:val="auto"/>
                <w:w w:val="85"/>
              </w:rPr>
              <w:t>77.8</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2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February 27, 2014, we terminated the Revolving Credit Facility (DBTCA), effective March 4, 2014. The outstanding balance under the Revolving Credit Facility (DBTCA) was paid down prior to terminating the facility.</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“—Off-Balance Sheet Arrangements—Portfolio Company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 w:lineRule="exact"/>
        <w:rPr>
          <w:sz w:val="20"/>
          <w:szCs w:val="20"/>
          <w:color w:val="auto"/>
        </w:rPr>
      </w:pPr>
    </w:p>
    <w:p>
      <w:pPr>
        <w:ind w:left="900" w:right="2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twelve-month period ending on October 31 of that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9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Arial" w:cs="Arial" w:eastAsia="Arial" w:hAnsi="Arial"/>
          <w:sz w:val="16"/>
          <w:szCs w:val="16"/>
          <w:i w:val="1"/>
          <w:iCs w:val="1"/>
          <w:color w:val="auto"/>
        </w:rPr>
        <w:t>ITEM 1A. RISK FACTORS</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9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5"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8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this valuation process on a quarterly basis.</w:t>
      </w:r>
    </w:p>
    <w:p>
      <w:pPr>
        <w:spacing w:after="0" w:line="17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apply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51"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to our consolidated financial statements included in this Form 10-K for more information on the fair value of our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on-going analyses of tax laws, regulations and interpretations thereof.</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December 31, 2013, 98.8% of our debt investments at fair value in our portfolio bore interest at floating rates, subject to interest rate floors. Our credit facilities also bear interest at floating rates.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Assuming that our consolidated balance sheet as of December 31, 2013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2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Basis Point Change</w:t>
            </w:r>
          </w:p>
        </w:tc>
        <w:tc>
          <w:tcPr>
            <w:tcW w:w="1700" w:type="dxa"/>
            <w:vAlign w:val="bottom"/>
          </w:tcPr>
          <w:p>
            <w:pPr>
              <w:spacing w:after="0"/>
              <w:rPr>
                <w:sz w:val="14"/>
                <w:szCs w:val="14"/>
                <w:color w:val="auto"/>
              </w:rPr>
            </w:pPr>
          </w:p>
        </w:tc>
        <w:tc>
          <w:tcPr>
            <w:tcW w:w="19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Interest Income</w:t>
            </w:r>
          </w:p>
        </w:tc>
        <w:tc>
          <w:tcPr>
            <w:tcW w:w="14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Interest Expense</w:t>
            </w:r>
          </w:p>
        </w:tc>
        <w:tc>
          <w:tcPr>
            <w:tcW w:w="460" w:type="dxa"/>
            <w:vAlign w:val="bottom"/>
          </w:tcPr>
          <w:p>
            <w:pPr>
              <w:spacing w:after="0"/>
              <w:rPr>
                <w:sz w:val="14"/>
                <w:szCs w:val="14"/>
                <w:color w:val="auto"/>
              </w:rPr>
            </w:pPr>
          </w:p>
        </w:tc>
        <w:tc>
          <w:tcPr>
            <w:tcW w:w="7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Net 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3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0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0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bl>
    <w:p>
      <w:pPr>
        <w:spacing w:after="0" w:line="14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audited consolidated financial statements set forth herein commencing on page F-1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b w:val="1"/>
          <w:bCs w:val="1"/>
          <w:i w:val="1"/>
          <w:iCs w:val="1"/>
          <w:color w:val="auto"/>
        </w:rPr>
        <w:t xml:space="preserve">Evaluation of Disclosure Controls and Procedures. </w:t>
      </w:r>
      <w:r>
        <w:rPr>
          <w:rFonts w:ascii="Arial" w:cs="Arial" w:eastAsia="Arial" w:hAnsi="Arial"/>
          <w:sz w:val="15"/>
          <w:szCs w:val="15"/>
          <w:color w:val="auto"/>
        </w:rPr>
        <w:t>As of the end of the period covered by this report, we carried out an evaluation, under the supervision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with the participation of our management, including our Co-Chief Executive Officers and Chief Financial Officer, of the effectiveness of the design and operation of our disclosure controls and procedures (as defined in Rule 13a-15 under the Securities Exchange Act of 1934).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0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Management’s Report on Internal Control Over Financial Reporting. </w:t>
      </w:r>
      <w:r>
        <w:rPr>
          <w:rFonts w:ascii="Arial" w:cs="Arial" w:eastAsia="Arial" w:hAnsi="Arial"/>
          <w:sz w:val="16"/>
          <w:szCs w:val="16"/>
          <w:color w:val="auto"/>
        </w:rPr>
        <w:t>The Company’s management is responsible for establishing and maintaining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adequate internal control over financial reporting (as defined in Rules 13a-15(f) and 15d-15(f) of the Exchange Act). Under the supervision and with the participation of management, including the Co-Chief Executive Officers and Chief Financial Officer, the Company conducted an evaluation of the effectiveness of the Company’s internal control over financial reporting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Based on the Company’s evaluation under the framework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management concluded that the Company’s internal control over financial reporting was effective as of December 31, 2013.</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Changes in Internal Control over Financial Reporting. </w:t>
      </w:r>
      <w:r>
        <w:rPr>
          <w:rFonts w:ascii="Arial" w:cs="Arial" w:eastAsia="Arial" w:hAnsi="Arial"/>
          <w:sz w:val="16"/>
          <w:szCs w:val="16"/>
          <w:color w:val="auto"/>
        </w:rPr>
        <w:t>There have been no changes in our internal control over financial reporting that occurred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most recently completed fiscal quarter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Information in response to this item is incorporated by reference from our Proxy Statement relating to our 2014 annual meeting of stockholders. The Proxy Statement will be filed with the SEC within 120 days after the end of the fiscal year covered by this Form 10-K pursuant to Regulation 14A under the Securities Exchange Act of 1934.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by reference from our Proxy Statement relating to our 2014 annual meeting of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by reference from our Proxy Statement relating to our 2014 annual meeting of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 AND RELATED TRANSACTION,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by reference from our Proxy Statement relating to our 2014 annual meeting of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6" w:lineRule="exact"/>
        <w:rPr>
          <w:sz w:val="20"/>
          <w:szCs w:val="20"/>
          <w:color w:val="auto"/>
        </w:rPr>
      </w:pPr>
    </w:p>
    <w:p>
      <w:pPr>
        <w:jc w:val="center"/>
        <w:ind w:right="360"/>
        <w:spacing w:after="0" w:line="440" w:lineRule="auto"/>
        <w:rPr>
          <w:sz w:val="20"/>
          <w:szCs w:val="20"/>
          <w:color w:val="auto"/>
        </w:rPr>
      </w:pPr>
      <w:r>
        <w:rPr>
          <w:rFonts w:ascii="Arial" w:cs="Arial" w:eastAsia="Arial" w:hAnsi="Arial"/>
          <w:sz w:val="18"/>
          <w:szCs w:val="18"/>
          <w:color w:val="auto"/>
        </w:rPr>
        <w:t>Information in response to this item is incorporated by reference from our Proxy Statement relating to our 2014 annual meeting of stockholders. 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90" w:lineRule="exact"/>
        <w:rPr>
          <w:sz w:val="20"/>
          <w:szCs w:val="20"/>
          <w:color w:val="auto"/>
        </w:rPr>
      </w:pPr>
    </w:p>
    <w:p>
      <w:pPr>
        <w:ind w:left="90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Statements—Financial statements are included in Item 8. See the Index to the Consolidated Financial Statements on page F-1 of this annual report on Form 10-K.</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Exhibits—The following is a list of all exhibits filed as a part of this annual report on Form 10-K, including those incorporated by reference.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980" w:type="dxa"/>
            <w:vAlign w:val="bottom"/>
          </w:tcPr>
          <w:p>
            <w:pPr>
              <w:spacing w:after="0"/>
              <w:rPr>
                <w:sz w:val="14"/>
                <w:szCs w:val="1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Exhibits</w:t>
            </w:r>
          </w:p>
        </w:tc>
      </w:tr>
      <w:tr>
        <w:trPr>
          <w:trHeight w:val="302"/>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3.1 to Amendment No. 1 to the Company’s</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Registration Statement on Form 10 filed on March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Bylaws (incorporated by reference to Exhibit 3.2 to Amendment No. 1 to the Company’s Registration Statement on Form 10 filed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March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Form of Subscription Agreement in connection with the Private Offerings (incorporated by reference to Exhibit 4.1 to the Company’s</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Registration Statement on Form 10 filed on January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Form of Common Stock Certificate (incorporated by reference to Exhibit 4.2 to the Company’s Annual Report on Form 10-K filed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March 22,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9"/>
              </w:rPr>
              <w:t>Form of Indemnification Agreement between the Company and certain officers and directors (incorporated by reference to Exhibit 10.3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9"/>
              </w:rPr>
              <w:t>Administration Agreement, dated as of March 15, 2011, between the Company and the Adviser (incorporated by reference to Exhibit 10.1</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to the Company’s Current Report on Form 8-K filed on March 15,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1"/>
              </w:rPr>
              <w:t>Amended and Restated Investment Advisory and Management Agreement, dated December 13, 2011, between the Company and the</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7"/>
              </w:rPr>
              <w:t>Adviser (incorporated by reference to Exhibit 10.1 to the Company’s Current Report on Form 8-K filed on December 13,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8"/>
              </w:rPr>
              <w:t>Revolving Credit Agreement, dated September 28, 2011, among TPG Specialty Lending Inc., as Borrower, Deutsche Bank Trust Company</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2"/>
              </w:rPr>
              <w:t>Americas, as Administrative Agent, and Lenders Party Thereto (incorporated by reference to Exhibit 10.1 to the Company’s Quarterly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Report on Form 10-Q for the quarter ended September 30, 2011, filed on November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9"/>
              </w:rPr>
              <w:t>First Amendment to Revolving Credit Agreement, dated September 28, 2011, among TPG Specialty Lending, Inc., as Borrower, Deutsche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2"/>
              </w:rPr>
              <w:t>Bank Trust Company Americas, as Administrative Agent, and Lenders Party Thereto (incorporated by reference to Exhibit 10.2 to the</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Company’s Quarterly Report on Form 10-Q for the quarter ended September 30, 2011, filed on November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Amended and Restated Revolving Credit Agreement, dated December 22, 2011, among TPG. Specialty Lending, Inc., as Borrower,</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1"/>
              </w:rPr>
              <w:t>Deutsche Bank Trust Company Americas, as Administrative Agent, and Lenders Party (incorporated by reference to Exhibit 10.6 to the</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Company’s Annual Report on Form 10-K filed on March 22,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1"/>
              </w:rPr>
              <w:t>Dividend Reinvestment Plan of TPG Specialty Lending, Inc. (incorporated by reference to Exhibit 10.7 to the Company’s Annual Report</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on Form 10-K filed on March 22, 2012).</w:t>
            </w: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52"/>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880" w:type="dxa"/>
            <w:vAlign w:val="bottom"/>
          </w:tcPr>
          <w:p>
            <w:pPr>
              <w:spacing w:after="0"/>
              <w:rPr>
                <w:sz w:val="14"/>
                <w:szCs w:val="1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Exhibits</w:t>
            </w:r>
          </w:p>
        </w:tc>
      </w:tr>
      <w:tr>
        <w:trPr>
          <w:trHeight w:val="302"/>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2"/>
              </w:rPr>
              <w:t>Revolving Credit and Security Agreement, dated May 8, 2012, among TPG SL SPV, LLC, as Borrower, the Lenders from Time to Time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Parties Hereto, Natixis, New York Branch, as Facility Agent and The Bank of New York Mellon Trust Company, N.A., as Collateral Agent</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August 13,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Master Sale and Contribution Agreement by and between TPG Specialty Lending, Inc., as the Originator and TPG SL SPV, LLC, as the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4"/>
              </w:rPr>
              <w:t>Buyer, dated as of May 8, 2012 (incorporated by reference to Exhibit 10.2 to the Company’s Quarterly Report on Form 10-Q filed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August 13,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Senior Secured Revolving Credit Agreement, dated as of August 23, 2012, among TPG Specialty Lending, Inc., as Borrower, the Lenders</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8"/>
              </w:rPr>
              <w:t>Party Hereto and SunTrust Bank, as Administrative Agent, JPMorgan Chase Bank, N.A., as Syndication Agent (incorporated by reference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Exhibit 10.1 to the Company’s Quarterly Report on Form 10-Q filed on November 14,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First Amendment to Amended and Restated Revolving Credit Agreement, dated October 31, 2012, among TPG. Specialty Lending, Inc., as</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Borrower, Deutsche Bank Trust Company Americas, as Administrative Agent, and Lenders Named Herein (incorporated by reference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Exhibit 10.2 to the Company’s Quarterly Report on Form 10-Q filed on November 14,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Custodian Agreement dated November 29, 2012 (incorporated by reference to Exhibit 10.1 to the Company’s Current Report on Form 8-K</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filed on December 4,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8"/>
              </w:rPr>
              <w:t>Instrument of Removal, Appointment and Acceptance, dated November 29, 2012, among State Street Bank and Trust Company and TPG SL</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SPV, LLC, TPG Specialty Lending, Inc. and the Bank of New York Mellon Trust Company, N.A. (incorporated by reference to Exhibit 10.1</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to the Company’s Current Report on Form 8-K filed on January 2, 2013).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Second Amendment to Amended and Restated Revolving Credit Agreement, dated May 7, 2013, among TPG Specialty Lending, Inc., as</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Borrower, Deutsche Bank Trust Company Americas, as Administrative Agent, and Lenders Named Herein (incorporated by reference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Exhibit 10.1 to the Company’s Quarterly Report on Form 10-Q filed on May 10, 2013)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10.15</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Amended and Restated Senior Secured Revolving Credit Agreement, dated as of July 2, 2013, among TPG Specialty Lending, Inc., the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3"/>
              </w:rPr>
              <w:t>lenders party thereto, SunTrust Bank as administrative agent and JPMorgan Chase Bank N.A. as syndication agent (incorporated by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reference to Exhibit 10.1 to the Company’s Current Report on Form 8-K filed on July 9, 2013)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10.16</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2"/>
              </w:rPr>
              <w:t>Amendment No. 1 dated July 17, 2013 to Revolving Credit and Security Agreement, dated May 8, 2012, among TPG SL SPV, LLC, as</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Borrower, the Lenders from Time to Time Parties Hereto, Natixis, New York Branch, as Facility Agent and The Bank of New York Mellon</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Trust Company, N.A., as Collateral Agent (incorporated by reference to Exhibit 10.1 to the Company’s Quarterly Report on Form 10-Q filed</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on August 9, 2013)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10.17</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Third Amendment to Amended and Restated Revolving Credit Agreement, dated November 5, 2013, among TPG Specialty Lending, Inc.,</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as Borrower, Deutsche Bank Trust Company Americas, as Administrative Agent, and Lenders Named Herein (incorporated by reference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Exhibit 10.1 to the Company’s Current Report on Form 8-K filed on November 7, 2013)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10.18</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Amended and Restated Revolving Credit and Security Agreement, dated as of January 21, 2014, among TPG SL SPV, LLC, as Borrower,</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the Lenders from Time to Time Parties Hereto, Natixis, New York Branch, as Facility Agent and State Street Bank and Trust Company, as</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Collateral Agent</w:t>
            </w: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52"/>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880" w:type="dxa"/>
            <w:vAlign w:val="bottom"/>
          </w:tcPr>
          <w:p>
            <w:pPr>
              <w:spacing w:after="0"/>
              <w:rPr>
                <w:sz w:val="14"/>
                <w:szCs w:val="1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Exhibits</w:t>
            </w:r>
          </w:p>
        </w:tc>
      </w:tr>
      <w:tr>
        <w:trPr>
          <w:trHeight w:val="302"/>
        </w:trPr>
        <w:tc>
          <w:tcPr>
            <w:tcW w:w="640" w:type="dxa"/>
            <w:vAlign w:val="bottom"/>
          </w:tcPr>
          <w:p>
            <w:pPr>
              <w:spacing w:after="0"/>
              <w:rPr>
                <w:sz w:val="20"/>
                <w:szCs w:val="20"/>
                <w:color w:val="auto"/>
              </w:rPr>
            </w:pPr>
            <w:r>
              <w:rPr>
                <w:rFonts w:ascii="Arial" w:cs="Arial" w:eastAsia="Arial" w:hAnsi="Arial"/>
                <w:sz w:val="18"/>
                <w:szCs w:val="18"/>
                <w:color w:val="auto"/>
              </w:rPr>
              <w:t>10.19</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Amended and Restated Master Sale and Contribution Agreement by and between TPG Specialty Lending, Inc., as the Originator and TPG</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SL SPV, LLC, as the Buyer, dated as of January 21, 2014</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10.20</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3"/>
              </w:rPr>
              <w:t>Second Amended and Restated Senior Secured Credit Agreement, dated February 27, 2014, among TPG Specialty Lending, Inc., as</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Borrower, the Lenders Party Hereto and SunTrust Bank, as Administrative Agent, and JPMorgan Chase Bank, N.A., as Syndication Agent.</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Subsidiaries of TPG Specialty Lending, Inc.</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Certification of Co-Chief Executive Officer Pursuant to 18 U.S.C. Section 1350, as Adopted Pursuant to Section 302 of the Sarbanes-Oxley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Act 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Certification of Co-Chief Executive Officer Pursuant to 18 U.S.C. Section 1350, as Adopted Pursuant to Section 302 of the Sarbanes-Oxley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Act 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31.3</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302 of the Sarbanes-Oxley Act</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Certification of Co-CEOs and CFO Pursuant to 18 U.S.C. Section 1350, as Adopted Pursuant to Section 906 of the Sarbanes-Oxley Act of</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2002.</w:t>
            </w: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52"/>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March 4, 2014</w:t>
      </w:r>
      <w:r>
        <w:rPr>
          <w:sz w:val="20"/>
          <w:szCs w:val="20"/>
          <w:color w:val="auto"/>
        </w:rPr>
        <w:tab/>
      </w:r>
      <w:r>
        <w:rPr>
          <w:rFonts w:ascii="Arial" w:cs="Arial" w:eastAsia="Arial" w:hAnsi="Arial"/>
          <w:sz w:val="16"/>
          <w:szCs w:val="16"/>
          <w:b w:val="1"/>
          <w:bCs w:val="1"/>
          <w:color w:val="auto"/>
        </w:rPr>
        <w:t>TPG SPECIALTY LENDING, INC.</w:t>
      </w:r>
    </w:p>
    <w:p>
      <w:pPr>
        <w:spacing w:after="0" w:line="23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Co-Chief Executive Officer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Co-Chief Executive Officer</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Each person whose signature appears below constitutes and appoints Michael Fishman, Joshua Easterly, Alan Kirshenbaum, David Stiepleman and Jennifer Mello,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2013,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4,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Borders>
              <w:bottom w:val="single" w:sz="8" w:color="auto"/>
            </w:tcBorders>
          </w:tcPr>
          <w:p>
            <w:pPr>
              <w:ind w:left="2640"/>
              <w:spacing w:after="0"/>
              <w:rPr>
                <w:sz w:val="20"/>
                <w:szCs w:val="20"/>
                <w:color w:val="auto"/>
              </w:rPr>
            </w:pPr>
            <w:r>
              <w:rPr>
                <w:rFonts w:ascii="Arial" w:cs="Arial" w:eastAsia="Arial" w:hAnsi="Arial"/>
                <w:sz w:val="14"/>
                <w:szCs w:val="14"/>
                <w:b w:val="1"/>
                <w:bCs w:val="1"/>
                <w:color w:val="auto"/>
              </w:rPr>
              <w:t>Signature</w:t>
            </w:r>
          </w:p>
        </w:tc>
        <w:tc>
          <w:tcPr>
            <w:tcW w:w="1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36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Title</w:t>
            </w:r>
          </w:p>
        </w:tc>
      </w:tr>
      <w:tr>
        <w:trPr>
          <w:trHeight w:val="411"/>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Fishman</w:t>
            </w:r>
          </w:p>
        </w:tc>
        <w:tc>
          <w:tcPr>
            <w:tcW w:w="1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5"/>
              </w:rPr>
              <w:t>Co-Chief Executive Officer and a Director (Principal Executive Officer)</w:t>
            </w:r>
          </w:p>
        </w:tc>
      </w:tr>
      <w:tr>
        <w:trPr>
          <w:trHeight w:val="438"/>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c>
          <w:tcPr>
            <w:tcW w:w="1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5"/>
              </w:rPr>
              <w:t>Co-Chief Executive Officer and Director and Chairman of the Board of</w:t>
            </w:r>
          </w:p>
        </w:tc>
      </w:tr>
      <w:tr>
        <w:trPr>
          <w:trHeight w:val="202"/>
        </w:trPr>
        <w:tc>
          <w:tcPr>
            <w:tcW w:w="4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Directors</w:t>
            </w:r>
          </w:p>
        </w:tc>
      </w:tr>
      <w:tr>
        <w:trPr>
          <w:trHeight w:val="427"/>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Kirshenbaum</w:t>
            </w:r>
          </w:p>
        </w:tc>
        <w:tc>
          <w:tcPr>
            <w:tcW w:w="1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439"/>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Ross</w:t>
            </w:r>
          </w:p>
        </w:tc>
        <w:tc>
          <w:tcPr>
            <w:tcW w:w="1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and Chairman of the Audit Committee</w:t>
            </w:r>
          </w:p>
        </w:tc>
      </w:tr>
      <w:tr>
        <w:trPr>
          <w:trHeight w:val="439"/>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Higginbotham</w:t>
            </w:r>
          </w:p>
        </w:tc>
        <w:tc>
          <w:tcPr>
            <w:tcW w:w="1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439"/>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K. Tanemura</w:t>
            </w:r>
          </w:p>
        </w:tc>
        <w:tc>
          <w:tcPr>
            <w:tcW w:w="1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371"/>
        </w:trPr>
        <w:tc>
          <w:tcPr>
            <w:tcW w:w="4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8"/>
            <w:vMerge w:val="restart"/>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940" w:type="dxa"/>
            <w:vAlign w:val="bottom"/>
            <w:gridSpan w:val="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Consolidated Balance Sheets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94">
              <w:r>
                <w:rPr>
                  <w:rFonts w:ascii="Arial" w:cs="Arial" w:eastAsia="Arial" w:hAnsi="Arial"/>
                  <w:sz w:val="18"/>
                  <w:szCs w:val="18"/>
                  <w:color w:val="0000EE"/>
                  <w:w w:val="86"/>
                </w:rPr>
                <w:t>Consolidated Statements of Operations for the Years Ended December 31, 2013, 2012 and 2011</w:t>
              </w:r>
            </w:hyperlink>
          </w:p>
        </w:tc>
        <w:tc>
          <w:tcPr>
            <w:tcW w:w="420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Consolidated Schedules of Investments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6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Consolidated Statements of Changes in Net Assets for the Years Ended December 31, 2013, 2012 and 2011</w:t>
              </w:r>
            </w:hyperlink>
          </w:p>
        </w:tc>
        <w:tc>
          <w:tcPr>
            <w:tcW w:w="33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F-12</w:t>
            </w:r>
          </w:p>
        </w:tc>
        <w:tc>
          <w:tcPr>
            <w:tcW w:w="0" w:type="dxa"/>
            <w:vAlign w:val="bottom"/>
          </w:tcPr>
          <w:p>
            <w:pPr>
              <w:spacing w:after="0"/>
              <w:rPr>
                <w:sz w:val="1"/>
                <w:szCs w:val="1"/>
                <w:color w:val="auto"/>
              </w:rPr>
            </w:pPr>
          </w:p>
        </w:tc>
      </w:tr>
      <w:tr>
        <w:trPr>
          <w:trHeight w:val="304"/>
        </w:trPr>
        <w:tc>
          <w:tcPr>
            <w:tcW w:w="6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Consolidated Statements of Cash Flows for the Years Ended December 31, 2013, 2012 and 2011</w:t>
              </w:r>
            </w:hyperlink>
          </w:p>
        </w:tc>
        <w:tc>
          <w:tcPr>
            <w:tcW w:w="414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F-13</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F-14</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80" w:type="dxa"/>
            <w:vAlign w:val="bottom"/>
            <w:gridSpan w:val="4"/>
          </w:tcPr>
          <w:p>
            <w:pPr>
              <w:ind w:left="3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These consolidated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securities owned as of December 31, 2013 and 2012,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TPG Specialty Lending, Inc. (and subsidiaries) as of December 31, 2013 and 2012, the results of their operations and their cash flows, and the changes in net assets for each of the years in the three-year period ended December 31, 2013 in conformity with U.S. generally accepted accounting principles.</w:t>
      </w:r>
    </w:p>
    <w:p>
      <w:pPr>
        <w:spacing w:after="0" w:line="10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$997,298 and $644,421,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1,016,451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432,267</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464,454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4"/>
              </w:rPr>
              <w:t>Common stock, $0.01 par value; 100,000,000 shares authorized, 37,027,022 and 31,583,953 shares issued, respectively;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and 37,026,023 and 31,582,954 shares outstanding, respectively (1)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 (1)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552,436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17,910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15.52</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further described in Note 9, the amounts as of December 31, 2012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90,374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2,233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47,046</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2,724</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 income from non-controlled, affiliated</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51,011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10,469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Initial organization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Management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13,376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8,892</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11,790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Professional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2,881</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(7,135)</w:t>
            </w: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(3,704)</w:t>
            </w: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57,700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28,075</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9,630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color w:val="auto"/>
              </w:rPr>
              <w:t>Total net change in unrealized gains</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realized gains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vMerge w:val="continue"/>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4"/>
              </w:rPr>
              <w:t>Weighted average shares of common stock outstanding—basic and diluted</w:t>
            </w:r>
          </w:p>
        </w:tc>
        <w:tc>
          <w:tcPr>
            <w:tcW w:w="4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34,635,208</w:t>
            </w:r>
          </w:p>
        </w:tc>
        <w:tc>
          <w:tcPr>
            <w:tcW w:w="940" w:type="dxa"/>
            <w:vAlign w:val="bottom"/>
            <w:vMerge w:val="restart"/>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20,541,475</w:t>
            </w:r>
          </w:p>
        </w:tc>
        <w:tc>
          <w:tcPr>
            <w:tcW w:w="9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100" w:type="dxa"/>
            <w:vAlign w:val="bottom"/>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w:t>
            </w:r>
          </w:p>
        </w:tc>
        <w:tc>
          <w:tcPr>
            <w:tcW w:w="4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14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years ended December 31, 2012 and 2011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1"/>
                <w:szCs w:val="11"/>
                <w:color w:val="auto"/>
              </w:rPr>
            </w:pPr>
          </w:p>
        </w:tc>
        <w:tc>
          <w:tcPr>
            <w:tcW w:w="680" w:type="dxa"/>
            <w:vAlign w:val="bottom"/>
          </w:tcPr>
          <w:p>
            <w:pPr>
              <w:jc w:val="right"/>
              <w:ind w:right="139"/>
              <w:spacing w:after="0" w:line="135"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4440" w:type="dxa"/>
            <w:vAlign w:val="bottom"/>
            <w:gridSpan w:val="3"/>
            <w:vMerge w:val="continue"/>
          </w:tcPr>
          <w:p>
            <w:pPr>
              <w:spacing w:after="0"/>
              <w:rPr>
                <w:sz w:val="14"/>
                <w:szCs w:val="14"/>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c>
          <w:tcPr>
            <w:tcW w:w="680" w:type="dxa"/>
            <w:vAlign w:val="bottom"/>
          </w:tcPr>
          <w:p>
            <w:pPr>
              <w:jc w:val="right"/>
              <w:ind w:right="15"/>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 Software Corporation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12/23/2011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$ 52,828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$ 53,720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($36,733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revolving</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loan ($4,611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tcPr>
          <w:p>
            <w:pPr>
              <w:jc w:val="right"/>
              <w:spacing w:after="0"/>
              <w:rPr>
                <w:sz w:val="20"/>
                <w:szCs w:val="20"/>
                <w:color w:val="auto"/>
              </w:rPr>
            </w:pPr>
            <w:r>
              <w:rPr>
                <w:rFonts w:ascii="Arial" w:cs="Arial" w:eastAsia="Arial" w:hAnsi="Arial"/>
                <w:sz w:val="18"/>
                <w:szCs w:val="18"/>
                <w:color w:val="auto"/>
              </w:rPr>
              <w:t>4,500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4,528</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($21,553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12/31/2012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62,155</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Beverage, food and tobacco</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($44,394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8/2015)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8/31/2011</w:t>
            </w:r>
          </w:p>
        </w:tc>
        <w:tc>
          <w:tcPr>
            <w:tcW w:w="680" w:type="dxa"/>
            <w:vAlign w:val="bottom"/>
          </w:tcPr>
          <w:p>
            <w:pPr>
              <w:jc w:val="right"/>
              <w:spacing w:after="0"/>
              <w:rPr>
                <w:sz w:val="20"/>
                <w:szCs w:val="20"/>
                <w:color w:val="auto"/>
              </w:rPr>
            </w:pPr>
            <w:r>
              <w:rPr>
                <w:rFonts w:ascii="Arial" w:cs="Arial" w:eastAsia="Arial" w:hAnsi="Arial"/>
                <w:sz w:val="18"/>
                <w:szCs w:val="18"/>
                <w:color w:val="auto"/>
              </w:rPr>
              <w:t>43,837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45,837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Business services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($67,933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4/11/2013</w:t>
            </w:r>
          </w:p>
        </w:tc>
        <w:tc>
          <w:tcPr>
            <w:tcW w:w="680" w:type="dxa"/>
            <w:vAlign w:val="bottom"/>
          </w:tcPr>
          <w:p>
            <w:pPr>
              <w:jc w:val="right"/>
              <w:spacing w:after="0"/>
              <w:rPr>
                <w:sz w:val="20"/>
                <w:szCs w:val="20"/>
                <w:color w:val="auto"/>
              </w:rPr>
            </w:pPr>
            <w:r>
              <w:rPr>
                <w:rFonts w:ascii="Arial" w:cs="Arial" w:eastAsia="Arial" w:hAnsi="Arial"/>
                <w:sz w:val="18"/>
                <w:szCs w:val="18"/>
                <w:color w:val="auto"/>
              </w:rPr>
              <w:t>65,762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66,405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Aptean Holdings, Inc. f/k/a Consona Holdings,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($29,625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6"/>
        </w:trPr>
        <w:tc>
          <w:tcPr>
            <w:tcW w:w="4440" w:type="dxa"/>
            <w:vAlign w:val="bottom"/>
            <w:gridSpan w:val="3"/>
          </w:tcPr>
          <w:p>
            <w:pPr>
              <w:spacing w:after="0"/>
              <w:rPr>
                <w:sz w:val="20"/>
                <w:szCs w:val="20"/>
                <w:color w:val="auto"/>
              </w:rPr>
            </w:pPr>
            <w:r>
              <w:rPr>
                <w:rFonts w:ascii="Arial" w:cs="Arial" w:eastAsia="Arial" w:hAnsi="Arial"/>
                <w:sz w:val="18"/>
                <w:szCs w:val="18"/>
                <w:color w:val="auto"/>
              </w:rPr>
              <w:t>Beyond Trust Software Holding</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Group,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($42,500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12/18/2013</w:t>
            </w:r>
          </w:p>
        </w:tc>
        <w:tc>
          <w:tcPr>
            <w:tcW w:w="680" w:type="dxa"/>
            <w:vAlign w:val="bottom"/>
          </w:tcPr>
          <w:p>
            <w:pPr>
              <w:jc w:val="right"/>
              <w:spacing w:after="0"/>
              <w:rPr>
                <w:sz w:val="20"/>
                <w:szCs w:val="20"/>
                <w:color w:val="auto"/>
              </w:rPr>
            </w:pPr>
            <w:r>
              <w:rPr>
                <w:rFonts w:ascii="Arial" w:cs="Arial" w:eastAsia="Arial" w:hAnsi="Arial"/>
                <w:sz w:val="18"/>
                <w:szCs w:val="18"/>
                <w:color w:val="auto"/>
              </w:rPr>
              <w:t>41,462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41,437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($29,659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165,608</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166,521</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Construction and building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Mannington Mills,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($47,430 par,</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(incl. 2.00%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3/2017)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PIK)</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3/2/2012</w:t>
            </w:r>
          </w:p>
        </w:tc>
        <w:tc>
          <w:tcPr>
            <w:tcW w:w="680" w:type="dxa"/>
            <w:vAlign w:val="bottom"/>
          </w:tcPr>
          <w:p>
            <w:pPr>
              <w:jc w:val="right"/>
              <w:spacing w:after="0"/>
              <w:rPr>
                <w:sz w:val="20"/>
                <w:szCs w:val="20"/>
                <w:color w:val="auto"/>
              </w:rPr>
            </w:pPr>
            <w:r>
              <w:rPr>
                <w:rFonts w:ascii="Arial" w:cs="Arial" w:eastAsia="Arial" w:hAnsi="Arial"/>
                <w:sz w:val="18"/>
                <w:szCs w:val="18"/>
                <w:color w:val="auto"/>
              </w:rPr>
              <w:t>46,545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51,817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Containers and packaging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($46,560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2/2018)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2/8/2013</w:t>
            </w:r>
          </w:p>
        </w:tc>
        <w:tc>
          <w:tcPr>
            <w:tcW w:w="680" w:type="dxa"/>
            <w:vAlign w:val="bottom"/>
          </w:tcPr>
          <w:p>
            <w:pPr>
              <w:jc w:val="right"/>
              <w:spacing w:after="0"/>
              <w:rPr>
                <w:sz w:val="20"/>
                <w:szCs w:val="20"/>
                <w:color w:val="auto"/>
              </w:rPr>
            </w:pPr>
            <w:r>
              <w:rPr>
                <w:rFonts w:ascii="Arial" w:cs="Arial" w:eastAsia="Arial" w:hAnsi="Arial"/>
                <w:sz w:val="18"/>
                <w:szCs w:val="18"/>
                <w:color w:val="auto"/>
              </w:rPr>
              <w:t>46,164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47,142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Education</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Campus Management,</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($29,625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680" w:type="dxa"/>
            <w:vAlign w:val="bottom"/>
          </w:tcPr>
          <w:p>
            <w:pPr>
              <w:jc w:val="right"/>
              <w:spacing w:after="0"/>
              <w:rPr>
                <w:sz w:val="20"/>
                <w:szCs w:val="20"/>
                <w:color w:val="auto"/>
              </w:rPr>
            </w:pPr>
            <w:r>
              <w:rPr>
                <w:rFonts w:ascii="Arial" w:cs="Arial" w:eastAsia="Arial" w:hAnsi="Arial"/>
                <w:sz w:val="18"/>
                <w:szCs w:val="18"/>
                <w:color w:val="auto"/>
              </w:rPr>
              <w:t>28,931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29,032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F-5</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3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66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3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Financial services</w:t>
            </w:r>
          </w:p>
        </w:tc>
        <w:tc>
          <w:tcPr>
            <w:tcW w:w="6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($42,479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41,597</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(3)(4)(6)</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($76,337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75,764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116,349</w:t>
            </w:r>
          </w:p>
        </w:tc>
        <w:tc>
          <w:tcPr>
            <w:tcW w:w="3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118,136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($71,634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($35,625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35,625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revolving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loan ($2,000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106,902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108,722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($14,813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6/2018)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14,821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1"/>
                <w:szCs w:val="11"/>
                <w:color w:val="auto"/>
              </w:rPr>
              <w:t>(3)</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($10,000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2/2020)</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($34,886 par,</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(incl. 4.50%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3/2017)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35,758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1"/>
                <w:szCs w:val="11"/>
                <w:color w:val="auto"/>
              </w:rPr>
              <w:t>(5)</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bond</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(GBP 7,000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10/2018)</w:t>
            </w:r>
          </w:p>
        </w:tc>
        <w:tc>
          <w:tcPr>
            <w:tcW w:w="114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11,913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72,742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Pai Group, 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($34,737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(3)(4)</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($7,483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11/2018)</w:t>
            </w: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7,405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7,371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($12,000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53,316</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53,302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F-6</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306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1"/>
                <w:szCs w:val="11"/>
                <w:color w:val="auto"/>
              </w:rPr>
            </w:pPr>
          </w:p>
        </w:tc>
        <w:tc>
          <w:tcPr>
            <w:tcW w:w="80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center"/>
              <w:ind w:right="4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4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Insurance</w:t>
            </w:r>
          </w:p>
        </w:tc>
        <w:tc>
          <w:tcPr>
            <w:tcW w:w="1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($31,888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6/1/2012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31,433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31,808</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revolving</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($850 par,</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32,646</w:t>
            </w:r>
          </w:p>
        </w:tc>
        <w:tc>
          <w:tcPr>
            <w:tcW w:w="2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Manufacturing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Jeeves Information</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 (SEK</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 xml:space="preserve">Systems AB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177,161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6/2018)</w:t>
            </w: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6/5/2013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26,486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27,170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Metals and mining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($35,650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11/2019)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11/21/2013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33,523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33,841</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($19,936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10/2016)</w:t>
            </w:r>
          </w:p>
        </w:tc>
        <w:tc>
          <w:tcPr>
            <w:tcW w:w="64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10/17/2011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19,764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20,086</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Global Geophysical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($40,883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9/2016)</w:t>
            </w:r>
          </w:p>
        </w:tc>
        <w:tc>
          <w:tcPr>
            <w:tcW w:w="64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9/30/2013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40,065</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($52,500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3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Non-Voting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Preferred Units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(774,099 units)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9/12/2013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16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Class A</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(2,953,020 shares)</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997,298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1,016,451</w:t>
            </w:r>
          </w:p>
        </w:tc>
        <w:tc>
          <w:tcPr>
            <w:tcW w:w="26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253"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500" w:hanging="452"/>
        <w:spacing w:after="0" w:line="261"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3"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46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jc w:val="both"/>
        <w:ind w:left="460" w:right="260" w:hanging="452"/>
        <w:spacing w:after="0" w:line="300" w:lineRule="auto"/>
        <w:tabs>
          <w:tab w:leader="none" w:pos="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100" w:hanging="452"/>
        <w:spacing w:after="0" w:line="261"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right"/>
        <w:ind w:right="330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in thousands, except share amounts)</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8"/>
          <w:szCs w:val="18"/>
          <w:b w:val="1"/>
          <w:bCs w:val="1"/>
          <w:color w:val="auto"/>
        </w:rPr>
        <w:t>Debt Investments</w:t>
      </w:r>
    </w:p>
    <w:p>
      <w:pPr>
        <w:spacing w:after="0" w:line="97" w:lineRule="exact"/>
        <w:rPr>
          <w:sz w:val="20"/>
          <w:szCs w:val="20"/>
          <w:color w:val="auto"/>
        </w:rPr>
      </w:pPr>
    </w:p>
    <w:p>
      <w:pPr>
        <w:ind w:right="1440" w:firstLine="432"/>
        <w:spacing w:after="0" w:line="339" w:lineRule="auto"/>
        <w:rPr>
          <w:sz w:val="20"/>
          <w:szCs w:val="20"/>
          <w:color w:val="auto"/>
        </w:rPr>
      </w:pPr>
      <w:r>
        <w:rPr>
          <w:rFonts w:ascii="Arial" w:cs="Arial" w:eastAsia="Arial" w:hAnsi="Arial"/>
          <w:sz w:val="16"/>
          <w:szCs w:val="16"/>
          <w:b w:val="1"/>
          <w:bCs w:val="1"/>
          <w:color w:val="auto"/>
        </w:rPr>
        <w:t xml:space="preserve">Aerospace and defense </w:t>
      </w:r>
      <w:r>
        <w:rPr>
          <w:rFonts w:ascii="Arial" w:cs="Arial" w:eastAsia="Arial" w:hAnsi="Arial"/>
          <w:sz w:val="16"/>
          <w:szCs w:val="16"/>
          <w:color w:val="auto"/>
        </w:rPr>
        <w:t xml:space="preserve">MSC.Software Corporation </w:t>
      </w:r>
      <w:r>
        <w:rPr>
          <w:rFonts w:ascii="Arial" w:cs="Arial" w:eastAsia="Arial" w:hAnsi="Arial"/>
          <w:sz w:val="10"/>
          <w:szCs w:val="10"/>
          <w:color w:val="auto"/>
        </w:rPr>
        <w:t>(3)(4)(5)</w:t>
      </w: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Automotive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Heartland Automotive Holdings, LLC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320" w:firstLine="432"/>
        <w:spacing w:after="0" w:line="378" w:lineRule="auto"/>
        <w:rPr>
          <w:sz w:val="20"/>
          <w:szCs w:val="20"/>
          <w:color w:val="auto"/>
        </w:rPr>
      </w:pPr>
      <w:r>
        <w:rPr>
          <w:rFonts w:ascii="Arial" w:cs="Arial" w:eastAsia="Arial" w:hAnsi="Arial"/>
          <w:sz w:val="15"/>
          <w:szCs w:val="15"/>
          <w:b w:val="1"/>
          <w:bCs w:val="1"/>
          <w:color w:val="auto"/>
        </w:rPr>
        <w:t xml:space="preserve">Beverage, food and tobacco </w:t>
      </w:r>
      <w:r>
        <w:rPr>
          <w:rFonts w:ascii="Arial" w:cs="Arial" w:eastAsia="Arial" w:hAnsi="Arial"/>
          <w:sz w:val="15"/>
          <w:szCs w:val="15"/>
          <w:color w:val="auto"/>
        </w:rPr>
        <w:t xml:space="preserve">AFS Technologies, Inc. </w:t>
      </w:r>
      <w:r>
        <w:rPr>
          <w:rFonts w:ascii="Arial" w:cs="Arial" w:eastAsia="Arial" w:hAnsi="Arial"/>
          <w:sz w:val="10"/>
          <w:szCs w:val="10"/>
          <w:color w:val="auto"/>
        </w:rPr>
        <w:t>(3)(4)(5)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Checkers Drive-In Restaurants, Inc. </w:t>
      </w: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Business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Consona Holdings, Inc.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Attachmate Corporation </w:t>
      </w:r>
      <w:r>
        <w:rPr>
          <w:rFonts w:ascii="Arial" w:cs="Arial" w:eastAsia="Arial" w:hAnsi="Arial"/>
          <w:sz w:val="11"/>
          <w:szCs w:val="11"/>
          <w:color w:val="auto"/>
        </w:rPr>
        <w:t>(3)(5)</w:t>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Capital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Federal Signal Corporation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International Equipment Solutions, Inc.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0" w:firstLine="432"/>
        <w:spacing w:after="0" w:line="378" w:lineRule="auto"/>
        <w:rPr>
          <w:sz w:val="20"/>
          <w:szCs w:val="20"/>
          <w:color w:val="auto"/>
        </w:rPr>
      </w:pPr>
      <w:r>
        <w:rPr>
          <w:rFonts w:ascii="Arial" w:cs="Arial" w:eastAsia="Arial" w:hAnsi="Arial"/>
          <w:sz w:val="15"/>
          <w:szCs w:val="15"/>
          <w:b w:val="1"/>
          <w:bCs w:val="1"/>
          <w:color w:val="auto"/>
        </w:rPr>
        <w:t xml:space="preserve">Construction and building </w:t>
      </w:r>
      <w:r>
        <w:rPr>
          <w:rFonts w:ascii="Arial" w:cs="Arial" w:eastAsia="Arial" w:hAnsi="Arial"/>
          <w:sz w:val="15"/>
          <w:szCs w:val="15"/>
          <w:color w:val="auto"/>
        </w:rPr>
        <w:t xml:space="preserve">Mannington Mills, Inc. </w:t>
      </w: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Initial</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4"/>
        </w:trPr>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Amortized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15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5"/>
                <w:szCs w:val="15"/>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2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 xml:space="preserve">Cost </w:t>
            </w:r>
            <w:r>
              <w:rPr>
                <w:rFonts w:ascii="Arial" w:cs="Arial" w:eastAsia="Arial" w:hAnsi="Arial"/>
                <w:sz w:val="20"/>
                <w:szCs w:val="20"/>
                <w:b w:val="1"/>
                <w:bCs w:val="1"/>
                <w:color w:val="auto"/>
                <w:w w:val="94"/>
                <w:vertAlign w:val="superscript"/>
              </w:rPr>
              <w:t>(2)</w:t>
            </w:r>
          </w:p>
        </w:tc>
        <w:tc>
          <w:tcPr>
            <w:tcW w:w="30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of 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-8255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($56,266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12/23/2011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$ 55,423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$ 55,984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11.7%</w:t>
            </w:r>
          </w:p>
        </w:tc>
      </w:tr>
      <w:tr>
        <w:trPr>
          <w:trHeight w:val="534"/>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($38,951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37,998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38,075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7.9%</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9"/>
              </w:rPr>
              <w:t>revolving loan ($555</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par, 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($19,878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12/31/2012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19,679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58,128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58,185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($46,884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8/2015)</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8/31/2011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45,987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46,532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9.7%</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Second-lien bond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($10,000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11/16/2012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10,025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56,004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56,557</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($29,925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8/2018)</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8/13/2012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29,514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29,925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 ($926</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par, 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6/25/2012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30,458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30,819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($41,608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12.00%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40,897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43,064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9.0%</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($29,391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9/2016)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9/18/2012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28,732</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28,876</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69,629</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71,940</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Second-lien loan</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14.00%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($50,537 par,</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(incl. 2.00%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3/2017)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PIK)</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49,551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53,190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11.1%</w:t>
            </w:r>
          </w:p>
        </w:tc>
      </w:tr>
      <w:tr>
        <w:trPr>
          <w:trHeight w:val="365"/>
        </w:trPr>
        <w:tc>
          <w:tcPr>
            <w:tcW w:w="1640" w:type="dxa"/>
            <w:vAlign w:val="bottom"/>
          </w:tcPr>
          <w:p>
            <w:pPr>
              <w:ind w:left="1060"/>
              <w:spacing w:after="0"/>
              <w:rPr>
                <w:sz w:val="20"/>
                <w:szCs w:val="20"/>
                <w:color w:val="auto"/>
              </w:rPr>
            </w:pPr>
            <w:r>
              <w:rPr>
                <w:rFonts w:ascii="Arial" w:cs="Arial" w:eastAsia="Arial" w:hAnsi="Arial"/>
                <w:sz w:val="18"/>
                <w:szCs w:val="18"/>
                <w:color w:val="auto"/>
              </w:rPr>
              <w:t>F-9</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-6403975</wp:posOffset>
            </wp:positionV>
            <wp:extent cx="7246620"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-5786755</wp:posOffset>
            </wp:positionV>
            <wp:extent cx="7246620"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-4826000</wp:posOffset>
            </wp:positionV>
            <wp:extent cx="7246620" cy="41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-4243070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-3625850</wp:posOffset>
            </wp:positionV>
            <wp:extent cx="7246620"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-3042285</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-2425065</wp:posOffset>
            </wp:positionV>
            <wp:extent cx="724662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-1979295</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-1361440</wp:posOffset>
            </wp:positionV>
            <wp:extent cx="7246620" cy="411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-778510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3820" w:space="720"/>
            <w:col w:w="6820"/>
          </w:cols>
          <w:pgMar w:left="240" w:top="459" w:right="29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8"/>
              </w:rPr>
              <w:t>Initial</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920" w:type="dxa"/>
            <w:vAlign w:val="bottom"/>
            <w:gridSpan w:val="3"/>
            <w:vMerge w:val="continue"/>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Environmental Services</w:t>
            </w: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Synagro Technologies, Inc. </w:t>
            </w:r>
            <w:r>
              <w:rPr>
                <w:rFonts w:ascii="Arial" w:cs="Arial" w:eastAsia="Arial" w:hAnsi="Arial"/>
                <w:sz w:val="11"/>
                <w:szCs w:val="11"/>
                <w:color w:val="auto"/>
              </w:rPr>
              <w:t>(3)</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($3,134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10/2014)</w:t>
            </w: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11/8/2012</w:t>
            </w:r>
          </w:p>
        </w:tc>
        <w:tc>
          <w:tcPr>
            <w:tcW w:w="620" w:type="dxa"/>
            <w:vAlign w:val="bottom"/>
          </w:tcPr>
          <w:p>
            <w:pPr>
              <w:jc w:val="right"/>
              <w:spacing w:after="0"/>
              <w:rPr>
                <w:sz w:val="20"/>
                <w:szCs w:val="20"/>
                <w:color w:val="auto"/>
              </w:rPr>
            </w:pPr>
            <w:r>
              <w:rPr>
                <w:rFonts w:ascii="Arial" w:cs="Arial" w:eastAsia="Arial" w:hAnsi="Arial"/>
                <w:sz w:val="18"/>
                <w:szCs w:val="18"/>
                <w:color w:val="auto"/>
              </w:rPr>
              <w:t>2,759</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2,813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($5,670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9/14/2012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5,573</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4,330</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Financial services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($59,714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58,223</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58,221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11/21/2012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38,947</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39,600</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97,170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97,821</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eResearch Technology, Inc.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($24,937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7/3/2012</w:t>
            </w:r>
          </w:p>
        </w:tc>
        <w:tc>
          <w:tcPr>
            <w:tcW w:w="620" w:type="dxa"/>
            <w:vAlign w:val="bottom"/>
          </w:tcPr>
          <w:p>
            <w:pPr>
              <w:jc w:val="right"/>
              <w:spacing w:after="0"/>
              <w:rPr>
                <w:sz w:val="20"/>
                <w:szCs w:val="20"/>
                <w:color w:val="auto"/>
              </w:rPr>
            </w:pPr>
            <w:r>
              <w:rPr>
                <w:rFonts w:ascii="Arial" w:cs="Arial" w:eastAsia="Arial" w:hAnsi="Arial"/>
                <w:sz w:val="18"/>
                <w:szCs w:val="18"/>
                <w:color w:val="auto"/>
              </w:rPr>
              <w:t>24,006</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24,626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($50,500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5/2018)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11/9/2012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49,218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16"/>
        </w:trPr>
        <w:tc>
          <w:tcPr>
            <w:tcW w:w="3920" w:type="dxa"/>
            <w:vAlign w:val="bottom"/>
            <w:gridSpan w:val="3"/>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($37,500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36,439</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36,563</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109,675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110,407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($28,414 par,</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(incl. 4.00%</w:t>
            </w: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3/2017)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4/12/2012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28,556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($5,000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tcPr>
          <w:p>
            <w:pPr>
              <w:jc w:val="right"/>
              <w:spacing w:after="0"/>
              <w:rPr>
                <w:sz w:val="20"/>
                <w:szCs w:val="20"/>
                <w:color w:val="auto"/>
              </w:rPr>
            </w:pPr>
            <w:r>
              <w:rPr>
                <w:rFonts w:ascii="Arial" w:cs="Arial" w:eastAsia="Arial" w:hAnsi="Arial"/>
                <w:sz w:val="18"/>
                <w:szCs w:val="18"/>
                <w:color w:val="auto"/>
              </w:rPr>
              <w:t>4,950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4,925</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Insurance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($30,613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30,346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Office products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($21,562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10/17/2011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21,808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Transportation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Teletrac,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7/2017)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7/23/2012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17,151</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642,421</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651,944</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F-10</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64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Amortized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spacing w:after="0"/>
              <w:rPr>
                <w:sz w:val="15"/>
                <w:szCs w:val="15"/>
                <w:color w:val="auto"/>
              </w:rPr>
            </w:pPr>
          </w:p>
        </w:tc>
        <w:tc>
          <w:tcPr>
            <w:tcW w:w="920" w:type="dxa"/>
            <w:vAlign w:val="bottom"/>
            <w:gridSpan w:val="2"/>
          </w:tcPr>
          <w:p>
            <w:pPr>
              <w:jc w:val="right"/>
              <w:ind w:right="36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Equity Investments</w:t>
            </w:r>
          </w:p>
        </w:tc>
        <w:tc>
          <w:tcPr>
            <w:tcW w:w="5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Parent Corp.</w:t>
            </w: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Class A</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(1,980 shares)</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12/28/2012</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16"/>
        </w:trPr>
        <w:tc>
          <w:tcPr>
            <w:tcW w:w="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Class B</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(2,953,020 shares)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12/28/2012</w:t>
            </w: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2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644,421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653,944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ind w:left="460" w:right="500" w:hanging="452"/>
        <w:spacing w:after="0" w:line="250"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00" w:hanging="452"/>
        <w:spacing w:after="0" w:line="250"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loan, which is the amount reflected in this schedule, the Company may be entitled to receive additional amounts as a result of an arrangement between the Company and other lenders in any syndication.</w:t>
      </w:r>
    </w:p>
    <w:p>
      <w:pPr>
        <w:spacing w:after="0" w:line="1"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8,386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1"/>
        </w:trPr>
        <w:tc>
          <w:tcPr>
            <w:tcW w:w="5580" w:type="dxa"/>
            <w:vAlign w:val="bottom"/>
          </w:tcPr>
          <w:p>
            <w:pPr>
              <w:spacing w:after="0"/>
              <w:rPr>
                <w:sz w:val="20"/>
                <w:szCs w:val="20"/>
                <w:color w:val="auto"/>
              </w:rPr>
            </w:pPr>
            <w:r>
              <w:rPr>
                <w:rFonts w:ascii="Arial" w:cs="Arial" w:eastAsia="Arial" w:hAnsi="Arial"/>
                <w:sz w:val="18"/>
                <w:szCs w:val="18"/>
                <w:b w:val="1"/>
                <w:bCs w:val="1"/>
                <w:color w:val="auto"/>
                <w:w w:val="99"/>
              </w:rPr>
              <w:t>Increase in Net Assets Resulting from Capital Share Transactions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56,857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287,692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26,438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(48,301)</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(26,997)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(7,084)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(2,773)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w:t>
            </w: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660"/>
              <w:spacing w:after="0"/>
              <w:rPr>
                <w:sz w:val="20"/>
                <w:szCs w:val="20"/>
                <w:color w:val="auto"/>
              </w:rPr>
            </w:pPr>
            <w:r>
              <w:rPr>
                <w:rFonts w:ascii="Arial" w:cs="Arial" w:eastAsia="Arial" w:hAnsi="Arial"/>
                <w:sz w:val="18"/>
                <w:szCs w:val="18"/>
                <w:b w:val="1"/>
                <w:bCs w:val="1"/>
                <w:color w:val="auto"/>
              </w:rPr>
              <w:t>Transactions</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27,910</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267,116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94,893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574,696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20"/>
              <w:spacing w:after="0"/>
              <w:rPr>
                <w:sz w:val="20"/>
                <w:szCs w:val="20"/>
                <w:color w:val="auto"/>
              </w:rPr>
            </w:pPr>
            <w:r>
              <w:rPr>
                <w:rFonts w:ascii="Arial" w:cs="Arial" w:eastAsia="Arial" w:hAnsi="Arial"/>
                <w:sz w:val="18"/>
                <w:szCs w:val="18"/>
                <w:b w:val="1"/>
                <w:bCs w:val="1"/>
                <w:color w:val="auto"/>
              </w:rPr>
              <w:t>End of the Period</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3,981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66,983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39,595</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increase in net assets resulting from operations to</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(9,630)</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(7,211)</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loss on foreign currency forward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contracts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(4,355)</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gains on foreign currency forward contracts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(6,728)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(4,489)</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1,903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(602,988)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(760,668)</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(184,196)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46,390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214,293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190,594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(2,749)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(1,808)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(2,579)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(1,071)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(6,292)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3,706</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2,188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(289,631)</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(430,099)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(182,128)</w:t>
            </w:r>
          </w:p>
        </w:tc>
        <w:tc>
          <w:tcPr>
            <w:tcW w:w="0" w:type="dxa"/>
            <w:vAlign w:val="bottom"/>
          </w:tcPr>
          <w:p>
            <w:pPr>
              <w:spacing w:after="0"/>
              <w:rPr>
                <w:sz w:val="1"/>
                <w:szCs w:val="1"/>
                <w:color w:val="auto"/>
              </w:rPr>
            </w:pPr>
          </w:p>
        </w:tc>
      </w:tr>
      <w:tr>
        <w:trPr>
          <w:trHeight w:val="221"/>
        </w:trPr>
        <w:tc>
          <w:tcPr>
            <w:tcW w:w="5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902,000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1,332,688</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(801,569)</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(1,155,852)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(149,000)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(1,615)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(5,328)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56,857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287,692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(24,396)</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(10,968)</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131,277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448,232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(158,354)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18,133</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143,691</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161,825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3,471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161,825</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Interest paid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8,792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Excise taxes paid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Dividends declared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55,385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29,770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Reinvestment of dividends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26,438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40" w:type="dxa"/>
            <w:vAlign w:val="bottom"/>
          </w:tcPr>
          <w:p>
            <w:pPr>
              <w:ind w:left="880"/>
              <w:spacing w:after="0"/>
              <w:rPr>
                <w:sz w:val="20"/>
                <w:szCs w:val="20"/>
                <w:color w:val="auto"/>
              </w:rPr>
            </w:pPr>
            <w:r>
              <w:rPr>
                <w:rFonts w:ascii="Arial" w:cs="Arial" w:eastAsia="Arial" w:hAnsi="Arial"/>
                <w:sz w:val="18"/>
                <w:szCs w:val="18"/>
                <w:color w:val="auto"/>
              </w:rPr>
              <w:t>Subscription receivable from common stockholders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1,870</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78" w:lineRule="exact"/>
        <w:rPr>
          <w:sz w:val="20"/>
          <w:szCs w:val="20"/>
          <w:color w:val="auto"/>
        </w:rPr>
      </w:pPr>
    </w:p>
    <w:p>
      <w:pPr>
        <w:ind w:right="8240" w:firstLine="8"/>
        <w:spacing w:after="0" w:line="347" w:lineRule="auto"/>
        <w:tabs>
          <w:tab w:leader="none" w:pos="176"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six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4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860" w:firstLine="8"/>
        <w:spacing w:after="0" w:line="347" w:lineRule="auto"/>
        <w:tabs>
          <w:tab w:leader="none" w:pos="17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4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2013,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2013.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2011, the Financial Accounting Standards Board (“FASB”) issued Accounting Standards Update No. 2011-11 (“ASU 2011-11”), “</w:t>
      </w:r>
      <w:r>
        <w:rPr>
          <w:rFonts w:ascii="Arial" w:cs="Arial" w:eastAsia="Arial" w:hAnsi="Arial"/>
          <w:sz w:val="18"/>
          <w:szCs w:val="18"/>
          <w:i w:val="1"/>
          <w:iCs w:val="1"/>
          <w:color w:val="auto"/>
        </w:rPr>
        <w:t>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Offsetting Assets and Liabilities</w:t>
      </w:r>
      <w:r>
        <w:rPr>
          <w:rFonts w:ascii="Arial" w:cs="Arial" w:eastAsia="Arial" w:hAnsi="Arial"/>
          <w:sz w:val="18"/>
          <w:szCs w:val="18"/>
          <w:color w:val="auto"/>
        </w:rPr>
        <w:t>,” which requires entities to disclose information about offsetting and related arrangements to enable users of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to understand the effect of those arrangements on the statement of assets and liabilities. In January 2013, the FASB issued Accounting Standards Update No. 2013-01 (“ASU 2013-01”),“</w:t>
      </w:r>
      <w:r>
        <w:rPr>
          <w:rFonts w:ascii="Arial" w:cs="Arial" w:eastAsia="Arial" w:hAnsi="Arial"/>
          <w:sz w:val="18"/>
          <w:szCs w:val="18"/>
          <w:i w:val="1"/>
          <w:iCs w:val="1"/>
          <w:color w:val="auto"/>
        </w:rPr>
        <w:t>Clarifying the Scope of Disclosures about Offsetting Assets and Liabilities,</w:t>
      </w:r>
      <w:r>
        <w:rPr>
          <w:rFonts w:ascii="Arial" w:cs="Arial" w:eastAsia="Arial" w:hAnsi="Arial"/>
          <w:sz w:val="18"/>
          <w:szCs w:val="18"/>
          <w:color w:val="auto"/>
        </w:rPr>
        <w:t>” which clarified the types of instruments and transactions that are subject to the disclosure requirements established by ASU 2011-11. The Company’s adoption of ASU 2011-11 and ASU 2013-01 did not have a significant impact on the Company’s financial statements. See Note 5 for additional disclosure resulting from the adoption of ASU 2011-11 and ASU 2013-01.</w:t>
      </w:r>
    </w:p>
    <w:p>
      <w:pPr>
        <w:spacing w:after="0" w:line="222" w:lineRule="exact"/>
        <w:rPr>
          <w:sz w:val="20"/>
          <w:szCs w:val="20"/>
          <w:color w:val="auto"/>
        </w:rPr>
      </w:pPr>
    </w:p>
    <w:p>
      <w:pPr>
        <w:ind w:right="7900" w:firstLine="8"/>
        <w:spacing w:after="0" w:line="347" w:lineRule="auto"/>
        <w:tabs>
          <w:tab w:leader="none" w:pos="17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years ended December 31, 2013, 2012 and 2011, the Company incurred expenses of $1.4 million, $1.0 million and $0.3 million, respectively, for administrative services payable to the Adviser under the terms of the Administration Agreement.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which equals total assets before deduction of any liabilities, at the end of such calendar quarter, adjusted for share issuances and repurchases during that period. Beginning October 1, 2011, the Management Fee has been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2013, 2012 and 2011, Management Fees were $13.4 million, $8.9 million, and $1.6 million, respectively.</w:t>
      </w:r>
    </w:p>
    <w:p>
      <w:pPr>
        <w:spacing w:after="0" w:line="19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Until such time that the Company completes an initial public offering of its Common Stock, or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years ended December 31, 2013, 2012, and 2011, Management Fees of $7.1 million, $3.7 million, and $7 thousand, respectively, were waived. Any waived Management Fees are not subject to recoupment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40" w:hanging="446"/>
        <w:spacing w:after="0" w:line="289"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15% of the total pre-Incentive Fee net investment income for that quarter (17.5% subsequent to an IPO) and, for pre-Incentive Fee net 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 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37" w:lineRule="exact"/>
        <w:rPr>
          <w:sz w:val="20"/>
          <w:szCs w:val="20"/>
          <w:color w:val="auto"/>
        </w:rPr>
      </w:pPr>
    </w:p>
    <w:p>
      <w:pPr>
        <w:ind w:left="920" w:right="600"/>
        <w:spacing w:after="0" w:line="306" w:lineRule="auto"/>
        <w:rPr>
          <w:sz w:val="20"/>
          <w:szCs w:val="20"/>
          <w:color w:val="auto"/>
        </w:rPr>
      </w:pPr>
      <w:r>
        <w:rPr>
          <w:rFonts w:ascii="Arial" w:cs="Arial" w:eastAsia="Arial" w:hAnsi="Arial"/>
          <w:sz w:val="16"/>
          <w:szCs w:val="16"/>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56" w:lineRule="auto"/>
        <w:rPr>
          <w:sz w:val="20"/>
          <w:szCs w:val="20"/>
          <w:color w:val="auto"/>
        </w:rPr>
      </w:pPr>
      <w:r>
        <w:rPr>
          <w:rFonts w:ascii="Arial" w:cs="Arial" w:eastAsia="Arial" w:hAnsi="Arial"/>
          <w:sz w:val="18"/>
          <w:szCs w:val="18"/>
          <w:color w:val="auto"/>
        </w:rPr>
        <w:t>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2" w:lineRule="exact"/>
        <w:rPr>
          <w:sz w:val="20"/>
          <w:szCs w:val="20"/>
          <w:color w:val="auto"/>
        </w:rPr>
      </w:pPr>
    </w:p>
    <w:p>
      <w:pPr>
        <w:ind w:left="900" w:right="20" w:hanging="446"/>
        <w:spacing w:after="0" w:line="287"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Prior to the completion of an IPO, if cumulative net realized losses from the Company’s inception exceeded the aggregate dollar amount of dividends paid by the Company through that date, the Adviser would forgo the right to receive its quarterly Incentive Fee payments with respect to pre-Incentive Fee net investment income until the time that cumulative net realized losses were less than or equal to the aggregate amount of dividend payments.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year ended December 31, 2012, Incentive Fees were $7.0 million of which $5.7 million were realized and payable to the Adviser. For the year ended December 31, 2011, Incentive Fees were $0.3 million none of which were realized and payable to the Adviser.</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2013, 2012 and 2011, were $5.0 million, $3.8 million and $2.3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131,082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137,482</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2,780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1,805</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997,298</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2012</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67,332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69,657</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2,000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644,421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line="268" w:lineRule="auto"/>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240" w:top="459"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2013 and 2012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December 31, 2013</w:t>
            </w:r>
          </w:p>
        </w:tc>
        <w:tc>
          <w:tcPr>
            <w:tcW w:w="13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 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Aerospace and defense</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Automotive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Business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16.5%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Education</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Financial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11.6%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7.2%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Insurance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Metals and mining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000000"/>
          </w:tcPr>
          <w:p>
            <w:pPr>
              <w:spacing w:after="0" w:line="20" w:lineRule="exact"/>
              <w:rPr>
                <w:sz w:val="1"/>
                <w:szCs w:val="1"/>
                <w:color w:val="auto"/>
              </w:rPr>
            </w:pPr>
          </w:p>
        </w:tc>
        <w:tc>
          <w:tcPr>
            <w:tcW w:w="138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740" w:type="dxa"/>
            <w:vAlign w:val="bottom"/>
            <w:gridSpan w:val="4"/>
          </w:tcPr>
          <w:p>
            <w:pPr>
              <w:jc w:val="right"/>
              <w:ind w:right="1500"/>
              <w:spacing w:after="0"/>
              <w:rPr>
                <w:sz w:val="20"/>
                <w:szCs w:val="20"/>
                <w:color w:val="auto"/>
              </w:rPr>
            </w:pPr>
            <w:r>
              <w:rPr>
                <w:rFonts w:ascii="Arial" w:cs="Arial" w:eastAsia="Arial" w:hAnsi="Arial"/>
                <w:sz w:val="18"/>
                <w:szCs w:val="18"/>
                <w:color w:val="auto"/>
                <w:w w:val="88"/>
              </w:rPr>
              <w:t>The geographic composition of Investments at fair value at December 31, 2013 and 2012 is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2"/>
              </w:rPr>
              <w:t>December 31, 2013</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4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lef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Midwest</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14.2%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21.7%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South</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19.7%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35.5%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Europe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84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980" w:firstLine="8"/>
        <w:spacing w:after="0" w:line="391" w:lineRule="auto"/>
        <w:tabs>
          <w:tab w:leader="none" w:pos="176"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2013 had terms of approximately one to two months.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year ended December 31, 2013, we entered into foreign currency forward contracts related to our investments in Jeeves Information Systems AB (SEK) and Soho House Bond Ltd. (GBP).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presented in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91"/>
              </w:rPr>
              <w:t>Foreign Currency Forward Contracts</w:t>
            </w: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Amount (in ‘000s)</w:t>
            </w:r>
          </w:p>
        </w:tc>
        <w:tc>
          <w:tcPr>
            <w:tcW w:w="14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12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USD Value at</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Financial</w:t>
            </w:r>
          </w:p>
        </w:tc>
        <w:tc>
          <w:tcPr>
            <w:tcW w:w="0" w:type="dxa"/>
            <w:vAlign w:val="bottom"/>
          </w:tcPr>
          <w:p>
            <w:pPr>
              <w:spacing w:after="0"/>
              <w:rPr>
                <w:sz w:val="1"/>
                <w:szCs w:val="1"/>
                <w:color w:val="auto"/>
              </w:rPr>
            </w:pPr>
          </w:p>
        </w:tc>
      </w:tr>
      <w:tr>
        <w:trPr>
          <w:trHeight w:val="168"/>
        </w:trPr>
        <w:tc>
          <w:tcPr>
            <w:tcW w:w="2260" w:type="dxa"/>
            <w:vAlign w:val="bottom"/>
            <w:tcBorders>
              <w:bottom w:val="single" w:sz="8" w:color="auto"/>
            </w:tcBorders>
            <w:vMerge w:val="continue"/>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5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and Transaction</w:t>
            </w:r>
          </w:p>
        </w:tc>
        <w:tc>
          <w:tcPr>
            <w:tcW w:w="14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Settlement Date</w:t>
            </w:r>
          </w:p>
        </w:tc>
        <w:tc>
          <w:tcPr>
            <w:tcW w:w="15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2013</w:t>
            </w:r>
          </w:p>
        </w:tc>
        <w:tc>
          <w:tcPr>
            <w:tcW w:w="8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Swedish Kronor (SEK)</w:t>
            </w:r>
          </w:p>
        </w:tc>
        <w:tc>
          <w:tcPr>
            <w:tcW w:w="20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January 24, 2014</w:t>
            </w:r>
          </w:p>
        </w:tc>
        <w:tc>
          <w:tcPr>
            <w:tcW w:w="4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188,672 sold</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7"/>
              </w:rPr>
              <w:t>(28,440)</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77"/>
              </w:rPr>
              <w:t>(29,366)</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British Pound (GBP)</w:t>
            </w:r>
          </w:p>
        </w:tc>
        <w:tc>
          <w:tcPr>
            <w:tcW w:w="20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January 24, 2014</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18"/>
                <w:szCs w:val="18"/>
                <w:color w:val="auto"/>
              </w:rPr>
            </w:pP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(39,714)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17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All realized and unrealized gains and losses on forward foreign currency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07" w:lineRule="exact"/>
        <w:rPr>
          <w:sz w:val="20"/>
          <w:szCs w:val="20"/>
          <w:color w:val="auto"/>
        </w:rPr>
      </w:pPr>
    </w:p>
    <w:p>
      <w:pPr>
        <w:ind w:right="8560" w:firstLine="8"/>
        <w:spacing w:after="0" w:line="347" w:lineRule="auto"/>
        <w:tabs>
          <w:tab w:leader="none" w:pos="176"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December 31, 2013 and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60" w:type="dxa"/>
            <w:vAlign w:val="bottom"/>
            <w:gridSpan w:val="11"/>
          </w:tcPr>
          <w:p>
            <w:pPr>
              <w:ind w:left="360"/>
              <w:spacing w:after="0"/>
              <w:rPr>
                <w:sz w:val="20"/>
                <w:szCs w:val="20"/>
                <w:color w:val="auto"/>
              </w:rPr>
            </w:pPr>
            <w:r>
              <w:rPr>
                <w:rFonts w:ascii="Arial" w:cs="Arial" w:eastAsia="Arial" w:hAnsi="Arial"/>
                <w:sz w:val="14"/>
                <w:szCs w:val="14"/>
                <w:b w:val="1"/>
                <w:bCs w:val="1"/>
                <w:color w:val="auto"/>
              </w:rPr>
              <w:t>Fair Value Hierarchy at December 31, 2013</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$854,972</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560"/>
              <w:spacing w:after="0"/>
              <w:rPr>
                <w:sz w:val="20"/>
                <w:szCs w:val="20"/>
                <w:color w:val="auto"/>
              </w:rPr>
            </w:pPr>
            <w:r>
              <w:rPr>
                <w:rFonts w:ascii="Arial" w:cs="Arial" w:eastAsia="Arial" w:hAnsi="Arial"/>
                <w:sz w:val="18"/>
                <w:szCs w:val="18"/>
                <w:color w:val="auto"/>
              </w:rPr>
              <w:t>33,952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103,530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56,144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1,016,451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(1,244)</w:t>
            </w: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54,900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1,015,207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88"/>
              </w:rPr>
              <w:t>Fair Value Hierarchy at December 31, 2012</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Level 2</w:t>
            </w:r>
          </w:p>
        </w:tc>
        <w:tc>
          <w:tcPr>
            <w:tcW w:w="114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$68,183</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$582,287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16,467</w:t>
            </w:r>
          </w:p>
        </w:tc>
        <w:tc>
          <w:tcPr>
            <w:tcW w:w="56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53,190</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69,657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800" w:type="dxa"/>
            <w:vAlign w:val="bottom"/>
            <w:tcBorders>
              <w:right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5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569,294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2800" w:type="dxa"/>
            <w:vAlign w:val="bottom"/>
            <w:gridSpan w:val="3"/>
          </w:tcPr>
          <w:p>
            <w:pPr>
              <w:jc w:val="right"/>
              <w:ind w:right="1234"/>
              <w:spacing w:after="0"/>
              <w:rPr>
                <w:sz w:val="20"/>
                <w:szCs w:val="20"/>
                <w:color w:val="auto"/>
              </w:rPr>
            </w:pPr>
            <w:r>
              <w:rPr>
                <w:rFonts w:ascii="Arial" w:cs="Arial" w:eastAsia="Arial" w:hAnsi="Arial"/>
                <w:sz w:val="18"/>
                <w:szCs w:val="18"/>
                <w:color w:val="auto"/>
              </w:rPr>
              <w:t>F-24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2013</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507,056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51,270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780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(178,831)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(4,086)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6,054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1,865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5,367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$ 854,972</w:t>
            </w:r>
          </w:p>
        </w:tc>
        <w:tc>
          <w:tcPr>
            <w:tcW w:w="56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4"/>
              </w:rPr>
              <w:t>$ 103,530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1,805</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$ 960,307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2012</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$ 160,178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575,936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94,608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(51,185)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(45,905)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(179,800)</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3,795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3,639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100</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3,807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(14,170)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$ 514,104</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53,190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$ 569,294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year ended December 31, 2012, as a result of changes in the observability of inputs into its valuation.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2013 and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7"/>
              </w:rPr>
              <w:t>Net Change in Unrealized</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Net Change in Unrealized</w:t>
            </w:r>
          </w:p>
        </w:tc>
      </w:tr>
      <w:tr>
        <w:trPr>
          <w:trHeight w:val="149"/>
        </w:trPr>
        <w:tc>
          <w:tcPr>
            <w:tcW w:w="4440" w:type="dxa"/>
            <w:vAlign w:val="bottom"/>
          </w:tcPr>
          <w:p>
            <w:pPr>
              <w:spacing w:after="0"/>
              <w:rPr>
                <w:sz w:val="12"/>
                <w:szCs w:val="12"/>
                <w:color w:val="auto"/>
              </w:rPr>
            </w:pPr>
          </w:p>
        </w:tc>
        <w:tc>
          <w:tcPr>
            <w:tcW w:w="3360" w:type="dxa"/>
            <w:vAlign w:val="bottom"/>
            <w:gridSpan w:val="3"/>
          </w:tcPr>
          <w:p>
            <w:pPr>
              <w:jc w:val="center"/>
              <w:ind w:right="168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for the Year Ended</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December 31, 2013 on</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 2012 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5"/>
              </w:rPr>
              <w:t>December 31, 2013</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2012</w:t>
            </w:r>
          </w:p>
        </w:tc>
      </w:tr>
      <w:tr>
        <w:trPr>
          <w:trHeight w:val="210"/>
        </w:trPr>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1,865</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9"/>
                <w:szCs w:val="19"/>
                <w:color w:val="auto"/>
              </w:rPr>
            </w:pPr>
          </w:p>
        </w:tc>
        <w:tc>
          <w:tcPr>
            <w:tcW w:w="3260" w:type="dxa"/>
            <w:vAlign w:val="bottom"/>
            <w:gridSpan w:val="2"/>
          </w:tcPr>
          <w:p>
            <w:pPr>
              <w:jc w:val="right"/>
              <w:ind w:right="162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5"/>
              </w:rPr>
              <w:t>December 31, 2013</w:t>
            </w:r>
          </w:p>
        </w:tc>
        <w:tc>
          <w:tcPr>
            <w:tcW w:w="1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6"/>
              </w:rPr>
              <w:t>Unobservable</w:t>
            </w:r>
          </w:p>
        </w:tc>
        <w:tc>
          <w:tcPr>
            <w:tcW w:w="1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Valuation</w:t>
            </w:r>
          </w:p>
        </w:tc>
        <w:tc>
          <w:tcPr>
            <w:tcW w:w="1940" w:type="dxa"/>
            <w:vAlign w:val="bottom"/>
            <w:gridSpan w:val="3"/>
            <w:vMerge w:val="continue"/>
          </w:tcPr>
          <w:p>
            <w:pPr>
              <w:spacing w:after="0"/>
              <w:rPr>
                <w:sz w:val="11"/>
                <w:szCs w:val="11"/>
                <w:color w:val="auto"/>
              </w:rPr>
            </w:pPr>
          </w:p>
        </w:tc>
        <w:tc>
          <w:tcPr>
            <w:tcW w:w="1980" w:type="dxa"/>
            <w:vAlign w:val="bottom"/>
            <w:gridSpan w:val="2"/>
          </w:tcPr>
          <w:p>
            <w:pPr>
              <w:jc w:val="center"/>
              <w:ind w:right="472"/>
              <w:spacing w:after="0" w:line="135" w:lineRule="exact"/>
              <w:rPr>
                <w:sz w:val="20"/>
                <w:szCs w:val="20"/>
                <w:color w:val="auto"/>
              </w:rPr>
            </w:pPr>
            <w:r>
              <w:rPr>
                <w:rFonts w:ascii="Arial" w:cs="Arial" w:eastAsia="Arial" w:hAnsi="Arial"/>
                <w:sz w:val="14"/>
                <w:szCs w:val="14"/>
                <w:b w:val="1"/>
                <w:bCs w:val="1"/>
                <w:color w:val="auto"/>
                <w:w w:val="87"/>
              </w:rPr>
              <w:t>Range (Weighted</w:t>
            </w:r>
          </w:p>
        </w:tc>
        <w:tc>
          <w:tcPr>
            <w:tcW w:w="14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2"/>
              </w:rPr>
              <w:t>Technique</w:t>
            </w:r>
          </w:p>
        </w:tc>
        <w:tc>
          <w:tcPr>
            <w:tcW w:w="1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Input</w:t>
            </w:r>
          </w:p>
        </w:tc>
        <w:tc>
          <w:tcPr>
            <w:tcW w:w="1980" w:type="dxa"/>
            <w:vAlign w:val="bottom"/>
            <w:gridSpan w:val="2"/>
          </w:tcPr>
          <w:p>
            <w:pPr>
              <w:jc w:val="center"/>
              <w:ind w:right="472"/>
              <w:spacing w:after="0"/>
              <w:rPr>
                <w:sz w:val="20"/>
                <w:szCs w:val="20"/>
                <w:color w:val="auto"/>
              </w:rPr>
            </w:pPr>
            <w:r>
              <w:rPr>
                <w:rFonts w:ascii="Arial" w:cs="Arial" w:eastAsia="Arial" w:hAnsi="Arial"/>
                <w:sz w:val="14"/>
                <w:szCs w:val="14"/>
                <w:b w:val="1"/>
                <w:bCs w:val="1"/>
                <w:color w:val="auto"/>
                <w:w w:val="86"/>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142"/>
        </w:trPr>
        <w:tc>
          <w:tcPr>
            <w:tcW w:w="3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854,972</w:t>
            </w:r>
          </w:p>
        </w:tc>
        <w:tc>
          <w:tcPr>
            <w:tcW w:w="1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Income Approach</w:t>
            </w:r>
          </w:p>
        </w:tc>
        <w:tc>
          <w:tcPr>
            <w:tcW w:w="5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Market Yield</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5.50% — 13.12% (9.81%</w:t>
            </w:r>
          </w:p>
        </w:tc>
        <w:tc>
          <w:tcPr>
            <w:tcW w:w="420" w:type="dxa"/>
            <w:vAlign w:val="bottom"/>
            <w:tcBorders>
              <w:top w:val="single" w:sz="8" w:color="CCEEFF"/>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w w:val="84"/>
              </w:rPr>
              <w:t>)</w:t>
            </w: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103,530</w:t>
            </w:r>
          </w:p>
        </w:tc>
        <w:tc>
          <w:tcPr>
            <w:tcW w:w="19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Income Approach</w:t>
            </w: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Market Yield</w:t>
            </w:r>
          </w:p>
        </w:tc>
        <w:tc>
          <w:tcPr>
            <w:tcW w:w="198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9.32% —9.87% (9.59%)</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4"/>
                <w:szCs w:val="14"/>
                <w:color w:val="auto"/>
              </w:rPr>
              <w:t>Equity investments</w:t>
            </w:r>
          </w:p>
        </w:tc>
        <w:tc>
          <w:tcPr>
            <w:tcW w:w="1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1,805</w:t>
            </w:r>
          </w:p>
        </w:tc>
        <w:tc>
          <w:tcPr>
            <w:tcW w:w="190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Income Approach</w:t>
            </w:r>
          </w:p>
        </w:tc>
        <w:tc>
          <w:tcPr>
            <w:tcW w:w="1940" w:type="dxa"/>
            <w:vAlign w:val="bottom"/>
            <w:gridSpan w:val="3"/>
          </w:tcPr>
          <w:p>
            <w:pPr>
              <w:spacing w:after="0" w:line="138" w:lineRule="exact"/>
              <w:rPr>
                <w:sz w:val="20"/>
                <w:szCs w:val="20"/>
                <w:color w:val="auto"/>
              </w:rPr>
            </w:pPr>
            <w:r>
              <w:rPr>
                <w:rFonts w:ascii="Arial" w:cs="Arial" w:eastAsia="Arial" w:hAnsi="Arial"/>
                <w:sz w:val="14"/>
                <w:szCs w:val="14"/>
                <w:color w:val="auto"/>
              </w:rPr>
              <w:t>Weighted Average Cost of</w:t>
            </w:r>
          </w:p>
        </w:tc>
        <w:tc>
          <w:tcPr>
            <w:tcW w:w="1980" w:type="dxa"/>
            <w:vAlign w:val="bottom"/>
            <w:gridSpan w:val="2"/>
          </w:tcPr>
          <w:p>
            <w:pPr>
              <w:jc w:val="right"/>
              <w:ind w:right="352"/>
              <w:spacing w:after="0" w:line="138" w:lineRule="exact"/>
              <w:rPr>
                <w:sz w:val="20"/>
                <w:szCs w:val="20"/>
                <w:color w:val="auto"/>
              </w:rPr>
            </w:pPr>
            <w:r>
              <w:rPr>
                <w:rFonts w:ascii="Arial" w:cs="Arial" w:eastAsia="Arial" w:hAnsi="Arial"/>
                <w:sz w:val="14"/>
                <w:szCs w:val="14"/>
                <w:color w:val="auto"/>
                <w:w w:val="99"/>
              </w:rPr>
              <w:t>12.1% — 15.3% (14.0%)</w:t>
            </w:r>
          </w:p>
        </w:tc>
        <w:tc>
          <w:tcPr>
            <w:tcW w:w="1440" w:type="dxa"/>
            <w:vAlign w:val="bottom"/>
            <w:gridSpan w:val="2"/>
          </w:tcPr>
          <w:p>
            <w:pPr>
              <w:ind w:left="860"/>
              <w:spacing w:after="0" w:line="138" w:lineRule="exact"/>
              <w:rPr>
                <w:sz w:val="20"/>
                <w:szCs w:val="20"/>
                <w:color w:val="auto"/>
              </w:rPr>
            </w:pPr>
            <w:r>
              <w:rPr>
                <w:rFonts w:ascii="Arial" w:cs="Arial" w:eastAsia="Arial" w:hAnsi="Arial"/>
                <w:sz w:val="14"/>
                <w:szCs w:val="14"/>
                <w:color w:val="auto"/>
                <w:w w:val="93"/>
              </w:rPr>
              <w:t>Decrease</w:t>
            </w:r>
          </w:p>
        </w:tc>
        <w:tc>
          <w:tcPr>
            <w:tcW w:w="0" w:type="dxa"/>
            <w:vAlign w:val="bottom"/>
          </w:tcPr>
          <w:p>
            <w:pPr>
              <w:spacing w:after="0"/>
              <w:rPr>
                <w:sz w:val="1"/>
                <w:szCs w:val="1"/>
                <w:color w:val="auto"/>
              </w:rPr>
            </w:pPr>
          </w:p>
        </w:tc>
      </w:tr>
      <w:tr>
        <w:trPr>
          <w:trHeight w:val="172"/>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color w:val="auto"/>
              </w:rPr>
              <w:t>Capital (WACC)</w:t>
            </w:r>
          </w:p>
        </w:tc>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940" w:type="dxa"/>
            <w:vAlign w:val="bottom"/>
            <w:tcBorders>
              <w:bottom w:val="single" w:sz="8" w:color="auto"/>
            </w:tcBorders>
            <w:gridSpan w:val="3"/>
            <w:shd w:val="clear" w:color="auto" w:fill="CCEEFF"/>
          </w:tcPr>
          <w:p>
            <w:pPr>
              <w:ind w:left="760"/>
              <w:spacing w:after="0" w:line="149" w:lineRule="exact"/>
              <w:rPr>
                <w:sz w:val="20"/>
                <w:szCs w:val="20"/>
                <w:color w:val="auto"/>
              </w:rPr>
            </w:pPr>
            <w:r>
              <w:rPr>
                <w:rFonts w:ascii="Arial" w:cs="Arial" w:eastAsia="Arial" w:hAnsi="Arial"/>
                <w:sz w:val="14"/>
                <w:szCs w:val="14"/>
                <w:b w:val="1"/>
                <w:bCs w:val="1"/>
                <w:color w:val="auto"/>
                <w:w w:val="91"/>
              </w:rPr>
              <w:t>December 31, 2012</w:t>
            </w:r>
          </w:p>
        </w:tc>
        <w:tc>
          <w:tcPr>
            <w:tcW w:w="15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6"/>
              </w:rPr>
              <w:t>Unobservable</w:t>
            </w:r>
          </w:p>
        </w:tc>
        <w:tc>
          <w:tcPr>
            <w:tcW w:w="1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Valuation</w:t>
            </w:r>
          </w:p>
        </w:tc>
        <w:tc>
          <w:tcPr>
            <w:tcW w:w="1940" w:type="dxa"/>
            <w:vAlign w:val="bottom"/>
            <w:gridSpan w:val="3"/>
            <w:vMerge w:val="continue"/>
          </w:tcPr>
          <w:p>
            <w:pPr>
              <w:spacing w:after="0"/>
              <w:rPr>
                <w:sz w:val="11"/>
                <w:szCs w:val="11"/>
                <w:color w:val="auto"/>
              </w:rPr>
            </w:pPr>
          </w:p>
        </w:tc>
        <w:tc>
          <w:tcPr>
            <w:tcW w:w="1980" w:type="dxa"/>
            <w:vAlign w:val="bottom"/>
            <w:gridSpan w:val="2"/>
          </w:tcPr>
          <w:p>
            <w:pPr>
              <w:jc w:val="center"/>
              <w:ind w:right="472"/>
              <w:spacing w:after="0" w:line="135" w:lineRule="exact"/>
              <w:rPr>
                <w:sz w:val="20"/>
                <w:szCs w:val="20"/>
                <w:color w:val="auto"/>
              </w:rPr>
            </w:pPr>
            <w:r>
              <w:rPr>
                <w:rFonts w:ascii="Arial" w:cs="Arial" w:eastAsia="Arial" w:hAnsi="Arial"/>
                <w:sz w:val="14"/>
                <w:szCs w:val="14"/>
                <w:b w:val="1"/>
                <w:bCs w:val="1"/>
                <w:color w:val="auto"/>
                <w:w w:val="87"/>
              </w:rPr>
              <w:t>Range (Weighted</w:t>
            </w:r>
          </w:p>
        </w:tc>
        <w:tc>
          <w:tcPr>
            <w:tcW w:w="14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2"/>
              </w:rPr>
              <w:t>Technique</w:t>
            </w:r>
          </w:p>
        </w:tc>
        <w:tc>
          <w:tcPr>
            <w:tcW w:w="1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Input</w:t>
            </w:r>
          </w:p>
        </w:tc>
        <w:tc>
          <w:tcPr>
            <w:tcW w:w="1980" w:type="dxa"/>
            <w:vAlign w:val="bottom"/>
            <w:gridSpan w:val="2"/>
          </w:tcPr>
          <w:p>
            <w:pPr>
              <w:jc w:val="center"/>
              <w:ind w:right="472"/>
              <w:spacing w:after="0"/>
              <w:rPr>
                <w:sz w:val="20"/>
                <w:szCs w:val="20"/>
                <w:color w:val="auto"/>
              </w:rPr>
            </w:pPr>
            <w:r>
              <w:rPr>
                <w:rFonts w:ascii="Arial" w:cs="Arial" w:eastAsia="Arial" w:hAnsi="Arial"/>
                <w:sz w:val="14"/>
                <w:szCs w:val="14"/>
                <w:b w:val="1"/>
                <w:bCs w:val="1"/>
                <w:color w:val="auto"/>
                <w:w w:val="86"/>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142"/>
        </w:trPr>
        <w:tc>
          <w:tcPr>
            <w:tcW w:w="3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514,104</w:t>
            </w:r>
          </w:p>
        </w:tc>
        <w:tc>
          <w:tcPr>
            <w:tcW w:w="1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7"/>
              </w:rPr>
              <w:t>Income Approach (1)</w:t>
            </w:r>
          </w:p>
        </w:tc>
        <w:tc>
          <w:tcPr>
            <w:tcW w:w="5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ind w:left="760"/>
              <w:spacing w:after="0" w:line="142" w:lineRule="exact"/>
              <w:rPr>
                <w:sz w:val="20"/>
                <w:szCs w:val="20"/>
                <w:color w:val="auto"/>
              </w:rPr>
            </w:pPr>
            <w:r>
              <w:rPr>
                <w:rFonts w:ascii="Arial" w:cs="Arial" w:eastAsia="Arial" w:hAnsi="Arial"/>
                <w:sz w:val="14"/>
                <w:szCs w:val="14"/>
                <w:color w:val="auto"/>
                <w:w w:val="89"/>
              </w:rPr>
              <w:t>Market Yield</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 - 11.29% (9.71%)</w:t>
            </w:r>
          </w:p>
        </w:tc>
        <w:tc>
          <w:tcPr>
            <w:tcW w:w="4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53,190</w:t>
            </w:r>
          </w:p>
        </w:tc>
        <w:tc>
          <w:tcPr>
            <w:tcW w:w="1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Income Approach</w:t>
            </w:r>
          </w:p>
        </w:tc>
        <w:tc>
          <w:tcPr>
            <w:tcW w:w="194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Market Yield</w:t>
            </w:r>
          </w:p>
        </w:tc>
        <w:tc>
          <w:tcPr>
            <w:tcW w:w="198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w w:val="93"/>
              </w:rPr>
              <w:t>10.78% -10.78% (10.78%)</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00" w:type="dxa"/>
            <w:vAlign w:val="bottom"/>
          </w:tcPr>
          <w:p>
            <w:pPr>
              <w:spacing w:after="0" w:line="154" w:lineRule="exact"/>
              <w:rPr>
                <w:sz w:val="20"/>
                <w:szCs w:val="20"/>
                <w:color w:val="auto"/>
              </w:rPr>
            </w:pPr>
            <w:r>
              <w:rPr>
                <w:rFonts w:ascii="Arial" w:cs="Arial" w:eastAsia="Arial" w:hAnsi="Arial"/>
                <w:sz w:val="14"/>
                <w:szCs w:val="14"/>
                <w:color w:val="auto"/>
              </w:rPr>
              <w:t>Equity investments</w:t>
            </w:r>
          </w:p>
        </w:tc>
        <w:tc>
          <w:tcPr>
            <w:tcW w:w="160" w:type="dxa"/>
            <w:vAlign w:val="bottom"/>
          </w:tcPr>
          <w:p>
            <w:pPr>
              <w:jc w:val="right"/>
              <w:ind w:right="12"/>
              <w:spacing w:after="0" w:line="154"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2,000</w:t>
            </w:r>
          </w:p>
        </w:tc>
        <w:tc>
          <w:tcPr>
            <w:tcW w:w="1900" w:type="dxa"/>
            <w:vAlign w:val="bottom"/>
            <w:gridSpan w:val="2"/>
          </w:tcPr>
          <w:p>
            <w:pPr>
              <w:ind w:left="240"/>
              <w:spacing w:after="0" w:line="154" w:lineRule="exact"/>
              <w:rPr>
                <w:sz w:val="20"/>
                <w:szCs w:val="20"/>
                <w:color w:val="auto"/>
              </w:rPr>
            </w:pPr>
            <w:r>
              <w:rPr>
                <w:rFonts w:ascii="Arial" w:cs="Arial" w:eastAsia="Arial" w:hAnsi="Arial"/>
                <w:sz w:val="14"/>
                <w:szCs w:val="14"/>
                <w:color w:val="auto"/>
              </w:rPr>
              <w:t>Market Approach (2)</w:t>
            </w: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60" w:right="220" w:hanging="452"/>
        <w:spacing w:after="0" w:line="246"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$114.5 million of first-lien debt investments which, due to the proximity of the transactions relative to the measurement date, were valued using the cost of the investment.</w:t>
      </w: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Valued at cost due to the proximity of the transaction relative to the measurement date.</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2013 and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2013 and 2012, the Company’s asset coverage was 232.9% and 244.6%,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77,767</w:t>
            </w:r>
          </w:p>
        </w:tc>
        <w:tc>
          <w:tcPr>
            <w:tcW w:w="1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600,000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$ 432,267</w:t>
            </w:r>
          </w:p>
        </w:tc>
        <w:tc>
          <w:tcPr>
            <w:tcW w:w="7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$ 145,500</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5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66,836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550,000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$ 331,836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$ 189,808</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5540" w:right="2500" w:hanging="4627"/>
        <w:spacing w:after="0" w:line="440" w:lineRule="auto"/>
        <w:tabs>
          <w:tab w:leader="none" w:pos="14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 F-27</w:t>
      </w:r>
    </w:p>
    <w:p>
      <w:pPr>
        <w:sectPr>
          <w:pgSz w:w="11900" w:h="16838" w:orient="portrait"/>
          <w:cols w:equalWidth="0" w:num="1">
            <w:col w:w="11320"/>
          </w:cols>
          <w:pgMar w:left="240" w:top="459"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2013, 2012 and 2011, the components of interest expense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Year Ended</w:t>
            </w:r>
          </w:p>
        </w:tc>
      </w:tr>
      <w:tr>
        <w:trPr>
          <w:trHeight w:val="161"/>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2011</w:t>
            </w:r>
          </w:p>
        </w:tc>
      </w:tr>
      <w:tr>
        <w:trPr>
          <w:trHeight w:val="210"/>
        </w:trPr>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Commitment fees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1,398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10,469</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6,020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266.1</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certain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4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27, 2014, the Company further amended and restated the Revolving Credit Facility (SunTrust). The second amended and restated agreement (the Revolving Credit Facility (SunTrust)), among other things:</w:t>
      </w:r>
    </w:p>
    <w:p>
      <w:pPr>
        <w:spacing w:after="0" w:line="5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Revolving Credit Facility (SunTrust) is guaranteed by TC Lending, LLC and certain domestic subsidiaries that are formed or acquired by the Company in the future. The Revolving Credit Facility (SunTrust)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357" w:lineRule="auto"/>
        <w:tabs>
          <w:tab w:leader="none" w:pos="9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May 8, 2012, the “Natixis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Revolving Credit Facility (Natixis)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(as amended,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Amounts drawn under the amended and restated Revolving Credit Facility (Natixis) and the original credit and security agreement bear interest at LIBOR plus a margin or base rate plus a margin or, in the case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amended and restated Revolving Credit Facility (Natixis), the lenders’ cost of funds plus a margin, in each case at TPG SL SPV’s option. TPG SL SPV’s ability to borrow at lenders’ cost of funds plus a margin lowers our interest rate currently applicable on the Company’s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the Company’s other debt obligations.</w:t>
      </w:r>
    </w:p>
    <w:p>
      <w:pPr>
        <w:spacing w:after="0" w:line="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September 28, 2011, the Company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(as amended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July 2013, the Company reduced the capacity of the Revolving Credit Facility (DBTCA) from $250 million to $100 million. The elective reduction did not have a significant effect on the Company’s liquidity as (i) the Company’s borrowings are limited by the 1940 Act’s asset coverage requirement; and (ii) there was adequate availability under the Company’s other credit facilities.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The Company terminated the Revolving Credit Facility (DBTCA), effective March 4, 2014. The outstanding balance under the Revolving Credit Facility (DBTCA) was paid down prior to terminating the facility. The Company did not incur any fees or penalties in conjunction with the termination.</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the Company’s existing investors.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Interest rates on obligations under the Revolving Credit Facility (DBTCA) were based on prevailing LIBOR or prime lending rate plus an applicable margin. The Company could have elected either the LIBOR or prime rate at the time of draw-down, and loans could have been converted from one rate to another at any time, subject to certain conditions. The Company also paid a fee of 0.375% on undrawn amounts of the Revolving Credit Facility (DBTCA). In respect of each letter of credit, the Company paid a fee and a fixed rate while the letter of credit was outstanding.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Revolving Credit Facility (DBTCA) contained customary covenants on the Company and its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the Company was in compliance with the terms of its debt obligations.</w:t>
      </w:r>
    </w:p>
    <w:p>
      <w:pPr>
        <w:spacing w:after="0" w:line="246" w:lineRule="exact"/>
        <w:rPr>
          <w:sz w:val="20"/>
          <w:szCs w:val="20"/>
          <w:color w:val="auto"/>
        </w:rPr>
      </w:pPr>
    </w:p>
    <w:p>
      <w:pPr>
        <w:ind w:right="8720" w:firstLine="8"/>
        <w:spacing w:after="0" w:line="417" w:lineRule="auto"/>
        <w:tabs>
          <w:tab w:leader="none" w:pos="176"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December 31, 2013 and 2012, the Company had the following commitments to fund investments: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0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84"/>
              </w:rPr>
              <w:t>December 31, 2013</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2012</w:t>
            </w: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54,974</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December 31, 2013 and 2012, the Company had $1.5 billion and $1.4 billion, respectively, in total capital commitments from investors ($1.0 billion and $0.9 billion unfunded, respectively). Of these amounts, $117.1 million and $114.1 million, respectively, is from the Adviser and its affiliates ($76.7 million and $76.6 million unfunded,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years ended December 31 2013 and 2012,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4"/>
                <w:szCs w:val="14"/>
                <w:b w:val="1"/>
                <w:bCs w:val="1"/>
                <w:color w:val="auto"/>
                <w:w w:val="91"/>
              </w:rPr>
              <w:t>December 31, 2013</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20" w:type="dxa"/>
            <w:vAlign w:val="bottom"/>
          </w:tcPr>
          <w:p>
            <w:pPr>
              <w:jc w:val="right"/>
              <w:spacing w:after="0" w:line="115" w:lineRule="exact"/>
              <w:rPr>
                <w:sz w:val="20"/>
                <w:szCs w:val="20"/>
                <w:color w:val="auto"/>
              </w:rPr>
            </w:pPr>
            <w:r>
              <w:rPr>
                <w:rFonts w:ascii="Arial" w:cs="Arial" w:eastAsia="Arial" w:hAnsi="Arial"/>
                <w:sz w:val="12"/>
                <w:szCs w:val="12"/>
                <w:b w:val="1"/>
                <w:bCs w:val="1"/>
                <w:color w:val="auto"/>
                <w:w w:val="93"/>
              </w:rPr>
              <w:t>Shares Issued</w:t>
            </w:r>
          </w:p>
        </w:tc>
        <w:tc>
          <w:tcPr>
            <w:tcW w:w="22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Proceeds Received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200" w:type="dxa"/>
            <w:vAlign w:val="bottom"/>
            <w:gridSpan w:val="2"/>
          </w:tcPr>
          <w:p>
            <w:pPr>
              <w:jc w:val="right"/>
              <w:ind w:right="279"/>
              <w:spacing w:after="0"/>
              <w:rPr>
                <w:sz w:val="20"/>
                <w:szCs w:val="20"/>
                <w:color w:val="auto"/>
              </w:rPr>
            </w:pPr>
            <w:r>
              <w:rPr>
                <w:rFonts w:ascii="Arial" w:cs="Arial" w:eastAsia="Arial" w:hAnsi="Arial"/>
                <w:sz w:val="11"/>
                <w:szCs w:val="11"/>
                <w:b w:val="1"/>
                <w:bCs w:val="1"/>
                <w:color w:val="auto"/>
              </w:rPr>
              <w:t>(1)</w:t>
            </w: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2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2,079,224</w:t>
            </w:r>
          </w:p>
        </w:tc>
        <w:tc>
          <w:tcPr>
            <w:tcW w:w="10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September 26, 2013</w:t>
            </w:r>
          </w:p>
        </w:tc>
        <w:tc>
          <w:tcPr>
            <w:tcW w:w="2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1,633,829</w:t>
            </w:r>
          </w:p>
        </w:tc>
        <w:tc>
          <w:tcPr>
            <w:tcW w:w="10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3,713,053</w:t>
            </w:r>
          </w:p>
        </w:tc>
        <w:tc>
          <w:tcPr>
            <w:tcW w:w="142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60" w:type="dxa"/>
            <w:vAlign w:val="bottom"/>
          </w:tcPr>
          <w:p>
            <w:pPr>
              <w:spacing w:after="0"/>
              <w:rPr>
                <w:sz w:val="24"/>
                <w:szCs w:val="24"/>
                <w:color w:val="auto"/>
              </w:rPr>
            </w:pPr>
          </w:p>
        </w:tc>
        <w:tc>
          <w:tcPr>
            <w:tcW w:w="3200" w:type="dxa"/>
            <w:vAlign w:val="bottom"/>
            <w:gridSpan w:val="2"/>
          </w:tcPr>
          <w:p>
            <w:pPr>
              <w:jc w:val="right"/>
              <w:ind w:right="1879"/>
              <w:spacing w:after="0"/>
              <w:rPr>
                <w:sz w:val="20"/>
                <w:szCs w:val="20"/>
                <w:color w:val="auto"/>
              </w:rPr>
            </w:pPr>
            <w:r>
              <w:rPr>
                <w:rFonts w:ascii="Arial" w:cs="Arial" w:eastAsia="Arial" w:hAnsi="Arial"/>
                <w:sz w:val="18"/>
                <w:szCs w:val="18"/>
                <w:color w:val="auto"/>
              </w:rPr>
              <w:t>F-31</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2012</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740" w:type="dxa"/>
            <w:vAlign w:val="bottom"/>
          </w:tcPr>
          <w:p>
            <w:pPr>
              <w:spacing w:after="0"/>
              <w:rPr>
                <w:sz w:val="10"/>
                <w:szCs w:val="10"/>
                <w:color w:val="auto"/>
              </w:rPr>
            </w:pPr>
          </w:p>
        </w:tc>
        <w:tc>
          <w:tcPr>
            <w:tcW w:w="840" w:type="dxa"/>
            <w:vAlign w:val="bottom"/>
          </w:tcPr>
          <w:p>
            <w:pPr>
              <w:jc w:val="right"/>
              <w:spacing w:after="0" w:line="115" w:lineRule="exact"/>
              <w:rPr>
                <w:sz w:val="20"/>
                <w:szCs w:val="20"/>
                <w:color w:val="auto"/>
              </w:rPr>
            </w:pPr>
            <w:r>
              <w:rPr>
                <w:rFonts w:ascii="Arial" w:cs="Arial" w:eastAsia="Arial" w:hAnsi="Arial"/>
                <w:sz w:val="12"/>
                <w:szCs w:val="12"/>
                <w:b w:val="1"/>
                <w:bCs w:val="1"/>
                <w:color w:val="auto"/>
                <w:w w:val="93"/>
              </w:rPr>
              <w:t>Shares Issued</w:t>
            </w:r>
          </w:p>
        </w:tc>
        <w:tc>
          <w:tcPr>
            <w:tcW w:w="210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w w:val="90"/>
              </w:rPr>
              <w:t>Proceeds Received</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840" w:type="dxa"/>
            <w:vAlign w:val="bottom"/>
          </w:tcPr>
          <w:p>
            <w:pPr>
              <w:jc w:val="right"/>
              <w:ind w:right="278"/>
              <w:spacing w:after="0"/>
              <w:rPr>
                <w:sz w:val="20"/>
                <w:szCs w:val="20"/>
                <w:color w:val="auto"/>
              </w:rPr>
            </w:pPr>
            <w:r>
              <w:rPr>
                <w:rFonts w:ascii="Arial" w:cs="Arial" w:eastAsia="Arial" w:hAnsi="Arial"/>
                <w:sz w:val="11"/>
                <w:szCs w:val="11"/>
                <w:b w:val="1"/>
                <w:bCs w:val="1"/>
                <w:color w:val="auto"/>
              </w:rPr>
              <w:t>(1)</w:t>
            </w: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February 22, 2012</w:t>
            </w:r>
          </w:p>
        </w:tc>
        <w:tc>
          <w:tcPr>
            <w:tcW w:w="840" w:type="dxa"/>
            <w:vAlign w:val="bottom"/>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May 31, 2012</w:t>
            </w:r>
          </w:p>
        </w:tc>
        <w:tc>
          <w:tcPr>
            <w:tcW w:w="840" w:type="dxa"/>
            <w:vAlign w:val="bottom"/>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September 26, 2012</w:t>
            </w:r>
          </w:p>
        </w:tc>
        <w:tc>
          <w:tcPr>
            <w:tcW w:w="840" w:type="dxa"/>
            <w:vAlign w:val="bottom"/>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21, 2012 </w:t>
            </w:r>
            <w:r>
              <w:rPr>
                <w:rFonts w:ascii="Arial" w:cs="Arial" w:eastAsia="Arial" w:hAnsi="Arial"/>
                <w:sz w:val="11"/>
                <w:szCs w:val="11"/>
                <w:color w:val="auto"/>
              </w:rPr>
              <w:t>(2)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19,199,421</w:t>
            </w:r>
          </w:p>
        </w:tc>
        <w:tc>
          <w:tcPr>
            <w:tcW w:w="12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920" w:right="280" w:hanging="440"/>
        <w:spacing w:after="0" w:line="254" w:lineRule="auto"/>
        <w:tabs>
          <w:tab w:leader="none" w:pos="19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ind w:left="1920" w:right="720" w:hanging="440"/>
        <w:spacing w:after="0" w:line="261" w:lineRule="auto"/>
        <w:tabs>
          <w:tab w:leader="none" w:pos="19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3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On December 31, 2013, the Company delivered a capital drawdown notice to its investors relating to the sale of 4,234,501 shares of the Company’s common stock, par value $0.01 per share for an aggregate offering price of $65.0 million. The sale closed on January 15, 2014.</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8"/>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center"/>
              <w:ind w:right="1040"/>
              <w:spacing w:after="0"/>
              <w:rPr>
                <w:sz w:val="20"/>
                <w:szCs w:val="20"/>
                <w:color w:val="auto"/>
              </w:rPr>
            </w:pPr>
            <w:r>
              <w:rPr>
                <w:rFonts w:ascii="Arial" w:cs="Arial" w:eastAsia="Arial" w:hAnsi="Arial"/>
                <w:sz w:val="14"/>
                <w:szCs w:val="14"/>
                <w:b w:val="1"/>
                <w:bCs w:val="1"/>
                <w:color w:val="auto"/>
                <w:w w:val="87"/>
              </w:rPr>
              <w:t>December 31, 2013</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92"/>
              </w:rPr>
              <w:t>Date</w:t>
            </w: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 xml:space="preserve">Shares Issued </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2080" w:type="dxa"/>
            <w:vAlign w:val="bottom"/>
            <w:gridSpan w:val="2"/>
          </w:tcPr>
          <w:p>
            <w:pPr>
              <w:jc w:val="right"/>
              <w:ind w:right="960"/>
              <w:spacing w:after="0" w:line="148" w:lineRule="exact"/>
              <w:rPr>
                <w:sz w:val="20"/>
                <w:szCs w:val="20"/>
                <w:color w:val="auto"/>
              </w:rPr>
            </w:pPr>
            <w:r>
              <w:rPr>
                <w:rFonts w:ascii="Arial" w:cs="Arial" w:eastAsia="Arial" w:hAnsi="Arial"/>
                <w:sz w:val="14"/>
                <w:szCs w:val="14"/>
                <w:b w:val="1"/>
                <w:bCs w:val="1"/>
                <w:color w:val="auto"/>
              </w:rPr>
              <w:t>Record Date</w:t>
            </w:r>
          </w:p>
        </w:tc>
        <w:tc>
          <w:tcPr>
            <w:tcW w:w="254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4"/>
              </w:rPr>
              <w:t>Shares Issued</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December 31, 2012</w:t>
            </w:r>
          </w:p>
        </w:tc>
        <w:tc>
          <w:tcPr>
            <w:tcW w:w="5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12, 2013</w:t>
            </w:r>
          </w:p>
        </w:tc>
        <w:tc>
          <w:tcPr>
            <w:tcW w:w="1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343,981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March 31,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rPr>
              <w:t>May 7, 2013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2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June 30, 2013</w:t>
            </w:r>
          </w:p>
        </w:tc>
        <w:tc>
          <w:tcPr>
            <w:tcW w:w="25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6, 2013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September 30,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November 5, 2013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line="268" w:lineRule="auto"/>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jc w:val="right"/>
              <w:ind w:right="1260"/>
              <w:spacing w:after="0"/>
              <w:rPr>
                <w:sz w:val="20"/>
                <w:szCs w:val="20"/>
                <w:color w:val="auto"/>
              </w:rPr>
            </w:pPr>
            <w:r>
              <w:rPr>
                <w:rFonts w:ascii="Arial" w:cs="Arial" w:eastAsia="Arial" w:hAnsi="Arial"/>
                <w:sz w:val="14"/>
                <w:szCs w:val="14"/>
                <w:b w:val="1"/>
                <w:bCs w:val="1"/>
                <w:color w:val="auto"/>
              </w:rPr>
              <w:t>December 31, 2012</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2040" w:type="dxa"/>
            <w:vAlign w:val="bottom"/>
            <w:gridSpan w:val="2"/>
          </w:tcPr>
          <w:p>
            <w:pPr>
              <w:jc w:val="right"/>
              <w:ind w:right="940"/>
              <w:spacing w:after="0" w:line="129" w:lineRule="exact"/>
              <w:rPr>
                <w:sz w:val="20"/>
                <w:szCs w:val="20"/>
                <w:color w:val="auto"/>
              </w:rPr>
            </w:pPr>
            <w:r>
              <w:rPr>
                <w:rFonts w:ascii="Arial" w:cs="Arial" w:eastAsia="Arial" w:hAnsi="Arial"/>
                <w:sz w:val="14"/>
                <w:szCs w:val="14"/>
                <w:b w:val="1"/>
                <w:bCs w:val="1"/>
                <w:color w:val="auto"/>
              </w:rPr>
              <w:t>Record Date</w:t>
            </w:r>
          </w:p>
        </w:tc>
        <w:tc>
          <w:tcPr>
            <w:tcW w:w="2600" w:type="dxa"/>
            <w:vAlign w:val="bottom"/>
            <w:gridSpan w:val="2"/>
          </w:tcPr>
          <w:p>
            <w:pPr>
              <w:jc w:val="right"/>
              <w:ind w:right="1300"/>
              <w:spacing w:after="0" w:line="129" w:lineRule="exact"/>
              <w:rPr>
                <w:sz w:val="20"/>
                <w:szCs w:val="20"/>
                <w:color w:val="auto"/>
              </w:rPr>
            </w:pPr>
            <w:r>
              <w:rPr>
                <w:rFonts w:ascii="Arial" w:cs="Arial" w:eastAsia="Arial" w:hAnsi="Arial"/>
                <w:sz w:val="14"/>
                <w:szCs w:val="14"/>
                <w:b w:val="1"/>
                <w:bCs w:val="1"/>
                <w:color w:val="auto"/>
                <w:w w:val="99"/>
              </w:rPr>
              <w:t>Date Shares Issued</w:t>
            </w:r>
          </w:p>
        </w:tc>
        <w:tc>
          <w:tcPr>
            <w:tcW w:w="102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 xml:space="preserve">Shares Issued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December 31, 2011 </w:t>
            </w:r>
            <w:r>
              <w:rPr>
                <w:rFonts w:ascii="Arial" w:cs="Arial" w:eastAsia="Arial" w:hAnsi="Arial"/>
                <w:sz w:val="11"/>
                <w:szCs w:val="11"/>
                <w:color w:val="auto"/>
              </w:rPr>
              <w:t>(1)</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December 31, 2011</w:t>
            </w:r>
          </w:p>
        </w:tc>
        <w:tc>
          <w:tcPr>
            <w:tcW w:w="5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20, 2012</w:t>
            </w:r>
          </w:p>
        </w:tc>
        <w:tc>
          <w:tcPr>
            <w:tcW w:w="1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rPr>
              <w:t>March 31,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rPr>
              <w:t>May 16, 2012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97,214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2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June 30, 2012</w:t>
            </w:r>
          </w:p>
        </w:tc>
        <w:tc>
          <w:tcPr>
            <w:tcW w:w="26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7, 2012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221,098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September 30,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w w:val="92"/>
              </w:rPr>
              <w:t>November 13, 2012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March 20, 2012, 1,934 shares were issued to the Adviser in connection with its then participation in the dividend reinvestment plan.</w:t>
      </w:r>
    </w:p>
    <w:p>
      <w:pPr>
        <w:spacing w:after="0" w:line="38" w:lineRule="exact"/>
        <w:rPr>
          <w:rFonts w:ascii="Arial" w:cs="Arial" w:eastAsia="Arial" w:hAnsi="Arial"/>
          <w:sz w:val="16"/>
          <w:szCs w:val="16"/>
          <w:color w:val="auto"/>
        </w:rPr>
      </w:pPr>
    </w:p>
    <w:p>
      <w:pPr>
        <w:ind w:left="1480" w:right="40" w:hanging="567"/>
        <w:spacing w:after="0" w:line="261" w:lineRule="auto"/>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number of shares issued through the dividend reinvestment plan was determined by dividing the total dollar amount of the dividend payable to such investor by the net asset value per share of the Common Stock 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record date of the dividend. The Common Stock issued through the dividend reinvestment plan was rounded down to the nearest whole share to avoid the issuance of fractional shares, and fractional shares were paid in cash.</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31, 2013, the Company’s issued and outstanding shares totaled 37,026,023, as adjusted for the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2013</w:t>
            </w:r>
          </w:p>
        </w:tc>
        <w:tc>
          <w:tcPr>
            <w:tcW w:w="2340" w:type="dxa"/>
            <w:vAlign w:val="bottom"/>
            <w:gridSpan w:val="3"/>
          </w:tcPr>
          <w:p>
            <w:pPr>
              <w:ind w:left="1240"/>
              <w:spacing w:after="0" w:line="142" w:lineRule="exact"/>
              <w:rPr>
                <w:sz w:val="20"/>
                <w:szCs w:val="20"/>
                <w:color w:val="auto"/>
              </w:rPr>
            </w:pPr>
            <w:r>
              <w:rPr>
                <w:rFonts w:ascii="Arial" w:cs="Arial" w:eastAsia="Arial" w:hAnsi="Arial"/>
                <w:sz w:val="14"/>
                <w:szCs w:val="14"/>
                <w:b w:val="1"/>
                <w:bCs w:val="1"/>
                <w:color w:val="auto"/>
                <w:w w:val="85"/>
              </w:rPr>
              <w:t>December 31, 2012</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11"/>
                <w:szCs w:val="11"/>
                <w:color w:val="auto"/>
              </w:rPr>
              <w:t>(1)</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34,635,208</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20,541,475</w:t>
            </w:r>
          </w:p>
        </w:tc>
        <w:tc>
          <w:tcPr>
            <w:tcW w:w="100" w:type="dxa"/>
            <w:vAlign w:val="bottom"/>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1920" w:right="160" w:hanging="440"/>
        <w:spacing w:after="0" w:line="268" w:lineRule="auto"/>
        <w:tabs>
          <w:tab w:leader="none" w:pos="19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6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20" w:type="dxa"/>
            <w:vAlign w:val="bottom"/>
            <w:vMerge w:val="restart"/>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1180"/>
              <w:spacing w:after="0"/>
              <w:rPr>
                <w:sz w:val="20"/>
                <w:szCs w:val="20"/>
                <w:color w:val="auto"/>
              </w:rPr>
            </w:pPr>
            <w:r>
              <w:rPr>
                <w:rFonts w:ascii="Arial" w:cs="Arial" w:eastAsia="Arial" w:hAnsi="Arial"/>
                <w:sz w:val="14"/>
                <w:szCs w:val="14"/>
                <w:b w:val="1"/>
                <w:bCs w:val="1"/>
                <w:color w:val="auto"/>
              </w:rPr>
              <w:t>December 31, 2013</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22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Record Date</w:t>
            </w:r>
          </w:p>
        </w:tc>
        <w:tc>
          <w:tcPr>
            <w:tcW w:w="2560" w:type="dxa"/>
            <w:vAlign w:val="bottom"/>
            <w:gridSpan w:val="2"/>
          </w:tcPr>
          <w:p>
            <w:pPr>
              <w:jc w:val="right"/>
              <w:ind w:right="1520"/>
              <w:spacing w:after="0" w:line="129" w:lineRule="exact"/>
              <w:rPr>
                <w:sz w:val="20"/>
                <w:szCs w:val="20"/>
                <w:color w:val="auto"/>
              </w:rPr>
            </w:pPr>
            <w:r>
              <w:rPr>
                <w:rFonts w:ascii="Arial" w:cs="Arial" w:eastAsia="Arial" w:hAnsi="Arial"/>
                <w:sz w:val="14"/>
                <w:szCs w:val="14"/>
                <w:b w:val="1"/>
                <w:bCs w:val="1"/>
                <w:color w:val="auto"/>
              </w:rPr>
              <w:t>Payment Date</w:t>
            </w:r>
          </w:p>
        </w:tc>
        <w:tc>
          <w:tcPr>
            <w:tcW w:w="1320" w:type="dxa"/>
            <w:vAlign w:val="bottom"/>
            <w:gridSpan w:val="2"/>
          </w:tcPr>
          <w:p>
            <w:pPr>
              <w:jc w:val="right"/>
              <w:spacing w:after="0" w:line="129" w:lineRule="exact"/>
              <w:rPr>
                <w:sz w:val="20"/>
                <w:szCs w:val="20"/>
                <w:color w:val="auto"/>
              </w:rPr>
            </w:pPr>
            <w:r>
              <w:rPr>
                <w:rFonts w:ascii="Arial" w:cs="Arial" w:eastAsia="Arial" w:hAnsi="Arial"/>
                <w:sz w:val="10"/>
                <w:szCs w:val="10"/>
                <w:b w:val="1"/>
                <w:bCs w:val="1"/>
                <w:color w:val="auto"/>
              </w:rPr>
              <w:t xml:space="preserve">Dividend per Share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6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6"/>
              </w:rPr>
              <w:t>March 31, 2013</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1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6"/>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rPr>
              <w:t>July 31, 2013</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2013</w:t>
            </w:r>
          </w:p>
        </w:tc>
        <w:tc>
          <w:tcPr>
            <w:tcW w:w="25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w w:val="90"/>
              </w:rPr>
              <w:t>October 31, 2013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 xml:space="preserve">December 31, 2013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w w:val="90"/>
              </w:rPr>
              <w:t>January 30, 2014</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15" w:lineRule="exact"/>
        <w:rPr>
          <w:rFonts w:ascii="Arial" w:cs="Arial" w:eastAsia="Arial" w:hAnsi="Arial"/>
          <w:sz w:val="18"/>
          <w:szCs w:val="18"/>
          <w:color w:val="auto"/>
        </w:rPr>
      </w:pPr>
    </w:p>
    <w:p>
      <w:pPr>
        <w:ind w:left="1480" w:hanging="567"/>
        <w:spacing w:after="0" w:line="261"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December 31, 2012</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660" w:type="dxa"/>
            <w:vAlign w:val="bottom"/>
            <w:vMerge w:val="restart"/>
          </w:tcPr>
          <w:p>
            <w:pPr>
              <w:spacing w:after="0"/>
              <w:rPr>
                <w:sz w:val="10"/>
                <w:szCs w:val="10"/>
                <w:color w:val="auto"/>
              </w:rPr>
            </w:pPr>
          </w:p>
        </w:tc>
        <w:tc>
          <w:tcPr>
            <w:tcW w:w="220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rPr>
              <w:t>Record Date</w:t>
            </w:r>
          </w:p>
        </w:tc>
        <w:tc>
          <w:tcPr>
            <w:tcW w:w="196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620" w:type="dxa"/>
            <w:vAlign w:val="bottom"/>
          </w:tcPr>
          <w:p>
            <w:pPr>
              <w:spacing w:after="0"/>
              <w:rPr>
                <w:sz w:val="10"/>
                <w:szCs w:val="10"/>
                <w:color w:val="auto"/>
              </w:rPr>
            </w:pPr>
          </w:p>
        </w:tc>
        <w:tc>
          <w:tcPr>
            <w:tcW w:w="116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Dividend 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Borders>
              <w:bottom w:val="single" w:sz="8" w:color="auto"/>
            </w:tcBorders>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417"/>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2012</w:t>
            </w: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5" w:lineRule="exact"/>
        <w:rPr>
          <w:rFonts w:ascii="Arial" w:cs="Arial" w:eastAsia="Arial" w:hAnsi="Arial"/>
          <w:sz w:val="18"/>
          <w:szCs w:val="18"/>
          <w:color w:val="auto"/>
        </w:rPr>
      </w:pPr>
    </w:p>
    <w:p>
      <w:pPr>
        <w:ind w:left="1480" w:hanging="567"/>
        <w:spacing w:after="0" w:line="261"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long-term capital gains, determined on a tax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2013, 2012 and 2011, to undistributed taxable income at December 31, 2013, 2012 and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11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2013</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2012</w:t>
            </w: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188"/>
        </w:trPr>
        <w:tc>
          <w:tcPr>
            <w:tcW w:w="43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Increase in net assets resulting from</w:t>
            </w: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Adjustments: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(8,386)</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(7,211)</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(2,312)</w:t>
            </w:r>
          </w:p>
        </w:tc>
        <w:tc>
          <w:tcPr>
            <w:tcW w:w="0" w:type="dxa"/>
            <w:vAlign w:val="bottom"/>
          </w:tcPr>
          <w:p>
            <w:pPr>
              <w:spacing w:after="0"/>
              <w:rPr>
                <w:sz w:val="1"/>
                <w:szCs w:val="1"/>
                <w:color w:val="auto"/>
              </w:rPr>
            </w:pPr>
          </w:p>
        </w:tc>
      </w:tr>
      <w:tr>
        <w:trPr>
          <w:trHeight w:val="208"/>
        </w:trPr>
        <w:tc>
          <w:tcPr>
            <w:tcW w:w="4320" w:type="dxa"/>
            <w:vAlign w:val="bottom"/>
          </w:tcPr>
          <w:p>
            <w:pPr>
              <w:ind w:left="220"/>
              <w:spacing w:after="0"/>
              <w:rPr>
                <w:sz w:val="20"/>
                <w:szCs w:val="20"/>
                <w:color w:val="auto"/>
              </w:rPr>
            </w:pPr>
            <w:r>
              <w:rPr>
                <w:rFonts w:ascii="Arial" w:cs="Arial" w:eastAsia="Arial" w:hAnsi="Arial"/>
                <w:sz w:val="18"/>
                <w:szCs w:val="18"/>
                <w:color w:val="auto"/>
              </w:rPr>
              <w:t>Other income (expense) for tax purposes,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not book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(670)</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organization costs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1,425</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Other expenses not currently deductible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book-tax differences</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1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58,401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31,755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Taxable income is an estimate and is not fully determined until the Company’s tax return is filed.</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2013, 2012 and 2011,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2013, 2012, and 2011. There was no activity for the period from July 21, 2010 (inception) to December 31, 2010 other than the initial issuance of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21, 2010</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2"/>
                <w:szCs w:val="12"/>
                <w:color w:val="auto"/>
              </w:rPr>
            </w:pPr>
          </w:p>
        </w:tc>
        <w:tc>
          <w:tcPr>
            <w:tcW w:w="18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92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b w:val="1"/>
                <w:bCs w:val="1"/>
                <w:color w:val="auto"/>
              </w:rPr>
              <w:t>(3)(4)</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at prices above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value</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1"/>
        </w:trPr>
        <w:tc>
          <w:tcPr>
            <w:tcW w:w="3980" w:type="dxa"/>
            <w:vAlign w:val="bottom"/>
          </w:tcPr>
          <w:p>
            <w:pPr>
              <w:ind w:left="440"/>
              <w:spacing w:after="0"/>
              <w:rPr>
                <w:sz w:val="20"/>
                <w:szCs w:val="20"/>
                <w:color w:val="auto"/>
              </w:rPr>
            </w:pPr>
            <w:r>
              <w:rPr>
                <w:rFonts w:ascii="Arial" w:cs="Arial" w:eastAsia="Arial" w:hAnsi="Arial"/>
                <w:sz w:val="18"/>
                <w:szCs w:val="18"/>
                <w:color w:val="auto"/>
              </w:rPr>
              <w:t>Total from investment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9"/>
                <w:szCs w:val="19"/>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increase in net assets</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9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r>
      <w:tr>
        <w:trPr>
          <w:trHeight w:val="222"/>
        </w:trPr>
        <w:tc>
          <w:tcPr>
            <w:tcW w:w="3980" w:type="dxa"/>
            <w:vAlign w:val="bottom"/>
          </w:tcPr>
          <w:p>
            <w:pPr>
              <w:ind w:left="440"/>
              <w:spacing w:after="0"/>
              <w:rPr>
                <w:sz w:val="20"/>
                <w:szCs w:val="20"/>
                <w:color w:val="auto"/>
              </w:rPr>
            </w:pPr>
            <w:r>
              <w:rPr>
                <w:rFonts w:ascii="Arial" w:cs="Arial" w:eastAsia="Arial" w:hAnsi="Arial"/>
                <w:sz w:val="18"/>
                <w:szCs w:val="18"/>
                <w:b w:val="1"/>
                <w:bCs w:val="1"/>
                <w:color w:val="auto"/>
              </w:rPr>
              <w:t>Net Asset Value,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14.71</w:t>
            </w:r>
          </w:p>
        </w:tc>
        <w:tc>
          <w:tcPr>
            <w:tcW w:w="9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r>
      <w:tr>
        <w:trPr>
          <w:trHeight w:val="20"/>
        </w:trPr>
        <w:tc>
          <w:tcPr>
            <w:tcW w:w="3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b w:val="1"/>
                <w:bCs w:val="1"/>
                <w:color w:val="auto"/>
              </w:rPr>
              <w:t>(4)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37,026,023</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31,582,954</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11,770,514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66,676</w:t>
            </w: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b w:val="1"/>
                <w:bCs w:val="1"/>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Ratio of net expenses to average net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(loss) to average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574,696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479,803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173,092</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34,635,208</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20,541,475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1,402,970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1,211,246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9"/>
              </w:rPr>
              <w:t>Ratio of total contributed capital to total committed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end of period</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Year of formation</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r>
    </w:tbl>
    <w:p>
      <w:pPr>
        <w:spacing w:after="0" w:line="66" w:lineRule="exact"/>
        <w:rPr>
          <w:sz w:val="20"/>
          <w:szCs w:val="20"/>
          <w:color w:val="auto"/>
        </w:rPr>
      </w:pPr>
    </w:p>
    <w:p>
      <w:pPr>
        <w:ind w:left="460" w:right="40" w:hanging="452"/>
        <w:spacing w:after="0" w:line="283"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460" w:right="52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of December 31, 2013, 2012 and 2011, the amount includes commitments from the Adviser and its affiliates of $117.1, $114.1 and $70.4 million, respectively.</w:t>
      </w:r>
    </w:p>
    <w:p>
      <w:pPr>
        <w:ind w:left="460" w:right="42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w:t>
      </w:r>
    </w:p>
    <w:p>
      <w:pPr>
        <w:ind w:left="460" w:right="120" w:hanging="452"/>
        <w:spacing w:after="0" w:line="261"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activity prior to December 3, 2013 have been retroactively adjusted for the stock split which was effected in the form of a stock dividend.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23,298</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20,802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10,576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8,123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7,696</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14,585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12,817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13,106</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4,063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2,355</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16,259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14,208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15,461</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15.52</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1"/>
                <w:szCs w:val="11"/>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15.29</w:t>
            </w:r>
            <w:r>
              <w:rPr>
                <w:rFonts w:ascii="Arial" w:cs="Arial" w:eastAsia="Arial" w:hAnsi="Arial"/>
                <w:sz w:val="11"/>
                <w:szCs w:val="11"/>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r>
              <w:rPr>
                <w:rFonts w:ascii="Arial" w:cs="Arial" w:eastAsia="Arial" w:hAnsi="Arial"/>
                <w:sz w:val="11"/>
                <w:szCs w:val="11"/>
                <w:color w:val="auto"/>
              </w:rPr>
              <w:t>(1)</w:t>
            </w: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14,554</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7,277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6,637</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5,664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3,169</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13,581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Pr>
          <w:p>
            <w:pPr>
              <w:spacing w:after="0"/>
              <w:rPr>
                <w:sz w:val="19"/>
                <w:szCs w:val="19"/>
                <w:color w:val="auto"/>
              </w:rPr>
            </w:pP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2,835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1,554</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Unrealized Gains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(Liability)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14.71</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(23.31)</w:t>
            </w:r>
          </w:p>
        </w:tc>
      </w:tr>
    </w:tbl>
    <w:p>
      <w:pPr>
        <w:spacing w:after="0" w:line="66" w:lineRule="exact"/>
        <w:rPr>
          <w:sz w:val="20"/>
          <w:szCs w:val="20"/>
          <w:color w:val="auto"/>
        </w:rPr>
      </w:pPr>
    </w:p>
    <w:p>
      <w:pPr>
        <w:ind w:left="900" w:right="20" w:hanging="446"/>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960"/>
          </w:cols>
          <w:pgMar w:left="240" w:top="459" w:right="6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REVOLVING CREDIT AND SECURITY AGREEMENT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TPG SL SPV,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THE LENDERS FROM TIME TO TIME PARTIES HERETO,</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NATIXIS, NEW YORK BRANCH,</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Facility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STATE STREET BANK AND TRUST COMPANY,</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January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28" w:name="page129"/>
    <w:bookmarkEnd w:id="12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ARTICLE I DEFINITIONS; RULES OF CONSTRUCTION; COMPUTATIONS</w:t>
            </w:r>
          </w:p>
        </w:tc>
        <w:tc>
          <w:tcPr>
            <w:tcW w:w="2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1.01</w:t>
            </w:r>
          </w:p>
        </w:tc>
        <w:tc>
          <w:tcPr>
            <w:tcW w:w="708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1.02  Rules of Construction</w:t>
            </w:r>
          </w:p>
        </w:tc>
        <w:tc>
          <w:tcPr>
            <w:tcW w:w="2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1.03  Computation of Time Periods</w:t>
            </w:r>
          </w:p>
        </w:tc>
        <w:tc>
          <w:tcPr>
            <w:tcW w:w="2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1.04  Collateral Value Calculation Procedures</w:t>
            </w:r>
          </w:p>
        </w:tc>
        <w:tc>
          <w:tcPr>
            <w:tcW w:w="2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color w:val="auto"/>
              </w:rPr>
              <w:t>ARTICLE II ADVANCES UNDER THE FACILITY</w:t>
            </w:r>
          </w:p>
        </w:tc>
        <w:tc>
          <w:tcPr>
            <w:tcW w:w="2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2.01  Revolving Credit Facility</w:t>
            </w:r>
          </w:p>
        </w:tc>
        <w:tc>
          <w:tcPr>
            <w:tcW w:w="2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2.02</w:t>
            </w:r>
          </w:p>
        </w:tc>
        <w:tc>
          <w:tcPr>
            <w:tcW w:w="7080" w:type="dxa"/>
            <w:vAlign w:val="bottom"/>
          </w:tcPr>
          <w:p>
            <w:pPr>
              <w:ind w:left="100"/>
              <w:spacing w:after="0"/>
              <w:rPr>
                <w:sz w:val="20"/>
                <w:szCs w:val="20"/>
                <w:color w:val="auto"/>
              </w:rPr>
            </w:pPr>
            <w:r>
              <w:rPr>
                <w:rFonts w:ascii="Arial" w:cs="Arial" w:eastAsia="Arial" w:hAnsi="Arial"/>
                <w:sz w:val="18"/>
                <w:szCs w:val="18"/>
                <w:color w:val="auto"/>
              </w:rPr>
              <w:t>Advances</w:t>
            </w:r>
          </w:p>
        </w:tc>
        <w:tc>
          <w:tcPr>
            <w:tcW w:w="2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2.03  Evidence of Indebtedness; Notes</w:t>
            </w:r>
          </w:p>
        </w:tc>
        <w:tc>
          <w:tcPr>
            <w:tcW w:w="2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2.04  Payment of Principal and Interest</w:t>
            </w:r>
          </w:p>
        </w:tc>
        <w:tc>
          <w:tcPr>
            <w:tcW w:w="2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2.05  Prepayment of Advances</w:t>
            </w:r>
          </w:p>
        </w:tc>
        <w:tc>
          <w:tcPr>
            <w:tcW w:w="2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2.06  Reductions in Commitments</w:t>
            </w:r>
          </w:p>
        </w:tc>
        <w:tc>
          <w:tcPr>
            <w:tcW w:w="2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2.07  Maximum Lawful Rate</w:t>
            </w:r>
          </w:p>
        </w:tc>
        <w:tc>
          <w:tcPr>
            <w:tcW w:w="2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2.08</w:t>
            </w:r>
          </w:p>
        </w:tc>
        <w:tc>
          <w:tcPr>
            <w:tcW w:w="7080" w:type="dxa"/>
            <w:vAlign w:val="bottom"/>
          </w:tcPr>
          <w:p>
            <w:pPr>
              <w:ind w:left="100"/>
              <w:spacing w:after="0"/>
              <w:rPr>
                <w:sz w:val="20"/>
                <w:szCs w:val="20"/>
                <w:color w:val="auto"/>
              </w:rPr>
            </w:pPr>
            <w:r>
              <w:rPr>
                <w:rFonts w:ascii="Arial" w:cs="Arial" w:eastAsia="Arial" w:hAnsi="Arial"/>
                <w:sz w:val="18"/>
                <w:szCs w:val="18"/>
                <w:color w:val="auto"/>
              </w:rPr>
              <w:t>Several Obligations</w:t>
            </w:r>
          </w:p>
        </w:tc>
        <w:tc>
          <w:tcPr>
            <w:tcW w:w="2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2.09</w:t>
            </w:r>
          </w:p>
        </w:tc>
        <w:tc>
          <w:tcPr>
            <w:tcW w:w="7080" w:type="dxa"/>
            <w:vAlign w:val="bottom"/>
          </w:tcPr>
          <w:p>
            <w:pPr>
              <w:ind w:left="100"/>
              <w:spacing w:after="0"/>
              <w:rPr>
                <w:sz w:val="20"/>
                <w:szCs w:val="20"/>
                <w:color w:val="auto"/>
              </w:rPr>
            </w:pPr>
            <w:r>
              <w:rPr>
                <w:rFonts w:ascii="Arial" w:cs="Arial" w:eastAsia="Arial" w:hAnsi="Arial"/>
                <w:sz w:val="18"/>
                <w:szCs w:val="18"/>
                <w:color w:val="auto"/>
              </w:rPr>
              <w:t>Increased Costs</w:t>
            </w:r>
          </w:p>
        </w:tc>
        <w:tc>
          <w:tcPr>
            <w:tcW w:w="2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2.10  Compensation; Breakage Payments</w:t>
            </w:r>
          </w:p>
        </w:tc>
        <w:tc>
          <w:tcPr>
            <w:tcW w:w="2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2.11   Illegality; Inability to Determine Rates</w:t>
            </w:r>
          </w:p>
        </w:tc>
        <w:tc>
          <w:tcPr>
            <w:tcW w:w="2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2.12  Rescission or Return of Payment</w:t>
            </w:r>
          </w:p>
        </w:tc>
        <w:tc>
          <w:tcPr>
            <w:tcW w:w="2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2.13  Fees Payable by Borrower</w:t>
            </w:r>
          </w:p>
        </w:tc>
        <w:tc>
          <w:tcPr>
            <w:tcW w:w="2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2.14</w:t>
            </w:r>
          </w:p>
        </w:tc>
        <w:tc>
          <w:tcPr>
            <w:tcW w:w="7080" w:type="dxa"/>
            <w:vAlign w:val="bottom"/>
          </w:tcPr>
          <w:p>
            <w:pPr>
              <w:ind w:left="100"/>
              <w:spacing w:after="0"/>
              <w:rPr>
                <w:sz w:val="20"/>
                <w:szCs w:val="20"/>
                <w:color w:val="auto"/>
              </w:rPr>
            </w:pPr>
            <w:r>
              <w:rPr>
                <w:rFonts w:ascii="Arial" w:cs="Arial" w:eastAsia="Arial" w:hAnsi="Arial"/>
                <w:sz w:val="18"/>
                <w:szCs w:val="18"/>
                <w:color w:val="auto"/>
              </w:rPr>
              <w:t>Post-Default Interest</w:t>
            </w:r>
          </w:p>
        </w:tc>
        <w:tc>
          <w:tcPr>
            <w:tcW w:w="2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2.15</w:t>
            </w:r>
          </w:p>
        </w:tc>
        <w:tc>
          <w:tcPr>
            <w:tcW w:w="7080" w:type="dxa"/>
            <w:vAlign w:val="bottom"/>
          </w:tcPr>
          <w:p>
            <w:pPr>
              <w:ind w:left="100"/>
              <w:spacing w:after="0"/>
              <w:rPr>
                <w:sz w:val="20"/>
                <w:szCs w:val="20"/>
                <w:color w:val="auto"/>
              </w:rPr>
            </w:pPr>
            <w:r>
              <w:rPr>
                <w:rFonts w:ascii="Arial" w:cs="Arial" w:eastAsia="Arial" w:hAnsi="Arial"/>
                <w:sz w:val="18"/>
                <w:szCs w:val="18"/>
                <w:color w:val="auto"/>
              </w:rPr>
              <w:t>Payments Generally</w:t>
            </w:r>
          </w:p>
        </w:tc>
        <w:tc>
          <w:tcPr>
            <w:tcW w:w="2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2.16  Lenders Not Satisfying the Rating Criteria</w:t>
            </w:r>
          </w:p>
        </w:tc>
        <w:tc>
          <w:tcPr>
            <w:tcW w:w="2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2.17  Applicable Row Level</w:t>
            </w:r>
          </w:p>
        </w:tc>
        <w:tc>
          <w:tcPr>
            <w:tcW w:w="2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2.18  Replacement of Lenders</w:t>
            </w:r>
          </w:p>
        </w:tc>
        <w:tc>
          <w:tcPr>
            <w:tcW w:w="2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color w:val="auto"/>
              </w:rPr>
              <w:t>ARTICLE III CONDITIONS PRECEDENT</w:t>
            </w:r>
          </w:p>
        </w:tc>
        <w:tc>
          <w:tcPr>
            <w:tcW w:w="2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3.01  Conditions Precedent to Closing</w:t>
            </w:r>
          </w:p>
        </w:tc>
        <w:tc>
          <w:tcPr>
            <w:tcW w:w="2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3.02  Conditions Precedent to Each Borrowing</w:t>
            </w:r>
          </w:p>
        </w:tc>
        <w:tc>
          <w:tcPr>
            <w:tcW w:w="2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w:t>
            </w:r>
          </w:p>
        </w:tc>
        <w:tc>
          <w:tcPr>
            <w:tcW w:w="2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4.01  Representations and Warranties of the Borrower</w:t>
            </w:r>
          </w:p>
        </w:tc>
        <w:tc>
          <w:tcPr>
            <w:tcW w:w="2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65"/>
        </w:trPr>
        <w:tc>
          <w:tcPr>
            <w:tcW w:w="1380" w:type="dxa"/>
            <w:vAlign w:val="bottom"/>
          </w:tcPr>
          <w:p>
            <w:pPr>
              <w:spacing w:after="0"/>
              <w:rPr>
                <w:sz w:val="24"/>
                <w:szCs w:val="24"/>
                <w:color w:val="auto"/>
              </w:rPr>
            </w:pPr>
          </w:p>
        </w:tc>
        <w:tc>
          <w:tcPr>
            <w:tcW w:w="7080" w:type="dxa"/>
            <w:vAlign w:val="bottom"/>
          </w:tcPr>
          <w:p>
            <w:pPr>
              <w:ind w:left="4300"/>
              <w:spacing w:after="0"/>
              <w:rPr>
                <w:sz w:val="20"/>
                <w:szCs w:val="20"/>
                <w:color w:val="auto"/>
              </w:rPr>
            </w:pPr>
            <w:r>
              <w:rPr>
                <w:rFonts w:ascii="Arial" w:cs="Arial" w:eastAsia="Arial" w:hAnsi="Arial"/>
                <w:sz w:val="18"/>
                <w:szCs w:val="18"/>
                <w:color w:val="auto"/>
              </w:rPr>
              <w:t>i</w:t>
            </w:r>
          </w:p>
        </w:tc>
        <w:tc>
          <w:tcPr>
            <w:tcW w:w="286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29" w:name="page130"/>
    <w:bookmarkEnd w:id="12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4.02 Additional Representations and Warranties of the Borrower</w:t>
            </w:r>
          </w:p>
        </w:tc>
        <w:tc>
          <w:tcPr>
            <w:tcW w:w="2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5.01 Affirmative Covenants of the Borrower</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5.02 Negative Covenants of the Borrower</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5.03 Certain Undertakings Relating to Separateness</w:t>
            </w:r>
          </w:p>
        </w:tc>
        <w:tc>
          <w:tcPr>
            <w:tcW w:w="21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5.04 Credit Estimates; Failure to Have a DBRS Long Term Rating</w:t>
            </w:r>
          </w:p>
        </w:tc>
        <w:tc>
          <w:tcPr>
            <w:tcW w:w="21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ARTICLE VI EVENTS OF DEFAULT</w:t>
            </w:r>
          </w:p>
        </w:tc>
        <w:tc>
          <w:tcPr>
            <w:tcW w:w="21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6.01 Events of Default</w:t>
            </w:r>
          </w:p>
        </w:tc>
        <w:tc>
          <w:tcPr>
            <w:tcW w:w="21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ARTICLE VII PLEDGE OF COLLATERAL; RIGHTS OF THE COLLATERAL AGENT</w:t>
            </w: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7.01 Grant of Security</w:t>
            </w: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7.02 Release of Security Interest</w:t>
            </w:r>
          </w:p>
        </w:tc>
        <w:tc>
          <w:tcPr>
            <w:tcW w:w="2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7.03 Rights and Remedies</w:t>
            </w:r>
          </w:p>
        </w:tc>
        <w:tc>
          <w:tcPr>
            <w:tcW w:w="2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7.04</w:t>
            </w:r>
          </w:p>
        </w:tc>
        <w:tc>
          <w:tcPr>
            <w:tcW w:w="7900" w:type="dxa"/>
            <w:vAlign w:val="bottom"/>
          </w:tcPr>
          <w:p>
            <w:pPr>
              <w:ind w:left="60"/>
              <w:spacing w:after="0"/>
              <w:rPr>
                <w:sz w:val="20"/>
                <w:szCs w:val="20"/>
                <w:color w:val="auto"/>
              </w:rPr>
            </w:pPr>
            <w:r>
              <w:rPr>
                <w:rFonts w:ascii="Arial" w:cs="Arial" w:eastAsia="Arial" w:hAnsi="Arial"/>
                <w:sz w:val="18"/>
                <w:szCs w:val="18"/>
                <w:color w:val="auto"/>
              </w:rPr>
              <w:t>Remedies Cumulative</w:t>
            </w:r>
          </w:p>
        </w:tc>
        <w:tc>
          <w:tcPr>
            <w:tcW w:w="2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7.05</w:t>
            </w:r>
          </w:p>
        </w:tc>
        <w:tc>
          <w:tcPr>
            <w:tcW w:w="7900" w:type="dxa"/>
            <w:vAlign w:val="bottom"/>
          </w:tcPr>
          <w:p>
            <w:pPr>
              <w:ind w:left="60"/>
              <w:spacing w:after="0"/>
              <w:rPr>
                <w:sz w:val="20"/>
                <w:szCs w:val="20"/>
                <w:color w:val="auto"/>
              </w:rPr>
            </w:pPr>
            <w:r>
              <w:rPr>
                <w:rFonts w:ascii="Arial" w:cs="Arial" w:eastAsia="Arial" w:hAnsi="Arial"/>
                <w:sz w:val="18"/>
                <w:szCs w:val="18"/>
                <w:color w:val="auto"/>
              </w:rPr>
              <w:t>Related Documents</w:t>
            </w:r>
          </w:p>
        </w:tc>
        <w:tc>
          <w:tcPr>
            <w:tcW w:w="2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7.06 Borrower Remains Liable</w:t>
            </w:r>
          </w:p>
        </w:tc>
        <w:tc>
          <w:tcPr>
            <w:tcW w:w="2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7.07 Assignment of Investment Management Agreement and Master Transfer Agreement</w:t>
            </w:r>
          </w:p>
        </w:tc>
        <w:tc>
          <w:tcPr>
            <w:tcW w:w="2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7.08 Protection of Collateral</w:t>
            </w:r>
          </w:p>
        </w:tc>
        <w:tc>
          <w:tcPr>
            <w:tcW w:w="2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7.09</w:t>
            </w:r>
          </w:p>
        </w:tc>
        <w:tc>
          <w:tcPr>
            <w:tcW w:w="7900" w:type="dxa"/>
            <w:vAlign w:val="bottom"/>
          </w:tcPr>
          <w:p>
            <w:pPr>
              <w:ind w:left="60"/>
              <w:spacing w:after="0"/>
              <w:rPr>
                <w:sz w:val="20"/>
                <w:szCs w:val="20"/>
                <w:color w:val="auto"/>
              </w:rPr>
            </w:pPr>
            <w:r>
              <w:rPr>
                <w:rFonts w:ascii="Arial" w:cs="Arial" w:eastAsia="Arial" w:hAnsi="Arial"/>
                <w:sz w:val="18"/>
                <w:szCs w:val="18"/>
                <w:color w:val="auto"/>
              </w:rPr>
              <w:t>Acknowledgement</w:t>
            </w:r>
          </w:p>
        </w:tc>
        <w:tc>
          <w:tcPr>
            <w:tcW w:w="21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ARTICLE VIII ACCOUNTS, ACCOUNTINGS AND RELEASES</w:t>
            </w:r>
          </w:p>
        </w:tc>
        <w:tc>
          <w:tcPr>
            <w:tcW w:w="21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8.01 Collection of Money</w:t>
            </w:r>
          </w:p>
        </w:tc>
        <w:tc>
          <w:tcPr>
            <w:tcW w:w="21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8.02</w:t>
            </w:r>
          </w:p>
        </w:tc>
        <w:tc>
          <w:tcPr>
            <w:tcW w:w="7900" w:type="dxa"/>
            <w:vAlign w:val="bottom"/>
          </w:tcPr>
          <w:p>
            <w:pPr>
              <w:ind w:left="60"/>
              <w:spacing w:after="0"/>
              <w:rPr>
                <w:sz w:val="20"/>
                <w:szCs w:val="20"/>
                <w:color w:val="auto"/>
              </w:rPr>
            </w:pPr>
            <w:r>
              <w:rPr>
                <w:rFonts w:ascii="Arial" w:cs="Arial" w:eastAsia="Arial" w:hAnsi="Arial"/>
                <w:sz w:val="18"/>
                <w:szCs w:val="18"/>
                <w:color w:val="auto"/>
              </w:rPr>
              <w:t>Collection Account</w:t>
            </w:r>
          </w:p>
        </w:tc>
        <w:tc>
          <w:tcPr>
            <w:tcW w:w="21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8.03</w:t>
            </w:r>
          </w:p>
        </w:tc>
        <w:tc>
          <w:tcPr>
            <w:tcW w:w="7900" w:type="dxa"/>
            <w:vAlign w:val="bottom"/>
          </w:tcPr>
          <w:p>
            <w:pPr>
              <w:ind w:left="60"/>
              <w:spacing w:after="0"/>
              <w:rPr>
                <w:sz w:val="20"/>
                <w:szCs w:val="20"/>
                <w:color w:val="auto"/>
              </w:rPr>
            </w:pPr>
            <w:r>
              <w:rPr>
                <w:rFonts w:ascii="Arial" w:cs="Arial" w:eastAsia="Arial" w:hAnsi="Arial"/>
                <w:sz w:val="18"/>
                <w:szCs w:val="18"/>
                <w:color w:val="auto"/>
              </w:rPr>
              <w:t>Transaction Accounts</w:t>
            </w:r>
          </w:p>
        </w:tc>
        <w:tc>
          <w:tcPr>
            <w:tcW w:w="2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8.04 The Revolving Reserve Account; Fundings</w:t>
            </w:r>
          </w:p>
        </w:tc>
        <w:tc>
          <w:tcPr>
            <w:tcW w:w="2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8.05 Reinvestment of Funds in Covered Accounts; Reports by Collateral Agent</w:t>
            </w:r>
          </w:p>
        </w:tc>
        <w:tc>
          <w:tcPr>
            <w:tcW w:w="21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8.06</w:t>
            </w:r>
          </w:p>
        </w:tc>
        <w:tc>
          <w:tcPr>
            <w:tcW w:w="7900" w:type="dxa"/>
            <w:vAlign w:val="bottom"/>
          </w:tcPr>
          <w:p>
            <w:pPr>
              <w:ind w:left="60"/>
              <w:spacing w:after="0"/>
              <w:rPr>
                <w:sz w:val="20"/>
                <w:szCs w:val="20"/>
                <w:color w:val="auto"/>
              </w:rPr>
            </w:pPr>
            <w:r>
              <w:rPr>
                <w:rFonts w:ascii="Arial" w:cs="Arial" w:eastAsia="Arial" w:hAnsi="Arial"/>
                <w:sz w:val="18"/>
                <w:szCs w:val="18"/>
                <w:color w:val="auto"/>
              </w:rPr>
              <w:t>Accountings</w:t>
            </w:r>
          </w:p>
        </w:tc>
        <w:tc>
          <w:tcPr>
            <w:tcW w:w="2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8.07 Release of Securities</w:t>
            </w:r>
          </w:p>
        </w:tc>
        <w:tc>
          <w:tcPr>
            <w:tcW w:w="21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8.08 Reports by Independent Accountants</w:t>
            </w:r>
          </w:p>
        </w:tc>
        <w:tc>
          <w:tcPr>
            <w:tcW w:w="2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65"/>
        </w:trPr>
        <w:tc>
          <w:tcPr>
            <w:tcW w:w="1320" w:type="dxa"/>
            <w:vAlign w:val="bottom"/>
          </w:tcPr>
          <w:p>
            <w:pPr>
              <w:spacing w:after="0"/>
              <w:rPr>
                <w:sz w:val="24"/>
                <w:szCs w:val="24"/>
                <w:color w:val="auto"/>
              </w:rPr>
            </w:pPr>
          </w:p>
        </w:tc>
        <w:tc>
          <w:tcPr>
            <w:tcW w:w="7900" w:type="dxa"/>
            <w:vAlign w:val="bottom"/>
          </w:tcPr>
          <w:p>
            <w:pPr>
              <w:ind w:left="4340"/>
              <w:spacing w:after="0"/>
              <w:rPr>
                <w:sz w:val="20"/>
                <w:szCs w:val="20"/>
                <w:color w:val="auto"/>
              </w:rPr>
            </w:pPr>
            <w:r>
              <w:rPr>
                <w:rFonts w:ascii="Arial" w:cs="Arial" w:eastAsia="Arial" w:hAnsi="Arial"/>
                <w:sz w:val="18"/>
                <w:szCs w:val="18"/>
                <w:color w:val="auto"/>
              </w:rPr>
              <w:t>ii</w:t>
            </w:r>
          </w:p>
        </w:tc>
        <w:tc>
          <w:tcPr>
            <w:tcW w:w="210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30" w:name="page131"/>
    <w:bookmarkEnd w:id="13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8.09</w:t>
            </w:r>
          </w:p>
        </w:tc>
        <w:tc>
          <w:tcPr>
            <w:tcW w:w="8640" w:type="dxa"/>
            <w:vAlign w:val="bottom"/>
          </w:tcPr>
          <w:p>
            <w:pPr>
              <w:ind w:left="60"/>
              <w:spacing w:after="0"/>
              <w:rPr>
                <w:sz w:val="20"/>
                <w:szCs w:val="20"/>
                <w:color w:val="auto"/>
              </w:rPr>
            </w:pPr>
            <w:r>
              <w:rPr>
                <w:rFonts w:ascii="Arial" w:cs="Arial" w:eastAsia="Arial" w:hAnsi="Arial"/>
                <w:sz w:val="18"/>
                <w:szCs w:val="18"/>
                <w:color w:val="auto"/>
              </w:rPr>
              <w:t>Reports to DBRS</w:t>
            </w: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8.10</w:t>
            </w:r>
          </w:p>
        </w:tc>
        <w:tc>
          <w:tcPr>
            <w:tcW w:w="8640" w:type="dxa"/>
            <w:vAlign w:val="bottom"/>
          </w:tcPr>
          <w:p>
            <w:pPr>
              <w:ind w:left="60"/>
              <w:spacing w:after="0"/>
              <w:rPr>
                <w:sz w:val="20"/>
                <w:szCs w:val="20"/>
                <w:color w:val="auto"/>
              </w:rPr>
            </w:pPr>
            <w:r>
              <w:rPr>
                <w:rFonts w:ascii="Arial" w:cs="Arial" w:eastAsia="Arial" w:hAnsi="Arial"/>
                <w:sz w:val="18"/>
                <w:szCs w:val="18"/>
                <w:color w:val="auto"/>
              </w:rPr>
              <w:t>Currency Exchange Account</w:t>
            </w: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8.11</w:t>
            </w:r>
          </w:p>
        </w:tc>
        <w:tc>
          <w:tcPr>
            <w:tcW w:w="8640" w:type="dxa"/>
            <w:vAlign w:val="bottom"/>
          </w:tcPr>
          <w:p>
            <w:pPr>
              <w:ind w:left="60"/>
              <w:spacing w:after="0"/>
              <w:rPr>
                <w:sz w:val="20"/>
                <w:szCs w:val="20"/>
                <w:color w:val="auto"/>
              </w:rPr>
            </w:pPr>
            <w:r>
              <w:rPr>
                <w:rFonts w:ascii="Arial" w:cs="Arial" w:eastAsia="Arial" w:hAnsi="Arial"/>
                <w:sz w:val="18"/>
                <w:szCs w:val="18"/>
                <w:color w:val="auto"/>
              </w:rPr>
              <w:t>Funded Draw Collection Account</w:t>
            </w: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8.12</w:t>
            </w:r>
          </w:p>
        </w:tc>
        <w:tc>
          <w:tcPr>
            <w:tcW w:w="8640" w:type="dxa"/>
            <w:vAlign w:val="bottom"/>
          </w:tcPr>
          <w:p>
            <w:pPr>
              <w:ind w:left="60"/>
              <w:spacing w:after="0"/>
              <w:rPr>
                <w:sz w:val="20"/>
                <w:szCs w:val="20"/>
                <w:color w:val="auto"/>
              </w:rPr>
            </w:pPr>
            <w:r>
              <w:rPr>
                <w:rFonts w:ascii="Arial" w:cs="Arial" w:eastAsia="Arial" w:hAnsi="Arial"/>
                <w:sz w:val="18"/>
                <w:szCs w:val="18"/>
                <w:color w:val="auto"/>
              </w:rPr>
              <w:t>Closing Expense Account; Closing Date 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8.13</w:t>
            </w:r>
          </w:p>
        </w:tc>
        <w:tc>
          <w:tcPr>
            <w:tcW w:w="8640" w:type="dxa"/>
            <w:vAlign w:val="bottom"/>
          </w:tcPr>
          <w:p>
            <w:pPr>
              <w:ind w:left="60"/>
              <w:spacing w:after="0"/>
              <w:rPr>
                <w:sz w:val="20"/>
                <w:szCs w:val="20"/>
                <w:color w:val="auto"/>
              </w:rPr>
            </w:pPr>
            <w:r>
              <w:rPr>
                <w:rFonts w:ascii="Arial" w:cs="Arial" w:eastAsia="Arial" w:hAnsi="Arial"/>
                <w:sz w:val="18"/>
                <w:szCs w:val="18"/>
                <w:color w:val="auto"/>
              </w:rPr>
              <w:t>Collateral Reporting</w:t>
            </w:r>
          </w:p>
        </w:tc>
        <w:tc>
          <w:tcPr>
            <w:tcW w:w="12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0040" w:type="dxa"/>
            <w:vAlign w:val="bottom"/>
            <w:gridSpan w:val="2"/>
          </w:tcPr>
          <w:p>
            <w:pPr>
              <w:spacing w:after="0"/>
              <w:rPr>
                <w:sz w:val="20"/>
                <w:szCs w:val="20"/>
                <w:color w:val="auto"/>
              </w:rPr>
            </w:pPr>
            <w:r>
              <w:rPr>
                <w:rFonts w:ascii="Arial" w:cs="Arial" w:eastAsia="Arial" w:hAnsi="Arial"/>
                <w:sz w:val="18"/>
                <w:szCs w:val="18"/>
                <w:color w:val="auto"/>
              </w:rPr>
              <w:t>ARTICLE IX APPLICATION OF MONIES</w:t>
            </w: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8640" w:type="dxa"/>
            <w:vAlign w:val="bottom"/>
          </w:tcPr>
          <w:p>
            <w:pPr>
              <w:ind w:left="60"/>
              <w:spacing w:after="0"/>
              <w:rPr>
                <w:sz w:val="20"/>
                <w:szCs w:val="20"/>
                <w:color w:val="auto"/>
              </w:rPr>
            </w:pPr>
            <w:r>
              <w:rPr>
                <w:rFonts w:ascii="Arial" w:cs="Arial" w:eastAsia="Arial" w:hAnsi="Arial"/>
                <w:sz w:val="18"/>
                <w:szCs w:val="18"/>
                <w:color w:val="auto"/>
              </w:rPr>
              <w:t>Disbursements of Monies from Payment Account</w:t>
            </w: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0040" w:type="dxa"/>
            <w:vAlign w:val="bottom"/>
            <w:gridSpan w:val="2"/>
          </w:tcPr>
          <w:p>
            <w:pPr>
              <w:spacing w:after="0"/>
              <w:rPr>
                <w:sz w:val="20"/>
                <w:szCs w:val="20"/>
                <w:color w:val="auto"/>
              </w:rPr>
            </w:pPr>
            <w:r>
              <w:rPr>
                <w:rFonts w:ascii="Arial" w:cs="Arial" w:eastAsia="Arial" w:hAnsi="Arial"/>
                <w:sz w:val="18"/>
                <w:szCs w:val="18"/>
                <w:color w:val="auto"/>
              </w:rPr>
              <w:t>ARTICLE X SALE OF COLLATERAL OBLIGATIONS; PURCHASE OF ADDITIONAL COLLATERAL OBLIGATIONS</w:t>
            </w: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10.01</w:t>
            </w:r>
          </w:p>
        </w:tc>
        <w:tc>
          <w:tcPr>
            <w:tcW w:w="8640" w:type="dxa"/>
            <w:vAlign w:val="bottom"/>
          </w:tcPr>
          <w:p>
            <w:pPr>
              <w:ind w:left="60"/>
              <w:spacing w:after="0"/>
              <w:rPr>
                <w:sz w:val="20"/>
                <w:szCs w:val="20"/>
                <w:color w:val="auto"/>
              </w:rPr>
            </w:pPr>
            <w:r>
              <w:rPr>
                <w:rFonts w:ascii="Arial" w:cs="Arial" w:eastAsia="Arial" w:hAnsi="Arial"/>
                <w:sz w:val="18"/>
                <w:szCs w:val="18"/>
                <w:color w:val="auto"/>
              </w:rPr>
              <w:t>Sales of Collateral Obligations</w:t>
            </w: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10.02</w:t>
            </w:r>
          </w:p>
        </w:tc>
        <w:tc>
          <w:tcPr>
            <w:tcW w:w="8640" w:type="dxa"/>
            <w:vAlign w:val="bottom"/>
          </w:tcPr>
          <w:p>
            <w:pPr>
              <w:ind w:left="60"/>
              <w:spacing w:after="0"/>
              <w:rPr>
                <w:sz w:val="20"/>
                <w:szCs w:val="20"/>
                <w:color w:val="auto"/>
              </w:rPr>
            </w:pPr>
            <w:r>
              <w:rPr>
                <w:rFonts w:ascii="Arial" w:cs="Arial" w:eastAsia="Arial" w:hAnsi="Arial"/>
                <w:sz w:val="18"/>
                <w:szCs w:val="18"/>
                <w:color w:val="auto"/>
              </w:rPr>
              <w:t>Purchase of Additional Collateral Obligations</w:t>
            </w: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10.03</w:t>
            </w:r>
          </w:p>
        </w:tc>
        <w:tc>
          <w:tcPr>
            <w:tcW w:w="8640" w:type="dxa"/>
            <w:vAlign w:val="bottom"/>
          </w:tcPr>
          <w:p>
            <w:pPr>
              <w:ind w:left="60"/>
              <w:spacing w:after="0"/>
              <w:rPr>
                <w:sz w:val="20"/>
                <w:szCs w:val="20"/>
                <w:color w:val="auto"/>
              </w:rPr>
            </w:pPr>
            <w:r>
              <w:rPr>
                <w:rFonts w:ascii="Arial" w:cs="Arial" w:eastAsia="Arial" w:hAnsi="Arial"/>
                <w:sz w:val="18"/>
                <w:szCs w:val="18"/>
                <w:color w:val="auto"/>
              </w:rPr>
              <w:t>Conditions Applicable to All Sale and Purchase Transactions</w:t>
            </w: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10.04</w:t>
            </w:r>
          </w:p>
        </w:tc>
        <w:tc>
          <w:tcPr>
            <w:tcW w:w="8640" w:type="dxa"/>
            <w:vAlign w:val="bottom"/>
          </w:tcPr>
          <w:p>
            <w:pPr>
              <w:ind w:left="60"/>
              <w:spacing w:after="0"/>
              <w:rPr>
                <w:sz w:val="20"/>
                <w:szCs w:val="20"/>
                <w:color w:val="auto"/>
              </w:rPr>
            </w:pPr>
            <w:r>
              <w:rPr>
                <w:rFonts w:ascii="Arial" w:cs="Arial" w:eastAsia="Arial" w:hAnsi="Arial"/>
                <w:sz w:val="18"/>
                <w:szCs w:val="18"/>
                <w:color w:val="auto"/>
              </w:rPr>
              <w:t>Additional Equity Contributions</w:t>
            </w:r>
          </w:p>
        </w:tc>
        <w:tc>
          <w:tcPr>
            <w:tcW w:w="12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0040" w:type="dxa"/>
            <w:vAlign w:val="bottom"/>
            <w:gridSpan w:val="2"/>
          </w:tcPr>
          <w:p>
            <w:pPr>
              <w:spacing w:after="0"/>
              <w:rPr>
                <w:sz w:val="20"/>
                <w:szCs w:val="20"/>
                <w:color w:val="auto"/>
              </w:rPr>
            </w:pPr>
            <w:r>
              <w:rPr>
                <w:rFonts w:ascii="Arial" w:cs="Arial" w:eastAsia="Arial" w:hAnsi="Arial"/>
                <w:sz w:val="18"/>
                <w:szCs w:val="18"/>
                <w:color w:val="auto"/>
              </w:rPr>
              <w:t>ARTICLE XI THE AGENTS</w:t>
            </w:r>
          </w:p>
        </w:tc>
        <w:tc>
          <w:tcPr>
            <w:tcW w:w="12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11.01</w:t>
            </w:r>
          </w:p>
        </w:tc>
        <w:tc>
          <w:tcPr>
            <w:tcW w:w="8640" w:type="dxa"/>
            <w:vAlign w:val="bottom"/>
          </w:tcPr>
          <w:p>
            <w:pPr>
              <w:ind w:left="60"/>
              <w:spacing w:after="0"/>
              <w:rPr>
                <w:sz w:val="20"/>
                <w:szCs w:val="20"/>
                <w:color w:val="auto"/>
              </w:rPr>
            </w:pPr>
            <w:r>
              <w:rPr>
                <w:rFonts w:ascii="Arial" w:cs="Arial" w:eastAsia="Arial" w:hAnsi="Arial"/>
                <w:sz w:val="18"/>
                <w:szCs w:val="18"/>
                <w:color w:val="auto"/>
              </w:rPr>
              <w:t>Authorization and Action</w:t>
            </w:r>
          </w:p>
        </w:tc>
        <w:tc>
          <w:tcPr>
            <w:tcW w:w="12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11.02</w:t>
            </w:r>
          </w:p>
        </w:tc>
        <w:tc>
          <w:tcPr>
            <w:tcW w:w="8640" w:type="dxa"/>
            <w:vAlign w:val="bottom"/>
          </w:tcPr>
          <w:p>
            <w:pPr>
              <w:ind w:left="60"/>
              <w:spacing w:after="0"/>
              <w:rPr>
                <w:sz w:val="20"/>
                <w:szCs w:val="20"/>
                <w:color w:val="auto"/>
              </w:rPr>
            </w:pPr>
            <w:r>
              <w:rPr>
                <w:rFonts w:ascii="Arial" w:cs="Arial" w:eastAsia="Arial" w:hAnsi="Arial"/>
                <w:sz w:val="18"/>
                <w:szCs w:val="18"/>
                <w:color w:val="auto"/>
              </w:rPr>
              <w:t>Delegation of Duties</w:t>
            </w:r>
          </w:p>
        </w:tc>
        <w:tc>
          <w:tcPr>
            <w:tcW w:w="12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11.03</w:t>
            </w:r>
          </w:p>
        </w:tc>
        <w:tc>
          <w:tcPr>
            <w:tcW w:w="8640" w:type="dxa"/>
            <w:vAlign w:val="bottom"/>
          </w:tcPr>
          <w:p>
            <w:pPr>
              <w:ind w:left="60"/>
              <w:spacing w:after="0"/>
              <w:rPr>
                <w:sz w:val="20"/>
                <w:szCs w:val="20"/>
                <w:color w:val="auto"/>
              </w:rPr>
            </w:pPr>
            <w:r>
              <w:rPr>
                <w:rFonts w:ascii="Arial" w:cs="Arial" w:eastAsia="Arial" w:hAnsi="Arial"/>
                <w:sz w:val="18"/>
                <w:szCs w:val="18"/>
                <w:color w:val="auto"/>
              </w:rPr>
              <w:t>Agents’ Reliance, Etc</w:t>
            </w:r>
          </w:p>
        </w:tc>
        <w:tc>
          <w:tcPr>
            <w:tcW w:w="12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11.04</w:t>
            </w:r>
          </w:p>
        </w:tc>
        <w:tc>
          <w:tcPr>
            <w:tcW w:w="864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12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11.05</w:t>
            </w:r>
          </w:p>
        </w:tc>
        <w:tc>
          <w:tcPr>
            <w:tcW w:w="8640" w:type="dxa"/>
            <w:vAlign w:val="bottom"/>
          </w:tcPr>
          <w:p>
            <w:pPr>
              <w:ind w:left="60"/>
              <w:spacing w:after="0"/>
              <w:rPr>
                <w:sz w:val="20"/>
                <w:szCs w:val="20"/>
                <w:color w:val="auto"/>
              </w:rPr>
            </w:pPr>
            <w:r>
              <w:rPr>
                <w:rFonts w:ascii="Arial" w:cs="Arial" w:eastAsia="Arial" w:hAnsi="Arial"/>
                <w:sz w:val="18"/>
                <w:szCs w:val="18"/>
                <w:color w:val="auto"/>
              </w:rPr>
              <w:t>Successor Agents</w:t>
            </w: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11.06</w:t>
            </w:r>
          </w:p>
        </w:tc>
        <w:tc>
          <w:tcPr>
            <w:tcW w:w="8640" w:type="dxa"/>
            <w:vAlign w:val="bottom"/>
          </w:tcPr>
          <w:p>
            <w:pPr>
              <w:ind w:left="60"/>
              <w:spacing w:after="0"/>
              <w:rPr>
                <w:sz w:val="20"/>
                <w:szCs w:val="20"/>
                <w:color w:val="auto"/>
              </w:rPr>
            </w:pPr>
            <w:r>
              <w:rPr>
                <w:rFonts w:ascii="Arial" w:cs="Arial" w:eastAsia="Arial" w:hAnsi="Arial"/>
                <w:sz w:val="18"/>
                <w:szCs w:val="18"/>
                <w:color w:val="auto"/>
              </w:rPr>
              <w:t>Regarding the Collateral Agent</w:t>
            </w: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004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12.01</w:t>
            </w:r>
          </w:p>
        </w:tc>
        <w:tc>
          <w:tcPr>
            <w:tcW w:w="8640" w:type="dxa"/>
            <w:vAlign w:val="bottom"/>
          </w:tcPr>
          <w:p>
            <w:pPr>
              <w:ind w:left="60"/>
              <w:spacing w:after="0"/>
              <w:rPr>
                <w:sz w:val="20"/>
                <w:szCs w:val="20"/>
                <w:color w:val="auto"/>
              </w:rPr>
            </w:pPr>
            <w:r>
              <w:rPr>
                <w:rFonts w:ascii="Arial" w:cs="Arial" w:eastAsia="Arial" w:hAnsi="Arial"/>
                <w:sz w:val="18"/>
                <w:szCs w:val="18"/>
                <w:color w:val="auto"/>
              </w:rPr>
              <w:t>No Waiver; Modifications in Writing</w:t>
            </w: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12.02</w:t>
            </w:r>
          </w:p>
        </w:tc>
        <w:tc>
          <w:tcPr>
            <w:tcW w:w="8640" w:type="dxa"/>
            <w:vAlign w:val="bottom"/>
          </w:tcPr>
          <w:p>
            <w:pPr>
              <w:ind w:left="60"/>
              <w:spacing w:after="0"/>
              <w:rPr>
                <w:sz w:val="20"/>
                <w:szCs w:val="20"/>
                <w:color w:val="auto"/>
              </w:rPr>
            </w:pPr>
            <w:r>
              <w:rPr>
                <w:rFonts w:ascii="Arial" w:cs="Arial" w:eastAsia="Arial" w:hAnsi="Arial"/>
                <w:sz w:val="18"/>
                <w:szCs w:val="18"/>
                <w:color w:val="auto"/>
              </w:rPr>
              <w:t>Notices, Etc</w:t>
            </w: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12.03</w:t>
            </w:r>
          </w:p>
        </w:tc>
        <w:tc>
          <w:tcPr>
            <w:tcW w:w="8640" w:type="dxa"/>
            <w:vAlign w:val="bottom"/>
          </w:tcPr>
          <w:p>
            <w:pPr>
              <w:ind w:left="60"/>
              <w:spacing w:after="0"/>
              <w:rPr>
                <w:sz w:val="20"/>
                <w:szCs w:val="20"/>
                <w:color w:val="auto"/>
              </w:rPr>
            </w:pPr>
            <w:r>
              <w:rPr>
                <w:rFonts w:ascii="Arial" w:cs="Arial" w:eastAsia="Arial" w:hAnsi="Arial"/>
                <w:sz w:val="18"/>
                <w:szCs w:val="18"/>
                <w:color w:val="auto"/>
              </w:rPr>
              <w:t>Taxes</w:t>
            </w: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12.04</w:t>
            </w:r>
          </w:p>
        </w:tc>
        <w:tc>
          <w:tcPr>
            <w:tcW w:w="8640" w:type="dxa"/>
            <w:vAlign w:val="bottom"/>
          </w:tcPr>
          <w:p>
            <w:pPr>
              <w:ind w:left="60"/>
              <w:spacing w:after="0"/>
              <w:rPr>
                <w:sz w:val="20"/>
                <w:szCs w:val="20"/>
                <w:color w:val="auto"/>
              </w:rPr>
            </w:pPr>
            <w:r>
              <w:rPr>
                <w:rFonts w:ascii="Arial" w:cs="Arial" w:eastAsia="Arial" w:hAnsi="Arial"/>
                <w:sz w:val="18"/>
                <w:szCs w:val="18"/>
                <w:color w:val="auto"/>
              </w:rPr>
              <w:t>Costs and Expenses; Indemnification</w:t>
            </w:r>
          </w:p>
        </w:tc>
        <w:tc>
          <w:tcPr>
            <w:tcW w:w="12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12.05</w:t>
            </w:r>
          </w:p>
        </w:tc>
        <w:tc>
          <w:tcPr>
            <w:tcW w:w="8640" w:type="dxa"/>
            <w:vAlign w:val="bottom"/>
          </w:tcPr>
          <w:p>
            <w:pPr>
              <w:ind w:left="60"/>
              <w:spacing w:after="0"/>
              <w:rPr>
                <w:sz w:val="20"/>
                <w:szCs w:val="20"/>
                <w:color w:val="auto"/>
              </w:rPr>
            </w:pPr>
            <w:r>
              <w:rPr>
                <w:rFonts w:ascii="Arial" w:cs="Arial" w:eastAsia="Arial" w:hAnsi="Arial"/>
                <w:sz w:val="18"/>
                <w:szCs w:val="18"/>
                <w:color w:val="auto"/>
              </w:rPr>
              <w:t>Execution in Counterparts</w:t>
            </w: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12.06</w:t>
            </w:r>
          </w:p>
        </w:tc>
        <w:tc>
          <w:tcPr>
            <w:tcW w:w="8640" w:type="dxa"/>
            <w:vAlign w:val="bottom"/>
          </w:tcPr>
          <w:p>
            <w:pPr>
              <w:ind w:left="60"/>
              <w:spacing w:after="0"/>
              <w:rPr>
                <w:sz w:val="20"/>
                <w:szCs w:val="20"/>
                <w:color w:val="auto"/>
              </w:rPr>
            </w:pPr>
            <w:r>
              <w:rPr>
                <w:rFonts w:ascii="Arial" w:cs="Arial" w:eastAsia="Arial" w:hAnsi="Arial"/>
                <w:sz w:val="18"/>
                <w:szCs w:val="18"/>
                <w:color w:val="auto"/>
              </w:rPr>
              <w:t>Assignability; Participation; Register</w:t>
            </w: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12.07</w:t>
            </w:r>
          </w:p>
        </w:tc>
        <w:tc>
          <w:tcPr>
            <w:tcW w:w="86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12.08</w:t>
            </w:r>
          </w:p>
        </w:tc>
        <w:tc>
          <w:tcPr>
            <w:tcW w:w="8640" w:type="dxa"/>
            <w:vAlign w:val="bottom"/>
          </w:tcPr>
          <w:p>
            <w:pPr>
              <w:ind w:left="60"/>
              <w:spacing w:after="0"/>
              <w:rPr>
                <w:sz w:val="20"/>
                <w:szCs w:val="20"/>
                <w:color w:val="auto"/>
              </w:rPr>
            </w:pPr>
            <w:r>
              <w:rPr>
                <w:rFonts w:ascii="Arial" w:cs="Arial" w:eastAsia="Arial" w:hAnsi="Arial"/>
                <w:sz w:val="18"/>
                <w:szCs w:val="18"/>
                <w:color w:val="auto"/>
              </w:rPr>
              <w:t>Severability of Provisions</w:t>
            </w: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12.09</w:t>
            </w:r>
          </w:p>
        </w:tc>
        <w:tc>
          <w:tcPr>
            <w:tcW w:w="864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65"/>
        </w:trPr>
        <w:tc>
          <w:tcPr>
            <w:tcW w:w="1400" w:type="dxa"/>
            <w:vAlign w:val="bottom"/>
          </w:tcPr>
          <w:p>
            <w:pPr>
              <w:spacing w:after="0"/>
              <w:rPr>
                <w:sz w:val="24"/>
                <w:szCs w:val="24"/>
                <w:color w:val="auto"/>
              </w:rPr>
            </w:pPr>
          </w:p>
        </w:tc>
        <w:tc>
          <w:tcPr>
            <w:tcW w:w="8640" w:type="dxa"/>
            <w:vAlign w:val="bottom"/>
          </w:tcPr>
          <w:p>
            <w:pPr>
              <w:ind w:left="4240"/>
              <w:spacing w:after="0"/>
              <w:rPr>
                <w:sz w:val="20"/>
                <w:szCs w:val="20"/>
                <w:color w:val="auto"/>
              </w:rPr>
            </w:pPr>
            <w:r>
              <w:rPr>
                <w:rFonts w:ascii="Arial" w:cs="Arial" w:eastAsia="Arial" w:hAnsi="Arial"/>
                <w:sz w:val="18"/>
                <w:szCs w:val="18"/>
                <w:color w:val="auto"/>
              </w:rPr>
              <w:t>iii</w:t>
            </w:r>
          </w:p>
        </w:tc>
        <w:tc>
          <w:tcPr>
            <w:tcW w:w="128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31" w:name="page132"/>
    <w:bookmarkEnd w:id="1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754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7540" w:type="dxa"/>
            <w:vAlign w:val="bottom"/>
          </w:tcPr>
          <w:p>
            <w:pPr>
              <w:ind w:left="3880"/>
              <w:spacing w:after="0"/>
              <w:rPr>
                <w:sz w:val="20"/>
                <w:szCs w:val="20"/>
                <w:color w:val="auto"/>
              </w:rPr>
            </w:pPr>
            <w:r>
              <w:rPr>
                <w:rFonts w:ascii="Arial" w:cs="Arial" w:eastAsia="Arial" w:hAnsi="Arial"/>
                <w:sz w:val="18"/>
                <w:szCs w:val="18"/>
                <w:b w:val="1"/>
                <w:bCs w:val="1"/>
                <w:color w:val="auto"/>
              </w:rPr>
              <w:t>(continued)</w:t>
            </w:r>
          </w:p>
        </w:tc>
        <w:tc>
          <w:tcPr>
            <w:tcW w:w="2380" w:type="dxa"/>
            <w:vAlign w:val="bottom"/>
          </w:tcPr>
          <w:p>
            <w:pPr>
              <w:spacing w:after="0"/>
              <w:rPr>
                <w:sz w:val="20"/>
                <w:szCs w:val="20"/>
                <w:color w:val="auto"/>
              </w:rPr>
            </w:pPr>
          </w:p>
        </w:tc>
      </w:tr>
      <w:tr>
        <w:trPr>
          <w:trHeight w:val="283"/>
        </w:trPr>
        <w:tc>
          <w:tcPr>
            <w:tcW w:w="10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2"/>
              </w:rPr>
              <w:t>Section 12.10</w:t>
            </w:r>
          </w:p>
        </w:tc>
        <w:tc>
          <w:tcPr>
            <w:tcW w:w="7540" w:type="dxa"/>
            <w:vAlign w:val="bottom"/>
          </w:tcPr>
          <w:p>
            <w:pPr>
              <w:ind w:left="60"/>
              <w:spacing w:after="0"/>
              <w:rPr>
                <w:sz w:val="20"/>
                <w:szCs w:val="20"/>
                <w:color w:val="auto"/>
              </w:rPr>
            </w:pPr>
            <w:r>
              <w:rPr>
                <w:rFonts w:ascii="Arial" w:cs="Arial" w:eastAsia="Arial" w:hAnsi="Arial"/>
                <w:sz w:val="18"/>
                <w:szCs w:val="18"/>
                <w:color w:val="auto"/>
              </w:rPr>
              <w:t>Merger</w:t>
            </w:r>
          </w:p>
        </w:tc>
        <w:tc>
          <w:tcPr>
            <w:tcW w:w="23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w w:val="92"/>
              </w:rPr>
              <w:t>Section 12.11</w:t>
            </w:r>
          </w:p>
        </w:tc>
        <w:tc>
          <w:tcPr>
            <w:tcW w:w="7540" w:type="dxa"/>
            <w:vAlign w:val="bottom"/>
          </w:tcPr>
          <w:p>
            <w:pPr>
              <w:ind w:left="60"/>
              <w:spacing w:after="0"/>
              <w:rPr>
                <w:sz w:val="20"/>
                <w:szCs w:val="20"/>
                <w:color w:val="auto"/>
              </w:rPr>
            </w:pPr>
            <w:r>
              <w:rPr>
                <w:rFonts w:ascii="Arial" w:cs="Arial" w:eastAsia="Arial" w:hAnsi="Arial"/>
                <w:sz w:val="18"/>
                <w:szCs w:val="18"/>
                <w:color w:val="auto"/>
              </w:rPr>
              <w:t>Survival</w:t>
            </w:r>
          </w:p>
        </w:tc>
        <w:tc>
          <w:tcPr>
            <w:tcW w:w="23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w w:val="92"/>
              </w:rPr>
              <w:t>Section 12.12</w:t>
            </w:r>
          </w:p>
        </w:tc>
        <w:tc>
          <w:tcPr>
            <w:tcW w:w="7540" w:type="dxa"/>
            <w:vAlign w:val="bottom"/>
          </w:tcPr>
          <w:p>
            <w:pPr>
              <w:ind w:left="60"/>
              <w:spacing w:after="0"/>
              <w:rPr>
                <w:sz w:val="20"/>
                <w:szCs w:val="20"/>
                <w:color w:val="auto"/>
              </w:rPr>
            </w:pPr>
            <w:r>
              <w:rPr>
                <w:rFonts w:ascii="Arial" w:cs="Arial" w:eastAsia="Arial" w:hAnsi="Arial"/>
                <w:sz w:val="18"/>
                <w:szCs w:val="18"/>
                <w:color w:val="auto"/>
              </w:rPr>
              <w:t>Submission to Jurisdiction; Waivers; Etc</w:t>
            </w:r>
          </w:p>
        </w:tc>
        <w:tc>
          <w:tcPr>
            <w:tcW w:w="23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w w:val="92"/>
              </w:rPr>
              <w:t>Section 12.13</w:t>
            </w:r>
          </w:p>
        </w:tc>
        <w:tc>
          <w:tcPr>
            <w:tcW w:w="754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3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w w:val="92"/>
              </w:rPr>
              <w:t>Section 12.14</w:t>
            </w:r>
          </w:p>
        </w:tc>
        <w:tc>
          <w:tcPr>
            <w:tcW w:w="7540" w:type="dxa"/>
            <w:vAlign w:val="bottom"/>
          </w:tcPr>
          <w:p>
            <w:pPr>
              <w:ind w:left="60"/>
              <w:spacing w:after="0"/>
              <w:rPr>
                <w:sz w:val="20"/>
                <w:szCs w:val="20"/>
                <w:color w:val="auto"/>
              </w:rPr>
            </w:pPr>
            <w:r>
              <w:rPr>
                <w:rFonts w:ascii="Arial" w:cs="Arial" w:eastAsia="Arial" w:hAnsi="Arial"/>
                <w:sz w:val="18"/>
                <w:szCs w:val="18"/>
                <w:color w:val="auto"/>
              </w:rPr>
              <w:t>Service of Process</w:t>
            </w:r>
          </w:p>
        </w:tc>
        <w:tc>
          <w:tcPr>
            <w:tcW w:w="23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w w:val="92"/>
              </w:rPr>
              <w:t>Section 12.15</w:t>
            </w:r>
          </w:p>
        </w:tc>
        <w:tc>
          <w:tcPr>
            <w:tcW w:w="7540" w:type="dxa"/>
            <w:vAlign w:val="bottom"/>
          </w:tcPr>
          <w:p>
            <w:pPr>
              <w:ind w:left="60"/>
              <w:spacing w:after="0"/>
              <w:rPr>
                <w:sz w:val="20"/>
                <w:szCs w:val="20"/>
                <w:color w:val="auto"/>
              </w:rPr>
            </w:pPr>
            <w:r>
              <w:rPr>
                <w:rFonts w:ascii="Arial" w:cs="Arial" w:eastAsia="Arial" w:hAnsi="Arial"/>
                <w:sz w:val="18"/>
                <w:szCs w:val="18"/>
                <w:color w:val="auto"/>
              </w:rPr>
              <w:t>Waiver of Immunity</w:t>
            </w:r>
          </w:p>
        </w:tc>
        <w:tc>
          <w:tcPr>
            <w:tcW w:w="23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w w:val="92"/>
              </w:rPr>
              <w:t>Section 12.16</w:t>
            </w:r>
          </w:p>
        </w:tc>
        <w:tc>
          <w:tcPr>
            <w:tcW w:w="7540" w:type="dxa"/>
            <w:vAlign w:val="bottom"/>
          </w:tcPr>
          <w:p>
            <w:pPr>
              <w:ind w:left="60"/>
              <w:spacing w:after="0"/>
              <w:rPr>
                <w:sz w:val="20"/>
                <w:szCs w:val="20"/>
                <w:color w:val="auto"/>
              </w:rPr>
            </w:pPr>
            <w:r>
              <w:rPr>
                <w:rFonts w:ascii="Arial" w:cs="Arial" w:eastAsia="Arial" w:hAnsi="Arial"/>
                <w:sz w:val="18"/>
                <w:szCs w:val="18"/>
                <w:color w:val="auto"/>
              </w:rPr>
              <w:t>Judgment in Foreign Currency</w:t>
            </w:r>
          </w:p>
        </w:tc>
        <w:tc>
          <w:tcPr>
            <w:tcW w:w="23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Section 12.17 PATRIOT Act Notice</w:t>
            </w:r>
          </w:p>
        </w:tc>
        <w:tc>
          <w:tcPr>
            <w:tcW w:w="23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w w:val="92"/>
              </w:rPr>
              <w:t>Section 12.18</w:t>
            </w:r>
          </w:p>
        </w:tc>
        <w:tc>
          <w:tcPr>
            <w:tcW w:w="7540" w:type="dxa"/>
            <w:vAlign w:val="bottom"/>
          </w:tcPr>
          <w:p>
            <w:pPr>
              <w:ind w:left="60"/>
              <w:spacing w:after="0"/>
              <w:rPr>
                <w:sz w:val="20"/>
                <w:szCs w:val="20"/>
                <w:color w:val="auto"/>
              </w:rPr>
            </w:pPr>
            <w:r>
              <w:rPr>
                <w:rFonts w:ascii="Arial" w:cs="Arial" w:eastAsia="Arial" w:hAnsi="Arial"/>
                <w:sz w:val="18"/>
                <w:szCs w:val="18"/>
                <w:color w:val="auto"/>
              </w:rPr>
              <w:t>Legal Holidays</w:t>
            </w:r>
          </w:p>
        </w:tc>
        <w:tc>
          <w:tcPr>
            <w:tcW w:w="23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w w:val="92"/>
              </w:rPr>
              <w:t>Section 12.19</w:t>
            </w:r>
          </w:p>
        </w:tc>
        <w:tc>
          <w:tcPr>
            <w:tcW w:w="7540" w:type="dxa"/>
            <w:vAlign w:val="bottom"/>
          </w:tcPr>
          <w:p>
            <w:pPr>
              <w:ind w:left="60"/>
              <w:spacing w:after="0"/>
              <w:rPr>
                <w:sz w:val="20"/>
                <w:szCs w:val="20"/>
                <w:color w:val="auto"/>
              </w:rPr>
            </w:pPr>
            <w:r>
              <w:rPr>
                <w:rFonts w:ascii="Arial" w:cs="Arial" w:eastAsia="Arial" w:hAnsi="Arial"/>
                <w:sz w:val="18"/>
                <w:szCs w:val="18"/>
                <w:color w:val="auto"/>
              </w:rPr>
              <w:t>Non-Petition</w:t>
            </w:r>
          </w:p>
        </w:tc>
        <w:tc>
          <w:tcPr>
            <w:tcW w:w="23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w w:val="92"/>
              </w:rPr>
              <w:t>Section 12.20</w:t>
            </w:r>
          </w:p>
        </w:tc>
        <w:tc>
          <w:tcPr>
            <w:tcW w:w="7540" w:type="dxa"/>
            <w:vAlign w:val="bottom"/>
          </w:tcPr>
          <w:p>
            <w:pPr>
              <w:ind w:left="60"/>
              <w:spacing w:after="0"/>
              <w:rPr>
                <w:sz w:val="20"/>
                <w:szCs w:val="20"/>
                <w:color w:val="auto"/>
              </w:rPr>
            </w:pPr>
            <w:r>
              <w:rPr>
                <w:rFonts w:ascii="Arial" w:cs="Arial" w:eastAsia="Arial" w:hAnsi="Arial"/>
                <w:sz w:val="18"/>
                <w:szCs w:val="18"/>
                <w:color w:val="auto"/>
              </w:rPr>
              <w:t>Custodianship; Delivery of Collateral Obligations and Eligible Investments</w:t>
            </w:r>
          </w:p>
        </w:tc>
        <w:tc>
          <w:tcPr>
            <w:tcW w:w="23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w w:val="92"/>
              </w:rPr>
              <w:t>Section 12.21</w:t>
            </w:r>
          </w:p>
        </w:tc>
        <w:tc>
          <w:tcPr>
            <w:tcW w:w="7540" w:type="dxa"/>
            <w:vAlign w:val="bottom"/>
          </w:tcPr>
          <w:p>
            <w:pPr>
              <w:ind w:left="60"/>
              <w:spacing w:after="0"/>
              <w:rPr>
                <w:sz w:val="20"/>
                <w:szCs w:val="20"/>
                <w:color w:val="auto"/>
              </w:rPr>
            </w:pPr>
            <w:r>
              <w:rPr>
                <w:rFonts w:ascii="Arial" w:cs="Arial" w:eastAsia="Arial" w:hAnsi="Arial"/>
                <w:sz w:val="18"/>
                <w:szCs w:val="18"/>
                <w:color w:val="auto"/>
              </w:rPr>
              <w:t>Special Provisions Applicable to CP Lenders</w:t>
            </w:r>
          </w:p>
        </w:tc>
        <w:tc>
          <w:tcPr>
            <w:tcW w:w="2380" w:type="dxa"/>
            <w:vAlign w:val="bottom"/>
          </w:tcPr>
          <w:p>
            <w:pPr>
              <w:jc w:val="right"/>
              <w:spacing w:after="0"/>
              <w:rPr>
                <w:sz w:val="20"/>
                <w:szCs w:val="20"/>
                <w:color w:val="auto"/>
              </w:rPr>
            </w:pPr>
            <w:r>
              <w:rPr>
                <w:rFonts w:ascii="Arial" w:cs="Arial" w:eastAsia="Arial" w:hAnsi="Arial"/>
                <w:sz w:val="18"/>
                <w:szCs w:val="18"/>
                <w:color w:val="auto"/>
              </w:rPr>
              <w:t>132</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SCHEDULES</w:t>
      </w:r>
    </w:p>
    <w:p>
      <w:pPr>
        <w:sectPr>
          <w:pgSz w:w="11900" w:h="16838" w:orient="portrait"/>
          <w:cols w:equalWidth="0" w:num="1">
            <w:col w:w="11320"/>
          </w:cols>
          <w:pgMar w:left="240" w:top="270" w:right="339" w:bottom="1440" w:gutter="0" w:footer="0" w:header="0"/>
        </w:sectPr>
      </w:pP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Schedule 1 Schedule 2 Schedule 3 Schedule 4 Schedule 5 Schedule 6 Schedule 7 Schedule 8</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Initial Commitments and Percentages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Scope of Monthly Report and Payment Date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Industry Diversity Score 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DBRS Risk Scores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DBRS Industry Classifications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LIBOR Definition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DBRS Rating Procedure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w:t>
      </w:r>
    </w:p>
    <w:p>
      <w:pPr>
        <w:spacing w:after="0" w:line="259" w:lineRule="exact"/>
        <w:rPr>
          <w:sz w:val="20"/>
          <w:szCs w:val="20"/>
          <w:color w:val="auto"/>
        </w:rPr>
      </w:pPr>
    </w:p>
    <w:p>
      <w:pPr>
        <w:sectPr>
          <w:pgSz w:w="11900" w:h="16838" w:orient="portrait"/>
          <w:cols w:equalWidth="0" w:num="2">
            <w:col w:w="800" w:space="460"/>
            <w:col w:w="10060"/>
          </w:cols>
          <w:pgMar w:left="240" w:top="270" w:right="339" w:bottom="1440" w:gutter="0" w:footer="0" w:header="0"/>
          <w:type w:val="continuous"/>
        </w:sectPr>
      </w:pP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1320"/>
          </w:cols>
          <w:pgMar w:left="240" w:top="270" w:right="339" w:bottom="1440" w:gutter="0" w:footer="0" w:header="0"/>
          <w:type w:val="continuous"/>
        </w:sectPr>
      </w:pP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Exhibit A Exhibit B Exhibit C Exhibit D Exhibit E Exhibit F</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Prepayment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Assignment and Acceptance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Approved Appraisal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Retention Letter</w:t>
      </w:r>
    </w:p>
    <w:p>
      <w:pPr>
        <w:spacing w:after="0" w:line="143" w:lineRule="exact"/>
        <w:rPr>
          <w:sz w:val="20"/>
          <w:szCs w:val="20"/>
          <w:color w:val="auto"/>
        </w:rPr>
      </w:pPr>
    </w:p>
    <w:p>
      <w:pPr>
        <w:sectPr>
          <w:pgSz w:w="11900" w:h="16838" w:orient="portrait"/>
          <w:cols w:equalWidth="0" w:num="2">
            <w:col w:w="720" w:space="440"/>
            <w:col w:w="10160"/>
          </w:cols>
          <w:pgMar w:left="240" w:top="270" w:right="339" w:bottom="1440" w:gutter="0" w:footer="0" w:header="0"/>
          <w:type w:val="continuous"/>
        </w:sect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0" w:right="339" w:bottom="1440" w:gutter="0" w:footer="0" w:header="0"/>
          <w:type w:val="continuous"/>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REVOLVING CREDIT AND SECURITY AGREEMENT</w:t>
      </w:r>
    </w:p>
    <w:p>
      <w:pPr>
        <w:spacing w:after="0" w:line="229"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AMENDED AND RESTATED REVOLVING CREDIT AND SECURITY AGREEMENT dated as of January 21, 2014 among TPG SL SPV, LLC, a Delaware limited liability company, as borrower (together with its permitted successors and assigns,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hereto; NATIXIS, NEW YORK BRANCH (“</w:t>
      </w:r>
      <w:r>
        <w:rPr>
          <w:rFonts w:ascii="Arial" w:cs="Arial" w:eastAsia="Arial" w:hAnsi="Arial"/>
          <w:sz w:val="17"/>
          <w:szCs w:val="17"/>
          <w:u w:val="single" w:color="auto"/>
          <w:color w:val="auto"/>
        </w:rPr>
        <w:t>Natixis</w:t>
      </w:r>
      <w:r>
        <w:rPr>
          <w:rFonts w:ascii="Arial" w:cs="Arial" w:eastAsia="Arial" w:hAnsi="Arial"/>
          <w:sz w:val="17"/>
          <w:szCs w:val="17"/>
          <w:color w:val="auto"/>
        </w:rPr>
        <w:t>”), as facility agent for the Secured Parties (as hereinafter defined) (in such capacity, together with its successors and assigns, the “</w:t>
      </w:r>
      <w:r>
        <w:rPr>
          <w:rFonts w:ascii="Arial" w:cs="Arial" w:eastAsia="Arial" w:hAnsi="Arial"/>
          <w:sz w:val="17"/>
          <w:szCs w:val="17"/>
          <w:u w:val="single" w:color="auto"/>
          <w:color w:val="auto"/>
        </w:rPr>
        <w:t>Facility Agent</w:t>
      </w:r>
      <w:r>
        <w:rPr>
          <w:rFonts w:ascii="Arial" w:cs="Arial" w:eastAsia="Arial" w:hAnsi="Arial"/>
          <w:sz w:val="17"/>
          <w:szCs w:val="17"/>
          <w:color w:val="auto"/>
        </w:rPr>
        <w:t>”) and STATE STREET BANK AND TRUST COMPANY, as collateral agent for the Secured Parties (as hereinafter defined) (in such capacity, together with its successors and assigns,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WHEREAS, the Borrower, Versailles Assets LLC, as lender, the Facility Agent and State Street Bank and Trust Company (as successor to The Bank of New York Mellon Trust Company, N.A.), as collateral agent, are parties to a Revolving Credit and Security Agreement dated as of May 8, 2012 (as amended, restated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parties hereto desire to amend and restate the Existing Credit Agreement as set forth herein;</w:t>
      </w:r>
    </w:p>
    <w:p>
      <w:pPr>
        <w:spacing w:after="0" w:line="225" w:lineRule="exact"/>
        <w:rPr>
          <w:sz w:val="20"/>
          <w:szCs w:val="20"/>
          <w:color w:val="auto"/>
        </w:rPr>
      </w:pPr>
    </w:p>
    <w:p>
      <w:pPr>
        <w:ind w:right="760" w:firstLine="913"/>
        <w:spacing w:after="0" w:line="277" w:lineRule="auto"/>
        <w:rPr>
          <w:sz w:val="20"/>
          <w:szCs w:val="20"/>
          <w:color w:val="auto"/>
        </w:rPr>
      </w:pPr>
      <w:r>
        <w:rPr>
          <w:rFonts w:ascii="Arial" w:cs="Arial" w:eastAsia="Arial" w:hAnsi="Arial"/>
          <w:sz w:val="18"/>
          <w:szCs w:val="18"/>
          <w:color w:val="auto"/>
        </w:rPr>
        <w:t>WHEREAS, the Borrower desires that the Lenders make advances on a revolving basis to the Borrower on the terms and subject to the conditions set forth in this Agreement;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WHEREAS, each Lender is willing to make such advances to the Borrower on the terms and subject to the conditions set forth in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NOW, THEREFORE, in consideration of the premises and of the mutual covenants herein contained, the parties hereto agree as follows: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RULES OF CONSTRUCTION; COMPUTATIONS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in this Agreement, the following terms shall have the meanings indicated:</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Facility</w:t>
      </w:r>
      <w:r>
        <w:rPr>
          <w:rFonts w:ascii="Arial" w:cs="Arial" w:eastAsia="Arial" w:hAnsi="Arial"/>
          <w:sz w:val="18"/>
          <w:szCs w:val="18"/>
          <w:color w:val="auto"/>
        </w:rPr>
        <w:t>” means a lending facility pursuant to which the loans thereunder are secured by a perfected, first priority security interest in accounts receivable, inventory, machinery, equipment, real estate, oil and gas reserves, vessels, or periodic revenues, where such collateral security consists of assets generated or acquired by the related Obligor in its business.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has the meaning specified in Section 9-102(a)(2) of the UCC.</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means the Account Control Agreement, dated as of November 29, 2012 (as amended, supplemented or otherwise modified from time to time),</w:t>
      </w:r>
    </w:p>
    <w:p>
      <w:pPr>
        <w:sectPr>
          <w:pgSz w:w="11900" w:h="16838" w:orient="portrait"/>
          <w:cols w:equalWidth="0" w:num="1">
            <w:col w:w="11400"/>
          </w:cols>
          <w:pgMar w:left="240" w:top="270" w:right="259" w:bottom="1440" w:gutter="0" w:footer="0" w:header="0"/>
        </w:sectPr>
      </w:pPr>
    </w:p>
    <w:bookmarkStart w:id="133" w:name="page134"/>
    <w:bookmarkEnd w:id="133"/>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among the Borrower, as debtor, State Street Bank and Trust Company, as secured party in its capacity as Collateral Agent, and State Street Bank and Trust Company, as securities intermediary and depository bank.</w:t>
      </w:r>
    </w:p>
    <w:p>
      <w:pPr>
        <w:spacing w:after="0" w:line="170"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Expense Cap</w:t>
      </w:r>
      <w:r>
        <w:rPr>
          <w:rFonts w:ascii="Arial" w:cs="Arial" w:eastAsia="Arial" w:hAnsi="Arial"/>
          <w:sz w:val="16"/>
          <w:szCs w:val="16"/>
          <w:color w:val="auto"/>
        </w:rPr>
        <w:t>” means, for any Payment Date, an amount equal (when taken together with any Administrative Expenses paid during the period since the preceding Payment Date or, in the case of the first Payment Date, the Original Closing Date) to the sum of:</w:t>
      </w:r>
    </w:p>
    <w:p>
      <w:pPr>
        <w:spacing w:after="0" w:line="16" w:lineRule="exact"/>
        <w:rPr>
          <w:sz w:val="20"/>
          <w:szCs w:val="20"/>
          <w:color w:val="auto"/>
        </w:rPr>
      </w:pPr>
    </w:p>
    <w:p>
      <w:pPr>
        <w:ind w:left="460" w:right="560" w:firstLine="443"/>
        <w:spacing w:after="0" w:line="277" w:lineRule="auto"/>
        <w:tabs>
          <w:tab w:leader="none" w:pos="114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0.02% per annum (prorated for the related Collection Period on the basis of a 360-day year consisting of twelve 30-day months) of the Quarterly Asset Amount on the related Determination Date;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$200,000 per annum.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Expenses</w:t>
      </w:r>
      <w:r>
        <w:rPr>
          <w:rFonts w:ascii="Arial" w:cs="Arial" w:eastAsia="Arial" w:hAnsi="Arial"/>
          <w:sz w:val="17"/>
          <w:szCs w:val="17"/>
          <w:color w:val="auto"/>
        </w:rPr>
        <w:t>” means the fees and expenses (including indemnities) and other amounts due or accrued of the Borrower (or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Blocker Subsidiary) with respect to any Payment Date and payable in the following order by the Borrower:</w:t>
      </w:r>
    </w:p>
    <w:p>
      <w:pPr>
        <w:spacing w:after="0" w:line="103" w:lineRule="exact"/>
        <w:rPr>
          <w:sz w:val="20"/>
          <w:szCs w:val="20"/>
          <w:color w:val="auto"/>
        </w:rPr>
      </w:pPr>
    </w:p>
    <w:p>
      <w:pPr>
        <w:ind w:left="1140" w:hanging="237"/>
        <w:spacing w:after="0"/>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Collateral Agent, the Custodian and the Securities Intermediary pursuant to the Collateral Agent Fee Letter;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to:</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Independent Accountants, agents (other than the Investment Manager) and counsel of the Borrower for fees and expenses; and</w:t>
      </w:r>
    </w:p>
    <w:p>
      <w:pPr>
        <w:spacing w:after="0" w:line="140" w:lineRule="exact"/>
        <w:rPr>
          <w:rFonts w:ascii="Arial" w:cs="Arial" w:eastAsia="Arial" w:hAnsi="Arial"/>
          <w:sz w:val="16"/>
          <w:szCs w:val="16"/>
          <w:color w:val="auto"/>
        </w:rPr>
      </w:pPr>
    </w:p>
    <w:p>
      <w:pPr>
        <w:ind w:left="920" w:right="280" w:firstLine="421"/>
        <w:spacing w:after="0" w:line="342" w:lineRule="auto"/>
        <w:tabs>
          <w:tab w:leader="none" w:pos="160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Rating Agencies for fees and expenses (including any annual fee, amendment fees and surveillance fees) in connection with any rating of the Facility or in connection with the rating of (or provision of Credit Estimates in respect of) any Collateral Obligations;</w:t>
      </w:r>
    </w:p>
    <w:p>
      <w:pPr>
        <w:spacing w:after="0" w:line="15" w:lineRule="exact"/>
        <w:rPr>
          <w:rFonts w:ascii="Arial" w:cs="Arial" w:eastAsia="Arial" w:hAnsi="Arial"/>
          <w:sz w:val="16"/>
          <w:szCs w:val="16"/>
          <w:color w:val="auto"/>
        </w:rPr>
      </w:pPr>
    </w:p>
    <w:p>
      <w:pPr>
        <w:ind w:left="920" w:right="20" w:firstLine="421"/>
        <w:spacing w:after="0" w:line="259" w:lineRule="auto"/>
        <w:tabs>
          <w:tab w:leader="none" w:pos="165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the Lenders and the Agents (or related indemnified parties) for fees, expenses and other amounts payable by the Borrower under this Agreement or any other Facility Document (including, notwithstanding anything herein to the contrary, but subject to </w:t>
      </w:r>
      <w:r>
        <w:rPr>
          <w:rFonts w:ascii="Arial" w:cs="Arial" w:eastAsia="Arial" w:hAnsi="Arial"/>
          <w:sz w:val="18"/>
          <w:szCs w:val="18"/>
          <w:u w:val="single" w:color="auto"/>
          <w:color w:val="auto"/>
        </w:rPr>
        <w:t>Sections 2.04(f)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12.04</w:t>
      </w:r>
      <w:r>
        <w:rPr>
          <w:rFonts w:ascii="Arial" w:cs="Arial" w:eastAsia="Arial" w:hAnsi="Arial"/>
          <w:sz w:val="18"/>
          <w:szCs w:val="18"/>
          <w:color w:val="auto"/>
        </w:rPr>
        <w:t xml:space="preserve">, amounts sufficient to reimburse each Lender for all amounts paid by such Lender pursuant to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subject to the limitations therein)); and</w:t>
      </w:r>
    </w:p>
    <w:p>
      <w:pPr>
        <w:spacing w:after="0" w:line="78" w:lineRule="exact"/>
        <w:rPr>
          <w:rFonts w:ascii="Arial" w:cs="Arial" w:eastAsia="Arial" w:hAnsi="Arial"/>
          <w:sz w:val="18"/>
          <w:szCs w:val="18"/>
          <w:color w:val="auto"/>
        </w:rPr>
      </w:pPr>
    </w:p>
    <w:p>
      <w:pPr>
        <w:ind w:left="1640" w:hanging="299"/>
        <w:spacing w:after="0"/>
        <w:tabs>
          <w:tab w:leader="none" w:pos="16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indemnification obligations owing by the Borrower to the Borrower’s independent managers under the Borrower LLC Agreement;</w:t>
      </w:r>
    </w:p>
    <w:p>
      <w:pPr>
        <w:spacing w:after="0" w:line="237" w:lineRule="exact"/>
        <w:rPr>
          <w:sz w:val="20"/>
          <w:szCs w:val="20"/>
          <w:color w:val="auto"/>
        </w:rPr>
      </w:pPr>
    </w:p>
    <w:p>
      <w:pPr>
        <w:spacing w:after="0" w:line="31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for the avoidance of doubt, amounts that are expressly payable to any Person under the Priority of Payments in respect of an amount that is stated to be payable as an amount other than as Administrative Expenses (including, without limitation, interest and principal, other amounts owing in respect of the Advances and the Commitments and the Replacement Investment Management Fees) shall not constitute Administrative Expenses and (2) Closing</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34" w:name="page135"/>
    <w:bookmarkEnd w:id="134"/>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Date Expenses, to the extent paid for with Cash contributed by the Investment Manager or an Affiliate thereof under </w:t>
      </w:r>
      <w:r>
        <w:rPr>
          <w:rFonts w:ascii="Arial" w:cs="Arial" w:eastAsia="Arial" w:hAnsi="Arial"/>
          <w:sz w:val="18"/>
          <w:szCs w:val="18"/>
          <w:u w:val="single" w:color="auto"/>
          <w:color w:val="auto"/>
        </w:rPr>
        <w:t>Section 10.04</w:t>
      </w:r>
      <w:r>
        <w:rPr>
          <w:rFonts w:ascii="Arial" w:cs="Arial" w:eastAsia="Arial" w:hAnsi="Arial"/>
          <w:sz w:val="18"/>
          <w:szCs w:val="18"/>
          <w:color w:val="auto"/>
        </w:rPr>
        <w:t>, shall not constitute Administrative Expenses.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Lender</w:t>
      </w:r>
      <w:r>
        <w:rPr>
          <w:rFonts w:ascii="Arial" w:cs="Arial" w:eastAsia="Arial" w:hAnsi="Arial"/>
          <w:sz w:val="18"/>
          <w:szCs w:val="18"/>
          <w:color w:val="auto"/>
        </w:rPr>
        <w:t>” means a Lender that is subject to regulation under the Retention Requirement Laws from time to time or party to liquidity or credit support arrangements provided by a financial institution that is subject to such regulation.</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Person</w:t>
      </w:r>
      <w:r>
        <w:rPr>
          <w:rFonts w:ascii="Arial" w:cs="Arial" w:eastAsia="Arial" w:hAnsi="Arial"/>
          <w:sz w:val="18"/>
          <w:szCs w:val="18"/>
          <w:color w:val="auto"/>
        </w:rPr>
        <w:t>” means (i) each Lender, (ii) the relevant Lender’s parent and/or holding company, (iii) if the relevant Lender is a CP Conduit, the related Conduit Support Provider and (iv) any Participant.</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in respect of a referenced Person, another Person Controlling, Controlled by or under common Control with such referenced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shall not be deemed to be an “</w:t>
      </w:r>
      <w:r>
        <w:rPr>
          <w:rFonts w:ascii="Arial" w:cs="Arial" w:eastAsia="Arial" w:hAnsi="Arial"/>
          <w:sz w:val="18"/>
          <w:szCs w:val="18"/>
          <w:u w:val="single" w:color="auto"/>
          <w:color w:val="auto"/>
        </w:rPr>
        <w:t>Affiliate</w:t>
      </w:r>
      <w:r>
        <w:rPr>
          <w:rFonts w:ascii="Arial" w:cs="Arial" w:eastAsia="Arial" w:hAnsi="Arial"/>
          <w:sz w:val="18"/>
          <w:szCs w:val="18"/>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collectively, the Facility Agent and the Collateral Agent.</w:t>
      </w:r>
    </w:p>
    <w:p>
      <w:pPr>
        <w:spacing w:after="0" w:line="225" w:lineRule="exact"/>
        <w:rPr>
          <w:sz w:val="20"/>
          <w:szCs w:val="20"/>
          <w:color w:val="auto"/>
        </w:rPr>
      </w:pPr>
    </w:p>
    <w:p>
      <w:pPr>
        <w:ind w:right="28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Funded Spread</w:t>
      </w:r>
      <w:r>
        <w:rPr>
          <w:rFonts w:ascii="Arial" w:cs="Arial" w:eastAsia="Arial" w:hAnsi="Arial"/>
          <w:sz w:val="16"/>
          <w:szCs w:val="16"/>
          <w:color w:val="auto"/>
        </w:rPr>
        <w:t xml:space="preserve">” means, as of any date, in the case of each Collateral Obligation that is not a Fixed Rate Obligation (excluding the unfunded portion of any Delayed Drawdown Collateral Loan and any Revolving Collateral Loan) (i) the excess of the sum of the scheduled coupon rate (giving effect to any floor rate) over Specified LIBOR as then in effect (which spread or excess may be expressed as a negative percentage) </w:t>
      </w:r>
      <w:r>
        <w:rPr>
          <w:rFonts w:ascii="Arial" w:cs="Arial" w:eastAsia="Arial" w:hAnsi="Arial"/>
          <w:sz w:val="16"/>
          <w:szCs w:val="16"/>
          <w:i w:val="1"/>
          <w:iCs w:val="1"/>
          <w:u w:val="single" w:color="auto"/>
          <w:color w:val="auto"/>
        </w:rPr>
        <w:t>multiplied</w:t>
      </w:r>
      <w:r>
        <w:rPr>
          <w:rFonts w:ascii="Arial" w:cs="Arial" w:eastAsia="Arial" w:hAnsi="Arial"/>
          <w:sz w:val="16"/>
          <w:szCs w:val="16"/>
          <w:color w:val="auto"/>
        </w:rPr>
        <w:t xml:space="preserve"> by</w:t>
      </w:r>
    </w:p>
    <w:p>
      <w:pPr>
        <w:ind w:right="200" w:firstLine="8"/>
        <w:spacing w:after="0" w:line="261" w:lineRule="auto"/>
        <w:tabs>
          <w:tab w:leader="none" w:pos="26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Principal Balance of such Collateral Obligation (excluding the unfunded portion of any Delayed Drawdown Collateral Loan or Revolving Collateral Loan).</w:t>
      </w:r>
    </w:p>
    <w:p>
      <w:pPr>
        <w:spacing w:after="0" w:line="184"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Industry Equivalent Unit Score</w:t>
      </w:r>
      <w:r>
        <w:rPr>
          <w:rFonts w:ascii="Arial" w:cs="Arial" w:eastAsia="Arial" w:hAnsi="Arial"/>
          <w:sz w:val="18"/>
          <w:szCs w:val="18"/>
          <w:color w:val="auto"/>
        </w:rPr>
        <w:t>” means, with respect to each DBRS Industry Classification, the sum of the Equivalent Unit Scores for each Obligor in such DBRS Industry Classification.</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Principal Balance</w:t>
      </w:r>
      <w:r>
        <w:rPr>
          <w:rFonts w:ascii="Arial" w:cs="Arial" w:eastAsia="Arial" w:hAnsi="Arial"/>
          <w:sz w:val="18"/>
          <w:szCs w:val="18"/>
          <w:color w:val="auto"/>
        </w:rPr>
        <w:t>” means, when used with respect to all or a portion of the Collateral Obligations, the sum of the Principal Balances of all or of such portion of such Collateral Obligations.</w:t>
      </w:r>
    </w:p>
    <w:p>
      <w:pPr>
        <w:spacing w:after="0" w:line="170"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Unfunded Spread</w:t>
      </w:r>
      <w:r>
        <w:rPr>
          <w:rFonts w:ascii="Arial" w:cs="Arial" w:eastAsia="Arial" w:hAnsi="Arial"/>
          <w:sz w:val="17"/>
          <w:szCs w:val="17"/>
          <w:color w:val="auto"/>
        </w:rPr>
        <w:t>” means, as of any date, the sum of the products obtained by multiplying (a) for each Delayed Drawdown Collateral Loan and Revolving Collateral Loan, the related commitment fee or other analogous fees (expressed at a per annum rate) then in effect as of such date by (b) the undrawn commitments under each such Delayed Drawdown Collateral Loan and Revolving Collateral Loan as of such date.</w:t>
      </w:r>
    </w:p>
    <w:p>
      <w:pPr>
        <w:spacing w:after="0" w:line="166"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Revolving Credit and Security Agreement, as the same may from time to time be amended, supplemented, waived or modified.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35" w:name="page136"/>
    <w:bookmarkEnd w:id="135"/>
    <w:p>
      <w:pPr>
        <w:ind w:right="1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Law of any Authority, including all federal and state banking or securities laws, to which the Person in question is subject or by which it or any of its assets or properties are bound.</w:t>
      </w:r>
    </w:p>
    <w:p>
      <w:pPr>
        <w:spacing w:after="0" w:line="170" w:lineRule="exact"/>
        <w:rPr>
          <w:sz w:val="20"/>
          <w:szCs w:val="20"/>
          <w:color w:val="auto"/>
        </w:rPr>
      </w:pPr>
    </w:p>
    <w:p>
      <w:pPr>
        <w:jc w:val="both"/>
        <w:ind w:right="28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Row Level</w:t>
      </w:r>
      <w:r>
        <w:rPr>
          <w:rFonts w:ascii="Arial" w:cs="Arial" w:eastAsia="Arial" w:hAnsi="Arial"/>
          <w:sz w:val="17"/>
          <w:szCs w:val="17"/>
          <w:color w:val="auto"/>
        </w:rPr>
        <w:t xml:space="preserve">” means the column of that name as set forth in the Matrix that becomes effective after (i) the Borrower or Investment Manager provides the notice specifying an Applicable Row Level as described in </w:t>
      </w:r>
      <w:r>
        <w:rPr>
          <w:rFonts w:ascii="Arial" w:cs="Arial" w:eastAsia="Arial" w:hAnsi="Arial"/>
          <w:sz w:val="17"/>
          <w:szCs w:val="17"/>
          <w:u w:val="single" w:color="auto"/>
          <w:color w:val="auto"/>
        </w:rPr>
        <w:t>Section 2.17(a)</w:t>
      </w:r>
      <w:r>
        <w:rPr>
          <w:rFonts w:ascii="Arial" w:cs="Arial" w:eastAsia="Arial" w:hAnsi="Arial"/>
          <w:sz w:val="17"/>
          <w:szCs w:val="17"/>
          <w:color w:val="auto"/>
        </w:rPr>
        <w:t xml:space="preserve"> or (ii) the Borrower or Investment Manager provides the notice specifying a different Applicable Row Level than the one in use at that time as described in </w:t>
      </w:r>
      <w:r>
        <w:rPr>
          <w:rFonts w:ascii="Arial" w:cs="Arial" w:eastAsia="Arial" w:hAnsi="Arial"/>
          <w:sz w:val="17"/>
          <w:szCs w:val="17"/>
          <w:u w:val="single" w:color="auto"/>
          <w:color w:val="auto"/>
        </w:rPr>
        <w:t>Section 2.17(b)</w:t>
      </w:r>
      <w:r>
        <w:rPr>
          <w:rFonts w:ascii="Arial" w:cs="Arial" w:eastAsia="Arial" w:hAnsi="Arial"/>
          <w:sz w:val="17"/>
          <w:szCs w:val="17"/>
          <w:color w:val="auto"/>
        </w:rPr>
        <w:t>.</w:t>
      </w:r>
    </w:p>
    <w:p>
      <w:pPr>
        <w:spacing w:after="0" w:line="166"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Appraised Value</w:t>
      </w:r>
      <w:r>
        <w:rPr>
          <w:rFonts w:ascii="Arial" w:cs="Arial" w:eastAsia="Arial" w:hAnsi="Arial"/>
          <w:sz w:val="17"/>
          <w:szCs w:val="17"/>
          <w:color w:val="auto"/>
        </w:rPr>
        <w:t>” means, with respect to any Defaulted Loan/Bond or Credit Risk Loan/Bond, the value of (i) such Defaulted Loan/Bond or Credit Risk Loan/Bond or (ii) the assets securing such Defaulted Loan/Bond or Credit Risk Loan/Bond, in each case net of costs of their liquidation as determined by the applicable Approved Appraisal Firm, as set forth in the related appraisal (or, if a range of values is set forth therein, the midpoint of such values), adjusted appropriately if the Borrower owns less than 100% of the total lenders’ interests secured by the assets securing any Defaulted Loan/Bond or Credit Risk Loan/Bond or, if it has sold participation interests in such Defaulted Loan/Bond or Credit Risk Loan/Bond.</w:t>
      </w:r>
    </w:p>
    <w:p>
      <w:pPr>
        <w:spacing w:after="0" w:line="17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Appraisal Firm</w:t>
      </w:r>
      <w:r>
        <w:rPr>
          <w:rFonts w:ascii="Arial" w:cs="Arial" w:eastAsia="Arial" w:hAnsi="Arial"/>
          <w:sz w:val="16"/>
          <w:szCs w:val="16"/>
          <w:color w:val="auto"/>
        </w:rPr>
        <w:t xml:space="preserve">” means (a) each independent appraisal firm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or (b) (i) with respect to a Collateral Obligation that is a loan, an independent appraisal firm recognized as being experienced in conducting valuations of secured loans and with respect to a Collateral Obligation that is a debt obligation, an independent appraisal firm recognized as being experienced in conducting valuations of debt obligations, or</w:t>
      </w:r>
    </w:p>
    <w:p>
      <w:pPr>
        <w:ind w:right="260" w:firstLine="8"/>
        <w:spacing w:after="0" w:line="323" w:lineRule="auto"/>
        <w:tabs>
          <w:tab w:leader="none" w:pos="26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 independent financial adviser of recognized standing retained by the Borrower, the Investment Manager or the agent or lenders under any Collateral Obligation, in the case of each of the preceding clauses (b)(i) and (b)(ii), as approved by each of the Investment Manager and the Facility Agent.</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17</w:t>
      </w:r>
      <w:r>
        <w:rPr>
          <w:rFonts w:ascii="Arial" w:cs="Arial" w:eastAsia="Arial" w:hAnsi="Arial"/>
          <w:sz w:val="18"/>
          <w:szCs w:val="18"/>
          <w:color w:val="auto"/>
        </w:rPr>
        <w:t>” means Article 17 of European Union Directive 2011/61/EU on Alternative Investment Fund Managers.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405(1)</w:t>
      </w:r>
      <w:r>
        <w:rPr>
          <w:rFonts w:ascii="Arial" w:cs="Arial" w:eastAsia="Arial" w:hAnsi="Arial"/>
          <w:sz w:val="18"/>
          <w:szCs w:val="18"/>
          <w:color w:val="auto"/>
        </w:rPr>
        <w:t>” means Article 405(1) of the CRR.</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entered into by a Lender, an assignee, the Facility Agent and, if applicable, the Borrower.</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Reinvestment Rate</w:t>
      </w:r>
      <w:r>
        <w:rPr>
          <w:rFonts w:ascii="Arial" w:cs="Arial" w:eastAsia="Arial" w:hAnsi="Arial"/>
          <w:sz w:val="18"/>
          <w:szCs w:val="18"/>
          <w:color w:val="auto"/>
        </w:rPr>
        <w:t>” means, at any time, the current yield (or weighted average yield) obtained by the Borrower at such time on its Eligible Investments.</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Authority</w:t>
      </w:r>
      <w:r>
        <w:rPr>
          <w:rFonts w:ascii="Arial" w:cs="Arial" w:eastAsia="Arial" w:hAnsi="Arial"/>
          <w:sz w:val="18"/>
          <w:szCs w:val="18"/>
          <w:color w:val="auto"/>
        </w:rPr>
        <w:t>” means any nation or government, any state or other political subdivision thereof, any agency, authority, instrumentality, regulatory body, administrative tribunal, central bank, public office, court, arbitration or mediation panel, or other entity exercising executive, legislative, judicial, taxing, regulatory or administrative powers or functions of government, including FINRA, the SEC, the stock exchanges, any federal, state, territorial, county, municipal or other government or governmental agency, arbitrator, board, body, branch, bureau, commission, court, department, instrumentality, master, mediator, panel,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referee, system or other political unit or subdivision or other entity of any of the foregoing, whether domestic or foreign.</w:t>
      </w:r>
    </w:p>
    <w:p>
      <w:pPr>
        <w:spacing w:after="0" w:line="225"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Unfunded Amount</w:t>
      </w:r>
      <w:r>
        <w:rPr>
          <w:rFonts w:ascii="Arial" w:cs="Arial" w:eastAsia="Arial" w:hAnsi="Arial"/>
          <w:sz w:val="18"/>
          <w:szCs w:val="18"/>
          <w:color w:val="auto"/>
        </w:rPr>
        <w:t xml:space="preserve">” means, at any time, the lower of (A) the Commitment minus the aggregate outstanding principal balance of the Advances and (B) the excess of (x) the product of (i) the Principal Collateralization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Borrower Liabilities and (ii) the Leverage Multiple over (y) the aggregate outstanding principal balance of the Advances. For the avoidance of doubt, no amount calculated pursuant to this definition shall be less than zero.</w:t>
      </w:r>
    </w:p>
    <w:p>
      <w:pPr>
        <w:spacing w:after="0" w:line="18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Maturity Date</w:t>
      </w:r>
      <w:r>
        <w:rPr>
          <w:rFonts w:ascii="Arial" w:cs="Arial" w:eastAsia="Arial" w:hAnsi="Arial"/>
          <w:sz w:val="16"/>
          <w:szCs w:val="16"/>
          <w:color w:val="auto"/>
        </w:rPr>
        <w:t>” means, as of any date of determination, with respect to any Performing Collateral Obligation, the date calculated by adding to the Original Closing Date the maturity of such Performing Collateral Obligation (expressed as a number of months from the Original Closing Date) calculated by multiplying (i) the Principal Balance (or portion thereof) of such Performing Collateral Obligation that is then held (or in relation to a proposed purchase of a Performing Collateral Obligation, proposed to be held) by the Borrower and that matures or amortizes on any date subsequent to such date of determination by (ii) the number of months from the Original Closing Date to the date of such maturity or amortization, in each case as of such date.</w:t>
      </w:r>
    </w:p>
    <w:p>
      <w:pPr>
        <w:spacing w:after="0" w:line="15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Par Amount</w:t>
      </w:r>
      <w:r>
        <w:rPr>
          <w:rFonts w:ascii="Arial" w:cs="Arial" w:eastAsia="Arial" w:hAnsi="Arial"/>
          <w:sz w:val="18"/>
          <w:szCs w:val="18"/>
          <w:color w:val="auto"/>
        </w:rPr>
        <w:t xml:space="preserve">” means the sum of the Obligor Par Amounts for all Collateral Obligations (other than Defaulted Loan/Bonds),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the number of Obligors in respect of such Collateral Obligations (other than Defaulted Loan/Bonds);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the Average Par Amount, any Obligors that are Affiliated with one another will be considered one Obligor.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Code,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fluctuating rate of interest per annum equal to the highest of:</w:t>
      </w:r>
    </w:p>
    <w:p>
      <w:pPr>
        <w:spacing w:after="0" w:line="117" w:lineRule="exact"/>
        <w:rPr>
          <w:sz w:val="20"/>
          <w:szCs w:val="20"/>
          <w:color w:val="auto"/>
        </w:rPr>
      </w:pPr>
    </w:p>
    <w:p>
      <w:pPr>
        <w:ind w:left="460" w:firstLine="443"/>
        <w:spacing w:after="0" w:line="257" w:lineRule="auto"/>
        <w:tabs>
          <w:tab w:leader="none" w:pos="114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rate of interest in effect for such day that is identified and normally published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the “</w:t>
      </w:r>
      <w:r>
        <w:rPr>
          <w:rFonts w:ascii="Arial" w:cs="Arial" w:eastAsia="Arial" w:hAnsi="Arial"/>
          <w:sz w:val="18"/>
          <w:szCs w:val="18"/>
          <w:u w:val="single" w:color="auto"/>
          <w:color w:val="auto"/>
        </w:rPr>
        <w:t>Prime Rate</w:t>
      </w:r>
      <w:r>
        <w:rPr>
          <w:rFonts w:ascii="Arial" w:cs="Arial" w:eastAsia="Arial" w:hAnsi="Arial"/>
          <w:sz w:val="18"/>
          <w:szCs w:val="18"/>
          <w:color w:val="auto"/>
        </w:rPr>
        <w:t>” (or, if more than one rate is published as the Prime Rate, then the highest of such rates), with any change in Prime Rate to become effective as of the date the rate of interest which is so identified as the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is different from that published on the preceding Business Day (and, if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no longer reports the Prime Rate, or if such Prime Rate no longer exists, then the Facility Agent may select a reasonably comparable index or source to use as the basis for the Base Rate under this clause (a));</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Federal Funds Rate plus one-half of one percent (0.50%) per annum; and</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Specified LIBOR </w:t>
      </w:r>
      <w:r>
        <w:rPr>
          <w:rFonts w:ascii="Arial" w:cs="Arial" w:eastAsia="Arial" w:hAnsi="Arial"/>
          <w:sz w:val="18"/>
          <w:szCs w:val="18"/>
          <w:i w:val="1"/>
          <w:iCs w:val="1"/>
          <w:color w:val="auto"/>
        </w:rPr>
        <w:t>plus</w:t>
      </w:r>
      <w:r>
        <w:rPr>
          <w:rFonts w:ascii="Arial" w:cs="Arial" w:eastAsia="Arial" w:hAnsi="Arial"/>
          <w:sz w:val="18"/>
          <w:szCs w:val="18"/>
          <w:color w:val="auto"/>
        </w:rPr>
        <w:t xml:space="preserve"> 1.00% per annum.</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Base Rate is a reference rate and does not necessarily represent the lowest or best rate actually charged to any customer of any Agent or any Lender. Interest calculated pursuant to clause (a) above will be determined based on a year of 365 days or 366 days,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37" w:name="page138"/>
    <w:bookmarkEnd w:id="137"/>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and actual days elapsed. Interest calculated pursuant to clauses (b) and (c) above will be determined based on a year of 360 days and actual days elapsed.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xml:space="preserve">” means an Advance that bears interest at the Base Rate as provided in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 III</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Subsidiary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5.02(p)</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Blocker Subsidiary Exempt Provisions</w:t>
      </w:r>
      <w:r>
        <w:rPr>
          <w:rFonts w:ascii="Arial" w:cs="Arial" w:eastAsia="Arial" w:hAnsi="Arial"/>
          <w:sz w:val="16"/>
          <w:szCs w:val="16"/>
          <w:color w:val="auto"/>
        </w:rPr>
        <w:t xml:space="preserve">” means the following Sections of this Agreement: </w:t>
      </w:r>
      <w:r>
        <w:rPr>
          <w:rFonts w:ascii="Arial" w:cs="Arial" w:eastAsia="Arial" w:hAnsi="Arial"/>
          <w:sz w:val="16"/>
          <w:szCs w:val="16"/>
          <w:u w:val="single" w:color="auto"/>
          <w:color w:val="auto"/>
        </w:rPr>
        <w:t>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4.01(k)</w:t>
      </w:r>
      <w:r>
        <w:rPr>
          <w:rFonts w:ascii="Arial" w:cs="Arial" w:eastAsia="Arial" w:hAnsi="Arial"/>
          <w:sz w:val="16"/>
          <w:szCs w:val="16"/>
          <w:color w:val="auto"/>
        </w:rPr>
        <w:t xml:space="preserve"> (if the Investment Manager reasonably deems it appropriate to elect treatment as a corporation), </w:t>
      </w:r>
      <w:r>
        <w:rPr>
          <w:rFonts w:ascii="Arial" w:cs="Arial" w:eastAsia="Arial" w:hAnsi="Arial"/>
          <w:sz w:val="16"/>
          <w:szCs w:val="16"/>
          <w:u w:val="single" w:color="auto"/>
          <w:color w:val="auto"/>
        </w:rPr>
        <w:t>4.02(a)</w:t>
      </w:r>
      <w:r>
        <w:rPr>
          <w:rFonts w:ascii="Arial" w:cs="Arial" w:eastAsia="Arial" w:hAnsi="Arial"/>
          <w:sz w:val="16"/>
          <w:szCs w:val="16"/>
          <w:color w:val="auto"/>
        </w:rPr>
        <w:t xml:space="preserve"> (with respect to Monthly Reports and Payment Date Reports), </w:t>
      </w:r>
      <w:r>
        <w:rPr>
          <w:rFonts w:ascii="Arial" w:cs="Arial" w:eastAsia="Arial" w:hAnsi="Arial"/>
          <w:sz w:val="16"/>
          <w:szCs w:val="16"/>
          <w:u w:val="single" w:color="auto"/>
          <w:color w:val="auto"/>
        </w:rPr>
        <w:t>4.02(c)</w:t>
      </w:r>
      <w:r>
        <w:rPr>
          <w:rFonts w:ascii="Arial" w:cs="Arial" w:eastAsia="Arial" w:hAnsi="Arial"/>
          <w:sz w:val="16"/>
          <w:szCs w:val="16"/>
          <w:color w:val="auto"/>
        </w:rPr>
        <w:t xml:space="preserve"> (to the extent relating to Collateral that has not been transferred to such Blocker Subsidiary), </w:t>
      </w:r>
      <w:r>
        <w:rPr>
          <w:rFonts w:ascii="Arial" w:cs="Arial" w:eastAsia="Arial" w:hAnsi="Arial"/>
          <w:sz w:val="16"/>
          <w:szCs w:val="16"/>
          <w:u w:val="single" w:color="auto"/>
          <w:color w:val="auto"/>
        </w:rPr>
        <w:t>5.01(g)</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5.01(h)</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5.01(j)</w:t>
      </w:r>
      <w:r>
        <w:rPr>
          <w:rFonts w:ascii="Arial" w:cs="Arial" w:eastAsia="Arial" w:hAnsi="Arial"/>
          <w:sz w:val="16"/>
          <w:szCs w:val="16"/>
          <w:color w:val="auto"/>
        </w:rPr>
        <w:t xml:space="preserve"> (to the extent set forth above as to </w:t>
      </w:r>
      <w:r>
        <w:rPr>
          <w:rFonts w:ascii="Arial" w:cs="Arial" w:eastAsia="Arial" w:hAnsi="Arial"/>
          <w:sz w:val="16"/>
          <w:szCs w:val="16"/>
          <w:u w:val="single" w:color="auto"/>
          <w:color w:val="auto"/>
        </w:rPr>
        <w:t>4.01(k)</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8.09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one or more accounts may be established with the Custodian for a Blocker Subsidiary, each of which shall be subject to the Lien of and under the control of the Collateral Agent, and all Collections shall be paid to the appropriate Covered Account of the Borrower at the end of each Collection Period, except that, if deemed appropriate by the Investment Manager, a reserve account for expenses may be established and funded with equity distributable pursuant to </w:t>
      </w:r>
      <w:r>
        <w:rPr>
          <w:rFonts w:ascii="Arial" w:cs="Arial" w:eastAsia="Arial" w:hAnsi="Arial"/>
          <w:sz w:val="16"/>
          <w:szCs w:val="16"/>
          <w:u w:val="single" w:color="auto"/>
          <w:color w:val="auto"/>
        </w:rPr>
        <w:t>Section 9.01(a)(i)(K)(iii)</w:t>
      </w:r>
      <w:r>
        <w:rPr>
          <w:rFonts w:ascii="Arial" w:cs="Arial" w:eastAsia="Arial" w:hAnsi="Arial"/>
          <w:sz w:val="16"/>
          <w:szCs w:val="16"/>
          <w:color w:val="auto"/>
        </w:rPr>
        <w:t xml:space="preserve"> or contributed under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and any remainder therein would not be paid to the Borrower until the final Payment Date, the acceleration of the Advances or the Investment Manager reasonably determines such reserve is no longer necessary),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(to the extent it would restrict the transfer of Collateral to a Blocker Subsidiary as contemplated by </w:t>
      </w:r>
      <w:r>
        <w:rPr>
          <w:rFonts w:ascii="Arial" w:cs="Arial" w:eastAsia="Arial" w:hAnsi="Arial"/>
          <w:sz w:val="16"/>
          <w:szCs w:val="16"/>
          <w:u w:val="single" w:color="auto"/>
          <w:color w:val="auto"/>
        </w:rPr>
        <w:t>Section 5.02(p)</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10.03</w:t>
      </w:r>
      <w:r>
        <w:rPr>
          <w:rFonts w:ascii="Arial" w:cs="Arial" w:eastAsia="Arial" w:hAnsi="Arial"/>
          <w:sz w:val="16"/>
          <w:szCs w:val="16"/>
          <w:color w:val="auto"/>
        </w:rPr>
        <w:t xml:space="preserve"> (to the extent it would restrict the transfer of Collateral to a Blocker Subsidiary as contemplated by </w:t>
      </w:r>
      <w:r>
        <w:rPr>
          <w:rFonts w:ascii="Arial" w:cs="Arial" w:eastAsia="Arial" w:hAnsi="Arial"/>
          <w:sz w:val="16"/>
          <w:szCs w:val="16"/>
          <w:u w:val="single" w:color="auto"/>
          <w:color w:val="auto"/>
        </w:rPr>
        <w:t>Section 5.02(p)</w:t>
      </w:r>
      <w:r>
        <w:rPr>
          <w:rFonts w:ascii="Arial" w:cs="Arial" w:eastAsia="Arial" w:hAnsi="Arial"/>
          <w:sz w:val="16"/>
          <w:szCs w:val="16"/>
          <w:color w:val="auto"/>
        </w:rPr>
        <w:t>).</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Liabilities</w:t>
      </w:r>
      <w:r>
        <w:rPr>
          <w:rFonts w:ascii="Arial" w:cs="Arial" w:eastAsia="Arial" w:hAnsi="Arial"/>
          <w:sz w:val="17"/>
          <w:szCs w:val="17"/>
          <w:color w:val="auto"/>
        </w:rPr>
        <w:t xml:space="preserve">” means the sum of (a) the aggregate outstanding principal balance of the Advances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Portfolio Exposure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LLC Agreement</w:t>
      </w:r>
      <w:r>
        <w:rPr>
          <w:rFonts w:ascii="Arial" w:cs="Arial" w:eastAsia="Arial" w:hAnsi="Arial"/>
          <w:sz w:val="18"/>
          <w:szCs w:val="18"/>
          <w:color w:val="auto"/>
        </w:rPr>
        <w:t>” means the Amended &amp; Restated Limited Liability Company Agreement of the Borrower, dated as of May 8, 2012, as amended by Amendment No. 1 to the Amended &amp; Restated Borrower LLC Agreement, dated as of January 21, 2014, and as further amended, supplemented or otherwise modified from time to time in accordance with the terms hereof and thereof.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the date of a Borrowing.</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or Sunday,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days on which banks are authorized or required to close in New York, New York, Chicago, Illinois, or London, England, and days on which commercial paper markets in the United States are closed shall not constitute Business Days.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38" w:name="page139"/>
    <w:bookmarkEnd w:id="13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Calculation Agent</w:t>
      </w:r>
      <w:r>
        <w:rPr>
          <w:rFonts w:ascii="Arial" w:cs="Arial" w:eastAsia="Arial" w:hAnsi="Arial"/>
          <w:sz w:val="18"/>
          <w:szCs w:val="18"/>
          <w:color w:val="auto"/>
        </w:rPr>
        <w:t xml:space="preserve">” means the Collateral Agent, as calculation agent, for purposes of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lawful money of Canada.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Obligation</w:t>
      </w:r>
      <w:r>
        <w:rPr>
          <w:rFonts w:ascii="Arial" w:cs="Arial" w:eastAsia="Arial" w:hAnsi="Arial"/>
          <w:sz w:val="18"/>
          <w:szCs w:val="18"/>
          <w:color w:val="auto"/>
        </w:rPr>
        <w:t>” means a Collateral Obligation denominated in Canadian Dollars.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Dollars immediately available on the day in question.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Certificated Security</w:t>
      </w:r>
      <w:r>
        <w:rPr>
          <w:rFonts w:ascii="Arial" w:cs="Arial" w:eastAsia="Arial" w:hAnsi="Arial"/>
          <w:sz w:val="18"/>
          <w:szCs w:val="18"/>
          <w:color w:val="auto"/>
        </w:rPr>
        <w:t>” has the meaning specified in Section 8-102(a)(4) of the UCC.</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the Borrower ceases to be a wholly owned direct subsidiary of the Investment Manager, (ii) TSL Advisers, LLC ceases to be Controlled by (a) David Bonderman, James Coulter, or Alan Waxman, or any of their successors or (b) TPG Capital, L.P. or an Affiliate of TPG Capital, L.P or (iii) the Investment Manager ceases to be managed by TSL Advisers, LLC.</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Agency</w:t>
      </w:r>
      <w:r>
        <w:rPr>
          <w:rFonts w:ascii="Arial" w:cs="Arial" w:eastAsia="Arial" w:hAnsi="Arial"/>
          <w:sz w:val="18"/>
          <w:szCs w:val="18"/>
          <w:color w:val="auto"/>
        </w:rPr>
        <w:t>” means an organization registered as a “</w:t>
      </w:r>
      <w:r>
        <w:rPr>
          <w:rFonts w:ascii="Arial" w:cs="Arial" w:eastAsia="Arial" w:hAnsi="Arial"/>
          <w:sz w:val="18"/>
          <w:szCs w:val="18"/>
          <w:u w:val="single" w:color="auto"/>
          <w:color w:val="auto"/>
        </w:rPr>
        <w:t>clearing agency</w:t>
      </w:r>
      <w:r>
        <w:rPr>
          <w:rFonts w:ascii="Arial" w:cs="Arial" w:eastAsia="Arial" w:hAnsi="Arial"/>
          <w:sz w:val="18"/>
          <w:szCs w:val="18"/>
          <w:color w:val="auto"/>
        </w:rPr>
        <w:t>” pursuant to Section 17A of the Exchange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Clearing Corporation</w:t>
      </w:r>
      <w:r>
        <w:rPr>
          <w:rFonts w:ascii="Arial" w:cs="Arial" w:eastAsia="Arial" w:hAnsi="Arial"/>
          <w:sz w:val="17"/>
          <w:szCs w:val="17"/>
          <w:color w:val="auto"/>
        </w:rPr>
        <w:t>” means each entity included within the meaning of “</w:t>
      </w:r>
      <w:r>
        <w:rPr>
          <w:rFonts w:ascii="Arial" w:cs="Arial" w:eastAsia="Arial" w:hAnsi="Arial"/>
          <w:sz w:val="17"/>
          <w:szCs w:val="17"/>
          <w:u w:val="single" w:color="auto"/>
          <w:color w:val="auto"/>
        </w:rPr>
        <w:t>clearing corporation</w:t>
      </w:r>
      <w:r>
        <w:rPr>
          <w:rFonts w:ascii="Arial" w:cs="Arial" w:eastAsia="Arial" w:hAnsi="Arial"/>
          <w:sz w:val="17"/>
          <w:szCs w:val="17"/>
          <w:color w:val="auto"/>
        </w:rPr>
        <w:t>” under Section 8-102(a)(5) of the UCC.</w:t>
      </w:r>
    </w:p>
    <w:p>
      <w:pPr>
        <w:spacing w:after="0" w:line="23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Corporation Security</w:t>
      </w:r>
      <w:r>
        <w:rPr>
          <w:rFonts w:ascii="Arial" w:cs="Arial" w:eastAsia="Arial" w:hAnsi="Arial"/>
          <w:sz w:val="18"/>
          <w:szCs w:val="18"/>
          <w:color w:val="auto"/>
        </w:rPr>
        <w:t>” means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January 21, 2014.</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 Expenses</w:t>
      </w:r>
      <w:r>
        <w:rPr>
          <w:rFonts w:ascii="Arial" w:cs="Arial" w:eastAsia="Arial" w:hAnsi="Arial"/>
          <w:sz w:val="16"/>
          <w:szCs w:val="16"/>
          <w:color w:val="auto"/>
        </w:rPr>
        <w:t>” means amounts due in respect of actions taken on or before the Closing Date or in connection with the closing of the transactions contemplated by this Agreement, including without limitation (i) the fees, if any, to be received by Natixis Securities Americas LLC on or prior to the Closing Date pursuant to the Engagement Letter; (ii) the accrued fees and expenses in connection with the transactions contemplated hereby, including, without limitation, those of external counsel to the Facility Agent, the Collateral Agent, the Borrower and the Lender as of the Closing Date; and (iii) the fees to be received by DBRS on or prior to the Closing Date in connection with the closing of the transactions contemplated by this Agreement.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Expense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or any successor statute.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39" w:name="page140"/>
    <w:bookmarkEnd w:id="13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 Fee Letter</w:t>
      </w:r>
      <w:r>
        <w:rPr>
          <w:rFonts w:ascii="Arial" w:cs="Arial" w:eastAsia="Arial" w:hAnsi="Arial"/>
          <w:sz w:val="18"/>
          <w:szCs w:val="18"/>
          <w:color w:val="auto"/>
        </w:rPr>
        <w:t>” means the fee letter dated November 29, 2012, between the Collateral Agent and the Borrower, setting forth the fees payable by the Borrower to the Collateral Agent in connection with the transactions contemplated by this Agreement, as the same may from time to time be amended, supplemented, waived or modified.</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Interest Amount</w:t>
      </w:r>
      <w:r>
        <w:rPr>
          <w:rFonts w:ascii="Arial" w:cs="Arial" w:eastAsia="Arial" w:hAnsi="Arial"/>
          <w:sz w:val="18"/>
          <w:szCs w:val="18"/>
          <w:color w:val="auto"/>
        </w:rPr>
        <w:t>” means, as of any date of determination, without duplication, the sum of (a) the aggregate amount of Interest Proceeds that has been received or that is expected to be received (other than Interest Proceeds (i) expected to be received from Defaulted Loan/Bonds, in each case unless actually received and (ii) received as equity contributions from the Investment Manager or any of its Affiliates and designated as Interest Proceeds by the Borrower), (b) the aggregate amount of Interest Proceeds on deposit in the Interest Collection Subaccount, and (c) the aggregate amount, if any, due from any Eligible Hedge Counterparty and payable to the Borrower under each Eligible Hedge Agreement entered into by the Borrower, in each case during the Collection Period (and, if such Collection Period does not end on a Business Day, the next succeeding Business Day) in which such date of determination occurs.</w:t>
      </w:r>
    </w:p>
    <w:p>
      <w:pPr>
        <w:spacing w:after="0" w:line="189"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Obligation</w:t>
      </w:r>
      <w:r>
        <w:rPr>
          <w:rFonts w:ascii="Arial" w:cs="Arial" w:eastAsia="Arial" w:hAnsi="Arial"/>
          <w:sz w:val="18"/>
          <w:szCs w:val="18"/>
          <w:color w:val="auto"/>
        </w:rPr>
        <w:t>” means a loan or debt obligation or Participation Interest that as of the date of acquisition by the Borrower (or its binding commitment to acquire the same) meets each of the following criteria:</w:t>
      </w:r>
    </w:p>
    <w:p>
      <w:pPr>
        <w:spacing w:after="0" w:line="62" w:lineRule="exact"/>
        <w:rPr>
          <w:sz w:val="20"/>
          <w:szCs w:val="20"/>
          <w:color w:val="auto"/>
        </w:rPr>
      </w:pPr>
    </w:p>
    <w:p>
      <w:pPr>
        <w:ind w:left="1140" w:hanging="237"/>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permits purchase by, or assignment to, the Borrower and the pledge thereof to the Collateral Agent hereunder;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denominated and payable in Dollars or Canadian Dollars;</w:t>
      </w:r>
    </w:p>
    <w:p>
      <w:pPr>
        <w:spacing w:after="0" w:line="117" w:lineRule="exact"/>
        <w:rPr>
          <w:rFonts w:ascii="Arial" w:cs="Arial" w:eastAsia="Arial" w:hAnsi="Arial"/>
          <w:sz w:val="18"/>
          <w:szCs w:val="18"/>
          <w:color w:val="auto"/>
        </w:rPr>
      </w:pPr>
    </w:p>
    <w:p>
      <w:pPr>
        <w:ind w:left="460" w:right="400" w:firstLine="443"/>
        <w:spacing w:after="0" w:line="277" w:lineRule="auto"/>
        <w:tabs>
          <w:tab w:leader="none" w:pos="11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an obligation of (i) an Obligor organized in the United States (or any state thereof or the District of Columbia, but excluding territories thereof) or (ii) an Eligible Foreign Obligor;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not a Defaulted Loan/Bond or a Credit Risk Loan/Bond;</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not a Zero Coupon Obligation;</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not a Real Estate Loan or Structured Finance Obligation;</w:t>
      </w:r>
    </w:p>
    <w:p>
      <w:pPr>
        <w:spacing w:after="0" w:line="117" w:lineRule="exact"/>
        <w:rPr>
          <w:rFonts w:ascii="Arial" w:cs="Arial" w:eastAsia="Arial" w:hAnsi="Arial"/>
          <w:sz w:val="18"/>
          <w:szCs w:val="18"/>
          <w:color w:val="auto"/>
        </w:rPr>
      </w:pPr>
    </w:p>
    <w:p>
      <w:pPr>
        <w:ind w:left="460" w:right="840" w:firstLine="443"/>
        <w:spacing w:after="0" w:line="342" w:lineRule="auto"/>
        <w:tabs>
          <w:tab w:leader="none" w:pos="115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is not an obligation the repayment of which is by its terms subject to material non-credit related risk (including, without limitation, catastrophe bonds, weather-linked derivatives, commodity-linked notes, etc.) as determined by the Investment Manager in good faith;</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40" w:name="page141"/>
    <w:bookmarkEnd w:id="140"/>
    <w:p>
      <w:pPr>
        <w:ind w:left="460" w:right="60" w:firstLine="443"/>
        <w:spacing w:after="0" w:line="277" w:lineRule="auto"/>
        <w:tabs>
          <w:tab w:leader="none" w:pos="1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portion thereof (including any conversion option, exchange option or other similar component thereof) is exchangeable or convertible into equity at the option of the related Obligor;</w:t>
      </w:r>
    </w:p>
    <w:p>
      <w:pPr>
        <w:spacing w:after="0" w:line="62" w:lineRule="exact"/>
        <w:rPr>
          <w:rFonts w:ascii="Arial" w:cs="Arial" w:eastAsia="Arial" w:hAnsi="Arial"/>
          <w:sz w:val="18"/>
          <w:szCs w:val="18"/>
          <w:color w:val="auto"/>
        </w:rPr>
      </w:pPr>
    </w:p>
    <w:p>
      <w:pPr>
        <w:ind w:left="460" w:right="860" w:firstLine="443"/>
        <w:spacing w:after="0" w:line="277" w:lineRule="auto"/>
        <w:tabs>
          <w:tab w:leader="none" w:pos="111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not an equity security or a component of an equity security (other than an Equity Kicker received in connection with a Collateral Obligation);</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not currently the subject of an offer or has not been called for redemption;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does not constitute Margin Stock;</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is not subject to withholding tax unless the Obligor is required to make “</w:t>
      </w:r>
      <w:r>
        <w:rPr>
          <w:rFonts w:ascii="Arial" w:cs="Arial" w:eastAsia="Arial" w:hAnsi="Arial"/>
          <w:sz w:val="17"/>
          <w:szCs w:val="17"/>
          <w:u w:val="single" w:color="auto"/>
          <w:color w:val="auto"/>
        </w:rPr>
        <w:t>gross-up</w:t>
      </w:r>
      <w:r>
        <w:rPr>
          <w:rFonts w:ascii="Arial" w:cs="Arial" w:eastAsia="Arial" w:hAnsi="Arial"/>
          <w:sz w:val="17"/>
          <w:szCs w:val="17"/>
          <w:color w:val="auto"/>
        </w:rPr>
        <w:t>” payments constituting 100% of such withholding tax;</w:t>
      </w:r>
    </w:p>
    <w:p>
      <w:pPr>
        <w:spacing w:after="0" w:line="128" w:lineRule="exact"/>
        <w:rPr>
          <w:rFonts w:ascii="Arial" w:cs="Arial" w:eastAsia="Arial" w:hAnsi="Arial"/>
          <w:sz w:val="17"/>
          <w:szCs w:val="17"/>
          <w:color w:val="auto"/>
        </w:rPr>
      </w:pPr>
    </w:p>
    <w:p>
      <w:pPr>
        <w:ind w:left="1200" w:hanging="297"/>
        <w:spacing w:after="0"/>
        <w:tabs>
          <w:tab w:leader="none" w:pos="12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provides for a fixed amount of principal payable at or prior to its stated maturity;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such Collateral Obligation is a Participation Interest, such Participation Interest is from an Eligible Selling Institution;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matures on or prior to the Final Maturity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provides for payment of interest in either Dollars or Canadian Dollars, as applicable, at least semi-annually;</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not an obligation (other than a Revolving Collateral Loan or a Delayed Drawdown Collateral Loan) pursuant to which any future advances or payments to the Obligor may be required to be made by the Borrower;</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will not cause the Borrower or the pool of assets to be required to be registered as an investment company under the Investment Company</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02" w:lineRule="exact"/>
        <w:rPr>
          <w:rFonts w:ascii="Arial" w:cs="Arial" w:eastAsia="Arial" w:hAnsi="Arial"/>
          <w:sz w:val="16"/>
          <w:szCs w:val="16"/>
          <w:color w:val="auto"/>
        </w:rPr>
      </w:pPr>
    </w:p>
    <w:p>
      <w:pPr>
        <w:ind w:left="460" w:right="400" w:firstLine="443"/>
        <w:spacing w:after="0" w:line="277" w:lineRule="auto"/>
        <w:tabs>
          <w:tab w:leader="none" w:pos="113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an Eligible Senior Secured Loan, First Lien/Last Out Loan, Eligible Second Lien Loan, Eligible Mezzanine Loan or an Eligible Senior Secured Bond;</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purchase price of which is not less than 75.0% of the principal amount thereof;</w:t>
      </w:r>
    </w:p>
    <w:p>
      <w:pPr>
        <w:spacing w:after="0" w:line="117"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has either (i) a public rating by Moody’s or S&amp;P or (ii) either (a) a Credit Estimate from DBRS or (b) is in the process of receiving a Credit Estimate from DBRS;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not a Covenant Lite Loan other than an Eligible Covenant Lite Loan.</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Quality Test</w:t>
      </w:r>
      <w:r>
        <w:rPr>
          <w:rFonts w:ascii="Arial" w:cs="Arial" w:eastAsia="Arial" w:hAnsi="Arial"/>
          <w:sz w:val="18"/>
          <w:szCs w:val="18"/>
          <w:color w:val="auto"/>
        </w:rPr>
        <w:t>” means a test that is satisfied if, as of any date of determination, in the aggregate, the Collateral Obligations owned (or in relation to a proposed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of a Collateral Obligation, both owned and proposed to be owned) by the Borrower satisfy each of the tests set forth below:</w:t>
      </w:r>
    </w:p>
    <w:p>
      <w:pPr>
        <w:spacing w:after="0" w:line="117" w:lineRule="exact"/>
        <w:rPr>
          <w:sz w:val="20"/>
          <w:szCs w:val="20"/>
          <w:color w:val="auto"/>
        </w:rPr>
      </w:pPr>
    </w:p>
    <w:p>
      <w:pPr>
        <w:ind w:left="1140" w:hanging="237"/>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Minimum Diversity Score Test;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Minimum Average Recovery Rate Test;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Minimum Weighted Average Spread Test;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Minimum Weighted Average Fixed Rate Coupon Test;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Weighted Average Maturity Date Test; and</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Maximum DBRS Risk Score Test.</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xml:space="preserve">” means the trust account established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which includes the Principal Collection Subaccount and the Interest Collection Subaccount.</w:t>
      </w:r>
    </w:p>
    <w:p>
      <w:pPr>
        <w:spacing w:after="0" w:line="170"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Collection Period</w:t>
      </w:r>
      <w:r>
        <w:rPr>
          <w:rFonts w:ascii="Arial" w:cs="Arial" w:eastAsia="Arial" w:hAnsi="Arial"/>
          <w:sz w:val="17"/>
          <w:szCs w:val="17"/>
          <w:color w:val="auto"/>
        </w:rPr>
        <w:t>” means, with respect to any Payment Date, the period commencing immediately following the prior Collection Period (or on the Original Closing Date, in the case of the Collection Period relating to the first Payment Date) and ending on the sixth Business Day prior to such Payment Date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Collections</w:t>
      </w:r>
      <w:r>
        <w:rPr>
          <w:rFonts w:ascii="Arial" w:cs="Arial" w:eastAsia="Arial" w:hAnsi="Arial"/>
          <w:sz w:val="18"/>
          <w:szCs w:val="18"/>
          <w:color w:val="auto"/>
        </w:rPr>
        <w:t>” means all cash collections, distributions, payments or other amounts received, or to be received by the Borrower from any Person in respect of any Collateral Obligations constituting Collateral, including all principal, interest, fees, distributions and redemption and withdrawal proceeds payable to the Borrower under or in connection with any such Collateral Obligations and all Proceeds from any sale or disposition of any such Collateral Obligations.</w:t>
      </w:r>
    </w:p>
    <w:p>
      <w:pPr>
        <w:spacing w:after="0" w:line="187"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 Paper Funding</w:t>
      </w:r>
      <w:r>
        <w:rPr>
          <w:rFonts w:ascii="Arial" w:cs="Arial" w:eastAsia="Arial" w:hAnsi="Arial"/>
          <w:sz w:val="17"/>
          <w:szCs w:val="17"/>
          <w:color w:val="auto"/>
        </w:rPr>
        <w:t>” means, with respect to any Cost of Funds Rate Advance, at any time, the funding by a CP Lender of all or a portion of the outstanding principal amount of such Advance with funds provided by the issuance of Commercial Paper Notes.</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Paper Funding Period</w:t>
      </w:r>
      <w:r>
        <w:rPr>
          <w:rFonts w:ascii="Arial" w:cs="Arial" w:eastAsia="Arial" w:hAnsi="Arial"/>
          <w:sz w:val="18"/>
          <w:szCs w:val="18"/>
          <w:color w:val="auto"/>
        </w:rPr>
        <w:t>” means, with respect to any Cost of Funds Rate Advance, a period of time during which all or a portion of the outstanding principal amount of such Advance is funded by a Commercial Paper Funding.</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Paper Notes</w:t>
      </w:r>
      <w:r>
        <w:rPr>
          <w:rFonts w:ascii="Arial" w:cs="Arial" w:eastAsia="Arial" w:hAnsi="Arial"/>
          <w:sz w:val="18"/>
          <w:szCs w:val="18"/>
          <w:color w:val="auto"/>
        </w:rPr>
        <w:t>” means commercial paper notes or secured liquidity notes issued by a CP Conduit or a conduit providing funding to a CP Conduit in the commercial paper market from time to time.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Paper Rate</w:t>
      </w:r>
      <w:r>
        <w:rPr>
          <w:rFonts w:ascii="Arial" w:cs="Arial" w:eastAsia="Arial" w:hAnsi="Arial"/>
          <w:sz w:val="18"/>
          <w:szCs w:val="18"/>
          <w:color w:val="auto"/>
        </w:rPr>
        <w:t>” means, with respect to any Commercial Paper Funding, a rate per annum equal to the sum of (i) the rate or, if more than one rate, the weighted average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42" w:name="page143"/>
    <w:bookmarkEnd w:id="14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rates, determined if necessary by converting to an interest-bearing equivalent rate per annum (based on a year of 360 days and actual days elapsed) the discount rate (or rates) at which Commercial Paper Notes are sold by any placement agent or commercial paper dealer of a commercial paper conduit providing funding to a CP Conduit, plus (ii) if not included in the calculations in clause (i), the commissions and charges charged by such placement agent or commercial paper dealer with respect to such Commercial Paper Notes, incremental carrying costs incurred with respect to such Commercial Paper Notes maturing on dates other than those on which corresponding funds are received by such CP Conduit, other borrowings by such CP Conduit and any other costs (such as interest rate or currency swaps) associated with the issuance of Commercial Paper Notes that are allocated, in whole or in part, by such CP Conduit or its Program Manager to fund or maintain such portion of the applicable Advance (and which may be also allocated in part to the funding of other assets of such CP Conduit) and discount on Commercial Paper Notes issued to fund the discount on maturing Commercial Paper Notes, in all cases expressed as a percentage of the face amount thereof and converted to an interest-bearing equivalent rate per annum (based on a year of 360 days and actual days elapsed).</w:t>
      </w:r>
    </w:p>
    <w:p>
      <w:pPr>
        <w:spacing w:after="0" w:line="16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each Lender, the obligation of such Lender to make, on and subject to the terms and conditions hereof, Advances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 an aggregate principal amount at any one time outstanding up to but not exceeding the amount set forth opposite the name of such Lender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or in the Assignment and Acceptance pursuant to which such Lender shall have assumed its Commitment, as applicable, as such amount may be reduced from time to time pursuant to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increased or reduced from time to time pursuant to assignments effected in accordance with </w:t>
      </w:r>
      <w:r>
        <w:rPr>
          <w:rFonts w:ascii="Arial" w:cs="Arial" w:eastAsia="Arial" w:hAnsi="Arial"/>
          <w:sz w:val="18"/>
          <w:szCs w:val="18"/>
          <w:u w:val="single" w:color="auto"/>
          <w:color w:val="auto"/>
        </w:rPr>
        <w:t>Section 12.06(a)</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Shortfall</w:t>
      </w:r>
      <w:r>
        <w:rPr>
          <w:rFonts w:ascii="Arial" w:cs="Arial" w:eastAsia="Arial" w:hAnsi="Arial"/>
          <w:sz w:val="18"/>
          <w:szCs w:val="18"/>
          <w:color w:val="auto"/>
        </w:rPr>
        <w:t xml:space="preserve">” means, as of any date of determination, the positive excess, if any, of (A) the Portfolio Exposure Amount </w:t>
      </w:r>
      <w:r>
        <w:rPr>
          <w:rFonts w:ascii="Arial" w:cs="Arial" w:eastAsia="Arial" w:hAnsi="Arial"/>
          <w:sz w:val="18"/>
          <w:szCs w:val="18"/>
          <w:i w:val="1"/>
          <w:iCs w:val="1"/>
          <w:color w:val="auto"/>
        </w:rPr>
        <w:t>over</w:t>
      </w:r>
      <w:r>
        <w:rPr>
          <w:rFonts w:ascii="Arial" w:cs="Arial" w:eastAsia="Arial" w:hAnsi="Arial"/>
          <w:sz w:val="18"/>
          <w:szCs w:val="18"/>
          <w:color w:val="auto"/>
        </w:rPr>
        <w:t xml:space="preserve"> (B) the Available Unfunded Amount.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xml:space="preserve">” means the last day of the Reinvestment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17" w:lineRule="exact"/>
        <w:rPr>
          <w:sz w:val="20"/>
          <w:szCs w:val="20"/>
          <w:color w:val="auto"/>
        </w:rPr>
      </w:pPr>
    </w:p>
    <w:p>
      <w:pPr>
        <w:ind w:left="460" w:right="240" w:firstLine="443"/>
        <w:spacing w:after="0" w:line="264" w:lineRule="auto"/>
        <w:tabs>
          <w:tab w:leader="none" w:pos="114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Reinvestment Period ends as a result of one or more of the occurrences referred to in clauses (c) through (e) of the definition thereof, then the Commitment Termination Date will be the day that is five Business Days after the date on which the Facility Agent, the Lenders and the Borrower have notice of such end of the Reinvestment Period; and</w:t>
      </w:r>
    </w:p>
    <w:p>
      <w:pPr>
        <w:spacing w:after="0" w:line="73" w:lineRule="exact"/>
        <w:rPr>
          <w:rFonts w:ascii="Arial" w:cs="Arial" w:eastAsia="Arial" w:hAnsi="Arial"/>
          <w:sz w:val="18"/>
          <w:szCs w:val="18"/>
          <w:color w:val="auto"/>
        </w:rPr>
      </w:pPr>
    </w:p>
    <w:p>
      <w:pPr>
        <w:ind w:left="460" w:right="840" w:firstLine="443"/>
        <w:spacing w:after="0" w:line="277" w:lineRule="auto"/>
        <w:tabs>
          <w:tab w:leader="none" w:pos="115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Commitment Termination Date would otherwise not be a Business Day, then the Commitment Termination Date shall be the immediately succeeding Business Day.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of 1936, as amended.</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Limitations</w:t>
      </w:r>
      <w:r>
        <w:rPr>
          <w:rFonts w:ascii="Arial" w:cs="Arial" w:eastAsia="Arial" w:hAnsi="Arial"/>
          <w:sz w:val="18"/>
          <w:szCs w:val="18"/>
          <w:color w:val="auto"/>
        </w:rPr>
        <w:t>” means limitations that are satisfied if, as of any date of determination, in the aggregate, the Aggregate Principal Balance of the Collateral Obligations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43" w:name="page144"/>
    <w:bookmarkEnd w:id="143"/>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owned (or, in relation to a proposed purchase of a Collateral Obligation, proposed to be owned) by the Borrower comply with all of the requirements set forth below (or, in connection with a proposed purchase, if not in compliance, the relevant requirements are maintained or improved as a result of such purchase), calculated as a percentage of Total Capitalization (unless otherwise specified):</w:t>
      </w:r>
    </w:p>
    <w:p>
      <w:pPr>
        <w:spacing w:after="0" w:line="73" w:lineRule="exact"/>
        <w:rPr>
          <w:sz w:val="20"/>
          <w:szCs w:val="20"/>
          <w:color w:val="auto"/>
        </w:rPr>
      </w:pPr>
    </w:p>
    <w:p>
      <w:pPr>
        <w:ind w:left="1140" w:hanging="237"/>
        <w:spacing w:after="0"/>
        <w:tabs>
          <w:tab w:leader="none" w:pos="11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not more than 15% consist of Fixed Rate Obligations;</w:t>
      </w:r>
    </w:p>
    <w:p>
      <w:pPr>
        <w:spacing w:after="0" w:line="117" w:lineRule="exact"/>
        <w:rPr>
          <w:rFonts w:ascii="Arial" w:cs="Arial" w:eastAsia="Arial" w:hAnsi="Arial"/>
          <w:sz w:val="18"/>
          <w:szCs w:val="18"/>
          <w:color w:val="auto"/>
        </w:rPr>
      </w:pPr>
    </w:p>
    <w:p>
      <w:pPr>
        <w:ind w:left="460" w:firstLine="443"/>
        <w:spacing w:after="0" w:line="286" w:lineRule="auto"/>
        <w:tabs>
          <w:tab w:leader="none" w:pos="115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not more than 5% consist of obligations of any one Obligor (and Affiliates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 to five Obligors (and their respective Affiliates) may each constitute up to 7%;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 more than $11,375,000 shall consist of obligations of any one Obligor (and Affiliates thereof) that has a DBRS Long Term Rating of “</w:t>
      </w:r>
      <w:r>
        <w:rPr>
          <w:rFonts w:ascii="Arial" w:cs="Arial" w:eastAsia="Arial" w:hAnsi="Arial"/>
          <w:sz w:val="17"/>
          <w:szCs w:val="17"/>
          <w:u w:val="single" w:color="auto"/>
          <w:color w:val="auto"/>
        </w:rPr>
        <w:t>CCC (high</w:t>
      </w:r>
      <w:r>
        <w:rPr>
          <w:rFonts w:ascii="Arial" w:cs="Arial" w:eastAsia="Arial" w:hAnsi="Arial"/>
          <w:sz w:val="17"/>
          <w:szCs w:val="17"/>
          <w:color w:val="auto"/>
        </w:rPr>
        <w:t>)” or below with respect to its Collateral Obligation(s);</w:t>
      </w:r>
    </w:p>
    <w:p>
      <w:pPr>
        <w:spacing w:after="0" w:line="57" w:lineRule="exact"/>
        <w:rPr>
          <w:rFonts w:ascii="Arial" w:cs="Arial" w:eastAsia="Arial" w:hAnsi="Arial"/>
          <w:sz w:val="17"/>
          <w:szCs w:val="17"/>
          <w:color w:val="auto"/>
        </w:rPr>
      </w:pPr>
    </w:p>
    <w:p>
      <w:pPr>
        <w:ind w:left="460" w:right="100" w:firstLine="443"/>
        <w:spacing w:after="0" w:line="277" w:lineRule="auto"/>
        <w:tabs>
          <w:tab w:leader="none" w:pos="114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not more than 15.0% consist of Revolving Collateral Loans or Delayed Drawdown Collateral Loans; subject in each case to compliance with the Funded Draw Assignment Provisions;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not more than 10.0% consist of Canadian Dollar Obligations;</w:t>
      </w:r>
    </w:p>
    <w:p>
      <w:pPr>
        <w:spacing w:after="0" w:line="117" w:lineRule="exact"/>
        <w:rPr>
          <w:rFonts w:ascii="Arial" w:cs="Arial" w:eastAsia="Arial" w:hAnsi="Arial"/>
          <w:sz w:val="18"/>
          <w:szCs w:val="18"/>
          <w:color w:val="auto"/>
        </w:rPr>
      </w:pPr>
    </w:p>
    <w:p>
      <w:pPr>
        <w:ind w:left="460" w:right="20" w:firstLine="443"/>
        <w:spacing w:after="0" w:line="257" w:lineRule="auto"/>
        <w:tabs>
          <w:tab w:leader="none" w:pos="114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not more than 60.0% consist of Collateral Obligations that are not Eligible Senior Secured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such time, not more than 5.0% consist of Collateral Obligations that are Eligible Senior Secured Bonds and Eligible Mezzanine Loans, not more than 65.0% may consist of Collateral Obligations that are not Eligible Senior Secured Loans;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at such time, not more than 0.0% consist of Collateral Obligations that are Eligible Senior Secured Bonds and Eligible Mezzanine Loans, not more than 70.0% may consist of Collateral Obligations that are not Eligible Senior Secured Loans;</w:t>
      </w:r>
    </w:p>
    <w:p>
      <w:pPr>
        <w:spacing w:after="0" w:line="80" w:lineRule="exact"/>
        <w:rPr>
          <w:rFonts w:ascii="Arial" w:cs="Arial" w:eastAsia="Arial" w:hAnsi="Arial"/>
          <w:sz w:val="18"/>
          <w:szCs w:val="18"/>
          <w:color w:val="auto"/>
        </w:rPr>
      </w:pPr>
    </w:p>
    <w:p>
      <w:pPr>
        <w:ind w:left="1120" w:hanging="217"/>
        <w:spacing w:after="0"/>
        <w:tabs>
          <w:tab w:leader="none" w:pos="11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not more than 10.0% consist of Collateral Obligations that are Eligible Senior Secured Bonds or Eligible Mezzanine Loans;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not more than 5.0% consist of Collateral Obligations that are Current Pay Obligations;</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not more than 12.5% consist of Collateral Obligations with Obligors in any one DBRS Industry Classification,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two DBRS Industry Classifications may each constitute up to 15%;</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not more than 20.0% consist of Participation Interests, all of which must be from Eligible Selling Institutions (or such other Selling Institution</w:t>
      </w:r>
    </w:p>
    <w:p>
      <w:pPr>
        <w:spacing w:after="0" w:line="46" w:lineRule="exact"/>
        <w:rPr>
          <w:rFonts w:ascii="Arial" w:cs="Arial" w:eastAsia="Arial" w:hAnsi="Arial"/>
          <w:sz w:val="16"/>
          <w:szCs w:val="16"/>
          <w:color w:val="auto"/>
        </w:rPr>
      </w:pPr>
    </w:p>
    <w:p>
      <w:pPr>
        <w:ind w:left="760" w:hanging="296"/>
        <w:spacing w:after="0"/>
        <w:tabs>
          <w:tab w:leader="none" w:pos="7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that has been approved in writing by the Facility Agent and (B) with respect to which the Rating Confirmation has been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2" w:lineRule="exact"/>
        <w:rPr>
          <w:rFonts w:ascii="Arial" w:cs="Arial" w:eastAsia="Arial" w:hAnsi="Arial"/>
          <w:sz w:val="16"/>
          <w:szCs w:val="16"/>
          <w:color w:val="auto"/>
        </w:rPr>
      </w:pPr>
    </w:p>
    <w:p>
      <w:pPr>
        <w:ind w:left="460" w:right="60"/>
        <w:spacing w:after="0" w:line="254" w:lineRule="auto"/>
        <w:rPr>
          <w:rFonts w:ascii="Arial" w:cs="Arial" w:eastAsia="Arial" w:hAnsi="Arial"/>
          <w:sz w:val="16"/>
          <w:szCs w:val="16"/>
          <w:color w:val="auto"/>
        </w:rPr>
      </w:pPr>
      <w:r>
        <w:rPr>
          <w:rFonts w:ascii="Arial" w:cs="Arial" w:eastAsia="Arial" w:hAnsi="Arial"/>
          <w:sz w:val="18"/>
          <w:szCs w:val="18"/>
          <w:color w:val="auto"/>
        </w:rPr>
        <w:t>(x) not more than 15% consist of Participation Interests in respect of a single Selling Institution that has (or such Selling Institution is guaranteed by an Affiliate having) a DBRS Long Term Rating of “</w:t>
      </w:r>
      <w:r>
        <w:rPr>
          <w:rFonts w:ascii="Arial" w:cs="Arial" w:eastAsia="Arial" w:hAnsi="Arial"/>
          <w:sz w:val="18"/>
          <w:szCs w:val="18"/>
          <w:u w:val="single" w:color="auto"/>
          <w:color w:val="auto"/>
        </w:rPr>
        <w:t>AA</w:t>
      </w:r>
      <w:r>
        <w:rPr>
          <w:rFonts w:ascii="Arial" w:cs="Arial" w:eastAsia="Arial" w:hAnsi="Arial"/>
          <w:sz w:val="18"/>
          <w:szCs w:val="18"/>
          <w:color w:val="auto"/>
        </w:rPr>
        <w:t>”, (y) not more than 10.0% consist of Participation Interests in respect of a single Selling Institutions that have (or such Selling Institution is guaranteed by an Affiliate having) a DBRS Long Term Rating of “</w:t>
      </w:r>
      <w:r>
        <w:rPr>
          <w:rFonts w:ascii="Arial" w:cs="Arial" w:eastAsia="Arial" w:hAnsi="Arial"/>
          <w:sz w:val="18"/>
          <w:szCs w:val="18"/>
          <w:u w:val="single" w:color="auto"/>
          <w:color w:val="auto"/>
        </w:rPr>
        <w:t>AA (low)</w:t>
      </w:r>
      <w:r>
        <w:rPr>
          <w:rFonts w:ascii="Arial" w:cs="Arial" w:eastAsia="Arial" w:hAnsi="Arial"/>
          <w:sz w:val="18"/>
          <w:szCs w:val="18"/>
          <w:color w:val="auto"/>
        </w:rPr>
        <w:t>”, and (z) not more than 5% consist 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44" w:name="page145"/>
    <w:bookmarkEnd w:id="144"/>
    <w:p>
      <w:pPr>
        <w:ind w:left="46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 Interests in respect of a single Selling Institution that has (or such Selling Institution is guaranteed by an Affiliate having) a DBRS Long Term Rating of “</w:t>
      </w:r>
      <w:r>
        <w:rPr>
          <w:rFonts w:ascii="Arial" w:cs="Arial" w:eastAsia="Arial" w:hAnsi="Arial"/>
          <w:sz w:val="18"/>
          <w:szCs w:val="18"/>
          <w:u w:val="single" w:color="auto"/>
          <w:color w:val="auto"/>
        </w:rPr>
        <w:t>A (high)</w:t>
      </w:r>
      <w:r>
        <w:rPr>
          <w:rFonts w:ascii="Arial" w:cs="Arial" w:eastAsia="Arial" w:hAnsi="Arial"/>
          <w:sz w:val="18"/>
          <w:szCs w:val="18"/>
          <w:color w:val="auto"/>
        </w:rPr>
        <w:t>”;</w:t>
      </w:r>
    </w:p>
    <w:p>
      <w:pPr>
        <w:spacing w:after="0" w:line="62" w:lineRule="exact"/>
        <w:rPr>
          <w:sz w:val="20"/>
          <w:szCs w:val="20"/>
          <w:color w:val="auto"/>
        </w:rPr>
      </w:pPr>
    </w:p>
    <w:p>
      <w:pPr>
        <w:ind w:left="1120" w:hanging="217"/>
        <w:spacing w:after="0"/>
        <w:tabs>
          <w:tab w:leader="none" w:pos="1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more than 5% consist of DIP Loans;</w:t>
      </w:r>
    </w:p>
    <w:p>
      <w:pPr>
        <w:spacing w:after="0" w:line="117" w:lineRule="exact"/>
        <w:rPr>
          <w:rFonts w:ascii="Arial" w:cs="Arial" w:eastAsia="Arial" w:hAnsi="Arial"/>
          <w:sz w:val="18"/>
          <w:szCs w:val="18"/>
          <w:color w:val="auto"/>
        </w:rPr>
      </w:pPr>
    </w:p>
    <w:p>
      <w:pPr>
        <w:ind w:left="460" w:right="240" w:firstLine="443"/>
        <w:spacing w:after="0" w:line="312" w:lineRule="auto"/>
        <w:tabs>
          <w:tab w:leader="none" w:pos="115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not more than 20% consist of Collateral Obligations that permit the payment of interest to be made less frequently than quarterly (it being understood that, to the extent that a Collateral Obligation provides an Obligor with the option to make interest payments at different intervals, the longest such interval that is available to the Obligor (regardless of the interval that is in use at any time) shall govern for purposes of this clause (k));</w:t>
      </w:r>
    </w:p>
    <w:p>
      <w:pPr>
        <w:spacing w:after="0" w:line="38" w:lineRule="exact"/>
        <w:rPr>
          <w:rFonts w:ascii="Arial" w:cs="Arial" w:eastAsia="Arial" w:hAnsi="Arial"/>
          <w:sz w:val="16"/>
          <w:szCs w:val="16"/>
          <w:color w:val="auto"/>
        </w:rPr>
      </w:pPr>
    </w:p>
    <w:p>
      <w:pPr>
        <w:ind w:left="460" w:firstLine="443"/>
        <w:spacing w:after="0" w:line="259" w:lineRule="auto"/>
        <w:tabs>
          <w:tab w:leader="none" w:pos="111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not more than 25% consist of Collateral Obligations, measured at the time of purchase by the Borrower, that (1) (i) have a DBRS Risk Score above 22.5401 or (ii) are in the process of receiving a Credit Estimate and (2) have a trailing twelve month EBITDA of less than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Collateral Obligations that receive a Credit Estimate with a DBRS Risk Score equal to or below 22.5401 will be excluded from such 25% limitation once the Credit Estimate is received;</w:t>
      </w:r>
    </w:p>
    <w:p>
      <w:pPr>
        <w:spacing w:after="0" w:line="78" w:lineRule="exact"/>
        <w:rPr>
          <w:rFonts w:ascii="Arial" w:cs="Arial" w:eastAsia="Arial" w:hAnsi="Arial"/>
          <w:sz w:val="18"/>
          <w:szCs w:val="18"/>
          <w:color w:val="auto"/>
        </w:rPr>
      </w:pPr>
    </w:p>
    <w:p>
      <w:pPr>
        <w:ind w:left="1200" w:hanging="297"/>
        <w:spacing w:after="0"/>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more than 5.0% consist of Collateral Obligations that are Eligible Covenant Lite Loans;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more than $25,000,000 consist of Collateral Obligations of Eligible Foreign Obligors organized in the United Kingdom.</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Conduit Support Facility</w:t>
      </w:r>
      <w:r>
        <w:rPr>
          <w:rFonts w:ascii="Arial" w:cs="Arial" w:eastAsia="Arial" w:hAnsi="Arial"/>
          <w:sz w:val="18"/>
          <w:szCs w:val="18"/>
          <w:color w:val="auto"/>
        </w:rPr>
        <w:t>” means, with respect to any Cost of Funds Rate Advance, (i) a loan facility, asset purchase facility, swap transaction or other arrangement under which the providers of such facility have agreed to provide funds for Commercial Paper Notes or (ii) a credit asset purchase agreement or other similar facility that provides credit support for defaults in respect of the failure to make such Advance, and in each case, any guaranty of any such agreement or facility.</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Conduit Support Funding</w:t>
      </w:r>
      <w:r>
        <w:rPr>
          <w:rFonts w:ascii="Arial" w:cs="Arial" w:eastAsia="Arial" w:hAnsi="Arial"/>
          <w:sz w:val="18"/>
          <w:szCs w:val="18"/>
          <w:color w:val="auto"/>
        </w:rPr>
        <w:t>” means, with respect to any Cost of Funds Rate Advance, at any time, funding by a CP Lender of all or a portion of the outstanding principal amount of such Advance with funds provided under a Conduit Support Facility.</w:t>
      </w:r>
    </w:p>
    <w:p>
      <w:pPr>
        <w:spacing w:after="0" w:line="170" w:lineRule="exact"/>
        <w:rPr>
          <w:sz w:val="20"/>
          <w:szCs w:val="20"/>
          <w:color w:val="auto"/>
        </w:rPr>
      </w:pPr>
    </w:p>
    <w:p>
      <w:pPr>
        <w:jc w:val="both"/>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Conduit Support Funding Period</w:t>
      </w:r>
      <w:r>
        <w:rPr>
          <w:rFonts w:ascii="Arial" w:cs="Arial" w:eastAsia="Arial" w:hAnsi="Arial"/>
          <w:sz w:val="18"/>
          <w:szCs w:val="18"/>
          <w:color w:val="auto"/>
        </w:rPr>
        <w:t>” means, with respect to any Cost of Funds Rate Advance, a period of time during which all or a portion of the outstanding principal amount of such Advance is funded through a Conduit Support Funding.</w:t>
      </w:r>
    </w:p>
    <w:p>
      <w:pPr>
        <w:spacing w:after="0" w:line="170"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Conduit Support Provider</w:t>
      </w:r>
      <w:r>
        <w:rPr>
          <w:rFonts w:ascii="Arial" w:cs="Arial" w:eastAsia="Arial" w:hAnsi="Arial"/>
          <w:sz w:val="18"/>
          <w:szCs w:val="18"/>
          <w:color w:val="auto"/>
        </w:rPr>
        <w:t>” means, without duplication, (i) a provider of a Conduit Support Facility to or for the benefit of any CP Conduit, and any guarantor of such provider or (ii) an entity that issues commercial paper or other debt obligations, the proceeds of which are used (directly or indirectly) to fund the obligations of any CP Conduit.</w:t>
      </w:r>
    </w:p>
    <w:p>
      <w:pPr>
        <w:spacing w:after="0" w:line="18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Conduit Support Rate</w:t>
      </w:r>
      <w:r>
        <w:rPr>
          <w:rFonts w:ascii="Arial" w:cs="Arial" w:eastAsia="Arial" w:hAnsi="Arial"/>
          <w:sz w:val="18"/>
          <w:szCs w:val="18"/>
          <w:color w:val="auto"/>
        </w:rPr>
        <w:t>” means with respect to any Conduit Support Funding for any period, the per annum rate of interest equal to the sum of (i) LIBOR applicable to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45" w:name="page146"/>
    <w:bookmarkEnd w:id="14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period plus (ii) 0.50%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quotation for LIBOR is not able to be obtained, the Conduit Support Rate shall equal, for each day in any period, the Base Rate applicable to such day.</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Taxes</w:t>
      </w:r>
      <w:r>
        <w:rPr>
          <w:rFonts w:ascii="Arial" w:cs="Arial" w:eastAsia="Arial" w:hAnsi="Arial"/>
          <w:sz w:val="18"/>
          <w:szCs w:val="18"/>
          <w:color w:val="auto"/>
        </w:rPr>
        <w:t>” means Other Connection Taxes that are (i) imposed on or measured by net income or net profits (however denominated) or that are franchise Taxes or branch profits Taxes, and (ii) Other Taxes.</w:t>
      </w:r>
    </w:p>
    <w:p>
      <w:pPr>
        <w:spacing w:after="0" w:line="170"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Documents</w:t>
      </w:r>
      <w:r>
        <w:rPr>
          <w:rFonts w:ascii="Arial" w:cs="Arial" w:eastAsia="Arial" w:hAnsi="Arial"/>
          <w:sz w:val="18"/>
          <w:szCs w:val="18"/>
          <w:color w:val="auto"/>
        </w:rPr>
        <w:t>” means in respect of any Person, the certificate or articles of formation or organization, the limited liability company agreement (including, in the case of the Borrower, the Borrower LLC 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193" w:lineRule="exact"/>
        <w:rPr>
          <w:sz w:val="20"/>
          <w:szCs w:val="20"/>
          <w:color w:val="auto"/>
        </w:rPr>
      </w:pPr>
    </w:p>
    <w:p>
      <w:pPr>
        <w:ind w:right="3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xml:space="preserve">” means, with respect to any Person, the direct or indirect possession of the power (i) to vote more than 50% of the equity interests having ordinary voting power for the election of directors (or the applicable equivalent) of such Person or (ii) to direct or cause the direction of the management or policies of such Person, whether through ownership, by contract, arrangement or understanding,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an independent director or independent manager of a Person shall not be deemed to exercise control for purposes of this definition. “</w:t>
      </w:r>
      <w:r>
        <w:rPr>
          <w:rFonts w:ascii="Arial" w:cs="Arial" w:eastAsia="Arial" w:hAnsi="Arial"/>
          <w:sz w:val="18"/>
          <w:szCs w:val="18"/>
          <w:u w:val="single" w:color="auto"/>
          <w:color w:val="auto"/>
        </w:rPr>
        <w:t>Controlled</w:t>
      </w:r>
      <w:r>
        <w:rPr>
          <w:rFonts w:ascii="Arial" w:cs="Arial" w:eastAsia="Arial" w:hAnsi="Arial"/>
          <w:sz w:val="18"/>
          <w:szCs w:val="18"/>
          <w:color w:val="auto"/>
        </w:rPr>
        <w:t>” and “</w:t>
      </w:r>
      <w:r>
        <w:rPr>
          <w:rFonts w:ascii="Arial" w:cs="Arial" w:eastAsia="Arial" w:hAnsi="Arial"/>
          <w:sz w:val="18"/>
          <w:szCs w:val="18"/>
          <w:u w:val="single" w:color="auto"/>
          <w:color w:val="auto"/>
        </w:rPr>
        <w:t>Controlling</w:t>
      </w:r>
      <w:r>
        <w:rPr>
          <w:rFonts w:ascii="Arial" w:cs="Arial" w:eastAsia="Arial" w:hAnsi="Arial"/>
          <w:sz w:val="18"/>
          <w:szCs w:val="18"/>
          <w:color w:val="auto"/>
        </w:rPr>
        <w:t>” have the meaning correlative thereto.</w:t>
      </w:r>
    </w:p>
    <w:p>
      <w:pPr>
        <w:spacing w:after="0" w:line="18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Cost of Funds Rate</w:t>
      </w:r>
      <w:r>
        <w:rPr>
          <w:rFonts w:ascii="Arial" w:cs="Arial" w:eastAsia="Arial" w:hAnsi="Arial"/>
          <w:sz w:val="17"/>
          <w:szCs w:val="17"/>
          <w:color w:val="auto"/>
        </w:rPr>
        <w:t xml:space="preserve">” means the weighted average of the Commercial Paper Rate and the Conduit Support Rate at any time and from time to time based upon the portion of the outstanding principal amount of such Advance that is funded by Commercial Paper Funding or Conduit Support Funding for one or more Commercial Paper Funding Periods or Conduit Support Funding Periods,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Cost of Funds Rate for any period exceed the Cost of Funds Rate Cap for such period. For purposes of this definition and its use in this Agreement, the Commercial Paper Rate established by a CP Conduit shall be associated with the Commercial Paper Funding undertaken by such CP Conduit.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Cost of Funds Rate Advance</w:t>
      </w:r>
      <w:r>
        <w:rPr>
          <w:rFonts w:ascii="Arial" w:cs="Arial" w:eastAsia="Arial" w:hAnsi="Arial"/>
          <w:sz w:val="16"/>
          <w:szCs w:val="16"/>
          <w:color w:val="auto"/>
        </w:rPr>
        <w:t xml:space="preserve">” means each Advance that bears interest at a rate based on the Cost of Funds Rate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24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 of Funds Rate Cap</w:t>
      </w:r>
      <w:r>
        <w:rPr>
          <w:rFonts w:ascii="Arial" w:cs="Arial" w:eastAsia="Arial" w:hAnsi="Arial"/>
          <w:sz w:val="18"/>
          <w:szCs w:val="18"/>
          <w:color w:val="auto"/>
        </w:rPr>
        <w:t xml:space="preserve">” means, for any applicable period, the sum of (i) the three month LIBOR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0.50%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pursuant to Schedule 6, the Facility Agent is unable to obtain a quotation for LIBOR, the Cost of Funds Rate Cap shall equal, for each day in any such period, the Base Rate applicable to such day.</w:t>
      </w:r>
    </w:p>
    <w:p>
      <w:pPr>
        <w:spacing w:after="0" w:line="181"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Lite Loan</w:t>
      </w:r>
      <w:r>
        <w:rPr>
          <w:rFonts w:ascii="Arial" w:cs="Arial" w:eastAsia="Arial" w:hAnsi="Arial"/>
          <w:sz w:val="18"/>
          <w:szCs w:val="18"/>
          <w:color w:val="auto"/>
        </w:rPr>
        <w:t>” means a Collateral Obligation the Related Documents for which do not (i) contain any financial covenants or (ii) require the borrower thereunder to comply with any Maintenance Covenant (regardless of whether compliance with one or more Incurrence Covenants is otherwise required by such Related Documents).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6" w:name="page147"/>
    <w:bookmarkEnd w:id="14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Coverage Test</w:t>
      </w:r>
      <w:r>
        <w:rPr>
          <w:rFonts w:ascii="Arial" w:cs="Arial" w:eastAsia="Arial" w:hAnsi="Arial"/>
          <w:sz w:val="18"/>
          <w:szCs w:val="18"/>
          <w:color w:val="auto"/>
        </w:rPr>
        <w:t>” means each of:</w:t>
      </w:r>
    </w:p>
    <w:p>
      <w:pPr>
        <w:spacing w:after="0" w:line="117" w:lineRule="exact"/>
        <w:rPr>
          <w:sz w:val="20"/>
          <w:szCs w:val="20"/>
          <w:color w:val="auto"/>
        </w:rPr>
      </w:pPr>
    </w:p>
    <w:p>
      <w:pPr>
        <w:ind w:left="1140" w:hanging="237"/>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Minimum Overcollateralization Ratio Test;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Interest Coverage Ratio Test.</w:t>
      </w:r>
    </w:p>
    <w:p>
      <w:pPr>
        <w:spacing w:after="0" w:line="225" w:lineRule="exact"/>
        <w:rPr>
          <w:sz w:val="20"/>
          <w:szCs w:val="20"/>
          <w:color w:val="auto"/>
        </w:rPr>
      </w:pPr>
    </w:p>
    <w:p>
      <w:pPr>
        <w:jc w:val="both"/>
        <w:ind w:right="1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Account</w:t>
      </w:r>
      <w:r>
        <w:rPr>
          <w:rFonts w:ascii="Arial" w:cs="Arial" w:eastAsia="Arial" w:hAnsi="Arial"/>
          <w:sz w:val="16"/>
          <w:szCs w:val="16"/>
          <w:color w:val="auto"/>
        </w:rPr>
        <w:t>” means each of the Collection Account (including the Interest Collection Subaccount, the Principal Collection Subaccount, and the Canadian Dollar Subaccount), the Payment Account, the Revolving Reserve Account, the Lender Funding Account (including each Lender Funding Subaccount therein), the Currency Exchange Account, the Custodial Account, the Funded Draw Collection Account, and the Closing Expense Account.</w:t>
      </w:r>
    </w:p>
    <w:p>
      <w:pPr>
        <w:spacing w:after="0" w:line="147"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CP Conduit</w:t>
      </w:r>
      <w:r>
        <w:rPr>
          <w:rFonts w:ascii="Arial" w:cs="Arial" w:eastAsia="Arial" w:hAnsi="Arial"/>
          <w:sz w:val="16"/>
          <w:szCs w:val="16"/>
          <w:color w:val="auto"/>
        </w:rPr>
        <w:t>” means any limited-purpose entity established to use the direct or indirect proceeds of the issuance of Commercial Paper Notes to finance financial assets. For the avoidance of doubt, for all purposes under this Agreement and the other Facility Documents, the term “</w:t>
      </w:r>
      <w:r>
        <w:rPr>
          <w:rFonts w:ascii="Arial" w:cs="Arial" w:eastAsia="Arial" w:hAnsi="Arial"/>
          <w:sz w:val="16"/>
          <w:szCs w:val="16"/>
          <w:u w:val="single" w:color="auto"/>
          <w:color w:val="auto"/>
        </w:rPr>
        <w:t>CP Conduit</w:t>
      </w:r>
      <w:r>
        <w:rPr>
          <w:rFonts w:ascii="Arial" w:cs="Arial" w:eastAsia="Arial" w:hAnsi="Arial"/>
          <w:sz w:val="16"/>
          <w:szCs w:val="16"/>
          <w:color w:val="auto"/>
        </w:rPr>
        <w:t>” shall include (i) Versailles Assets LLC, (ii) Bleachers Finance 1 Limited, (iii) any other commercial paper program or vehicle established or administered by Natixis or any of its Affiliates, and (iv) any other commercial paper program or vehicle established or administered by 20 Gates Management LLC.</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 Lender</w:t>
      </w:r>
      <w:r>
        <w:rPr>
          <w:rFonts w:ascii="Arial" w:cs="Arial" w:eastAsia="Arial" w:hAnsi="Arial"/>
          <w:sz w:val="18"/>
          <w:szCs w:val="18"/>
          <w:color w:val="auto"/>
        </w:rPr>
        <w:t>” means a CP Conduit that is a Lender.</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 LIBOR Lender</w:t>
      </w:r>
      <w:r>
        <w:rPr>
          <w:rFonts w:ascii="Arial" w:cs="Arial" w:eastAsia="Arial" w:hAnsi="Arial"/>
          <w:sz w:val="18"/>
          <w:szCs w:val="18"/>
          <w:color w:val="auto"/>
        </w:rPr>
        <w:t>” means a CP Conduit that has demonstrated to the reasonable satisfaction of the Agents and the Borrower that it is unable to obtain Commercial Paper Funding and has elected in a written notice to the Borrower and the Agents to have its Advances accrue interest by reference to LIBOR.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Estimate</w:t>
      </w:r>
      <w:r>
        <w:rPr>
          <w:rFonts w:ascii="Arial" w:cs="Arial" w:eastAsia="Arial" w:hAnsi="Arial"/>
          <w:sz w:val="17"/>
          <w:szCs w:val="17"/>
          <w:color w:val="auto"/>
        </w:rPr>
        <w:t>” means, with respect to any Collateral Obligation, a numerical value representing a credit estimate obtained from DBRS.</w:t>
      </w:r>
    </w:p>
    <w:p>
      <w:pPr>
        <w:spacing w:after="0" w:line="23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Risk Loan/Bond</w:t>
      </w:r>
      <w:r>
        <w:rPr>
          <w:rFonts w:ascii="Arial" w:cs="Arial" w:eastAsia="Arial" w:hAnsi="Arial"/>
          <w:sz w:val="18"/>
          <w:szCs w:val="18"/>
          <w:color w:val="auto"/>
        </w:rPr>
        <w:t>” means a Collateral Obligation that is not a Defaulted Loan/Bond but which, in the reasonable business judgment of the Investment Manager (exercised in accordance with the Servicing Standard), has a significant risk of declining in credit quality and, with the lapse of time, becoming a Defaulted Loan/Bond and is designated as a “</w:t>
      </w:r>
      <w:r>
        <w:rPr>
          <w:rFonts w:ascii="Arial" w:cs="Arial" w:eastAsia="Arial" w:hAnsi="Arial"/>
          <w:sz w:val="18"/>
          <w:szCs w:val="18"/>
          <w:u w:val="single" w:color="auto"/>
          <w:color w:val="auto"/>
        </w:rPr>
        <w:t>Credit Risk Loan/Bond</w:t>
      </w:r>
      <w:r>
        <w:rPr>
          <w:rFonts w:ascii="Arial" w:cs="Arial" w:eastAsia="Arial" w:hAnsi="Arial"/>
          <w:sz w:val="18"/>
          <w:szCs w:val="18"/>
          <w:color w:val="auto"/>
        </w:rPr>
        <w:t>” by the Investment Manager.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CRR</w:t>
      </w:r>
      <w:r>
        <w:rPr>
          <w:rFonts w:ascii="Arial" w:cs="Arial" w:eastAsia="Arial" w:hAnsi="Arial"/>
          <w:sz w:val="16"/>
          <w:szCs w:val="16"/>
          <w:color w:val="auto"/>
        </w:rPr>
        <w:t>” means EU Regulation 575/2013 (on prudential requirements for credit institutions and investment firms and amending Regulation (EU)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648/2012).</w:t>
      </w:r>
    </w:p>
    <w:p>
      <w:pPr>
        <w:spacing w:after="0" w:line="211"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Cumulative Net Loss Amount</w:t>
      </w:r>
      <w:r>
        <w:rPr>
          <w:rFonts w:ascii="Arial" w:cs="Arial" w:eastAsia="Arial" w:hAnsi="Arial"/>
          <w:sz w:val="16"/>
          <w:szCs w:val="16"/>
          <w:color w:val="auto"/>
        </w:rPr>
        <w:t xml:space="preserve">” means, as of any date of determination, the sum of all Net Loss Amounts as of such date, minus any amount previously paid to the holders of the Equity pursuant to </w:t>
      </w:r>
      <w:r>
        <w:rPr>
          <w:rFonts w:ascii="Arial" w:cs="Arial" w:eastAsia="Arial" w:hAnsi="Arial"/>
          <w:sz w:val="16"/>
          <w:szCs w:val="16"/>
          <w:u w:val="single" w:color="auto"/>
          <w:color w:val="auto"/>
        </w:rPr>
        <w:t>Sections 9.01(a)(i)(K)</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w:t>
      </w:r>
      <w:r>
        <w:rPr>
          <w:rFonts w:ascii="Arial" w:cs="Arial" w:eastAsia="Arial" w:hAnsi="Arial"/>
          <w:sz w:val="16"/>
          <w:szCs w:val="16"/>
          <w:color w:val="auto"/>
        </w:rPr>
        <w:t xml:space="preserve"> on each Payment Date preceding such date of determination.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 Exchange Account</w:t>
      </w:r>
      <w:r>
        <w:rPr>
          <w:rFonts w:ascii="Arial" w:cs="Arial" w:eastAsia="Arial" w:hAnsi="Arial"/>
          <w:sz w:val="18"/>
          <w:szCs w:val="18"/>
          <w:color w:val="auto"/>
        </w:rPr>
        <w:t xml:space="preserve">” means the currency exchange account established pursuant to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47" w:name="page148"/>
    <w:bookmarkEnd w:id="147"/>
    <w:p>
      <w:pPr>
        <w:ind w:right="2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Currency Exchange Mark-to-Market Amount</w:t>
      </w:r>
      <w:r>
        <w:rPr>
          <w:rFonts w:ascii="Arial" w:cs="Arial" w:eastAsia="Arial" w:hAnsi="Arial"/>
          <w:sz w:val="18"/>
          <w:szCs w:val="18"/>
          <w:color w:val="auto"/>
        </w:rPr>
        <w:t>” means, as of any Determination Date, the amount, if any, by which (x) the Dollar value of the Principal Balance of the Canadian Dollar Obligations at the Settlement Date Rate (after adjustment for any repayments of principal) exceeds (y) the Dollar value of the Principal Balance of the Canadian Dollar Obligations at the applicable Spot Foreign Exchange Rate on such Determination Date. For the avoidance of doubt, no amount calculated pursuant to this definition shall be less than zero.</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Pay Obligation</w:t>
      </w:r>
      <w:r>
        <w:rPr>
          <w:rFonts w:ascii="Arial" w:cs="Arial" w:eastAsia="Arial" w:hAnsi="Arial"/>
          <w:sz w:val="18"/>
          <w:szCs w:val="18"/>
          <w:color w:val="auto"/>
        </w:rPr>
        <w:t>” means any Collateral Obligation that would otherwise be a Defaulted Loan/Bond but as to which:</w:t>
      </w:r>
    </w:p>
    <w:p>
      <w:pPr>
        <w:spacing w:after="0" w:line="117" w:lineRule="exact"/>
        <w:rPr>
          <w:sz w:val="20"/>
          <w:szCs w:val="20"/>
          <w:color w:val="auto"/>
        </w:rPr>
      </w:pPr>
    </w:p>
    <w:p>
      <w:pPr>
        <w:ind w:left="460" w:right="160" w:firstLine="443"/>
        <w:spacing w:after="0" w:line="259" w:lineRule="auto"/>
        <w:tabs>
          <w:tab w:leader="none" w:pos="11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(x) no default has occurred and is continuing with respect to the payment of interest and any contractual principal (if any), (y) all contractual payments due at the relevant time of determination (including principal, interest and any other such payments) have been paid in Cash and (z) the Borrower reasonably expects that the next interest payment due will be paid in Cash on the scheduled payment date (which judgment shall not subsequently be called into question as a result of subsequent events);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such Collateral Obligation has a Market Value (which is not determined pursuant to clause (d)(ii) of the definition thereof) of no less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 80% of par; and</w:t>
      </w:r>
    </w:p>
    <w:p>
      <w:pPr>
        <w:spacing w:after="0" w:line="103" w:lineRule="exact"/>
        <w:rPr>
          <w:sz w:val="20"/>
          <w:szCs w:val="20"/>
          <w:color w:val="auto"/>
        </w:rPr>
      </w:pPr>
    </w:p>
    <w:p>
      <w:pPr>
        <w:ind w:left="460" w:firstLine="443"/>
        <w:spacing w:after="0" w:line="264" w:lineRule="auto"/>
        <w:tabs>
          <w:tab w:leader="none" w:pos="114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Obligor in respect of such Collateral Obligation is subject to a bankruptcy proceeding, (x) the related bankruptcy court has authorized all payments due and payable on such Collateral Obligation and (y) all interest payments and scheduled distributions of principal authorized by such bankruptcy court have been paid by such Obligor in respect of such Collateral Obligation.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Account</w:t>
      </w:r>
      <w:r>
        <w:rPr>
          <w:rFonts w:ascii="Arial" w:cs="Arial" w:eastAsia="Arial" w:hAnsi="Arial"/>
          <w:sz w:val="18"/>
          <w:szCs w:val="18"/>
          <w:color w:val="auto"/>
        </w:rPr>
        <w:t>” means the custodial account established pursuant to Section 8.03(b).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Collateral Agent, as custodian hereunder, together with its successors.</w:t>
      </w:r>
    </w:p>
    <w:p>
      <w:pPr>
        <w:spacing w:after="0" w:line="225"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Average Collateral Obligation Commitment Amount</w:t>
      </w:r>
      <w:r>
        <w:rPr>
          <w:rFonts w:ascii="Arial" w:cs="Arial" w:eastAsia="Arial" w:hAnsi="Arial"/>
          <w:sz w:val="16"/>
          <w:szCs w:val="16"/>
          <w:color w:val="auto"/>
        </w:rPr>
        <w:t>” means, for any Payment Date, the daily average Aggregate Principal Balance of all Collateral Obligations for the Collection Period relating to such Payment Date (as certified by the Investment Manager to the Collateral Agent and based on the average of the Aggregate Principal Balance of all Collateral Obligations as of the reporting dates set forth in the last three Monthly Reports).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w:t>
      </w:r>
      <w:r>
        <w:rPr>
          <w:rFonts w:ascii="Arial" w:cs="Arial" w:eastAsia="Arial" w:hAnsi="Arial"/>
          <w:sz w:val="18"/>
          <w:szCs w:val="18"/>
          <w:color w:val="auto"/>
        </w:rPr>
        <w:t>” means DBRS, Inc., together with its 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Industry Classification</w:t>
      </w:r>
      <w:r>
        <w:rPr>
          <w:rFonts w:ascii="Arial" w:cs="Arial" w:eastAsia="Arial" w:hAnsi="Arial"/>
          <w:sz w:val="18"/>
          <w:szCs w:val="18"/>
          <w:color w:val="auto"/>
        </w:rPr>
        <w:t xml:space="preserve">” means each industry identified on </w:t>
      </w:r>
      <w:r>
        <w:rPr>
          <w:rFonts w:ascii="Arial" w:cs="Arial" w:eastAsia="Arial" w:hAnsi="Arial"/>
          <w:sz w:val="18"/>
          <w:szCs w:val="18"/>
          <w:u w:val="single" w:color="auto"/>
          <w:color w:val="auto"/>
        </w:rPr>
        <w:t>Schedule 5</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Long Term Rating</w:t>
      </w:r>
      <w:r>
        <w:rPr>
          <w:rFonts w:ascii="Arial" w:cs="Arial" w:eastAsia="Arial" w:hAnsi="Arial"/>
          <w:sz w:val="18"/>
          <w:szCs w:val="18"/>
          <w:color w:val="auto"/>
        </w:rPr>
        <w:t xml:space="preserve">” means a long term credit rating determined in accordance with the provisions set forth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Rating</w:t>
      </w:r>
      <w:r>
        <w:rPr>
          <w:rFonts w:ascii="Arial" w:cs="Arial" w:eastAsia="Arial" w:hAnsi="Arial"/>
          <w:sz w:val="18"/>
          <w:szCs w:val="18"/>
          <w:color w:val="auto"/>
        </w:rPr>
        <w:t xml:space="preserve">” means a credit rating determined in accordance with the procedures set forth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48" w:name="page149"/>
    <w:bookmarkEnd w:id="148"/>
    <w:p>
      <w:pPr>
        <w:ind w:right="2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DBRS Recovery Rate</w:t>
      </w:r>
      <w:r>
        <w:rPr>
          <w:rFonts w:ascii="Arial" w:cs="Arial" w:eastAsia="Arial" w:hAnsi="Arial"/>
          <w:sz w:val="18"/>
          <w:szCs w:val="18"/>
          <w:color w:val="auto"/>
        </w:rPr>
        <w:t>” means for each Collateral Obligation for purposes of determining the Weighted Average Recovery Rate, a percentage based on the most appropriate description of the Collateral Obligation’s security position from the following table: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Eligible Senior Secured Loan</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Eligible Second Lien Loan</w:t>
            </w:r>
          </w:p>
        </w:tc>
        <w:tc>
          <w:tcPr>
            <w:tcW w:w="312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Eligible Senior Secured Bond</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First Lien/Last Out Loan</w:t>
            </w:r>
          </w:p>
        </w:tc>
        <w:tc>
          <w:tcPr>
            <w:tcW w:w="312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Eligible Mezzanine Loan</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bl>
    <w:p>
      <w:pPr>
        <w:spacing w:after="0" w:line="202"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Risk Score</w:t>
      </w:r>
      <w:r>
        <w:rPr>
          <w:rFonts w:ascii="Arial" w:cs="Arial" w:eastAsia="Arial" w:hAnsi="Arial"/>
          <w:sz w:val="18"/>
          <w:szCs w:val="18"/>
          <w:color w:val="auto"/>
        </w:rPr>
        <w:t xml:space="preserve">” means the numerical value corresponding to the DBRS Long Term Rating for a Collateral Obligation in the table contained in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Short Term Rating</w:t>
      </w:r>
      <w:r>
        <w:rPr>
          <w:rFonts w:ascii="Arial" w:cs="Arial" w:eastAsia="Arial" w:hAnsi="Arial"/>
          <w:sz w:val="18"/>
          <w:szCs w:val="18"/>
          <w:color w:val="auto"/>
        </w:rPr>
        <w:t xml:space="preserve">” means a short term credit rating determined in accordance with the provisions set forth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which, with the passage of time, the giving of notice, or both, would constitute an Event of Default.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Defaulted Equity Security</w:t>
      </w:r>
      <w:r>
        <w:rPr>
          <w:rFonts w:ascii="Arial" w:cs="Arial" w:eastAsia="Arial" w:hAnsi="Arial"/>
          <w:sz w:val="17"/>
          <w:szCs w:val="17"/>
          <w:color w:val="auto"/>
        </w:rPr>
        <w:t>” means any equity security delivered to the Borrower upon acceptance of an Offer in respect of a Defaulted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Loan/Bond.</w:t>
      </w:r>
    </w:p>
    <w:p>
      <w:pPr>
        <w:spacing w:after="0" w:line="211"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Defaulted Loan/Bond</w:t>
      </w:r>
      <w:r>
        <w:rPr>
          <w:rFonts w:ascii="Arial" w:cs="Arial" w:eastAsia="Arial" w:hAnsi="Arial"/>
          <w:sz w:val="16"/>
          <w:szCs w:val="16"/>
          <w:color w:val="auto"/>
        </w:rPr>
        <w:t xml:space="preserve">” means any Collateral Obligation, (i) as to which (a) any payment due (whether scheduled, unscheduled, by way of acceleration or otherwise) under the Related Documents is not made when due and such nonpayment is continuing for five Business Days, (b) any payment of principal, interest or commitment fees due on another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debt obligation of the Obligor is not made when due and such nonpayment is continuing for 30 days and would permit the acceleration of any principal, interest or other amounts owed under the related Related Documents, but only until such default has been cured or waived or a forbearance agreement has been entered into and remains in effect, and such Collateral Obligation satisfies the criteria for inclusion in the Collateral described in the definitions of the terms “</w:t>
      </w:r>
      <w:r>
        <w:rPr>
          <w:rFonts w:ascii="Arial" w:cs="Arial" w:eastAsia="Arial" w:hAnsi="Arial"/>
          <w:sz w:val="16"/>
          <w:szCs w:val="16"/>
          <w:u w:val="single" w:color="auto"/>
          <w:color w:val="auto"/>
        </w:rPr>
        <w:t>Eligibility Criteria</w:t>
      </w:r>
      <w:r>
        <w:rPr>
          <w:rFonts w:ascii="Arial" w:cs="Arial" w:eastAsia="Arial" w:hAnsi="Arial"/>
          <w:sz w:val="16"/>
          <w:szCs w:val="16"/>
          <w:color w:val="auto"/>
        </w:rPr>
        <w:t>” or “</w:t>
      </w:r>
      <w:r>
        <w:rPr>
          <w:rFonts w:ascii="Arial" w:cs="Arial" w:eastAsia="Arial" w:hAnsi="Arial"/>
          <w:sz w:val="16"/>
          <w:szCs w:val="16"/>
          <w:u w:val="single" w:color="auto"/>
          <w:color w:val="auto"/>
        </w:rPr>
        <w:t>Eligible Investments</w:t>
      </w:r>
      <w:r>
        <w:rPr>
          <w:rFonts w:ascii="Arial" w:cs="Arial" w:eastAsia="Arial" w:hAnsi="Arial"/>
          <w:sz w:val="16"/>
          <w:szCs w:val="16"/>
          <w:color w:val="auto"/>
        </w:rPr>
        <w:t>”, (c) except in the case of a Collateral Obligation which is a Current Pay Obligation or a DIP Loan, the Obligor in respect of such Collateral Obligation has, or others have, instituted proceedings to have such Obligor adjudicated as bankrupt or insolvent or placed into receivership and such proceedings have not been stayed or dismissed and the Collateral Obligation has not received adequate protection and current interest, or such Obligor has filed for protection under Chapter 11 of the Bankruptcy Code,</w:t>
      </w:r>
    </w:p>
    <w:p>
      <w:pPr>
        <w:spacing w:after="0" w:line="7" w:lineRule="exact"/>
        <w:rPr>
          <w:sz w:val="20"/>
          <w:szCs w:val="20"/>
          <w:color w:val="auto"/>
        </w:rPr>
      </w:pPr>
    </w:p>
    <w:p>
      <w:pPr>
        <w:ind w:firstLine="8"/>
        <w:spacing w:after="0" w:line="252" w:lineRule="auto"/>
        <w:tabs>
          <w:tab w:leader="none" w:pos="2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in the case of a Collateral Obligation which is a Current Pay Obligation or a DIP Loan, such Collateral Obligation or the Obligor in respect of such Collateral Obligation or another obligation of such Obligor has a DBRS Long Term Rating of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had such a rating before such rating was withdrawn, or a DBRS Long Term Rating in respect of such Collateral Obligation or Obligor cannot be determined or has not received a Credit Estimate, (e) such Collateral Obligation has been placed and remains on non-accrual by the Investment Manager, or (f) a Specified Change has occurred and the Borrower has not satisfied the requirements of </w:t>
      </w:r>
      <w:r>
        <w:rPr>
          <w:rFonts w:ascii="Arial" w:cs="Arial" w:eastAsia="Arial" w:hAnsi="Arial"/>
          <w:sz w:val="18"/>
          <w:szCs w:val="18"/>
          <w:u w:val="single" w:color="auto"/>
          <w:color w:val="auto"/>
        </w:rPr>
        <w:t>Section 5.02(v)</w:t>
      </w:r>
      <w:r>
        <w:rPr>
          <w:rFonts w:ascii="Arial" w:cs="Arial" w:eastAsia="Arial" w:hAnsi="Arial"/>
          <w:sz w:val="18"/>
          <w:szCs w:val="18"/>
          <w:color w:val="auto"/>
        </w:rPr>
        <w:t xml:space="preserve"> with respect to such Specified Change; (ii) that is a Participation Interest (a) with respect to which the related Selling Institution has defaulted in any material respect in the performance of any of its payment obligations under the Participation Interest, or (b) that would, if such loan or other debt security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49" w:name="page150"/>
    <w:bookmarkEnd w:id="14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were a Collateral Obligation, constitute a “</w:t>
      </w:r>
      <w:r>
        <w:rPr>
          <w:rFonts w:ascii="Arial" w:cs="Arial" w:eastAsia="Arial" w:hAnsi="Arial"/>
          <w:sz w:val="18"/>
          <w:szCs w:val="18"/>
          <w:u w:val="single" w:color="auto"/>
          <w:color w:val="auto"/>
        </w:rPr>
        <w:t>Defaulted Loan/Bond</w:t>
      </w:r>
      <w:r>
        <w:rPr>
          <w:rFonts w:ascii="Arial" w:cs="Arial" w:eastAsia="Arial" w:hAnsi="Arial"/>
          <w:sz w:val="18"/>
          <w:szCs w:val="18"/>
          <w:color w:val="auto"/>
        </w:rPr>
        <w:t>” under clause (i) above, or (c) with respect to which the related Selling Institution has a DBRS Long Term Rating of “</w:t>
      </w:r>
      <w:r>
        <w:rPr>
          <w:rFonts w:ascii="Arial" w:cs="Arial" w:eastAsia="Arial" w:hAnsi="Arial"/>
          <w:sz w:val="18"/>
          <w:szCs w:val="18"/>
          <w:u w:val="single" w:color="auto"/>
          <w:color w:val="auto"/>
        </w:rPr>
        <w:t>D</w:t>
      </w:r>
      <w:r>
        <w:rPr>
          <w:rFonts w:ascii="Arial" w:cs="Arial" w:eastAsia="Arial" w:hAnsi="Arial"/>
          <w:sz w:val="18"/>
          <w:szCs w:val="18"/>
          <w:color w:val="auto"/>
        </w:rPr>
        <w:t>”, or had such rating before such rating was withdrawn, or any such debt or deposit obligations shall cease to be rated or a DBRS Long Term Rating in respect of such Selling Institution cannot be determined; or (d) the Selling Institution has defaulted in the performance of any of its payment obligations with respect to such Participation Interests under the related participation agreement; or (iii) that, in the reasonable business judgment of the Investment Manager, is a Defaulted Loan/Bond.</w:t>
      </w:r>
    </w:p>
    <w:p>
      <w:pPr>
        <w:spacing w:after="0" w:line="188"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A Collateral Obligation that has become a Defaulted Loan/Bond shall no longer constitute a Defaulted Loan/Bond when either (a) (i) such Defaulted Loan/Bond is current on all payments for a period of six months if such obligation pays monthly, nine months if such obligation pays quarterly and one year if such obligation pays semiannually, (ii) such Defaulted Loan/Bond would qualify as a Collateral Obligation and would satisfy the Eligibility Criteria if originated or purchased at such time and (iii) the Investment Manager has retained an Approved Valuation Firm to assist in the performance of a valuation analysis of such Defaulted Loan/Bond or (b) the Facility Agent has given its prior written consent that such Defaulted Loan/Bond shall no longer constitute a Defaulted Loan/Bond and the Borrower has obtained a Rating Confirmation in connection therewith. The Borrower shall submit any such Collateral Obligation to DBRS for an updated Credit Estimate promptly after it ceases to constitute a Defaulted Loan/Bond in accordance with the preceding sentence.</w:t>
      </w:r>
    </w:p>
    <w:p>
      <w:pPr>
        <w:spacing w:after="0" w:line="192"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at any time, any Lender that, at such time has failed for three or more Business Days after a Borrowing Date to fund its portion of an Advance required pursuant to the terms of this Agreement (other than failures to fund as a result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dispute as to whether the conditions to borrowing were satisfied on the relevant Borrowing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CP Lender that has failed so to fund an Advance shall not be deemed to be a Defaulting Lender if the Conduit Support Provider or any Affiliate of such CP Lender has funded any such Advance to the Borrower.</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Replacement Investment Management Fee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9.01(a)(i)(I)</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Drawdown Collateral Loan</w:t>
      </w:r>
      <w:r>
        <w:rPr>
          <w:rFonts w:ascii="Arial" w:cs="Arial" w:eastAsia="Arial" w:hAnsi="Arial"/>
          <w:sz w:val="18"/>
          <w:szCs w:val="18"/>
          <w:color w:val="auto"/>
        </w:rPr>
        <w:t xml:space="preserve">” means a Collateral Obligation that (a) requires the Borrower to make one or more future advances to the borrower under the Related Documents, drawable only in the currency in which such Collateral Obligation is denominated, (b) specifies a maximum amount that can be borrowed on one or more fixed borrowing dates, and (c) does not permit the re-borrowing of any amount previously repaid by the borrower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Collateral Obligation will be a Delayed Drawdown Collateral Loan only to the extent of undrawn commitments and solely until all commitments by the Borrower to make advances on such Collateral Obligation to the borrower under the Related Documents expire or are terminated or are reduced to zero.</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Deliver</w:t>
      </w:r>
      <w:r>
        <w:rPr>
          <w:rFonts w:ascii="Arial" w:cs="Arial" w:eastAsia="Arial" w:hAnsi="Arial"/>
          <w:sz w:val="18"/>
          <w:szCs w:val="18"/>
          <w:color w:val="auto"/>
        </w:rPr>
        <w:t>” or “</w:t>
      </w:r>
      <w:r>
        <w:rPr>
          <w:rFonts w:ascii="Arial" w:cs="Arial" w:eastAsia="Arial" w:hAnsi="Arial"/>
          <w:sz w:val="18"/>
          <w:szCs w:val="18"/>
          <w:u w:val="single" w:color="auto"/>
          <w:color w:val="auto"/>
        </w:rPr>
        <w:t>Delivered</w:t>
      </w:r>
      <w:r>
        <w:rPr>
          <w:rFonts w:ascii="Arial" w:cs="Arial" w:eastAsia="Arial" w:hAnsi="Arial"/>
          <w:sz w:val="18"/>
          <w:szCs w:val="18"/>
          <w:color w:val="auto"/>
        </w:rPr>
        <w:t>” or “</w:t>
      </w:r>
      <w:r>
        <w:rPr>
          <w:rFonts w:ascii="Arial" w:cs="Arial" w:eastAsia="Arial" w:hAnsi="Arial"/>
          <w:sz w:val="18"/>
          <w:szCs w:val="18"/>
          <w:u w:val="single" w:color="auto"/>
          <w:color w:val="auto"/>
        </w:rPr>
        <w:t>Delivery</w:t>
      </w:r>
      <w:r>
        <w:rPr>
          <w:rFonts w:ascii="Arial" w:cs="Arial" w:eastAsia="Arial" w:hAnsi="Arial"/>
          <w:sz w:val="18"/>
          <w:szCs w:val="18"/>
          <w:color w:val="auto"/>
        </w:rPr>
        <w:t>” means the taking of the following steps: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50" w:name="page151"/>
    <w:bookmarkEnd w:id="150"/>
    <w:p>
      <w:pPr>
        <w:ind w:right="480" w:firstLine="443"/>
        <w:spacing w:after="0" w:line="277" w:lineRule="auto"/>
        <w:tabs>
          <w:tab w:leader="none" w:pos="683"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each Certificated Security (other than a Clearing Corporation Security), Instrument and Participation Interest in which the Participation Interest or the underlying loan is represented by an Instrument:</w:t>
      </w:r>
    </w:p>
    <w:p>
      <w:pPr>
        <w:spacing w:after="0" w:line="62" w:lineRule="exact"/>
        <w:rPr>
          <w:rFonts w:ascii="Arial" w:cs="Arial" w:eastAsia="Arial" w:hAnsi="Arial"/>
          <w:sz w:val="18"/>
          <w:szCs w:val="18"/>
          <w:color w:val="auto"/>
        </w:rPr>
      </w:pPr>
    </w:p>
    <w:p>
      <w:pPr>
        <w:ind w:left="460" w:firstLine="421"/>
        <w:spacing w:after="0" w:line="277" w:lineRule="auto"/>
        <w:tabs>
          <w:tab w:leader="none" w:pos="109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causing the delivery of such Certificated Security or Instrument to the Custodian by registering the same in the name of the Custodian or its affiliated nominee or by endorsing the same to the Custodian or in blank;</w:t>
      </w:r>
    </w:p>
    <w:p>
      <w:pPr>
        <w:spacing w:after="0" w:line="62" w:lineRule="exact"/>
        <w:rPr>
          <w:rFonts w:ascii="Arial" w:cs="Arial" w:eastAsia="Arial" w:hAnsi="Arial"/>
          <w:sz w:val="18"/>
          <w:szCs w:val="18"/>
          <w:color w:val="auto"/>
        </w:rPr>
      </w:pPr>
    </w:p>
    <w:p>
      <w:pPr>
        <w:ind w:left="460" w:right="140" w:firstLine="421"/>
        <w:spacing w:after="0" w:line="277" w:lineRule="auto"/>
        <w:tabs>
          <w:tab w:leader="none" w:pos="114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Certificated Security or Instrument is credited to the applicable Covered Account; and</w:t>
      </w:r>
    </w:p>
    <w:p>
      <w:pPr>
        <w:spacing w:after="0" w:line="62" w:lineRule="exact"/>
        <w:rPr>
          <w:rFonts w:ascii="Arial" w:cs="Arial" w:eastAsia="Arial" w:hAnsi="Arial"/>
          <w:sz w:val="18"/>
          <w:szCs w:val="18"/>
          <w:color w:val="auto"/>
        </w:rPr>
      </w:pPr>
    </w:p>
    <w:p>
      <w:pPr>
        <w:ind w:left="1200" w:hanging="319"/>
        <w:spacing w:after="0"/>
        <w:tabs>
          <w:tab w:leader="none" w:pos="12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causing the Custodian to maintain continuous possession of such Certificated Security or Instrument;</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each Uncertificated Security (other than a Clearing Corporation Security), unless covered by clause (e) below:</w:t>
      </w:r>
    </w:p>
    <w:p>
      <w:pPr>
        <w:spacing w:after="0" w:line="117" w:lineRule="exact"/>
        <w:rPr>
          <w:rFonts w:ascii="Arial" w:cs="Arial" w:eastAsia="Arial" w:hAnsi="Arial"/>
          <w:sz w:val="18"/>
          <w:szCs w:val="18"/>
          <w:color w:val="auto"/>
        </w:rPr>
      </w:pPr>
    </w:p>
    <w:p>
      <w:pPr>
        <w:ind w:left="1100" w:hanging="219"/>
        <w:spacing w:after="0"/>
        <w:tabs>
          <w:tab w:leader="none" w:pos="11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causing such Uncertificated Security to be continuously registered on the books of the issuer thereof to the Custodian; and</w:t>
      </w:r>
    </w:p>
    <w:p>
      <w:pPr>
        <w:spacing w:after="0" w:line="117" w:lineRule="exact"/>
        <w:rPr>
          <w:rFonts w:ascii="Arial" w:cs="Arial" w:eastAsia="Arial" w:hAnsi="Arial"/>
          <w:sz w:val="18"/>
          <w:szCs w:val="18"/>
          <w:color w:val="auto"/>
        </w:rPr>
      </w:pPr>
    </w:p>
    <w:p>
      <w:pPr>
        <w:ind w:left="460" w:right="200" w:firstLine="421"/>
        <w:spacing w:after="0" w:line="277" w:lineRule="auto"/>
        <w:tabs>
          <w:tab w:leader="none" w:pos="114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Uncertificated Security is credited to the applicable Covered Account;</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each Clearing Corporation Security:</w:t>
      </w:r>
    </w:p>
    <w:p>
      <w:pPr>
        <w:spacing w:after="0" w:line="117" w:lineRule="exact"/>
        <w:rPr>
          <w:rFonts w:ascii="Arial" w:cs="Arial" w:eastAsia="Arial" w:hAnsi="Arial"/>
          <w:sz w:val="18"/>
          <w:szCs w:val="18"/>
          <w:color w:val="auto"/>
        </w:rPr>
      </w:pPr>
    </w:p>
    <w:p>
      <w:pPr>
        <w:ind w:left="1100" w:hanging="219"/>
        <w:spacing w:after="0"/>
        <w:tabs>
          <w:tab w:leader="none" w:pos="11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causing the relevant Clearing Corporation to credit such Clearing Corporation Security to the securities account of the Custodian, and</w:t>
      </w:r>
    </w:p>
    <w:p>
      <w:pPr>
        <w:spacing w:after="0" w:line="140" w:lineRule="exact"/>
        <w:rPr>
          <w:rFonts w:ascii="Arial" w:cs="Arial" w:eastAsia="Arial" w:hAnsi="Arial"/>
          <w:sz w:val="16"/>
          <w:szCs w:val="16"/>
          <w:color w:val="auto"/>
        </w:rPr>
      </w:pPr>
    </w:p>
    <w:p>
      <w:pPr>
        <w:ind w:left="460" w:right="480" w:firstLine="421"/>
        <w:spacing w:after="0" w:line="277" w:lineRule="auto"/>
        <w:tabs>
          <w:tab w:leader="none" w:pos="114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Clearing Corporation Security is credited to the applicable Covered Account;</w:t>
      </w:r>
    </w:p>
    <w:p>
      <w:pPr>
        <w:spacing w:after="0" w:line="62" w:lineRule="exact"/>
        <w:rPr>
          <w:rFonts w:ascii="Arial" w:cs="Arial" w:eastAsia="Arial" w:hAnsi="Arial"/>
          <w:sz w:val="18"/>
          <w:szCs w:val="18"/>
          <w:color w:val="auto"/>
        </w:rPr>
      </w:pPr>
    </w:p>
    <w:p>
      <w:pPr>
        <w:ind w:right="60" w:firstLine="443"/>
        <w:spacing w:after="0" w:line="277" w:lineRule="auto"/>
        <w:tabs>
          <w:tab w:leader="none" w:pos="6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each security issued or guaranteed by the United States or any agency or instrumentality thereof and that is maintained in book-entry records of a Federal Reserve Bank (each such security, a “</w:t>
      </w:r>
      <w:r>
        <w:rPr>
          <w:rFonts w:ascii="Arial" w:cs="Arial" w:eastAsia="Arial" w:hAnsi="Arial"/>
          <w:sz w:val="18"/>
          <w:szCs w:val="18"/>
          <w:u w:val="single" w:color="auto"/>
          <w:color w:val="auto"/>
        </w:rPr>
        <w:t>Government Security</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120" w:firstLine="421"/>
        <w:spacing w:after="0" w:line="277" w:lineRule="auto"/>
        <w:tabs>
          <w:tab w:leader="none" w:pos="109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causing the creation of a Security Entitlement to such Government Security by the credit of such Government Security to the securities account of the Custodian at such Federal Reserve Bank, and</w:t>
      </w:r>
    </w:p>
    <w:p>
      <w:pPr>
        <w:spacing w:after="0" w:line="62" w:lineRule="exact"/>
        <w:rPr>
          <w:rFonts w:ascii="Arial" w:cs="Arial" w:eastAsia="Arial" w:hAnsi="Arial"/>
          <w:sz w:val="18"/>
          <w:szCs w:val="18"/>
          <w:color w:val="auto"/>
        </w:rPr>
      </w:pPr>
    </w:p>
    <w:p>
      <w:pPr>
        <w:ind w:left="460" w:right="340" w:firstLine="421"/>
        <w:spacing w:after="0" w:line="277" w:lineRule="auto"/>
        <w:tabs>
          <w:tab w:leader="none" w:pos="114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Government Security is credited to the applicable Covered Account;</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each Security Entitlement not governed by clauses (a) through (d) above:</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151" w:name="page152"/>
    <w:bookmarkEnd w:id="151"/>
    <w:p>
      <w:pPr>
        <w:ind w:left="920" w:right="20" w:firstLine="421"/>
        <w:spacing w:after="0" w:line="279" w:lineRule="auto"/>
        <w:tabs>
          <w:tab w:leader="none" w:pos="1555" w:val="left"/>
        </w:tabs>
        <w:numPr>
          <w:ilvl w:val="1"/>
          <w:numId w:val="1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causing a Securities Intermediary (x) to indicate on its books and records that the underlying Financial Asset has been credited to the Custodian’s securities account, (y) to receive a Financial Asset from a Securities Intermediary or acquiring the underlying Financial Asset for a Securities Intermediary, and in either case, accepting it for credit to the Custodian’s securities account or (z) to become obligated under other law, regulation or rule to credit the underlying Financial Asset to a Securities Intermediary’s securities account,</w:t>
      </w:r>
    </w:p>
    <w:p>
      <w:pPr>
        <w:spacing w:after="0" w:line="63" w:lineRule="exact"/>
        <w:rPr>
          <w:rFonts w:ascii="Arial" w:cs="Arial" w:eastAsia="Arial" w:hAnsi="Arial"/>
          <w:sz w:val="17"/>
          <w:szCs w:val="17"/>
          <w:color w:val="auto"/>
        </w:rPr>
      </w:pPr>
    </w:p>
    <w:p>
      <w:pPr>
        <w:jc w:val="both"/>
        <w:ind w:left="920" w:right="320" w:firstLine="421"/>
        <w:spacing w:after="0" w:line="264" w:lineRule="auto"/>
        <w:tabs>
          <w:tab w:leader="none" w:pos="160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73" w:lineRule="exact"/>
        <w:rPr>
          <w:rFonts w:ascii="Arial" w:cs="Arial" w:eastAsia="Arial" w:hAnsi="Arial"/>
          <w:sz w:val="18"/>
          <w:szCs w:val="18"/>
          <w:color w:val="auto"/>
        </w:rPr>
      </w:pPr>
    </w:p>
    <w:p>
      <w:pPr>
        <w:ind w:left="920" w:right="40" w:firstLine="421"/>
        <w:spacing w:after="0" w:line="277" w:lineRule="auto"/>
        <w:tabs>
          <w:tab w:leader="none" w:pos="165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Cash or Money:</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55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causing the delivery of such Cash or Money to the Custodian, or in the case of Money that is not Dollars, causing the conversion thereof to Dollars and the delivery of such Dollars to the Custodian,</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causing the Custodian to credit such Dollars to a securities account maintained as a sub-account of the applicable Covered Account, and</w:t>
      </w:r>
    </w:p>
    <w:p>
      <w:pPr>
        <w:spacing w:after="0" w:line="140" w:lineRule="exact"/>
        <w:rPr>
          <w:rFonts w:ascii="Arial" w:cs="Arial" w:eastAsia="Arial" w:hAnsi="Arial"/>
          <w:sz w:val="16"/>
          <w:szCs w:val="16"/>
          <w:color w:val="auto"/>
        </w:rPr>
      </w:pPr>
    </w:p>
    <w:p>
      <w:pPr>
        <w:ind w:left="920" w:right="560" w:firstLine="421"/>
        <w:spacing w:after="0" w:line="277" w:lineRule="auto"/>
        <w:tabs>
          <w:tab w:leader="none" w:pos="165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Dollars are credited to the applicable Covered Account; and</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each Account or General Intangible (including any Participation Interest in which neither the Participation Interest nor the underlying loan is represented by an Instrument delivered to the Custodian pursuant to clause (a) above), causing the filing of a Financing Statement in the office of the Secretary of State of the State of Delaware (which Financing Statement does not need to refer to the specific Collateral that is being Delivered and may be a Financing Statement that was previously filed).</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addition, the Investment Manager will (x) obtain any and all consents required by the Related Documents relating to any Instruments, Accounts or General Intangibles for the pledge hereunder (except (A) to the extent that the requirement for such consent is rendered ineffective under Section 9-406 of the UCC and (B) for any customary procedural requirements and agents’ consents expected to be obtained in due course in connection with the transfer of the Collateral Obligations to the Borrower (except, in the case of clause (B), for any such agents’ consents where the Investment Manager of any of its Affiliates is the agent)) and (y) with respect to each Collateral Obligation the Obligor of which is an Eligible Foreign Obligor, provide written notice to such Eligible Foreign Obligor of the pledge of such Collateral Obligation to the Collateral Agent hereunder and take such other actions and execute such other documents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52" w:name="page153"/>
    <w:bookmarkEnd w:id="152"/>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instruments (including pledges or charges under the law of such Eligible Foreign Obligor’s jurisdiction of organization) as the Facility Agent may reasonably request.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last day of each Collection Period.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Loan</w:t>
      </w:r>
      <w:r>
        <w:rPr>
          <w:rFonts w:ascii="Arial" w:cs="Arial" w:eastAsia="Arial" w:hAnsi="Arial"/>
          <w:sz w:val="18"/>
          <w:szCs w:val="18"/>
          <w:color w:val="auto"/>
        </w:rPr>
        <w:t>” means an obligation:</w:t>
      </w:r>
    </w:p>
    <w:p>
      <w:pPr>
        <w:spacing w:after="0" w:line="117" w:lineRule="exact"/>
        <w:rPr>
          <w:sz w:val="20"/>
          <w:szCs w:val="20"/>
          <w:color w:val="auto"/>
        </w:rPr>
      </w:pPr>
    </w:p>
    <w:p>
      <w:pPr>
        <w:ind w:left="1140" w:hanging="237"/>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obtained or incurred after the entry of an order of relief in a case pending under Chapter 11 of the Bankruptcy Code;</w:t>
      </w:r>
    </w:p>
    <w:p>
      <w:pPr>
        <w:spacing w:after="0" w:line="117"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 debtor in possession as described in Chapter 11 of the Bankruptcy Code or a trustee (if appointment of such trustee has been ordered pursuant to Section 1104 of the Bankruptcy Code);</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on which the related Obligor is required to pay interest and/or principal on a current basis;</w:t>
      </w:r>
    </w:p>
    <w:p>
      <w:pPr>
        <w:spacing w:after="0" w:line="117"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debtor’s estate that is otherwise subject to a lien pursuant to Section 364(d) of the Bankruptcy Code or (C) is secured by a junior lien on the debtor’s encumbered assets (so long as such loan is fully secured based on the most recent current valuation or appraisal report, if any, of the debtor); and</w:t>
      </w:r>
    </w:p>
    <w:p>
      <w:pPr>
        <w:spacing w:after="0" w:line="80" w:lineRule="exact"/>
        <w:rPr>
          <w:rFonts w:ascii="Arial" w:cs="Arial" w:eastAsia="Arial" w:hAnsi="Arial"/>
          <w:sz w:val="18"/>
          <w:szCs w:val="18"/>
          <w:color w:val="auto"/>
        </w:rPr>
      </w:pPr>
    </w:p>
    <w:p>
      <w:pPr>
        <w:ind w:left="1140" w:hanging="237"/>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that has a DBRS Rating.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Diversity Score</w:t>
      </w:r>
      <w:r>
        <w:rPr>
          <w:rFonts w:ascii="Arial" w:cs="Arial" w:eastAsia="Arial" w:hAnsi="Arial"/>
          <w:sz w:val="16"/>
          <w:szCs w:val="16"/>
          <w:color w:val="auto"/>
        </w:rPr>
        <w:t>” means, with respect to the Collateral Obligations (other than Defaulted Loan/Bonds), the sum of each of the Industry Diversity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Scores.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Due Date</w:t>
      </w:r>
      <w:r>
        <w:rPr>
          <w:rFonts w:ascii="Arial" w:cs="Arial" w:eastAsia="Arial" w:hAnsi="Arial"/>
          <w:sz w:val="18"/>
          <w:szCs w:val="18"/>
          <w:color w:val="auto"/>
        </w:rPr>
        <w:t>” means each date on which any payment is due on a Collateral Obligation in accordance with its terms.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Duff &amp; Phelps</w:t>
      </w:r>
      <w:r>
        <w:rPr>
          <w:rFonts w:ascii="Arial" w:cs="Arial" w:eastAsia="Arial" w:hAnsi="Arial"/>
          <w:sz w:val="18"/>
          <w:szCs w:val="18"/>
          <w:color w:val="auto"/>
        </w:rPr>
        <w:t>” means Duff &amp; Phelps Credit Rating Co., together with its 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EBA</w:t>
      </w:r>
      <w:r>
        <w:rPr>
          <w:rFonts w:ascii="Arial" w:cs="Arial" w:eastAsia="Arial" w:hAnsi="Arial"/>
          <w:sz w:val="18"/>
          <w:szCs w:val="18"/>
          <w:color w:val="auto"/>
        </w:rPr>
        <w:t>” means the European Banking Authority and any successor or replacement agency or authority.</w:t>
      </w:r>
    </w:p>
    <w:p>
      <w:pPr>
        <w:spacing w:after="0" w:line="225"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with respect to an Obligor of a Collateral Obligation, for any period, the net income of such Obligor plus the sum of interest, taxes, depreciation, and amortization, with such adjustments as the Investment Manager determines to be appropriate in accordance with the Servicing Standard, in each case for such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53" w:name="page154"/>
    <w:bookmarkEnd w:id="153"/>
    <w:p>
      <w:pPr>
        <w:ind w:right="1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Eligibility Criteria</w:t>
      </w:r>
      <w:r>
        <w:rPr>
          <w:rFonts w:ascii="Arial" w:cs="Arial" w:eastAsia="Arial" w:hAnsi="Arial"/>
          <w:sz w:val="18"/>
          <w:szCs w:val="18"/>
          <w:color w:val="auto"/>
        </w:rPr>
        <w:t xml:space="preserve">” means, in connection with each acquisition or commitment to acquire a Collateral Obligation, and after giving effect to any contribution of additional equity by the Investment Manager or an Affiliate thereof occurring on or prior to such date as per </w:t>
      </w:r>
      <w:r>
        <w:rPr>
          <w:rFonts w:ascii="Arial" w:cs="Arial" w:eastAsia="Arial" w:hAnsi="Arial"/>
          <w:sz w:val="18"/>
          <w:szCs w:val="18"/>
          <w:u w:val="single" w:color="auto"/>
          <w:color w:val="auto"/>
        </w:rPr>
        <w:t>Section 10.04</w:t>
      </w:r>
      <w:r>
        <w:rPr>
          <w:rFonts w:ascii="Arial" w:cs="Arial" w:eastAsia="Arial" w:hAnsi="Arial"/>
          <w:sz w:val="18"/>
          <w:szCs w:val="18"/>
          <w:color w:val="auto"/>
        </w:rPr>
        <w:t>, each of the following:</w:t>
      </w:r>
    </w:p>
    <w:p>
      <w:pPr>
        <w:spacing w:after="0" w:line="73" w:lineRule="exact"/>
        <w:rPr>
          <w:sz w:val="20"/>
          <w:szCs w:val="20"/>
          <w:color w:val="auto"/>
        </w:rPr>
      </w:pPr>
    </w:p>
    <w:p>
      <w:pPr>
        <w:ind w:left="1140" w:hanging="237"/>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obligation satisfies the criteria set forth in the definition of “Collateral Obligation”;</w:t>
      </w:r>
    </w:p>
    <w:p>
      <w:pPr>
        <w:spacing w:after="0" w:line="117"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Collateral Quality Test and Concentration Limitation is satisfied after giving effect to such acquisition or commitment (or, if not satisfied immediately prior to such acquisition or commitment, compliance with such Collateral Quality Test and/or Concentration Limitation, as applicable, is maintained or improved);</w:t>
      </w:r>
    </w:p>
    <w:p>
      <w:pPr>
        <w:spacing w:after="0" w:line="73" w:lineRule="exact"/>
        <w:rPr>
          <w:rFonts w:ascii="Arial" w:cs="Arial" w:eastAsia="Arial" w:hAnsi="Arial"/>
          <w:sz w:val="18"/>
          <w:szCs w:val="18"/>
          <w:color w:val="auto"/>
        </w:rPr>
      </w:pPr>
    </w:p>
    <w:p>
      <w:pPr>
        <w:ind w:left="1140" w:hanging="237"/>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Coverage Test is satisfied after giving effect to such acquisition or commitment;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Row Advance Rate that is in use at such time equals or exceeds the Portfolio Advance Rate;</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Commitment Shortfall exists;</w:t>
      </w:r>
    </w:p>
    <w:p>
      <w:pPr>
        <w:spacing w:after="0" w:line="117" w:lineRule="exact"/>
        <w:rPr>
          <w:rFonts w:ascii="Arial" w:cs="Arial" w:eastAsia="Arial" w:hAnsi="Arial"/>
          <w:sz w:val="18"/>
          <w:szCs w:val="18"/>
          <w:color w:val="auto"/>
        </w:rPr>
      </w:pPr>
    </w:p>
    <w:p>
      <w:pPr>
        <w:jc w:val="both"/>
        <w:ind w:left="460" w:right="60" w:firstLine="443"/>
        <w:spacing w:after="0" w:line="264" w:lineRule="auto"/>
        <w:tabs>
          <w:tab w:leader="none" w:pos="112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Retention Provider is the originator of over 50% (measured by total nominal amount) of all Collateral Obligations acquired (or committed to be acquired) by the Borrower, such proportion measured on the basis of the nominal value at each respective origination of all Collateral Obligations acquired by the Borrower in aggregate during the term of this Agreement; and</w:t>
      </w:r>
    </w:p>
    <w:p>
      <w:pPr>
        <w:spacing w:after="0" w:line="73" w:lineRule="exact"/>
        <w:rPr>
          <w:rFonts w:ascii="Arial" w:cs="Arial" w:eastAsia="Arial" w:hAnsi="Arial"/>
          <w:sz w:val="18"/>
          <w:szCs w:val="18"/>
          <w:color w:val="auto"/>
        </w:rPr>
      </w:pPr>
    </w:p>
    <w:p>
      <w:pPr>
        <w:jc w:val="both"/>
        <w:ind w:left="460" w:firstLine="443"/>
        <w:spacing w:after="0" w:line="259" w:lineRule="auto"/>
        <w:tabs>
          <w:tab w:leader="none" w:pos="11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relation to a Collateral Obligation to be acquired by the Borrower that will not be acquired from the Retention Provider only, the Retention Provider is the originator of over 50% (measured by total nominal amount) of all Collateral Obligations acquired (or committed to be acquired) by the Borrower, such proportion measured on the basis of the nominal value at each respective origination of all Collateral Obligations that are expected to be held by the Borrower following the settlement of any such acquisition;</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Retention Requirement Laws are amended to clarify the appropriate method for determining the proportion of the total securitized exposures that have been contributed by an originator to a securitization scheme, the basis of measurement in clauses (f) and/or (g) above shall cease to apply and the method (or methods) of determination prescribed under the Retention Requirement Laws shall apply instead.</w:t>
      </w:r>
    </w:p>
    <w:p>
      <w:pPr>
        <w:spacing w:after="0" w:line="166"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Covenant Lite Loan</w:t>
      </w:r>
      <w:r>
        <w:rPr>
          <w:rFonts w:ascii="Arial" w:cs="Arial" w:eastAsia="Arial" w:hAnsi="Arial"/>
          <w:sz w:val="16"/>
          <w:szCs w:val="16"/>
          <w:color w:val="auto"/>
        </w:rPr>
        <w:t>” means a Collateral Obligation that (i) is a Covenant Lite Loan, (ii) is an Eligible Senior Secured Loan, (iii) has a DBRS Rating of “</w:t>
      </w:r>
      <w:r>
        <w:rPr>
          <w:rFonts w:ascii="Arial" w:cs="Arial" w:eastAsia="Arial" w:hAnsi="Arial"/>
          <w:sz w:val="16"/>
          <w:szCs w:val="16"/>
          <w:u w:val="single" w:color="auto"/>
          <w:color w:val="auto"/>
        </w:rPr>
        <w:t>B (low)</w:t>
      </w:r>
      <w:r>
        <w:rPr>
          <w:rFonts w:ascii="Arial" w:cs="Arial" w:eastAsia="Arial" w:hAnsi="Arial"/>
          <w:sz w:val="16"/>
          <w:szCs w:val="16"/>
          <w:color w:val="auto"/>
        </w:rPr>
        <w:t>” or higher, and (iv) constitutes all, or part, of a tranche at least equal to $100,000,000 at the time such tranche is issued.</w:t>
      </w:r>
    </w:p>
    <w:p>
      <w:pPr>
        <w:spacing w:after="0" w:line="124"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Foreign Obligor</w:t>
      </w:r>
      <w:r>
        <w:rPr>
          <w:rFonts w:ascii="Arial" w:cs="Arial" w:eastAsia="Arial" w:hAnsi="Arial"/>
          <w:sz w:val="18"/>
          <w:szCs w:val="18"/>
          <w:color w:val="auto"/>
        </w:rPr>
        <w:t>” means an Obligor organized in (a) Canada (or any province thereof), (b) the United Kingdom or (c) another foreign jurisdiction (i) that is approved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54" w:name="page155"/>
    <w:bookmarkEnd w:id="154"/>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writing by the Facility Agent and such approval may contain an applicable concentration limitation with respect to such other foreign jurisdiction and (ii) with respect to which the Rating Confirmation has been satisfied.</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Hedge Agreement</w:t>
      </w:r>
      <w:r>
        <w:rPr>
          <w:rFonts w:ascii="Arial" w:cs="Arial" w:eastAsia="Arial" w:hAnsi="Arial"/>
          <w:sz w:val="18"/>
          <w:szCs w:val="18"/>
          <w:color w:val="auto"/>
        </w:rPr>
        <w:t>” means an interest rate hedge agreement entered into by the Borrower with an Eligible Hedge Counterparty and consented to by the Facility Agent.</w:t>
      </w:r>
    </w:p>
    <w:p>
      <w:pPr>
        <w:spacing w:after="0" w:line="170"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Hedge Counterparty</w:t>
      </w:r>
      <w:r>
        <w:rPr>
          <w:rFonts w:ascii="Arial" w:cs="Arial" w:eastAsia="Arial" w:hAnsi="Arial"/>
          <w:sz w:val="17"/>
          <w:szCs w:val="17"/>
          <w:color w:val="auto"/>
        </w:rPr>
        <w:t>” means, in respect of a counterparty, a party that (a) (i) is incorporated or organized under the laws of the United States (or any state thereof) or Canada or (ii) is the United States branch of a bank organized outside of the United States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branch of a bank organized outside of the United States is duly authorized and licensed to transact business in the United States) and (b) (i) has (or such counterparty is guaranteed by an Affiliate having) a DBRS Long Term Rating of at least “</w:t>
      </w:r>
      <w:r>
        <w:rPr>
          <w:rFonts w:ascii="Arial" w:cs="Arial" w:eastAsia="Arial" w:hAnsi="Arial"/>
          <w:sz w:val="17"/>
          <w:szCs w:val="17"/>
          <w:u w:val="single" w:color="auto"/>
          <w:color w:val="auto"/>
        </w:rPr>
        <w:t>A (high)</w:t>
      </w:r>
      <w:r>
        <w:rPr>
          <w:rFonts w:ascii="Arial" w:cs="Arial" w:eastAsia="Arial" w:hAnsi="Arial"/>
          <w:sz w:val="17"/>
          <w:szCs w:val="17"/>
          <w:color w:val="auto"/>
        </w:rPr>
        <w:t>” and a DBRS Short Term Rating of at least “</w:t>
      </w:r>
      <w:r>
        <w:rPr>
          <w:rFonts w:ascii="Arial" w:cs="Arial" w:eastAsia="Arial" w:hAnsi="Arial"/>
          <w:sz w:val="17"/>
          <w:szCs w:val="17"/>
          <w:u w:val="single" w:color="auto"/>
          <w:color w:val="auto"/>
        </w:rPr>
        <w:t>R-1 (middle)</w:t>
      </w:r>
      <w:r>
        <w:rPr>
          <w:rFonts w:ascii="Arial" w:cs="Arial" w:eastAsia="Arial" w:hAnsi="Arial"/>
          <w:sz w:val="17"/>
          <w:szCs w:val="17"/>
          <w:color w:val="auto"/>
        </w:rPr>
        <w:t>” or (ii) (A) is consented to by the Facility Agent and (B) with respect to which the Rating Confirmation has been satisfied.</w:t>
      </w:r>
    </w:p>
    <w:p>
      <w:pPr>
        <w:spacing w:after="0" w:line="173"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Investment Required Ratings</w:t>
      </w:r>
      <w:r>
        <w:rPr>
          <w:rFonts w:ascii="Arial" w:cs="Arial" w:eastAsia="Arial" w:hAnsi="Arial"/>
          <w:sz w:val="18"/>
          <w:szCs w:val="18"/>
          <w:color w:val="auto"/>
        </w:rPr>
        <w:t>” means, in the case of each Eligible Investment, a DBRS Short Term Rating of at least “</w:t>
      </w:r>
      <w:r>
        <w:rPr>
          <w:rFonts w:ascii="Arial" w:cs="Arial" w:eastAsia="Arial" w:hAnsi="Arial"/>
          <w:sz w:val="18"/>
          <w:szCs w:val="18"/>
          <w:u w:val="single" w:color="auto"/>
          <w:color w:val="auto"/>
        </w:rPr>
        <w:t>R-1 (middle)</w:t>
      </w:r>
      <w:r>
        <w:rPr>
          <w:rFonts w:ascii="Arial" w:cs="Arial" w:eastAsia="Arial" w:hAnsi="Arial"/>
          <w:sz w:val="18"/>
          <w:szCs w:val="18"/>
          <w:color w:val="auto"/>
        </w:rPr>
        <w:t>” and, in the case of any Eligible Investment with a maturity of longer than 91 days, a DBRS Long Term Rating of at least “</w:t>
      </w:r>
      <w:r>
        <w:rPr>
          <w:rFonts w:ascii="Arial" w:cs="Arial" w:eastAsia="Arial" w:hAnsi="Arial"/>
          <w:sz w:val="18"/>
          <w:szCs w:val="18"/>
          <w:u w:val="single" w:color="auto"/>
          <w:color w:val="auto"/>
        </w:rPr>
        <w:t>AA</w:t>
      </w:r>
      <w:r>
        <w:rPr>
          <w:rFonts w:ascii="Arial" w:cs="Arial" w:eastAsia="Arial" w:hAnsi="Arial"/>
          <w:sz w:val="18"/>
          <w:szCs w:val="18"/>
          <w:color w:val="auto"/>
        </w:rPr>
        <w:t>”.</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Investments</w:t>
      </w:r>
      <w:r>
        <w:rPr>
          <w:rFonts w:ascii="Arial" w:cs="Arial" w:eastAsia="Arial" w:hAnsi="Arial"/>
          <w:sz w:val="18"/>
          <w:szCs w:val="18"/>
          <w:color w:val="auto"/>
        </w:rPr>
        <w:t>” means any Dollar investment that, at the time it is Delivered (directly or through an intermediary or bailee), is one or more of the following obligations or securities:</w:t>
      </w:r>
    </w:p>
    <w:p>
      <w:pPr>
        <w:spacing w:after="0" w:line="62" w:lineRule="exact"/>
        <w:rPr>
          <w:sz w:val="20"/>
          <w:szCs w:val="20"/>
          <w:color w:val="auto"/>
        </w:rPr>
      </w:pPr>
    </w:p>
    <w:p>
      <w:pPr>
        <w:ind w:left="920" w:right="200" w:firstLine="421"/>
        <w:spacing w:after="0" w:line="264" w:lineRule="auto"/>
        <w:tabs>
          <w:tab w:leader="none" w:pos="15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direct obligations of, and obligations the timely payment of principal and interest on which is fully and expressly guaranteed by, the United States or any agency or instrumentality of the United States the obligations of which are expressly backed by the full faith and credit of the United States;</w:t>
      </w:r>
    </w:p>
    <w:p>
      <w:pPr>
        <w:spacing w:after="0" w:line="73" w:lineRule="exact"/>
        <w:rPr>
          <w:rFonts w:ascii="Arial" w:cs="Arial" w:eastAsia="Arial" w:hAnsi="Arial"/>
          <w:sz w:val="18"/>
          <w:szCs w:val="18"/>
          <w:color w:val="auto"/>
        </w:rPr>
      </w:pPr>
    </w:p>
    <w:p>
      <w:pPr>
        <w:ind w:left="920" w:firstLine="421"/>
        <w:spacing w:after="0" w:line="255" w:lineRule="auto"/>
        <w:tabs>
          <w:tab w:leader="none" w:pos="16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demand and time deposits in, certificates of deposit of, trust accounts with, bankers’ acceptances payable within 183 days of issuance by, or federal funds sold by any depository institution or trust company incorporated under the laws of the United States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85" w:lineRule="exact"/>
        <w:rPr>
          <w:rFonts w:ascii="Arial" w:cs="Arial" w:eastAsia="Arial" w:hAnsi="Arial"/>
          <w:sz w:val="18"/>
          <w:szCs w:val="18"/>
          <w:color w:val="auto"/>
        </w:rPr>
      </w:pPr>
    </w:p>
    <w:p>
      <w:pPr>
        <w:ind w:left="920" w:right="60" w:firstLine="421"/>
        <w:spacing w:after="0" w:line="286" w:lineRule="auto"/>
        <w:tabs>
          <w:tab w:leader="none" w:pos="165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unleveraged repurchase obligations with respect to (a) any security described in clause (i) above or (b) any other security issued or guaranteed by an agency or instrumentality of the United States, in either case entered into with a depository institution or trust company (acting as principal) described in clause (ii) above or entered into with an entity (acting as principal) with, or whose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155" w:name="page156"/>
    <w:bookmarkEnd w:id="15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parent company has (in addition to a guarantee agreement with such entity), the Eligible Investment Required Ratings;</w:t>
      </w:r>
    </w:p>
    <w:p>
      <w:pPr>
        <w:spacing w:after="0" w:line="117" w:lineRule="exact"/>
        <w:rPr>
          <w:sz w:val="20"/>
          <w:szCs w:val="20"/>
          <w:color w:val="auto"/>
        </w:rPr>
      </w:pPr>
    </w:p>
    <w:p>
      <w:pPr>
        <w:ind w:left="920" w:right="20" w:firstLine="421"/>
        <w:spacing w:after="0" w:line="342" w:lineRule="auto"/>
        <w:tabs>
          <w:tab w:leader="none" w:pos="164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securities bearing interest or sold at a discount issued by any entity formed under the laws of the United States or any State thereof that satisfies the Eligible Investment Required Ratings at the time of such investment or contractual commitment providing for such investment;</w:t>
      </w:r>
    </w:p>
    <w:p>
      <w:pPr>
        <w:spacing w:after="0" w:line="15" w:lineRule="exact"/>
        <w:rPr>
          <w:rFonts w:ascii="Arial" w:cs="Arial" w:eastAsia="Arial" w:hAnsi="Arial"/>
          <w:sz w:val="16"/>
          <w:szCs w:val="16"/>
          <w:color w:val="auto"/>
        </w:rPr>
      </w:pPr>
    </w:p>
    <w:p>
      <w:pPr>
        <w:ind w:left="920" w:right="260" w:firstLine="421"/>
        <w:spacing w:after="0" w:line="342" w:lineRule="auto"/>
        <w:tabs>
          <w:tab w:leader="none" w:pos="159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non-extendable commercial paper or other short-term obligations with the Eligible Investment Required Ratings and that either bear interest or are sold at a discount from the face amount thereof and have a maturity of not more than 183 days from their date of issuance;</w:t>
      </w:r>
    </w:p>
    <w:p>
      <w:pPr>
        <w:spacing w:after="0" w:line="15" w:lineRule="exact"/>
        <w:rPr>
          <w:rFonts w:ascii="Arial" w:cs="Arial" w:eastAsia="Arial" w:hAnsi="Arial"/>
          <w:sz w:val="16"/>
          <w:szCs w:val="16"/>
          <w:color w:val="auto"/>
        </w:rPr>
      </w:pPr>
    </w:p>
    <w:p>
      <w:pPr>
        <w:ind w:left="920" w:right="40" w:firstLine="421"/>
        <w:spacing w:after="0" w:line="259" w:lineRule="auto"/>
        <w:tabs>
          <w:tab w:leader="none" w:pos="164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a Reinvestment Agreement issued by any bank (if treated as a deposit by such bank), or a Reinvestment Agreement issued by any insurance company or other corporation or entity, in each case with the Eligible Investment Required Ratings;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Rating Confirmation has been satisfied and the Facility Agent (at the direction of the Required Lenders) has consented thereto or (b) such Reinvestment Agreement may be unwound at the option of the Borrower without penalty;</w:t>
      </w:r>
    </w:p>
    <w:p>
      <w:pPr>
        <w:spacing w:after="0" w:line="78" w:lineRule="exact"/>
        <w:rPr>
          <w:rFonts w:ascii="Arial" w:cs="Arial" w:eastAsia="Arial" w:hAnsi="Arial"/>
          <w:sz w:val="18"/>
          <w:szCs w:val="18"/>
          <w:color w:val="auto"/>
        </w:rPr>
      </w:pPr>
    </w:p>
    <w:p>
      <w:pPr>
        <w:ind w:left="920" w:firstLine="421"/>
        <w:spacing w:after="0" w:line="277" w:lineRule="auto"/>
        <w:tabs>
          <w:tab w:leader="none" w:pos="16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money market funds which have, at all times, credit ratings of “</w:t>
      </w:r>
      <w:r>
        <w:rPr>
          <w:rFonts w:ascii="Arial" w:cs="Arial" w:eastAsia="Arial" w:hAnsi="Arial"/>
          <w:sz w:val="18"/>
          <w:szCs w:val="18"/>
          <w:u w:val="single" w:color="auto"/>
          <w:color w:val="auto"/>
        </w:rPr>
        <w:t>AAA</w:t>
      </w:r>
      <w:r>
        <w:rPr>
          <w:rFonts w:ascii="Arial" w:cs="Arial" w:eastAsia="Arial" w:hAnsi="Arial"/>
          <w:sz w:val="18"/>
          <w:szCs w:val="18"/>
          <w:color w:val="auto"/>
        </w:rPr>
        <w:t>” by DBRS (or, if not rated by DBRS, credit ratings of “</w:t>
      </w:r>
      <w:r>
        <w:rPr>
          <w:rFonts w:ascii="Arial" w:cs="Arial" w:eastAsia="Arial" w:hAnsi="Arial"/>
          <w:sz w:val="18"/>
          <w:szCs w:val="18"/>
          <w:u w:val="single" w:color="auto"/>
          <w:color w:val="auto"/>
        </w:rPr>
        <w:t>Aaa</w:t>
      </w:r>
      <w:r>
        <w:rPr>
          <w:rFonts w:ascii="Arial" w:cs="Arial" w:eastAsia="Arial" w:hAnsi="Arial"/>
          <w:sz w:val="18"/>
          <w:szCs w:val="18"/>
          <w:color w:val="auto"/>
        </w:rPr>
        <w:t>” and “</w:t>
      </w:r>
      <w:r>
        <w:rPr>
          <w:rFonts w:ascii="Arial" w:cs="Arial" w:eastAsia="Arial" w:hAnsi="Arial"/>
          <w:sz w:val="18"/>
          <w:szCs w:val="18"/>
          <w:u w:val="single" w:color="auto"/>
          <w:color w:val="auto"/>
        </w:rPr>
        <w:t>MR1+</w:t>
      </w:r>
      <w:r>
        <w:rPr>
          <w:rFonts w:ascii="Arial" w:cs="Arial" w:eastAsia="Arial" w:hAnsi="Arial"/>
          <w:sz w:val="18"/>
          <w:szCs w:val="18"/>
          <w:color w:val="auto"/>
        </w:rPr>
        <w:t>” by Moody’s and “</w:t>
      </w:r>
      <w:r>
        <w:rPr>
          <w:rFonts w:ascii="Arial" w:cs="Arial" w:eastAsia="Arial" w:hAnsi="Arial"/>
          <w:sz w:val="18"/>
          <w:szCs w:val="18"/>
          <w:u w:val="single" w:color="auto"/>
          <w:color w:val="auto"/>
        </w:rPr>
        <w:t>AAAm</w:t>
      </w:r>
      <w:r>
        <w:rPr>
          <w:rFonts w:ascii="Arial" w:cs="Arial" w:eastAsia="Arial" w:hAnsi="Arial"/>
          <w:sz w:val="18"/>
          <w:szCs w:val="18"/>
          <w:color w:val="auto"/>
        </w:rPr>
        <w:t>” or “</w:t>
      </w:r>
      <w:r>
        <w:rPr>
          <w:rFonts w:ascii="Arial" w:cs="Arial" w:eastAsia="Arial" w:hAnsi="Arial"/>
          <w:sz w:val="18"/>
          <w:szCs w:val="18"/>
          <w:u w:val="single" w:color="auto"/>
          <w:color w:val="auto"/>
        </w:rPr>
        <w:t>AAAm-G</w:t>
      </w:r>
      <w:r>
        <w:rPr>
          <w:rFonts w:ascii="Arial" w:cs="Arial" w:eastAsia="Arial" w:hAnsi="Arial"/>
          <w:sz w:val="18"/>
          <w:szCs w:val="18"/>
          <w:color w:val="auto"/>
        </w:rPr>
        <w:t>” by S&amp;P, respectively); and</w:t>
      </w:r>
    </w:p>
    <w:p>
      <w:pPr>
        <w:spacing w:after="0" w:line="62" w:lineRule="exact"/>
        <w:rPr>
          <w:rFonts w:ascii="Arial" w:cs="Arial" w:eastAsia="Arial" w:hAnsi="Arial"/>
          <w:sz w:val="18"/>
          <w:szCs w:val="18"/>
          <w:color w:val="auto"/>
        </w:rPr>
      </w:pPr>
    </w:p>
    <w:p>
      <w:pPr>
        <w:ind w:left="1740" w:hanging="399"/>
        <w:spacing w:after="0"/>
        <w:tabs>
          <w:tab w:leader="none" w:pos="17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Eligible Investments purchased with funds in the Collection Account shall be held until maturity except as otherwise specifically provided herein and shall include only such obligations or securities, other than those referred to in clause (vii) above, as mature (or are putable at par to the issuer thereof) no later than the earlier of (x) 90 days after the date of acquisition thereof or (y) the next Business Day prior to the next Payment Date; and (2) none of the foregoing obligations or securities shall constitute Eligible Investments if (a) such obligation or security has an “</w:t>
      </w:r>
      <w:r>
        <w:rPr>
          <w:rFonts w:ascii="Arial" w:cs="Arial" w:eastAsia="Arial" w:hAnsi="Arial"/>
          <w:sz w:val="17"/>
          <w:szCs w:val="17"/>
          <w:u w:val="single" w:color="auto"/>
          <w:color w:val="auto"/>
        </w:rPr>
        <w:t>f</w:t>
      </w:r>
      <w:r>
        <w:rPr>
          <w:rFonts w:ascii="Arial" w:cs="Arial" w:eastAsia="Arial" w:hAnsi="Arial"/>
          <w:sz w:val="17"/>
          <w:szCs w:val="17"/>
          <w:color w:val="auto"/>
        </w:rPr>
        <w:t>”, “</w:t>
      </w:r>
      <w:r>
        <w:rPr>
          <w:rFonts w:ascii="Arial" w:cs="Arial" w:eastAsia="Arial" w:hAnsi="Arial"/>
          <w:sz w:val="17"/>
          <w:szCs w:val="17"/>
          <w:u w:val="single" w:color="auto"/>
          <w:color w:val="auto"/>
        </w:rPr>
        <w:t>r</w:t>
      </w:r>
      <w:r>
        <w:rPr>
          <w:rFonts w:ascii="Arial" w:cs="Arial" w:eastAsia="Arial" w:hAnsi="Arial"/>
          <w:sz w:val="17"/>
          <w:szCs w:val="17"/>
          <w:color w:val="auto"/>
        </w:rPr>
        <w:t>”, “</w:t>
      </w:r>
      <w:r>
        <w:rPr>
          <w:rFonts w:ascii="Arial" w:cs="Arial" w:eastAsia="Arial" w:hAnsi="Arial"/>
          <w:sz w:val="17"/>
          <w:szCs w:val="17"/>
          <w:u w:val="single" w:color="auto"/>
          <w:color w:val="auto"/>
        </w:rPr>
        <w:t>p</w:t>
      </w:r>
      <w:r>
        <w:rPr>
          <w:rFonts w:ascii="Arial" w:cs="Arial" w:eastAsia="Arial" w:hAnsi="Arial"/>
          <w:sz w:val="17"/>
          <w:szCs w:val="17"/>
          <w:color w:val="auto"/>
        </w:rPr>
        <w:t>”, “</w:t>
      </w:r>
      <w:r>
        <w:rPr>
          <w:rFonts w:ascii="Arial" w:cs="Arial" w:eastAsia="Arial" w:hAnsi="Arial"/>
          <w:sz w:val="17"/>
          <w:szCs w:val="17"/>
          <w:u w:val="single" w:color="auto"/>
          <w:color w:val="auto"/>
        </w:rPr>
        <w:t>pi</w:t>
      </w:r>
      <w:r>
        <w:rPr>
          <w:rFonts w:ascii="Arial" w:cs="Arial" w:eastAsia="Arial" w:hAnsi="Arial"/>
          <w:sz w:val="17"/>
          <w:szCs w:val="17"/>
          <w:color w:val="auto"/>
        </w:rPr>
        <w:t>”, “</w:t>
      </w:r>
      <w:r>
        <w:rPr>
          <w:rFonts w:ascii="Arial" w:cs="Arial" w:eastAsia="Arial" w:hAnsi="Arial"/>
          <w:sz w:val="17"/>
          <w:szCs w:val="17"/>
          <w:u w:val="single" w:color="auto"/>
          <w:color w:val="auto"/>
        </w:rPr>
        <w:t>q</w:t>
      </w:r>
      <w:r>
        <w:rPr>
          <w:rFonts w:ascii="Arial" w:cs="Arial" w:eastAsia="Arial" w:hAnsi="Arial"/>
          <w:sz w:val="17"/>
          <w:szCs w:val="17"/>
          <w:color w:val="auto"/>
        </w:rPr>
        <w:t>” or “</w:t>
      </w:r>
      <w:r>
        <w:rPr>
          <w:rFonts w:ascii="Arial" w:cs="Arial" w:eastAsia="Arial" w:hAnsi="Arial"/>
          <w:sz w:val="17"/>
          <w:szCs w:val="17"/>
          <w:u w:val="single" w:color="auto"/>
          <w:color w:val="auto"/>
        </w:rPr>
        <w:t>t</w:t>
      </w:r>
      <w:r>
        <w:rPr>
          <w:rFonts w:ascii="Arial" w:cs="Arial" w:eastAsia="Arial" w:hAnsi="Arial"/>
          <w:sz w:val="17"/>
          <w:szCs w:val="17"/>
          <w:color w:val="auto"/>
        </w:rPr>
        <w:t>” subscript assigned by S&amp;P, (b) all, or substantially all, of the remaining amounts payable thereunder consist of interest and not principal payments, (c) such obligation or security is subject to U.S. withholding or foreign withholding tax unless the issuer of the security is required to make “</w:t>
      </w:r>
      <w:r>
        <w:rPr>
          <w:rFonts w:ascii="Arial" w:cs="Arial" w:eastAsia="Arial" w:hAnsi="Arial"/>
          <w:sz w:val="17"/>
          <w:szCs w:val="17"/>
          <w:u w:val="single" w:color="auto"/>
          <w:color w:val="auto"/>
        </w:rPr>
        <w:t>gross-up</w:t>
      </w:r>
      <w:r>
        <w:rPr>
          <w:rFonts w:ascii="Arial" w:cs="Arial" w:eastAsia="Arial" w:hAnsi="Arial"/>
          <w:sz w:val="17"/>
          <w:szCs w:val="17"/>
          <w:color w:val="auto"/>
        </w:rPr>
        <w:t>” payments for the full amount of such withholding tax, (d) such obligation or security is secured by real property, (e) such obligation or security is purchased at a price greater than 100% of the principal or face amount thereof, (f) such obligation or security is subject of a tender offer, voluntary redemption, exchange offer, conversion or other similar action or (g) in the Investment Manager’s judgment, such obligation or security is subject to material non-credit related risks. Any such investment, whether or not expressly stated above, may be issued by or with or acquired from or through the Collateral Agent or any of its Affiliates, or any entity to which the Collateral Agent provides services or receives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investment otherwise meets the applicable requirements set forth above), and in connection therewith the Collateral Agent may assess and receive its usual and customary fees and charges related thereto (so long as such fees and charges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reasonable and consistent with the amounts that would be received in an arm’s length transaction).</w:t>
      </w:r>
    </w:p>
    <w:p>
      <w:pPr>
        <w:spacing w:after="0" w:line="225"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Mezzanine Loan</w:t>
      </w:r>
      <w:r>
        <w:rPr>
          <w:rFonts w:ascii="Arial" w:cs="Arial" w:eastAsia="Arial" w:hAnsi="Arial"/>
          <w:sz w:val="17"/>
          <w:szCs w:val="17"/>
          <w:color w:val="auto"/>
        </w:rPr>
        <w:t xml:space="preserve">” means a Collateral Obligation that is an Eligible Second Lien Loan or other comparable loan obligation made to a holding company or other equity holder of an operating entity (where (i) the Borrower holds a first priority lien on the assets of such equity holder and/or the equity in the operating entity and (ii) the assets of the operating entity may have been pledged to another lender to secure loans made to such operating entity by such other lender), including any such loan obligation with attached warrants or other options to acquire a share or other equity interest (whether cash pay or non-cash pay) and such obligation is evidenced by an issue of notes or similar instruments;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loans to or issues by a start-up company or an Obligor with no operating history shall be excluded from the definition of “</w:t>
      </w:r>
      <w:r>
        <w:rPr>
          <w:rFonts w:ascii="Arial" w:cs="Arial" w:eastAsia="Arial" w:hAnsi="Arial"/>
          <w:sz w:val="17"/>
          <w:szCs w:val="17"/>
          <w:u w:val="single" w:color="auto"/>
          <w:color w:val="auto"/>
        </w:rPr>
        <w:t>Eligible Mezzanine Loan</w:t>
      </w:r>
      <w:r>
        <w:rPr>
          <w:rFonts w:ascii="Arial" w:cs="Arial" w:eastAsia="Arial" w:hAnsi="Arial"/>
          <w:sz w:val="17"/>
          <w:szCs w:val="17"/>
          <w:color w:val="auto"/>
        </w:rPr>
        <w:t>” unless (i) such loans or securities are fully guaranteed by an Affiliate of the Obligor which has an established operating history or Rating Confirmation is received; or (ii) such loans relate to the financing of a start-up company that has been spun off from a company with an established operating history) as determined by the Investment Manager in its reasonable business judgment, or a participation therein.</w:t>
      </w:r>
    </w:p>
    <w:p>
      <w:pPr>
        <w:spacing w:after="0" w:line="182"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Second Lien Loan</w:t>
      </w:r>
      <w:r>
        <w:rPr>
          <w:rFonts w:ascii="Arial" w:cs="Arial" w:eastAsia="Arial" w:hAnsi="Arial"/>
          <w:sz w:val="16"/>
          <w:szCs w:val="16"/>
          <w:color w:val="auto"/>
        </w:rPr>
        <w:t>” means a Collateral Obligation which (i) is not by its terms (and is not expressly permitted by its terms to become) subordinate in right of payment to any other obligation for borrowed money of the obligor of such loan, other than, with respect to any valid first priority perfected security interest in specified collateral, with respect to the liquidation of such obligor or such collateral, (ii) is secured by a valid second priority perfected security interest or lien in, to or on specified collateral securing the obligor’s obligations under such loan (whether or not the Issuer and any other lenders are also granted a security interest of a higher or lower priority in additional collateral), (iii) is secured by collateral having a value (determined as set forth below) at least equal to the outstanding principal balance of such loan plus the aggregate outstanding principal balances of all other loans of equal or higher seniority secured by a first or second lien or security interest in the same collateral, (iv) is not a loan which is secured solely or primarily by the common stock of its obligor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limitation set forth in this clause (iv)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w:t>
      </w:r>
    </w:p>
    <w:p>
      <w:pPr>
        <w:spacing w:after="0" w:line="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Documents limit the incurrence of indebtedness by such subsidiary such that the net collateral value satisfies clause (iii) above, and (y) the aggregate amount of all such indebtedness is not greater than 60% of the aggregate value of the assets of such subsidiary, and (v) does not qualify as an Eligible Senior Secured Loan. The determination as to whether condition (iii) of this definition is satisfied shall be based on both (a) an appraisal or other valuation performed on or about the date of origination or of the most recent restructuring of the loan (to the extent constituting a Specified Change) and (b) the Investment Manager’s judgment in accordance with the Servicing Standard at the time the loan is acquired by the Issuer.</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74" w:right="319" w:bottom="1440" w:gutter="0" w:footer="0" w:header="0"/>
        </w:sectPr>
      </w:pPr>
    </w:p>
    <w:bookmarkStart w:id="157" w:name="page158"/>
    <w:bookmarkEnd w:id="157"/>
    <w:p>
      <w:pPr>
        <w:ind w:right="8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Eligible Selling Institution</w:t>
      </w:r>
      <w:r>
        <w:rPr>
          <w:rFonts w:ascii="Arial" w:cs="Arial" w:eastAsia="Arial" w:hAnsi="Arial"/>
          <w:sz w:val="17"/>
          <w:szCs w:val="17"/>
          <w:color w:val="auto"/>
        </w:rPr>
        <w:t>” means, with respect to any Participation Interest acquired or committed to be acquired by the Borrower, a Selling Institution in respect of such Participation Interest that (a) (i) is incorporated or organized under the laws of the United States (or any state thereof) or Canada or (ii) is the United States branch of a bank organized outside of the United States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branch of a bank organized outside of the United States is duly authorized and licensed to transact business in the United States) and (b) has (or such Selling Institution is guaranteed by an Affiliate having) a DBRS Long Term Rating of at least “</w:t>
      </w:r>
      <w:r>
        <w:rPr>
          <w:rFonts w:ascii="Arial" w:cs="Arial" w:eastAsia="Arial" w:hAnsi="Arial"/>
          <w:sz w:val="17"/>
          <w:szCs w:val="17"/>
          <w:u w:val="single" w:color="auto"/>
          <w:color w:val="auto"/>
        </w:rPr>
        <w:t>A (high)</w:t>
      </w:r>
      <w:r>
        <w:rPr>
          <w:rFonts w:ascii="Arial" w:cs="Arial" w:eastAsia="Arial" w:hAnsi="Arial"/>
          <w:sz w:val="17"/>
          <w:szCs w:val="17"/>
          <w:color w:val="auto"/>
        </w:rPr>
        <w:t>” and a DBRS Short Term Rating of at least “</w:t>
      </w:r>
      <w:r>
        <w:rPr>
          <w:rFonts w:ascii="Arial" w:cs="Arial" w:eastAsia="Arial" w:hAnsi="Arial"/>
          <w:sz w:val="17"/>
          <w:szCs w:val="17"/>
          <w:u w:val="single" w:color="auto"/>
          <w:color w:val="auto"/>
        </w:rPr>
        <w:t>R-1 (middle)</w:t>
      </w:r>
      <w:r>
        <w:rPr>
          <w:rFonts w:ascii="Arial" w:cs="Arial" w:eastAsia="Arial" w:hAnsi="Arial"/>
          <w:sz w:val="17"/>
          <w:szCs w:val="17"/>
          <w:color w:val="auto"/>
        </w:rPr>
        <w:t>”.</w:t>
      </w:r>
    </w:p>
    <w:p>
      <w:pPr>
        <w:spacing w:after="0" w:line="173"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Senior Secured Bond</w:t>
      </w:r>
      <w:r>
        <w:rPr>
          <w:rFonts w:ascii="Arial" w:cs="Arial" w:eastAsia="Arial" w:hAnsi="Arial"/>
          <w:sz w:val="17"/>
          <w:szCs w:val="17"/>
          <w:color w:val="auto"/>
        </w:rPr>
        <w:t>” means a Collateral Obligation that ranks pari passu with the Eligible Senior Secured Loans of the same Obligor including, if issued at the holding company level, such Obligor has no secured debt at the operating company level and, if the Obligor has no Eligible Senior Secured Loans outstanding, benefits from the same security package as would an Eligible Senior Secured Loan.</w:t>
      </w:r>
    </w:p>
    <w:p>
      <w:pPr>
        <w:spacing w:after="0" w:line="166"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Senior Secured Loan</w:t>
      </w:r>
      <w:r>
        <w:rPr>
          <w:rFonts w:ascii="Arial" w:cs="Arial" w:eastAsia="Arial" w:hAnsi="Arial"/>
          <w:sz w:val="16"/>
          <w:szCs w:val="16"/>
          <w:color w:val="auto"/>
        </w:rPr>
        <w:t>” means a Collateral Obligation (other than a First Lien/Last Out Loan) which (i) is not by its terms (and is not expressly permitted by its terms to become) subordinate in right of payment (except as provided in the last sentence of this definition) to any other obligation for borrowed money (other than a Working Capital Revolver) of the obligor of such loan, (ii) is secured by a valid first priority perfected security interest or lien in, to or on specified collateral securing the obligor’s obligations under such loan (whether or not the Borrower and any other lenders are also granted a security interest of lower priority in additional collateral), (iii) is secured by collateral having a value (determined as set forth below), together with the collateral securing all Working Capital Revolvers of the obligor, if any, not less than the sum of (A) the outstanding principal balance of such loan plus (B) the aggregate outstanding principal balances of all other loans of equal seniority secured by a first lien or security interest in the same collateral plus (C) the aggregate maximum commitments of all Working Capital Revolvers of the obligor, and (iv) is not a loan which is secured solely or primarily by the common stock of its obligor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limitation set forth in this clause (iv)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Related Documents limit the incurrence of indebtedness by such subsidiary, such that the net collateral value satisfies clause (iii) above, and (y) the aggregate amount of all such indebtedness is not material relative to the aggregate value of the assets of such subsidiary. The determination as to whether condition (iii) of this definition is satisfied shall be based on both (a) an appraisal or other valuation performed on or about the date of origination or of the most recent restructuring of the loan (to the extent constituting a Specified Change) and (b) the Investment Manager’s judgment in accordance with the Servicing Standard at the time the loan is acquired by the Borrower. The right to receive the proceeds of designated collateral subject to a set of contractual payment priorities affecting debt issued under, permitted by, or governed by the same Related Document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not prevent a loan that satisfies the express requirements hereof from being an “</w:t>
      </w:r>
      <w:r>
        <w:rPr>
          <w:rFonts w:ascii="Arial" w:cs="Arial" w:eastAsia="Arial" w:hAnsi="Arial"/>
          <w:sz w:val="18"/>
          <w:szCs w:val="18"/>
          <w:u w:val="single" w:color="auto"/>
          <w:color w:val="auto"/>
        </w:rPr>
        <w:t>Eligible Senior Secured Loan</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means the Engagement Letter dated as of November 13, 2013, as amended to date (including the Amendment thereto as of January 21, 2014), between TPG Specialty Lending, Inc. and Natixis Securities Americas LLC.</w:t>
      </w:r>
    </w:p>
    <w:p>
      <w:pPr>
        <w:spacing w:after="0" w:line="17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law, rule, regulation, order, writ, judgment, injunction or decree of the United States or any other nation, or of any political subdivision thereof, or of any governmental Authority relating to pollution or protection of the environment or the treatment, storage, disposal, release, threatened release or handling of hazardous materials, and all local laws and regulations related to environmental matters and any specific agreements entered into with any competent authorities which include commitments related to environmental matters.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EoD OC Ratio Failure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6.01(g)</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w:t>
      </w:r>
      <w:r>
        <w:rPr>
          <w:rFonts w:ascii="Arial" w:cs="Arial" w:eastAsia="Arial" w:hAnsi="Arial"/>
          <w:sz w:val="18"/>
          <w:szCs w:val="18"/>
          <w:color w:val="auto"/>
        </w:rPr>
        <w:t>” means the limited liability company interests in the Borrower.</w:t>
      </w:r>
    </w:p>
    <w:p>
      <w:pPr>
        <w:spacing w:after="0" w:line="225"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Kicker</w:t>
      </w:r>
      <w:r>
        <w:rPr>
          <w:rFonts w:ascii="Arial" w:cs="Arial" w:eastAsia="Arial" w:hAnsi="Arial"/>
          <w:sz w:val="17"/>
          <w:szCs w:val="17"/>
          <w:color w:val="auto"/>
        </w:rPr>
        <w:t>” means, with respect to any Collateral Obligation, one or more warrants attached thereto which collectively constitute no more than 2.0% of the purchase price (as allocated by the Investment Manager) paid by the Borrower for such Collateral Obligation.</w:t>
      </w:r>
    </w:p>
    <w:p>
      <w:pPr>
        <w:spacing w:after="0" w:line="14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Security</w:t>
      </w:r>
      <w:r>
        <w:rPr>
          <w:rFonts w:ascii="Arial" w:cs="Arial" w:eastAsia="Arial" w:hAnsi="Arial"/>
          <w:sz w:val="18"/>
          <w:szCs w:val="18"/>
          <w:color w:val="auto"/>
        </w:rPr>
        <w:t>” means any (a) Equity Kicker; (b) Defaulted Equity Security; and (c) other equity security that does not entitle the holder thereof to receive periodic payments of interest and one or more installments of principal, including those received by the Borrower as a result of the exercise or conversion of an Equity Kicker or other convertible or exchangeable Collateral Obligation.</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 Unit Score</w:t>
      </w:r>
      <w:r>
        <w:rPr>
          <w:rFonts w:ascii="Arial" w:cs="Arial" w:eastAsia="Arial" w:hAnsi="Arial"/>
          <w:sz w:val="18"/>
          <w:szCs w:val="18"/>
          <w:color w:val="auto"/>
        </w:rPr>
        <w:t xml:space="preserve">” means, with respect to each Obligor, the lesser of (a) one and (b) the Obligor Par Amount for such Obligor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the Average Par Amount.</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7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Section 430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159" w:name="page160"/>
    <w:bookmarkEnd w:id="15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 of its ERISA Group of any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193"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Group</w:t>
      </w:r>
      <w:r>
        <w:rPr>
          <w:rFonts w:ascii="Arial" w:cs="Arial" w:eastAsia="Arial" w:hAnsi="Arial"/>
          <w:sz w:val="18"/>
          <w:szCs w:val="18"/>
          <w:color w:val="auto"/>
        </w:rPr>
        <w:t>” means each controlled group of corporations or trades or businesses (whether or not incorporated) under common control that is treated as a single employer under Section 414(b), (c), (m) or (o) of the Code with the Borrower.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Advance</w:t>
      </w:r>
      <w:r>
        <w:rPr>
          <w:rFonts w:ascii="Arial" w:cs="Arial" w:eastAsia="Arial" w:hAnsi="Arial"/>
          <w:sz w:val="18"/>
          <w:szCs w:val="18"/>
          <w:color w:val="auto"/>
        </w:rPr>
        <w:t xml:space="preserve">” means each Advance that bears interest at a rate based on LIBOR as provided in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all as from time to time in effect, or any successor law, rules or regulations, and any reference to any statutory or regulatory provision shall be deemed to be a reference to any successor statutory or regulatory provision.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Risk Retention Increased Costs</w:t>
      </w:r>
      <w:r>
        <w:rPr>
          <w:rFonts w:ascii="Arial" w:cs="Arial" w:eastAsia="Arial" w:hAnsi="Arial"/>
          <w:sz w:val="16"/>
          <w:szCs w:val="16"/>
          <w:color w:val="auto"/>
        </w:rPr>
        <w:t>” means the Borrower’s obligation to pay additional amounts to a Lender pursuant to clauses (a) or</w:t>
      </w:r>
    </w:p>
    <w:p>
      <w:pPr>
        <w:spacing w:after="0" w:line="46" w:lineRule="exact"/>
        <w:rPr>
          <w:sz w:val="20"/>
          <w:szCs w:val="20"/>
          <w:color w:val="auto"/>
        </w:rPr>
      </w:pPr>
    </w:p>
    <w:p>
      <w:pPr>
        <w:ind w:right="20" w:firstLine="8"/>
        <w:spacing w:after="0" w:line="253"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incurred solely as a result of a change in law or regulation applicable to the Lender that increases the net economic interest required to be retained by the Retention Provider to an amount that exceeds 40% of the nominal value of the Collateral calculated based on the Aggregate Principal Balance of all of the Collateral Obligations and the principal amount of all Eligible Investments, in each case at the time of determination without taking into account any deduction pursuant to the proviso to the definition of “</w:t>
      </w:r>
      <w:r>
        <w:rPr>
          <w:rFonts w:ascii="Arial" w:cs="Arial" w:eastAsia="Arial" w:hAnsi="Arial"/>
          <w:sz w:val="18"/>
          <w:szCs w:val="18"/>
          <w:u w:val="single" w:color="auto"/>
          <w:color w:val="auto"/>
        </w:rPr>
        <w:t>Principal Balance</w:t>
      </w:r>
      <w:r>
        <w:rPr>
          <w:rFonts w:ascii="Arial" w:cs="Arial" w:eastAsia="Arial" w:hAnsi="Arial"/>
          <w:sz w:val="18"/>
          <w:szCs w:val="18"/>
          <w:color w:val="auto"/>
        </w:rPr>
        <w:t>” of any Collateral Obligation or any deduction or discount in respect of the purchase price paid therefor by the Borrower as of such date of determination.</w:t>
      </w:r>
    </w:p>
    <w:p>
      <w:pPr>
        <w:spacing w:after="0" w:line="191"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any of the following Taxes imposed on or with respect to a Secured Party or that are required to be withheld or deducted from a payment to a Secured Party: (i) Taxes imposed on (or measured by) net income (however denominated), net profits, franchise Taxes and branch profits or any similar Taxes, in each case, (A) imposed by the jurisdiction (or any political subdivision thereof) under the laws of which such Secured Party is organized or in which its principal office is located, or in the case of any Lender, in which its applicable lending office is located or (B) that are Other Connection Taxes, (ii) Taxes that are imposed under FATCA, (iii) Taxes that are attributable to a Secured Party’s failure to comply with the requirements of </w:t>
      </w:r>
      <w:r>
        <w:rPr>
          <w:rFonts w:ascii="Arial" w:cs="Arial" w:eastAsia="Arial" w:hAnsi="Arial"/>
          <w:sz w:val="17"/>
          <w:szCs w:val="17"/>
          <w:u w:val="single" w:color="auto"/>
          <w:color w:val="auto"/>
        </w:rPr>
        <w:t>Section 12.03(g)</w:t>
      </w:r>
      <w:r>
        <w:rPr>
          <w:rFonts w:ascii="Arial" w:cs="Arial" w:eastAsia="Arial" w:hAnsi="Arial"/>
          <w:sz w:val="17"/>
          <w:szCs w:val="17"/>
          <w:color w:val="auto"/>
        </w:rPr>
        <w:t>, (iv) Taxes that are attributable to a Secured Party designating a successor lending office at which it maintains its Notes other than at the request of the Borrower and except to the extent the Secured Party was entitled, at the time that the successor lending office is designated, to receive additional amounts from the Borrower with</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160" w:name="page161"/>
    <w:bookmarkEnd w:id="160"/>
    <w:p>
      <w:pPr>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respect to such Taxes pursuant to </w:t>
      </w:r>
      <w:r>
        <w:rPr>
          <w:rFonts w:ascii="Arial" w:cs="Arial" w:eastAsia="Arial" w:hAnsi="Arial"/>
          <w:sz w:val="17"/>
          <w:szCs w:val="17"/>
          <w:u w:val="single" w:color="auto"/>
          <w:color w:val="auto"/>
        </w:rPr>
        <w:t>Section 12.03</w:t>
      </w:r>
      <w:r>
        <w:rPr>
          <w:rFonts w:ascii="Arial" w:cs="Arial" w:eastAsia="Arial" w:hAnsi="Arial"/>
          <w:sz w:val="17"/>
          <w:szCs w:val="17"/>
          <w:color w:val="auto"/>
        </w:rPr>
        <w:t xml:space="preserve"> and (v) Taxes that are U.S. withholding taxes imposed on amounts payable by the Borrower to a Secured Party at the time such Secured Party becomes a party to this Agreement, except to the extent that such Secured Party’s assignor (if any) was entitled, at the time of assignment, to receive additional amounts from the Borrower with respect to such Taxes pursuant to </w:t>
      </w:r>
      <w:r>
        <w:rPr>
          <w:rFonts w:ascii="Arial" w:cs="Arial" w:eastAsia="Arial" w:hAnsi="Arial"/>
          <w:sz w:val="17"/>
          <w:szCs w:val="17"/>
          <w:u w:val="single" w:color="auto"/>
          <w:color w:val="auto"/>
        </w:rPr>
        <w:t>Section 12.03</w:t>
      </w:r>
      <w:r>
        <w:rPr>
          <w:rFonts w:ascii="Arial" w:cs="Arial" w:eastAsia="Arial" w:hAnsi="Arial"/>
          <w:sz w:val="17"/>
          <w:szCs w:val="17"/>
          <w:color w:val="auto"/>
        </w:rPr>
        <w: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recitals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debt facility governed by this Agreement and the other Facility Documents.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Agent</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Agent Fee</w:t>
      </w:r>
      <w:r>
        <w:rPr>
          <w:rFonts w:ascii="Arial" w:cs="Arial" w:eastAsia="Arial" w:hAnsi="Arial"/>
          <w:sz w:val="18"/>
          <w:szCs w:val="18"/>
          <w:color w:val="auto"/>
        </w:rPr>
        <w:t>” means $10,000 per quarter, payable on each Payment Date.</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Documents</w:t>
      </w:r>
      <w:r>
        <w:rPr>
          <w:rFonts w:ascii="Arial" w:cs="Arial" w:eastAsia="Arial" w:hAnsi="Arial"/>
          <w:sz w:val="17"/>
          <w:szCs w:val="17"/>
          <w:color w:val="auto"/>
        </w:rPr>
        <w:t xml:space="preserve">” means this Agreement, the Notes, the Account Control Agreement, the Collateral Agent Fee Letter, the Investment Management Agreement, the Master Transfer Agreement, any other security agreements and other instruments entered into or delivered by or on behalf of the Borrower pursuant to </w:t>
      </w:r>
      <w:r>
        <w:rPr>
          <w:rFonts w:ascii="Arial" w:cs="Arial" w:eastAsia="Arial" w:hAnsi="Arial"/>
          <w:sz w:val="17"/>
          <w:szCs w:val="17"/>
          <w:u w:val="single" w:color="auto"/>
          <w:color w:val="auto"/>
        </w:rPr>
        <w:t>Section 5.01(c)</w:t>
      </w:r>
      <w:r>
        <w:rPr>
          <w:rFonts w:ascii="Arial" w:cs="Arial" w:eastAsia="Arial" w:hAnsi="Arial"/>
          <w:sz w:val="17"/>
          <w:szCs w:val="17"/>
          <w:color w:val="auto"/>
        </w:rPr>
        <w:t xml:space="preserve"> to create, perfect or otherwise evidence the Collateral Agent’s security interest and any other agreements delivered to the Facility Agent, the Collateral Agent and/or the Lenders in furtherance of or pursuant to any of the foregoing.</w:t>
      </w:r>
    </w:p>
    <w:p>
      <w:pPr>
        <w:spacing w:after="0" w:line="17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Margin Level</w:t>
      </w:r>
      <w:r>
        <w:rPr>
          <w:rFonts w:ascii="Arial" w:cs="Arial" w:eastAsia="Arial" w:hAnsi="Arial"/>
          <w:sz w:val="18"/>
          <w:szCs w:val="18"/>
          <w:color w:val="auto"/>
        </w:rPr>
        <w:t>” means (a) in the case of a Cost of Funds Rate Advance, 2.25% per annum and (b) in the case of a Eurodollar Rate Advance or a Base Rate Advance, 2.75% per annum.</w:t>
      </w:r>
    </w:p>
    <w:p>
      <w:pPr>
        <w:spacing w:after="0" w:line="170"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FAS 166/167 Regulatory Capital Rules</w:t>
      </w:r>
      <w:r>
        <w:rPr>
          <w:rFonts w:ascii="Arial" w:cs="Arial" w:eastAsia="Arial" w:hAnsi="Arial"/>
          <w:sz w:val="16"/>
          <w:szCs w:val="16"/>
          <w:color w:val="auto"/>
        </w:rPr>
        <w:t>” means the final rule titled Risk-Based Capital Guidelines; Capital Adequacy Guidelines; Capital Maintenance: Regulatory Capital; Impact of Modifications to Generally Accepted Accounting Principles; Consolidation of Asset-Backed Commercial Paper Programs; and Other Related Issues, adopted by the Office of the Comptroller of the Currency, Department of the Treasury; Board of Governors of the Federal Reserve System; Federal Deposit Insurance Corporation; and Office of Thrift Supervision, Department of Treasury on December 15, 2009.</w:t>
      </w:r>
    </w:p>
    <w:p>
      <w:pPr>
        <w:spacing w:after="0" w:line="15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(or any amended versions of Sections 1471 through 1474 of the Code that are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8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61" w:name="page162"/>
    <w:bookmarkEnd w:id="16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Business Day) by the Federal Reserve Bank of New York, or, if such rate is not so published for any day which is a Business Day, the average of the quotations for such day on such transactions received by the Facility Agent from three federal funds brokers of recognized standing selected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the Calculation Agent and the Agents in writing. Each determination of the Federal Funds Rate by a Lender pursuant to the foregoing proviso shall be conclusive and binding except in the case of manifest error.</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January 21, 2021.</w:t>
      </w:r>
    </w:p>
    <w:p>
      <w:pPr>
        <w:spacing w:after="0" w:line="225"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Order</w:t>
      </w:r>
      <w:r>
        <w:rPr>
          <w:rFonts w:ascii="Arial" w:cs="Arial" w:eastAsia="Arial" w:hAnsi="Arial"/>
          <w:sz w:val="18"/>
          <w:szCs w:val="18"/>
          <w:color w:val="auto"/>
        </w:rPr>
        <w:t>” means an order, judgment, decree or ruling the operation or effect of which has not been stayed, reversed or amended and as to 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181"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Draft RTS</w:t>
      </w:r>
      <w:r>
        <w:rPr>
          <w:rFonts w:ascii="Arial" w:cs="Arial" w:eastAsia="Arial" w:hAnsi="Arial"/>
          <w:sz w:val="18"/>
          <w:szCs w:val="18"/>
          <w:color w:val="auto"/>
        </w:rPr>
        <w:t>” means the final regulatory technical standards and implementing technical standards on securitization retention rules published by the EBA pursuant to Articles 410(2) and 410(3) of the CRR.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Asset</w:t>
      </w:r>
      <w:r>
        <w:rPr>
          <w:rFonts w:ascii="Arial" w:cs="Arial" w:eastAsia="Arial" w:hAnsi="Arial"/>
          <w:sz w:val="18"/>
          <w:szCs w:val="18"/>
          <w:color w:val="auto"/>
        </w:rPr>
        <w:t>” has the meaning specified in Section 8-102(a)(9)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Statements</w:t>
      </w:r>
      <w:r>
        <w:rPr>
          <w:rFonts w:ascii="Arial" w:cs="Arial" w:eastAsia="Arial" w:hAnsi="Arial"/>
          <w:sz w:val="18"/>
          <w:szCs w:val="18"/>
          <w:color w:val="auto"/>
        </w:rPr>
        <w:t>” has the meaning specified in Section 9-102(a)(39)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 or any successor entity.</w:t>
      </w:r>
    </w:p>
    <w:p>
      <w:pPr>
        <w:spacing w:after="0" w:line="225"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Lien/Last Out Loan</w:t>
      </w:r>
      <w:r>
        <w:rPr>
          <w:rFonts w:ascii="Arial" w:cs="Arial" w:eastAsia="Arial" w:hAnsi="Arial"/>
          <w:sz w:val="17"/>
          <w:szCs w:val="17"/>
          <w:color w:val="auto"/>
        </w:rPr>
        <w:t>” means a Collateral Loan that, (1) satisfies clauses (i) through (iv) of the definition of “Eligible Senior Secured Loan” and (2) in the case of an event of default under the applicable Related Document, will be paid after one or more tranches of senior secured loans issued by the same obligor (all such other tranches, collectively, the “</w:t>
      </w:r>
      <w:r>
        <w:rPr>
          <w:rFonts w:ascii="Arial" w:cs="Arial" w:eastAsia="Arial" w:hAnsi="Arial"/>
          <w:sz w:val="17"/>
          <w:szCs w:val="17"/>
          <w:u w:val="single" w:color="auto"/>
          <w:color w:val="auto"/>
        </w:rPr>
        <w:t>First Out Tranche</w:t>
      </w:r>
      <w:r>
        <w:rPr>
          <w:rFonts w:ascii="Arial" w:cs="Arial" w:eastAsia="Arial" w:hAnsi="Arial"/>
          <w:sz w:val="17"/>
          <w:szCs w:val="17"/>
          <w:color w:val="auto"/>
        </w:rPr>
        <w:t>”) have been paid in full in accordance with a specified waterfall of payments, with respect to which the following facts are applicable, (x) with respect to clause (a) below, at the time of acquisition by the Borrower and upon the occurrence of any other event or circumstance that causes the principal balance of any obligation referred to in clause (a) below to change (which shall include any event or circumstance that results in a change to the capital structure of the obligor and shall exclude any prepayments and borrowings in respect of any such obligation), and (y) with respect to clause (b) below, at the time of acquisition by the Borrower:</w:t>
      </w:r>
    </w:p>
    <w:p>
      <w:pPr>
        <w:spacing w:after="0" w:line="70" w:lineRule="exact"/>
        <w:rPr>
          <w:sz w:val="20"/>
          <w:szCs w:val="20"/>
          <w:color w:val="auto"/>
        </w:rPr>
      </w:pPr>
    </w:p>
    <w:p>
      <w:pPr>
        <w:ind w:right="260" w:firstLine="921"/>
        <w:spacing w:after="0" w:line="264" w:lineRule="auto"/>
        <w:tabs>
          <w:tab w:leader="none" w:pos="11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outstanding principal balance of (and unfunded commitments in respect of) such First Out Tranche (the “</w:t>
      </w:r>
      <w:r>
        <w:rPr>
          <w:rFonts w:ascii="Arial" w:cs="Arial" w:eastAsia="Arial" w:hAnsi="Arial"/>
          <w:sz w:val="18"/>
          <w:szCs w:val="18"/>
          <w:u w:val="single" w:color="auto"/>
          <w:color w:val="auto"/>
        </w:rPr>
        <w:t>Total First Out Tranche</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xml:space="preserve">”) is greater than 15% of the sum of (i) the Total First Out Tranche Amount and (ii) the Principal Balance of such First Lien/Last Out Loan and all obligations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First Lien/Last Out Loan;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162" w:name="page163"/>
    <w:bookmarkEnd w:id="162"/>
    <w:p>
      <w:pPr>
        <w:ind w:right="440" w:firstLine="921"/>
        <w:spacing w:after="0" w:line="277" w:lineRule="auto"/>
        <w:tabs>
          <w:tab w:leader="none" w:pos="1168"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First Out Tranche has a leverage ratio (based upon all obligations of the applicable Obligor that are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Collateral Loan) of greater than 1x.</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 together with its 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Obligation</w:t>
      </w:r>
      <w:r>
        <w:rPr>
          <w:rFonts w:ascii="Arial" w:cs="Arial" w:eastAsia="Arial" w:hAnsi="Arial"/>
          <w:sz w:val="18"/>
          <w:szCs w:val="18"/>
          <w:color w:val="auto"/>
        </w:rPr>
        <w:t>” means any Collateral Obligation that bears a fixed rate of interest.</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Draw Assignment</w:t>
      </w:r>
      <w:r>
        <w:rPr>
          <w:rFonts w:ascii="Arial" w:cs="Arial" w:eastAsia="Arial" w:hAnsi="Arial"/>
          <w:sz w:val="16"/>
          <w:szCs w:val="16"/>
          <w:color w:val="auto"/>
        </w:rPr>
        <w:t>” means (i) the sale, assignment and transfer to the Borrower of a funded loan amount under a Revolving Collateral Loan or Delayed Drawdown Collateral Loan by TPG Specialty Lending, Inc., as “commitment holder”, under a sale agreement in form and substance acceptable to the Facility Agent and with respect to which the Borrower has obtained a Rating Confirmation in connection therewith, or (ii) the funding by the Borrower under a Revolving Collateral Loan or Delayed Drawdown Collateral Loan owned by TPG Specialty Lending, Inc. concurrently with the execution by TPG Specialty Lending, Inc. and the Borrower of a sale agreement in form and substance acceptable to the Facility Agent and with respect to which the Borrower has obtained a Rating Confirmation in connection therewith, in each case without the concurrent assignment and transfer to the Borrower of any commitment or obligation as to future fundings. For purposes hereof, Funded Draw Assignments shall be considered to be Revolving Collateral Loans or Delayed Drawdown Collateral Loans owned by the Borrower, except that the unfunded amount thereof shall at all times be deemed to be zero.</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Draw Collection Account</w:t>
      </w:r>
      <w:r>
        <w:rPr>
          <w:rFonts w:ascii="Arial" w:cs="Arial" w:eastAsia="Arial" w:hAnsi="Arial"/>
          <w:sz w:val="18"/>
          <w:szCs w:val="18"/>
          <w:color w:val="auto"/>
        </w:rPr>
        <w:t>” has the meaning specified in Section 8.11.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effect from time to time in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Intangible</w:t>
      </w:r>
      <w:r>
        <w:rPr>
          <w:rFonts w:ascii="Arial" w:cs="Arial" w:eastAsia="Arial" w:hAnsi="Arial"/>
          <w:sz w:val="18"/>
          <w:szCs w:val="18"/>
          <w:color w:val="auto"/>
        </w:rPr>
        <w:t>” has the meaning specified in Section 9-102(a)(42)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Authorizations</w:t>
      </w:r>
      <w:r>
        <w:rPr>
          <w:rFonts w:ascii="Arial" w:cs="Arial" w:eastAsia="Arial" w:hAnsi="Arial"/>
          <w:sz w:val="17"/>
          <w:szCs w:val="17"/>
          <w:color w:val="auto"/>
        </w:rPr>
        <w:t>” means all franchises, permits, licenses, approvals, consents and other authorizations of all Authorities.</w:t>
      </w:r>
    </w:p>
    <w:p>
      <w:pPr>
        <w:spacing w:after="0" w:line="237"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Filings</w:t>
      </w:r>
      <w:r>
        <w:rPr>
          <w:rFonts w:ascii="Arial" w:cs="Arial" w:eastAsia="Arial" w:hAnsi="Arial"/>
          <w:sz w:val="18"/>
          <w:szCs w:val="18"/>
          <w:color w:val="auto"/>
        </w:rPr>
        <w:t>” means all filings, including franchise and similar tax filings, and the payment of all fees, assessments, interests and penalties associated with such filings with all Authorities.</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 Covenant</w:t>
      </w:r>
      <w:r>
        <w:rPr>
          <w:rFonts w:ascii="Arial" w:cs="Arial" w:eastAsia="Arial" w:hAnsi="Arial"/>
          <w:sz w:val="18"/>
          <w:szCs w:val="18"/>
          <w:color w:val="auto"/>
        </w:rPr>
        <w:t>” means a covenant by any borrower to comply with one or more financial covenants (including without limitation any covenant relating to a borrowing base, asset valuation or similar asset-based requirement) only upon the occurrence of certain actions of the borrower, including a debt issuance, dividend payment, share purchase, merger, acquisition or divestiture.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12.04(b)</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63" w:name="page164"/>
    <w:bookmarkEnd w:id="163"/>
    <w:p>
      <w:pPr>
        <w:ind w:right="36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this Agreement and (b) to the extent not otherwise described in the preceding clause (a), Other Taxes.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Accountants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8.08</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Manager Criteria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5.02(u)</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Diversity Score</w:t>
      </w:r>
      <w:r>
        <w:rPr>
          <w:rFonts w:ascii="Arial" w:cs="Arial" w:eastAsia="Arial" w:hAnsi="Arial"/>
          <w:sz w:val="18"/>
          <w:szCs w:val="18"/>
          <w:color w:val="auto"/>
        </w:rPr>
        <w:t xml:space="preserve">” means, with respect to each DBRS Industry Classification, the number established by reference to the Industry Diversity Score Table set forth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for the related Aggregate Industry Equivalent Unit Score;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Aggregate Industry Equivalent Unit Score falls between any two numbers shown in the Industry Diversity Score Table set forth in </w:t>
      </w:r>
      <w:r>
        <w:rPr>
          <w:rFonts w:ascii="Arial" w:cs="Arial" w:eastAsia="Arial" w:hAnsi="Arial"/>
          <w:sz w:val="18"/>
          <w:szCs w:val="18"/>
          <w:u w:val="single" w:color="auto"/>
          <w:color w:val="auto"/>
        </w:rPr>
        <w:t>Schedule 3</w:t>
      </w:r>
      <w:r>
        <w:rPr>
          <w:rFonts w:ascii="Arial" w:cs="Arial" w:eastAsia="Arial" w:hAnsi="Arial"/>
          <w:sz w:val="18"/>
          <w:szCs w:val="18"/>
          <w:color w:val="auto"/>
        </w:rPr>
        <w:t>, the Aggregate Industry Equivalent Unit Score shall be the lesser of the two.</w:t>
      </w:r>
    </w:p>
    <w:p>
      <w:pPr>
        <w:spacing w:after="0" w:line="18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Event</w:t>
      </w:r>
      <w:r>
        <w:rPr>
          <w:rFonts w:ascii="Arial" w:cs="Arial" w:eastAsia="Arial" w:hAnsi="Arial"/>
          <w:sz w:val="16"/>
          <w:szCs w:val="16"/>
          <w:color w:val="auto"/>
        </w:rPr>
        <w:t>” means with respect to a specified Person, (a) the filing of a decree or order for relief by a court having jurisdiction in 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w:t>
      </w:r>
      <w:r>
        <w:rPr>
          <w:rFonts w:ascii="Arial" w:cs="Arial" w:eastAsia="Arial" w:hAnsi="Arial"/>
          <w:sz w:val="18"/>
          <w:szCs w:val="18"/>
          <w:color w:val="auto"/>
        </w:rPr>
        <w:t>” has the meaning specified in Section 9-102(a)(47) of the UCC.</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Accrual Period</w:t>
      </w:r>
      <w:r>
        <w:rPr>
          <w:rFonts w:ascii="Arial" w:cs="Arial" w:eastAsia="Arial" w:hAnsi="Arial"/>
          <w:sz w:val="18"/>
          <w:szCs w:val="18"/>
          <w:color w:val="auto"/>
        </w:rPr>
        <w:t>” means, with respect to any Eurodollar Rate Advance, the period beginning on the relevant Borrowing Date and ending on the next succeeding Payment Date and, thereafter, each period commencing on the last day of the immediately preceding Interest Accrual Period and ending on the next succeeding Payment Date.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Collection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 Test</w:t>
      </w:r>
      <w:r>
        <w:rPr>
          <w:rFonts w:ascii="Arial" w:cs="Arial" w:eastAsia="Arial" w:hAnsi="Arial"/>
          <w:sz w:val="18"/>
          <w:szCs w:val="18"/>
          <w:color w:val="auto"/>
        </w:rPr>
        <w:t xml:space="preserve">” means a test that is satisfied at any time if the ratio of (A) the Collateral Interest Amount at such time, to (B) the sum of all amounts payable (or expected at such time to be payable) on the following Payment Date pursuant to clauses (A), (B), (C), (D), and (E) in </w:t>
      </w:r>
      <w:r>
        <w:rPr>
          <w:rFonts w:ascii="Arial" w:cs="Arial" w:eastAsia="Arial" w:hAnsi="Arial"/>
          <w:sz w:val="18"/>
          <w:szCs w:val="18"/>
          <w:u w:val="single" w:color="auto"/>
          <w:color w:val="auto"/>
        </w:rPr>
        <w:t>Section 9.01(a)(i)</w:t>
      </w:r>
      <w:r>
        <w:rPr>
          <w:rFonts w:ascii="Arial" w:cs="Arial" w:eastAsia="Arial" w:hAnsi="Arial"/>
          <w:sz w:val="18"/>
          <w:szCs w:val="18"/>
          <w:color w:val="auto"/>
        </w:rPr>
        <w:t>, is greater than 150%.</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164" w:name="page165"/>
    <w:bookmarkEnd w:id="164"/>
    <w:p>
      <w:pPr>
        <w:jc w:val="cente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Interest Proceeds</w:t>
      </w:r>
      <w:r>
        <w:rPr>
          <w:rFonts w:ascii="Arial" w:cs="Arial" w:eastAsia="Arial" w:hAnsi="Arial"/>
          <w:sz w:val="18"/>
          <w:szCs w:val="18"/>
          <w:color w:val="auto"/>
        </w:rPr>
        <w:t>” means, with respect to any Collection Period or the related Determination Date, without duplication, the sum of:</w:t>
      </w:r>
    </w:p>
    <w:p>
      <w:pPr>
        <w:spacing w:after="0" w:line="117" w:lineRule="exact"/>
        <w:rPr>
          <w:sz w:val="20"/>
          <w:szCs w:val="20"/>
          <w:color w:val="auto"/>
        </w:rPr>
      </w:pPr>
    </w:p>
    <w:p>
      <w:pPr>
        <w:ind w:left="460" w:right="100" w:firstLine="443"/>
        <w:spacing w:after="0" w:line="277" w:lineRule="auto"/>
        <w:tabs>
          <w:tab w:leader="none" w:pos="114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payments of interest and other income received by the Borrower during such Collection Period on the Collateral Obligations and the other Collateral, including the accrued interest received in connection with a sale thereof during such Collection Period;</w:t>
      </w:r>
    </w:p>
    <w:p>
      <w:pPr>
        <w:spacing w:after="0" w:line="62"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each Collateral Obligation with a purchase price below 95% of such Collateral Obligation’s Principal Balance, Principal Proceeds received in excess of such Principal Balance;</w:t>
      </w:r>
    </w:p>
    <w:p>
      <w:pPr>
        <w:spacing w:after="0" w:line="62" w:lineRule="exact"/>
        <w:rPr>
          <w:rFonts w:ascii="Arial" w:cs="Arial" w:eastAsia="Arial" w:hAnsi="Arial"/>
          <w:sz w:val="18"/>
          <w:szCs w:val="18"/>
          <w:color w:val="auto"/>
        </w:rPr>
      </w:pPr>
    </w:p>
    <w:p>
      <w:pPr>
        <w:ind w:left="460" w:right="160" w:firstLine="443"/>
        <w:spacing w:after="0" w:line="259" w:lineRule="auto"/>
        <w:tabs>
          <w:tab w:leader="none" w:pos="114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 and all interest payments received by the Borrower during such Collection Period on Eligible Investments purchased with Principal Proceeds;</w:t>
      </w:r>
    </w:p>
    <w:p>
      <w:pPr>
        <w:spacing w:after="0" w:line="78" w:lineRule="exact"/>
        <w:rPr>
          <w:rFonts w:ascii="Arial" w:cs="Arial" w:eastAsia="Arial" w:hAnsi="Arial"/>
          <w:sz w:val="18"/>
          <w:szCs w:val="18"/>
          <w:color w:val="auto"/>
        </w:rPr>
      </w:pPr>
    </w:p>
    <w:p>
      <w:pPr>
        <w:ind w:left="460" w:right="60" w:firstLine="443"/>
        <w:spacing w:after="0" w:line="259" w:lineRule="auto"/>
        <w:tabs>
          <w:tab w:leader="none" w:pos="11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amendment and waiver fees, late payment fees (including compensation for delayed settlement or trades), and all protection fees and other fees and commissions received by the Borrower during such Collection Period, unless the Investment Manager notifies the Agents before such Determination Date (and in no event later than 10 days following receipt thereof) that the Investment Manager in its sole discretion has determined that such payments are to be treated as Principal Proceeds;</w:t>
      </w:r>
    </w:p>
    <w:p>
      <w:pPr>
        <w:spacing w:after="0" w:line="78" w:lineRule="exact"/>
        <w:rPr>
          <w:rFonts w:ascii="Arial" w:cs="Arial" w:eastAsia="Arial" w:hAnsi="Arial"/>
          <w:sz w:val="18"/>
          <w:szCs w:val="18"/>
          <w:color w:val="auto"/>
        </w:rPr>
      </w:pPr>
    </w:p>
    <w:p>
      <w:pPr>
        <w:jc w:val="both"/>
        <w:ind w:left="460" w:right="320" w:firstLine="443"/>
        <w:spacing w:after="0" w:line="312" w:lineRule="auto"/>
        <w:tabs>
          <w:tab w:leader="none" w:pos="114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commitment fees, origination fees, facility fees, anniversary fees, ticking fees and other similar fees received by the Borrower during such Collection Period unless the Investment Manager notifies the Agents before such Determination Date (and in no event later than 10 days following receipt thereof) that the Investment Manager in its sole discretion has determined that such payments are to be treated as Principal Proceeds; and</w:t>
      </w:r>
    </w:p>
    <w:p>
      <w:pPr>
        <w:spacing w:after="0" w:line="38" w:lineRule="exact"/>
        <w:rPr>
          <w:rFonts w:ascii="Arial" w:cs="Arial" w:eastAsia="Arial" w:hAnsi="Arial"/>
          <w:sz w:val="16"/>
          <w:szCs w:val="16"/>
          <w:color w:val="auto"/>
        </w:rPr>
      </w:pPr>
    </w:p>
    <w:p>
      <w:pPr>
        <w:ind w:left="1120" w:hanging="217"/>
        <w:spacing w:after="0"/>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any amounts deposited in the Collection Account from the Closing Expense Account in accordance with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17" w:lineRule="exact"/>
        <w:rPr>
          <w:sz w:val="20"/>
          <w:szCs w:val="20"/>
          <w:color w:val="auto"/>
        </w:rPr>
      </w:pPr>
    </w:p>
    <w:p>
      <w:pPr>
        <w:ind w:left="920" w:right="320" w:firstLine="421"/>
        <w:spacing w:after="0" w:line="297" w:lineRule="auto"/>
        <w:tabs>
          <w:tab w:leader="none" w:pos="159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as to any Defaulted Loan/Bond (and only so long as it remains a Defaulted Loan/Bond), any amounts received in respect thereof (including without limitation any assets received therewith or in exchange thereof, including without limitation any Equity Security) will constitute Principal Proceeds (and not Interest Proceeds) until the aggregate of all collections in respect of such Defaulted Loan/Bond since it became a Defaulted Loan/Bond equals the outstanding principal balance of such Defaulted Loan/Bond at the time as of which it became a Defaulted Loan/Bond, and all amounts received in excess thereof, however denominated, will constitute Interest Proceeds;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65" w:name="page166"/>
    <w:bookmarkEnd w:id="165"/>
    <w:p>
      <w:pPr>
        <w:ind w:left="920" w:right="60" w:firstLine="421"/>
        <w:spacing w:after="0" w:line="297" w:lineRule="auto"/>
        <w:tabs>
          <w:tab w:leader="none" w:pos="1595" w:val="left"/>
        </w:tabs>
        <w:numPr>
          <w:ilvl w:val="0"/>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each case subject to clause (1) above, (x) any dividends paid on any Equity Security will constitute Interest Proceeds, (y) any gain on the sale of Equity Securities (including Equity Securities received as a result of exercising warrants) and warrants in an amount, if any, equal to the excess of (A) the Cash generated by such sale plus the Market Value on the Collateral Obligation(s) of the same Obligor over (B) the Loan Amount (after adjustment for any borrowings or repayments and exclusive of accrued interest) for such Collateral Obligation(s) will constitute Interest Proceeds and (z) all other payments received in respect of Equity Securities will constitute Principal Proceeds; and</w:t>
      </w:r>
    </w:p>
    <w:p>
      <w:pPr>
        <w:spacing w:after="0" w:line="50" w:lineRule="exact"/>
        <w:rPr>
          <w:rFonts w:ascii="Arial" w:cs="Arial" w:eastAsia="Arial" w:hAnsi="Arial"/>
          <w:sz w:val="16"/>
          <w:szCs w:val="16"/>
          <w:color w:val="auto"/>
        </w:rPr>
      </w:pPr>
    </w:p>
    <w:p>
      <w:pPr>
        <w:ind w:left="920" w:right="260" w:firstLine="421"/>
        <w:spacing w:after="0" w:line="342" w:lineRule="auto"/>
        <w:tabs>
          <w:tab w:leader="none" w:pos="159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all Cash received by the Borrower as equity contributions (however designated) from the Investment Manager or any of its Affiliates will constitute Principal Proceeds, unless otherwise directed by the Borrower by prior written notice to the Agents pursuant to </w:t>
      </w:r>
      <w:r>
        <w:rPr>
          <w:rFonts w:ascii="Arial" w:cs="Arial" w:eastAsia="Arial" w:hAnsi="Arial"/>
          <w:sz w:val="16"/>
          <w:szCs w:val="16"/>
          <w:u w:val="single" w:color="auto"/>
          <w:color w:val="auto"/>
        </w:rPr>
        <w:t>Section 10.04</w:t>
      </w:r>
      <w:r>
        <w:rPr>
          <w:rFonts w:ascii="Arial" w:cs="Arial" w:eastAsia="Arial" w:hAnsi="Arial"/>
          <w:sz w:val="16"/>
          <w:szCs w:val="16"/>
          <w:color w:val="auto"/>
        </w:rPr>
        <w:t>.</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clause (2)(y) above, “gain” means any amounts received in the sale of an Equity Security that is in excess of the cost basis associated with such Equity Security (excluding any amounts received in respect of an Equity Security in exchange for defaulted debt). No amounts that are required by the terms of any participation agreement to be paid by the Borrower to any Person to whom the Borrower has sold a participation interest shall constitute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Proceeds</w:t>
      </w:r>
      <w:r>
        <w:rPr>
          <w:rFonts w:ascii="Arial" w:cs="Arial" w:eastAsia="Arial" w:hAnsi="Arial"/>
          <w:sz w:val="18"/>
          <w:szCs w:val="18"/>
          <w:color w:val="auto"/>
        </w:rPr>
        <w:t>” hereunder.</w:t>
      </w:r>
    </w:p>
    <w:p>
      <w:pPr>
        <w:spacing w:after="0" w:line="187" w:lineRule="exact"/>
        <w:rPr>
          <w:sz w:val="20"/>
          <w:szCs w:val="20"/>
          <w:color w:val="auto"/>
        </w:rPr>
      </w:pPr>
    </w:p>
    <w:p>
      <w:pPr>
        <w:ind w:right="6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Interim Order</w:t>
      </w:r>
      <w:r>
        <w:rPr>
          <w:rFonts w:ascii="Arial" w:cs="Arial" w:eastAsia="Arial" w:hAnsi="Arial"/>
          <w:sz w:val="17"/>
          <w:szCs w:val="17"/>
          <w:color w:val="auto"/>
        </w:rPr>
        <w:t>” means an order, judgment, decree or ruling entered after notice and a hearing conducted in accordance with Bankruptcy Rule 4001(c) granting interim authorization, the operation or effect of which has not been stayed, reversed or amended.</w:t>
      </w:r>
    </w:p>
    <w:p>
      <w:pPr>
        <w:spacing w:after="0" w:line="14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and the rules and regulations promulgated thereunder, as modified or interpreted by orders of, or other interpretative releases or letters issued by, any Authority, all as from time to time in effect, or any successor law, rules or regulations, and any reference to any statutory or regulatory provision shall be deemed to be a reference to any successor statutory or regulatory provision.</w:t>
      </w:r>
    </w:p>
    <w:p>
      <w:pPr>
        <w:spacing w:after="0" w:line="187"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Management Agreement</w:t>
      </w:r>
      <w:r>
        <w:rPr>
          <w:rFonts w:ascii="Arial" w:cs="Arial" w:eastAsia="Arial" w:hAnsi="Arial"/>
          <w:sz w:val="17"/>
          <w:szCs w:val="17"/>
          <w:color w:val="auto"/>
        </w:rPr>
        <w:t>” means the agreement, dated as of the Original Closing Date, between the Borrower and the Investment Manager relating to the Facility and the Collateral, as amended from time to time in accordance with the terms hereof and thereof.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Manager</w:t>
      </w:r>
      <w:r>
        <w:rPr>
          <w:rFonts w:ascii="Arial" w:cs="Arial" w:eastAsia="Arial" w:hAnsi="Arial"/>
          <w:sz w:val="16"/>
          <w:szCs w:val="16"/>
          <w:color w:val="auto"/>
        </w:rPr>
        <w:t>” means TPG Specialty Lending, Inc., or any successor in such capacity in accordance with the Investment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action, code, consent decree, constitution, decree, directive, enactment, finding, guideline, law, injunction, interpretation, judgment, order, ordinance, policy statement, proclamation, promulgation, regulation, requirement, rule, rule of law, rule of public policy, settlement agreement, statute, or writ, of any Authority, or any particular section, part or provision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166" w:name="page167"/>
    <w:bookmarkEnd w:id="16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Lender Funding Account</w:t>
      </w:r>
      <w:r>
        <w:rPr>
          <w:rFonts w:ascii="Arial" w:cs="Arial" w:eastAsia="Arial" w:hAnsi="Arial"/>
          <w:sz w:val="18"/>
          <w:szCs w:val="18"/>
          <w:color w:val="auto"/>
        </w:rPr>
        <w:t xml:space="preserve">” means the lender funding account established pursuant to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Funding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225"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and any other Person that shall have become a party hereto pursuant to an Assignment and Acceptance in accordance with the terms hereof, other than any such Person that ceases to be a party hereto pursuant to an Assignment and Acceptance.</w:t>
      </w:r>
    </w:p>
    <w:p>
      <w:pPr>
        <w:spacing w:after="0" w:line="124"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Multiple</w:t>
      </w:r>
      <w:r>
        <w:rPr>
          <w:rFonts w:ascii="Arial" w:cs="Arial" w:eastAsia="Arial" w:hAnsi="Arial"/>
          <w:sz w:val="18"/>
          <w:szCs w:val="18"/>
          <w:color w:val="auto"/>
        </w:rPr>
        <w:t xml:space="preserve">” means, as of any date, the ratio of (A) the Row Advance Rate in effect on such date </w:t>
      </w:r>
      <w:r>
        <w:rPr>
          <w:rFonts w:ascii="Arial" w:cs="Arial" w:eastAsia="Arial" w:hAnsi="Arial"/>
          <w:sz w:val="18"/>
          <w:szCs w:val="18"/>
          <w:i w:val="1"/>
          <w:iCs w:val="1"/>
          <w:color w:val="auto"/>
        </w:rPr>
        <w:t>over</w:t>
      </w:r>
      <w:r>
        <w:rPr>
          <w:rFonts w:ascii="Arial" w:cs="Arial" w:eastAsia="Arial" w:hAnsi="Arial"/>
          <w:sz w:val="18"/>
          <w:szCs w:val="18"/>
          <w:color w:val="auto"/>
        </w:rPr>
        <w:t xml:space="preserve"> (B) 1 minus the Row Advance Rate in effect on such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12.04(b)</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has the meaning assigned to such term on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encumbrance, lien or security interest (statutory or other), or preference, priority or other security agreement, charge or preferential arrangement of any kind or nature whatsoever (including any conditional sale or other title retention agreement, any financing lease having substantially the same economic effect as any of the foregoing, and any filing authorized by the Borrower of any financing statement under the UCC or comparable law of any jurisdiction).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Amount</w:t>
      </w:r>
      <w:r>
        <w:rPr>
          <w:rFonts w:ascii="Arial" w:cs="Arial" w:eastAsia="Arial" w:hAnsi="Arial"/>
          <w:sz w:val="16"/>
          <w:szCs w:val="16"/>
          <w:color w:val="auto"/>
        </w:rPr>
        <w:t>” means, with respect to a Collateral Obligation at the time of the Borrower’s acquisition thereof, an amount equal to the least of</w:t>
      </w:r>
    </w:p>
    <w:p>
      <w:pPr>
        <w:spacing w:after="0" w:line="46" w:lineRule="exact"/>
        <w:rPr>
          <w:sz w:val="20"/>
          <w:szCs w:val="20"/>
          <w:color w:val="auto"/>
        </w:rPr>
      </w:pPr>
    </w:p>
    <w:p>
      <w:pPr>
        <w:ind w:right="60" w:firstLine="8"/>
        <w:spacing w:after="0" w:line="254" w:lineRule="auto"/>
        <w:tabs>
          <w:tab w:leader="none" w:pos="2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acquired by the Borrower for a purchase price equal to 95% or more of its outstanding principal amount (excluding any capitalized interest) as of the date of acquisition, such outstanding principal amount, (b) if acquired by the Borrower for a purchase price less than 95% of its outstanding principal amount (excluding any capitalized interest) as of the date of acquisition, such purchase price and (c) if acquired from an Affiliate of the Borrower, the current cost basis of the seller or transferor.</w:t>
      </w:r>
    </w:p>
    <w:p>
      <w:pPr>
        <w:spacing w:after="0" w:line="19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 day on which commercial banks are open for business (including dealings in foreign exchange and foreign currency deposits) in London, England.</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Covenant</w:t>
      </w:r>
      <w:r>
        <w:rPr>
          <w:rFonts w:ascii="Arial" w:cs="Arial" w:eastAsia="Arial" w:hAnsi="Arial"/>
          <w:sz w:val="18"/>
          <w:szCs w:val="18"/>
          <w:color w:val="auto"/>
        </w:rPr>
        <w:t>” means, a covenant by any borrower to comply with one or more financial covenants (including without limitation any covenant relating to a borrowing base, asset valuation or similar asset-based requirement) during each reporting period, whether or not such borrower has taken any specified action.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Value</w:t>
      </w:r>
      <w:r>
        <w:rPr>
          <w:rFonts w:ascii="Arial" w:cs="Arial" w:eastAsia="Arial" w:hAnsi="Arial"/>
          <w:sz w:val="16"/>
          <w:szCs w:val="16"/>
          <w:color w:val="auto"/>
        </w:rPr>
        <w:t>” means, with respect to any loans or other assets, the amount (determined by the Investment Manager in accordance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Servicing Standard) equal to the product of the principal amount thereof and the price determined in the following manner: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167" w:name="page168"/>
    <w:bookmarkEnd w:id="167"/>
    <w:p>
      <w:pPr>
        <w:ind w:left="460" w:right="60" w:firstLine="443"/>
        <w:spacing w:after="0" w:line="277" w:lineRule="auto"/>
        <w:tabs>
          <w:tab w:leader="none" w:pos="1143"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bid-side quote determined by any of Loan Pricing Corporation, LoanX Inc., MarkIt Partners, Mergent, Inc., IDC, Houlihan Lokey or any other nationally recognized loan pricing service selected by the Investment Manager;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such quote described in clause (a) is not available,</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average of the bid-side quotes determined by three independent broker-dealers active in the trading of such asset;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if only two such bids can be obtained, the lower of the bid-side quotes of such two bids; or</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if only one such bid can be obtained, such bid; or</w:t>
      </w:r>
    </w:p>
    <w:p>
      <w:pPr>
        <w:spacing w:after="0" w:line="117" w:lineRule="exact"/>
        <w:rPr>
          <w:rFonts w:ascii="Arial" w:cs="Arial" w:eastAsia="Arial" w:hAnsi="Arial"/>
          <w:sz w:val="18"/>
          <w:szCs w:val="18"/>
          <w:color w:val="auto"/>
        </w:rPr>
      </w:pPr>
    </w:p>
    <w:p>
      <w:pPr>
        <w:ind w:left="460" w:firstLine="443"/>
        <w:spacing w:after="0" w:line="342" w:lineRule="auto"/>
        <w:tabs>
          <w:tab w:leader="none" w:pos="114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if the Market Value of an asset cannot be determined in accordance with clause (a) or (b) above, then the Market Value shall be the Appraised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Appraised Value of such Collateral Obligation has been obtained or updated within the immediately preceding three months;</w:t>
      </w:r>
    </w:p>
    <w:p>
      <w:pPr>
        <w:spacing w:after="0" w:line="15" w:lineRule="exact"/>
        <w:rPr>
          <w:rFonts w:ascii="Arial" w:cs="Arial" w:eastAsia="Arial" w:hAnsi="Arial"/>
          <w:sz w:val="16"/>
          <w:szCs w:val="16"/>
          <w:color w:val="auto"/>
        </w:rPr>
      </w:pPr>
    </w:p>
    <w:p>
      <w:pPr>
        <w:ind w:left="460" w:right="60" w:firstLine="443"/>
        <w:spacing w:after="0" w:line="279" w:lineRule="auto"/>
        <w:tabs>
          <w:tab w:leader="none" w:pos="115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if such quote or bid described in clause (a), (b) or (c) is not available, then the Market Value of such Collateral Obligation shall be the lower of (i) the higher of (A) the DBRS Recovery Rate and (B) 70% of the outstanding principal amount of such Collateral Obligation and (ii) the Market Value determined by the Borrower exercising reasonable commercial judgment in accordance with the Servicing Standard, consistent with the manner in which it would determine the market value of an asset for purposes of other funds or accounts managed by it; or</w:t>
      </w:r>
    </w:p>
    <w:p>
      <w:pPr>
        <w:spacing w:after="0" w:line="63" w:lineRule="exact"/>
        <w:rPr>
          <w:rFonts w:ascii="Arial" w:cs="Arial" w:eastAsia="Arial" w:hAnsi="Arial"/>
          <w:sz w:val="17"/>
          <w:szCs w:val="17"/>
          <w:color w:val="auto"/>
        </w:rPr>
      </w:pPr>
    </w:p>
    <w:p>
      <w:pPr>
        <w:ind w:left="460" w:right="460" w:firstLine="443"/>
        <w:spacing w:after="0" w:line="277" w:lineRule="auto"/>
        <w:tabs>
          <w:tab w:leader="none" w:pos="114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Market Value of an asset cannot be determined in accordance with clause (a), (b), (c) or (d) above, then the Market Value shall be deemed to be zero until such determination is made in accordance with clause (a), (b), (c) or (d) above.</w:t>
      </w:r>
    </w:p>
    <w:p>
      <w:pPr>
        <w:spacing w:after="0" w:line="170"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Master Transfer Agreement</w:t>
      </w:r>
      <w:r>
        <w:rPr>
          <w:rFonts w:ascii="Arial" w:cs="Arial" w:eastAsia="Arial" w:hAnsi="Arial"/>
          <w:sz w:val="16"/>
          <w:szCs w:val="16"/>
          <w:color w:val="auto"/>
        </w:rPr>
        <w:t>” means the Amended and Restated Master Sale and Contribution Agreement, dated as of the Closing Date, as amended, restated, supplemented or otherwise modified from time to time, between the Borrower, as assignee, and TPG Specialty Lending, Inc., as assignor.</w:t>
      </w:r>
    </w:p>
    <w:p>
      <w:pPr>
        <w:spacing w:after="0" w:line="124"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event that has, or could reasonably be expected to have, a material adverse effect on (a) the business, assets, financial condition or operations of the Borrower or the Investment Manager (b) the ability of the Borrower or the Investment Manager to perform its material obligations under this Agreement and the other Facility Documents or (c) the material rights, interests, remedies or benefits (taken as a whole) available to the Lenders or Agents under this Agreement and the other Facility Documents, each as determined in good faith and on a commercially reasonable basis by the Facility Agent.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Matrix</w:t>
      </w:r>
      <w:r>
        <w:rPr>
          <w:rFonts w:ascii="Arial" w:cs="Arial" w:eastAsia="Arial" w:hAnsi="Arial"/>
          <w:sz w:val="18"/>
          <w:szCs w:val="18"/>
          <w:color w:val="auto"/>
        </w:rPr>
        <w:t xml:space="preserve">” means the table set forth on </w:t>
      </w:r>
      <w:r>
        <w:rPr>
          <w:rFonts w:ascii="Arial" w:cs="Arial" w:eastAsia="Arial" w:hAnsi="Arial"/>
          <w:sz w:val="18"/>
          <w:szCs w:val="18"/>
          <w:u w:val="single" w:color="auto"/>
          <w:color w:val="auto"/>
        </w:rPr>
        <w:t>Schedule 8</w:t>
      </w:r>
      <w:r>
        <w:rPr>
          <w:rFonts w:ascii="Arial" w:cs="Arial" w:eastAsia="Arial" w:hAnsi="Arial"/>
          <w:sz w:val="18"/>
          <w:szCs w:val="18"/>
          <w:color w:val="auto"/>
        </w:rPr>
        <w:t xml:space="preserve"> hereto.</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DBRS Risk Score Test</w:t>
      </w:r>
      <w:r>
        <w:rPr>
          <w:rFonts w:ascii="Arial" w:cs="Arial" w:eastAsia="Arial" w:hAnsi="Arial"/>
          <w:sz w:val="18"/>
          <w:szCs w:val="18"/>
          <w:color w:val="auto"/>
        </w:rPr>
        <w:t>” is a test satisfied on any date of determination if the Weighted Average DBRS Risk Score of the Collateral Obligations as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274" w:right="31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date is less than or equal to the Row DBRS Average Risk Score,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Defaulted Obligations shall be excluded from such calculation.</w:t>
      </w:r>
    </w:p>
    <w:p>
      <w:pPr>
        <w:spacing w:after="0" w:line="23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Average Recovery Rate Test</w:t>
      </w:r>
      <w:r>
        <w:rPr>
          <w:rFonts w:ascii="Arial" w:cs="Arial" w:eastAsia="Arial" w:hAnsi="Arial"/>
          <w:sz w:val="18"/>
          <w:szCs w:val="18"/>
          <w:color w:val="auto"/>
        </w:rPr>
        <w:t>” means a test that will be satisfied on any date of determination if the Weighted Average Recovery Rate of Performing Collateral Obligations as of such date is greater than or equal to 46%.</w:t>
      </w:r>
    </w:p>
    <w:p>
      <w:pPr>
        <w:spacing w:after="0" w:line="170" w:lineRule="exact"/>
        <w:rPr>
          <w:sz w:val="20"/>
          <w:szCs w:val="20"/>
          <w:color w:val="auto"/>
        </w:rPr>
      </w:pPr>
    </w:p>
    <w:p>
      <w:pPr>
        <w:ind w:right="6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Diversity Score Test</w:t>
      </w:r>
      <w:r>
        <w:rPr>
          <w:rFonts w:ascii="Arial" w:cs="Arial" w:eastAsia="Arial" w:hAnsi="Arial"/>
          <w:sz w:val="18"/>
          <w:szCs w:val="18"/>
          <w:color w:val="auto"/>
        </w:rPr>
        <w:t>” means a test that will be satisfied on any date of determination if the Diversity Score of the Collateral Obligations, calculated as a single number in accordance with standard diversity scoring methodology using DBRS Industry Classifications, equals or exceeds the Row Diversity Score and in no event less than 6.</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Overcollateralization Ratio Test</w:t>
      </w:r>
      <w:r>
        <w:rPr>
          <w:rFonts w:ascii="Arial" w:cs="Arial" w:eastAsia="Arial" w:hAnsi="Arial"/>
          <w:sz w:val="18"/>
          <w:szCs w:val="18"/>
          <w:color w:val="auto"/>
        </w:rPr>
        <w:t>” means a test that will be satisfied on any date of determination if the Overcollateralization Ratio at such time is greater than or equal to the Row Minimum OC Level.</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Weighted Average Fixed Rate Coupon Test</w:t>
      </w:r>
      <w:r>
        <w:rPr>
          <w:rFonts w:ascii="Arial" w:cs="Arial" w:eastAsia="Arial" w:hAnsi="Arial"/>
          <w:sz w:val="18"/>
          <w:szCs w:val="18"/>
          <w:color w:val="auto"/>
        </w:rPr>
        <w:t>” means a test that will be satisfied on any date of determination if the Weighted Average Fixed Rate Coupon equals or exceeds 6.00%.</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Weighted Average Spread Test</w:t>
      </w:r>
      <w:r>
        <w:rPr>
          <w:rFonts w:ascii="Arial" w:cs="Arial" w:eastAsia="Arial" w:hAnsi="Arial"/>
          <w:sz w:val="18"/>
          <w:szCs w:val="18"/>
          <w:color w:val="auto"/>
        </w:rPr>
        <w:t>” means a test that will be satisfied on any date of determination if the Weighted Average Spread equals or exceeds the Row Spread Level and in no event less than 4.50%.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Money</w:t>
      </w:r>
      <w:r>
        <w:rPr>
          <w:rFonts w:ascii="Arial" w:cs="Arial" w:eastAsia="Arial" w:hAnsi="Arial"/>
          <w:sz w:val="16"/>
          <w:szCs w:val="16"/>
          <w:color w:val="auto"/>
        </w:rPr>
        <w:t>” has the meaning specified in Section 1-201(24) of the UCC, and shall be deemed to include “</w:t>
      </w:r>
      <w:r>
        <w:rPr>
          <w:rFonts w:ascii="Arial" w:cs="Arial" w:eastAsia="Arial" w:hAnsi="Arial"/>
          <w:sz w:val="16"/>
          <w:szCs w:val="16"/>
          <w:u w:val="single" w:color="auto"/>
          <w:color w:val="auto"/>
        </w:rPr>
        <w:t>Monies</w:t>
      </w:r>
      <w:r>
        <w:rPr>
          <w:rFonts w:ascii="Arial" w:cs="Arial" w:eastAsia="Arial" w:hAnsi="Arial"/>
          <w:sz w:val="16"/>
          <w:szCs w:val="16"/>
          <w:color w:val="auto"/>
        </w:rPr>
        <w:t>” wherever such term may be used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Report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Report Date</w:t>
      </w:r>
      <w:r>
        <w:rPr>
          <w:rFonts w:ascii="Arial" w:cs="Arial" w:eastAsia="Arial" w:hAnsi="Arial"/>
          <w:sz w:val="18"/>
          <w:szCs w:val="18"/>
          <w:color w:val="auto"/>
        </w:rPr>
        <w:t>” means the 15</w:t>
      </w:r>
      <w:r>
        <w:rPr>
          <w:rFonts w:ascii="Arial" w:cs="Arial" w:eastAsia="Arial" w:hAnsi="Arial"/>
          <w:sz w:val="15"/>
          <w:szCs w:val="15"/>
          <w:color w:val="auto"/>
        </w:rPr>
        <w:t>th</w:t>
      </w:r>
      <w:r>
        <w:rPr>
          <w:rFonts w:ascii="Arial" w:cs="Arial" w:eastAsia="Arial" w:hAnsi="Arial"/>
          <w:sz w:val="18"/>
          <w:szCs w:val="18"/>
          <w:color w:val="auto"/>
        </w:rPr>
        <w:t xml:space="preserve"> day of each calendar month in each year, the first of which shall be June 15,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day is not a Business Day, then such Monthly Report Date shall be the next succeeding Business Day and (ii) the final Monthly Report Date shall be on the Final Maturity Date.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Report Determination Date</w:t>
      </w:r>
      <w:r>
        <w:rPr>
          <w:rFonts w:ascii="Arial" w:cs="Arial" w:eastAsia="Arial" w:hAnsi="Arial"/>
          <w:sz w:val="17"/>
          <w:szCs w:val="17"/>
          <w:color w:val="auto"/>
        </w:rPr>
        <w:t>” means, with respect to any Monthly Report Date, the sixth Business Day prior to such Monthly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together with its successors.</w:t>
      </w:r>
    </w:p>
    <w:p>
      <w:pPr>
        <w:spacing w:after="0" w:line="225"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 employee pension benefit plan within the meaning of Section 4001(a)(3) of ERISA that is sponsored by the Borrower or a member of its ERISA Group or to which the Borrower or a member of its ERISA Group is obligated to make contributions or has any liability.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Natixis</w:t>
      </w:r>
      <w:r>
        <w:rPr>
          <w:rFonts w:ascii="Arial" w:cs="Arial" w:eastAsia="Arial" w:hAnsi="Arial"/>
          <w:sz w:val="18"/>
          <w:szCs w:val="18"/>
          <w:color w:val="auto"/>
        </w:rPr>
        <w:t>” has the meaning assigned to such term in the introduction to this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169" w:name="page170"/>
    <w:bookmarkEnd w:id="169"/>
    <w:p>
      <w:pPr>
        <w:ind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Net Loss Amount</w:t>
      </w:r>
      <w:r>
        <w:rPr>
          <w:rFonts w:ascii="Arial" w:cs="Arial" w:eastAsia="Arial" w:hAnsi="Arial"/>
          <w:sz w:val="16"/>
          <w:szCs w:val="16"/>
          <w:color w:val="auto"/>
        </w:rPr>
        <w:t>” means, as of any date of determination, (i) in the case of a Defaulted Obligation, the product of (x) the difference (whether a positive or negative number) between the purchase price in respect of such Defaulted Obligation and the Market Value in respect of such Collateral Obligation in each case expressed as a percentage multiplied by (y) the Principal Balance in respect of such Collateral Obligation and (ii) for each sale of a Collateral Obligation by the Borrower to a Person that is not an Affiliate thereof, the product of (x) the difference (whether a positive or negative number) between the purchase price in respect of such Collateral Obligation and the sale price obtained by the Borrower (excluding accrued interest) in respect of such Collateral Obligation, in each case, expressed as a percentage, multiplied by (y) the Principal Balance in respect of such Collateral Obligation.</w:t>
      </w:r>
    </w:p>
    <w:p>
      <w:pPr>
        <w:spacing w:after="0" w:line="16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each promissory note, if any, issued by the Borrower to a Lender in accordance with the provisions of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as the same may from time to time be amended, supplemented, waived or modified.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indebtedness, whether absolute, fixed or contingent, at any time or from time to time owing by the Borrower to any Secured Party or any Affected Person under or in connection with this Agreement, the Notes, the Collateral Agent Fee Letter or any other Facility Document, including all amounts payable by the Borrower in respect of the Advances, with interest thereon, and all amounts payable hereunder.</w:t>
      </w:r>
    </w:p>
    <w:p>
      <w:pPr>
        <w:spacing w:after="0" w:line="166"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in respect of any Collateral Obligation of the Borrower, the Person primarily obligated to pay Collections in respect of such Collateral Obligation to the Borrower.</w:t>
      </w:r>
    </w:p>
    <w:p>
      <w:pPr>
        <w:spacing w:after="0" w:line="170" w:lineRule="exact"/>
        <w:rPr>
          <w:sz w:val="20"/>
          <w:szCs w:val="20"/>
          <w:color w:val="auto"/>
        </w:rPr>
      </w:pPr>
    </w:p>
    <w:p>
      <w:pPr>
        <w:jc w:val="both"/>
        <w:ind w:right="18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Obligor Par Amount</w:t>
      </w:r>
      <w:r>
        <w:rPr>
          <w:rFonts w:ascii="Arial" w:cs="Arial" w:eastAsia="Arial" w:hAnsi="Arial"/>
          <w:sz w:val="17"/>
          <w:szCs w:val="17"/>
          <w:color w:val="auto"/>
        </w:rPr>
        <w:t xml:space="preserve">” means, on any date and with respect to each Obligor under a Collateral Obligation, the Aggregate Principal Balances of all Collateral Obligations (other than Defaulted Loan/Bonds) with respect to which such Obligor is the Obligor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calculating the Obligor Par Amount, any Obligors that are Affiliated with one another will be considered one Obligor.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8.07(c)</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w:t>
      </w:r>
      <w:r>
        <w:rPr>
          <w:rFonts w:ascii="Arial" w:cs="Arial" w:eastAsia="Arial" w:hAnsi="Arial"/>
          <w:sz w:val="18"/>
          <w:szCs w:val="18"/>
          <w:color w:val="auto"/>
        </w:rPr>
        <w:t>” means May 8, 2012.</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 Expenses</w:t>
      </w:r>
      <w:r>
        <w:rPr>
          <w:rFonts w:ascii="Arial" w:cs="Arial" w:eastAsia="Arial" w:hAnsi="Arial"/>
          <w:sz w:val="18"/>
          <w:szCs w:val="18"/>
          <w:color w:val="auto"/>
        </w:rPr>
        <w:t>” means amounts due in respect of actions taken on or before the Original Closing Date or in connection with the closing of the transactions contemplated by the Existing Credit Agreement.</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in the case of any Secured Party, any Taxes imposed by any jurisdiction by reason of such Secured Party having any present or former connection with such jurisdiction (other than a connection arising solely from entering into,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receiving any payment under or enforcing its rights under this Agreement, the Notes or any other Facility Document).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12.03(b)</w:t>
      </w:r>
      <w:r>
        <w:rPr>
          <w:rFonts w:ascii="Arial" w:cs="Arial" w:eastAsia="Arial" w:hAnsi="Arial"/>
          <w:sz w:val="18"/>
          <w:szCs w:val="18"/>
          <w:color w:val="auto"/>
        </w:rPr>
        <w:t>.</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Overcollateralization Ratio</w:t>
      </w:r>
      <w:r>
        <w:rPr>
          <w:rFonts w:ascii="Arial" w:cs="Arial" w:eastAsia="Arial" w:hAnsi="Arial"/>
          <w:sz w:val="18"/>
          <w:szCs w:val="18"/>
          <w:color w:val="auto"/>
        </w:rPr>
        <w:t>” means the percentage equivalent of a fraction, the numerator of which is the Principal Collateralization Amount and the denominator of which is the Borrower Liabilities.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any Person to whom a participation is sold as permitted by </w:t>
      </w:r>
      <w:r>
        <w:rPr>
          <w:rFonts w:ascii="Arial" w:cs="Arial" w:eastAsia="Arial" w:hAnsi="Arial"/>
          <w:sz w:val="18"/>
          <w:szCs w:val="18"/>
          <w:u w:val="single" w:color="auto"/>
          <w:color w:val="auto"/>
        </w:rPr>
        <w:t>Section 12.06(c)</w:t>
      </w:r>
      <w:r>
        <w:rPr>
          <w:rFonts w:ascii="Arial" w:cs="Arial" w:eastAsia="Arial" w:hAnsi="Arial"/>
          <w:sz w:val="18"/>
          <w:szCs w:val="18"/>
          <w:color w:val="auto"/>
        </w:rPr>
        <w:t>.</w:t>
      </w:r>
    </w:p>
    <w:p>
      <w:pPr>
        <w:spacing w:after="0" w:line="225"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Interest</w:t>
      </w:r>
      <w:r>
        <w:rPr>
          <w:rFonts w:ascii="Arial" w:cs="Arial" w:eastAsia="Arial" w:hAnsi="Arial"/>
          <w:sz w:val="18"/>
          <w:szCs w:val="18"/>
          <w:color w:val="auto"/>
        </w:rPr>
        <w:t>” means a participation interest in a loan or other obligation that would, at the time of acquisition, or the Borrower’s commitment to acquire the same, constitute a Collateral Obligation.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Account</w:t>
      </w:r>
      <w:r>
        <w:rPr>
          <w:rFonts w:ascii="Arial" w:cs="Arial" w:eastAsia="Arial" w:hAnsi="Arial"/>
          <w:sz w:val="18"/>
          <w:szCs w:val="18"/>
          <w:color w:val="auto"/>
        </w:rPr>
        <w:t xml:space="preserve">” means the payment account of the Collateral Agent established pursuant to </w:t>
      </w:r>
      <w:r>
        <w:rPr>
          <w:rFonts w:ascii="Arial" w:cs="Arial" w:eastAsia="Arial" w:hAnsi="Arial"/>
          <w:sz w:val="18"/>
          <w:szCs w:val="18"/>
          <w:u w:val="single" w:color="auto"/>
          <w:color w:val="auto"/>
        </w:rPr>
        <w:t>Section 8.03(a)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Date</w:t>
      </w:r>
      <w:r>
        <w:rPr>
          <w:rFonts w:ascii="Arial" w:cs="Arial" w:eastAsia="Arial" w:hAnsi="Arial"/>
          <w:sz w:val="17"/>
          <w:szCs w:val="17"/>
          <w:color w:val="auto"/>
        </w:rPr>
        <w:t xml:space="preserve">” means the 15th day of January, April, July and October in each year, the first of which shall be July 15, 2012;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35" w:lineRule="exact"/>
        <w:rPr>
          <w:sz w:val="20"/>
          <w:szCs w:val="20"/>
          <w:color w:val="auto"/>
        </w:rPr>
      </w:pPr>
    </w:p>
    <w:p>
      <w:pPr>
        <w:ind w:right="40" w:firstLine="8"/>
        <w:spacing w:after="0" w:line="261" w:lineRule="auto"/>
        <w:tabs>
          <w:tab w:leader="none" w:pos="21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any such day is not a Business Day, then such Payment Date shall be the next succeeding Business Day and (ii) the final Payment Date shall be the Final Maturity Date.</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 Report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8.06(b)</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or any successor agency or entity performing substantially the same functions.</w:t>
      </w:r>
    </w:p>
    <w:p>
      <w:pPr>
        <w:spacing w:after="0" w:line="23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Percentage</w:t>
      </w:r>
      <w:r>
        <w:rPr>
          <w:rFonts w:ascii="Arial" w:cs="Arial" w:eastAsia="Arial" w:hAnsi="Arial"/>
          <w:sz w:val="16"/>
          <w:szCs w:val="16"/>
          <w:color w:val="auto"/>
        </w:rPr>
        <w:t xml:space="preserve">” of any Lender means, (a) with respect to any Lender party hereto on the date hereof, the percentage set forth opposite such Lender’s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the assigning Lender’s Percentage, as such amount is reduced by an Assignment and Acceptance entered into between such Lender and an assignee or increased by any Assignment and Acceptance entered into by such lender with an assignor.</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Collateral Obligation</w:t>
      </w:r>
      <w:r>
        <w:rPr>
          <w:rFonts w:ascii="Arial" w:cs="Arial" w:eastAsia="Arial" w:hAnsi="Arial"/>
          <w:sz w:val="18"/>
          <w:szCs w:val="18"/>
          <w:color w:val="auto"/>
        </w:rPr>
        <w:t>” means a Collateral Obligation that is not a Defaulted Loan/Bond.</w:t>
      </w:r>
    </w:p>
    <w:p>
      <w:pPr>
        <w:spacing w:after="0" w:line="225" w:lineRule="exact"/>
        <w:rPr>
          <w:sz w:val="20"/>
          <w:szCs w:val="20"/>
          <w:color w:val="auto"/>
        </w:rPr>
      </w:pPr>
    </w:p>
    <w:p>
      <w:pPr>
        <w:jc w:val="center"/>
        <w:ind w:right="3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Assignee</w:t>
      </w:r>
      <w:r>
        <w:rPr>
          <w:rFonts w:ascii="Arial" w:cs="Arial" w:eastAsia="Arial" w:hAnsi="Arial"/>
          <w:sz w:val="18"/>
          <w:szCs w:val="18"/>
          <w:color w:val="auto"/>
        </w:rPr>
        <w:t>” means a Lender, an Affiliate of a Lender, a CP Conduit related to a Lender or a Conduit Support Provider. 39</w:t>
      </w:r>
    </w:p>
    <w:p>
      <w:pPr>
        <w:sectPr>
          <w:pgSz w:w="11900" w:h="16838" w:orient="portrait"/>
          <w:cols w:equalWidth="0" w:num="1">
            <w:col w:w="11420"/>
          </w:cols>
          <w:pgMar w:left="240" w:top="274" w:right="239" w:bottom="1440" w:gutter="0" w:footer="0" w:header="0"/>
        </w:sectPr>
      </w:pPr>
    </w:p>
    <w:bookmarkStart w:id="171" w:name="page172"/>
    <w:bookmarkEnd w:id="171"/>
    <w:p>
      <w:pPr>
        <w:jc w:val="both"/>
        <w:ind w:right="8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Permitted Lien</w:t>
      </w:r>
      <w:r>
        <w:rPr>
          <w:rFonts w:ascii="Arial" w:cs="Arial" w:eastAsia="Arial" w:hAnsi="Arial"/>
          <w:sz w:val="17"/>
          <w:szCs w:val="17"/>
          <w:color w:val="auto"/>
        </w:rPr>
        <w:t>” means (i) the Lien in favor of the Collateral Agent for the benefit of the Secured Parties, (ii) the restrictions on transferability imposed by the Related Documents (but only to the extent relating to customary procedural requirements and agent consents expected to be obtained in due course and not to Obligor consents) and (iii) inchoate Liens for taxes not yet payable and mechanics’ or suppliers’ liens for services or materials supplied the payment of which is not yet overdue or for which adequate reserves have been established.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U.S. Holder</w:t>
      </w:r>
      <w:r>
        <w:rPr>
          <w:rFonts w:ascii="Arial" w:cs="Arial" w:eastAsia="Arial" w:hAnsi="Arial"/>
          <w:sz w:val="18"/>
          <w:szCs w:val="18"/>
          <w:color w:val="auto"/>
        </w:rPr>
        <w:t>” means any Person that is both (1) a United States person and (2) a PTP Compliant Holder.</w:t>
      </w:r>
    </w:p>
    <w:p>
      <w:pPr>
        <w:spacing w:after="0" w:line="225"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or a corporation (including a business trust), partnership, trust, incorporated or unincorporated association, joint stock company, limited liability company, government (or an agency or political subdivision thereof) or other entity of any kind.</w:t>
      </w:r>
    </w:p>
    <w:p>
      <w:pPr>
        <w:spacing w:after="0" w:line="14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 employee pension benefit plan (other than a Multiemployer Plan) which is covered by Title IV of ERISA or subject to the minimum funding standards under Section 412 of the Code that is sponsored by the Borrower or a member of its ERISA Group or to which the Borrower or a member of its ERISA Group is obligated to make contributions or has any liability.</w:t>
      </w:r>
    </w:p>
    <w:p>
      <w:pPr>
        <w:spacing w:after="0" w:line="18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Advance Rate</w:t>
      </w:r>
      <w:r>
        <w:rPr>
          <w:rFonts w:ascii="Arial" w:cs="Arial" w:eastAsia="Arial" w:hAnsi="Arial"/>
          <w:sz w:val="18"/>
          <w:szCs w:val="18"/>
          <w:color w:val="auto"/>
        </w:rPr>
        <w:t>” means the percentage equivalent of a fraction, the numerator of which is the Borrower Liabilities and the denominator of which is the Principal Collateralization Amount.</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Exposure Amount</w:t>
      </w:r>
      <w:r>
        <w:rPr>
          <w:rFonts w:ascii="Arial" w:cs="Arial" w:eastAsia="Arial" w:hAnsi="Arial"/>
          <w:sz w:val="18"/>
          <w:szCs w:val="18"/>
          <w:color w:val="auto"/>
        </w:rPr>
        <w:t xml:space="preserve">” means, at any time, the excess (if any) of (x) the aggregate unfunded amounts in respect of all Revolving Collateral Loans and Delayed Drawdown Collateral Loans and all amounts due for unsettled purchases at such time </w:t>
      </w:r>
      <w:r>
        <w:rPr>
          <w:rFonts w:ascii="Arial" w:cs="Arial" w:eastAsia="Arial" w:hAnsi="Arial"/>
          <w:sz w:val="18"/>
          <w:szCs w:val="18"/>
          <w:i w:val="1"/>
          <w:iCs w:val="1"/>
          <w:color w:val="auto"/>
        </w:rPr>
        <w:t>over</w:t>
      </w:r>
      <w:r>
        <w:rPr>
          <w:rFonts w:ascii="Arial" w:cs="Arial" w:eastAsia="Arial" w:hAnsi="Arial"/>
          <w:sz w:val="18"/>
          <w:szCs w:val="18"/>
          <w:color w:val="auto"/>
        </w:rPr>
        <w:t xml:space="preserve"> (y) the aggregate amount on deposit in the Revolving Reserve Account at such time.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Post-Default Rate</w:t>
      </w:r>
      <w:r>
        <w:rPr>
          <w:rFonts w:ascii="Arial" w:cs="Arial" w:eastAsia="Arial" w:hAnsi="Arial"/>
          <w:sz w:val="16"/>
          <w:szCs w:val="16"/>
          <w:color w:val="auto"/>
        </w:rPr>
        <w:t xml:space="preserve">” means a rate per annum equal to the rate of interest otherwise in effect pursuant to this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2.0% per annum.</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Balance</w:t>
      </w:r>
      <w:r>
        <w:rPr>
          <w:rFonts w:ascii="Arial" w:cs="Arial" w:eastAsia="Arial" w:hAnsi="Arial"/>
          <w:sz w:val="18"/>
          <w:szCs w:val="18"/>
          <w:color w:val="auto"/>
        </w:rPr>
        <w:t>” means:</w:t>
      </w:r>
    </w:p>
    <w:p>
      <w:pPr>
        <w:spacing w:after="0" w:line="117" w:lineRule="exact"/>
        <w:rPr>
          <w:sz w:val="20"/>
          <w:szCs w:val="20"/>
          <w:color w:val="auto"/>
        </w:rPr>
      </w:pPr>
    </w:p>
    <w:p>
      <w:pPr>
        <w:ind w:left="460" w:right="300" w:firstLine="443"/>
        <w:spacing w:after="0" w:line="264" w:lineRule="auto"/>
        <w:tabs>
          <w:tab w:leader="none" w:pos="11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any Collateral Obligation other than a Revolving Collateral Loan or Delayed Drawdown Collateral Loan, as of any date of determination, the Loan Amount of such Collateral Obligation (after adjustment for any repayments and exclusive of both capitalized interest and accrued interest); and</w:t>
      </w:r>
    </w:p>
    <w:p>
      <w:pPr>
        <w:spacing w:after="0" w:line="73" w:lineRule="exact"/>
        <w:rPr>
          <w:rFonts w:ascii="Arial" w:cs="Arial" w:eastAsia="Arial" w:hAnsi="Arial"/>
          <w:sz w:val="18"/>
          <w:szCs w:val="18"/>
          <w:color w:val="auto"/>
        </w:rPr>
      </w:pPr>
    </w:p>
    <w:p>
      <w:pPr>
        <w:ind w:left="460" w:right="160" w:firstLine="443"/>
        <w:spacing w:after="0" w:line="279" w:lineRule="auto"/>
        <w:tabs>
          <w:tab w:leader="none" w:pos="115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 respect to any Revolving Collateral Loan or Delayed Drawdown Collateral Loan, as of any date of determination, the Loan Amount of such Revolving Collateral Loan or Delayed Drawdown Collateral Loan (after adjustment for any borrowings or repayments and exclusive of both capitalized interest and accrued interest), plus (except as expressly set forth in this Agreement) any undrawn commitments that have not been irrevocably reduced or withdrawn with respect to such Revolving Collateral Loan or Delayed Drawdown Collateral Loan;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74" w:right="27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in all cases, that the Principal Balance of any Equity Security shall be deemed to be zero.</w:t>
      </w:r>
    </w:p>
    <w:p>
      <w:pPr>
        <w:spacing w:after="0" w:line="225"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Collateralization Amount</w:t>
      </w:r>
      <w:r>
        <w:rPr>
          <w:rFonts w:ascii="Arial" w:cs="Arial" w:eastAsia="Arial" w:hAnsi="Arial"/>
          <w:sz w:val="16"/>
          <w:szCs w:val="16"/>
          <w:color w:val="auto"/>
        </w:rPr>
        <w:t>” means an amount equal to the result of (i) the Aggregate Principal Balance of all Performing Collateral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such purposes, each Collateral Obligation whose purchase price is below 95% will be carried at its purchase price expressed as a percentage, times its outstanding principal balance),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aggregate amount of cash on deposit in the Principal Collection Subaccount.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Collection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Proceeds</w:t>
      </w:r>
      <w:r>
        <w:rPr>
          <w:rFonts w:ascii="Arial" w:cs="Arial" w:eastAsia="Arial" w:hAnsi="Arial"/>
          <w:sz w:val="18"/>
          <w:szCs w:val="18"/>
          <w:color w:val="auto"/>
        </w:rPr>
        <w:t xml:space="preserve">” means, with respect to any Collection Period or the related Determination Date, all amounts received by the Borrower during such Collection Period that do not constitute Interest Proceeds, including sales and unapplied proceeds of the Advances and any Cash equity contributions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of Payments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Authorizations</w:t>
      </w:r>
      <w:r>
        <w:rPr>
          <w:rFonts w:ascii="Arial" w:cs="Arial" w:eastAsia="Arial" w:hAnsi="Arial"/>
          <w:sz w:val="18"/>
          <w:szCs w:val="18"/>
          <w:color w:val="auto"/>
        </w:rPr>
        <w:t>” means all franchises, permits, licenses, approvals, consents and other authorizations of all Persons (other than Authorities) but excluding any customary procedural requirements and agents’ consents expected to be obtained in due course in connection with the transfer of the Collateral Obligations to the Borrower.</w:t>
      </w:r>
    </w:p>
    <w:p>
      <w:pPr>
        <w:spacing w:after="0" w:line="18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has, with reference to any asset or property, the meaning assigned to it under the UCC and, in any event, shall include, but not be limited to, any and all amounts from time to time paid or payable under or in connection with such asset or property.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Independent Manager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5.02(u)</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Manager</w:t>
      </w:r>
      <w:r>
        <w:rPr>
          <w:rFonts w:ascii="Arial" w:cs="Arial" w:eastAsia="Arial" w:hAnsi="Arial"/>
          <w:sz w:val="18"/>
          <w:szCs w:val="18"/>
          <w:color w:val="auto"/>
        </w:rPr>
        <w:t>” means the investment manager or administrator of a CP Lender, as applicable.</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means (i) a transaction described in Section 406(a) of ERISA that is not exempted by a statutory or administrative or individual exemption pursuant to Section 408 of ERISA or (ii) a transaction prohibited under Similar Law.</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PTP Compliant Holder</w:t>
      </w:r>
      <w:r>
        <w:rPr>
          <w:rFonts w:ascii="Arial" w:cs="Arial" w:eastAsia="Arial" w:hAnsi="Arial"/>
          <w:sz w:val="18"/>
          <w:szCs w:val="18"/>
          <w:color w:val="auto"/>
        </w:rPr>
        <w:t>” means any Person if the transfer or issuance of an Equity Interest to such Person will not cause the Borrower to be treated as a publicly traded partnership within the meaning of Section 7704 of the Code and, if such Person is itself a disregarded entity, partnership or grantor trust, such Person has covenanted and represented to the Borrower that it will prevent, and will not recognize any transfer of its own equity interests that would cause the Borrower to be a publicly traded partnership.</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Purchaser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12.06(e)</w:t>
      </w:r>
      <w:r>
        <w:rPr>
          <w:rFonts w:ascii="Arial" w:cs="Arial" w:eastAsia="Arial" w:hAnsi="Arial"/>
          <w:sz w:val="18"/>
          <w:szCs w:val="18"/>
          <w:color w:val="auto"/>
        </w:rPr>
        <w:t>.</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Asset Amount</w:t>
      </w:r>
      <w:r>
        <w:rPr>
          <w:rFonts w:ascii="Arial" w:cs="Arial" w:eastAsia="Arial" w:hAnsi="Arial"/>
          <w:sz w:val="18"/>
          <w:szCs w:val="18"/>
          <w:color w:val="auto"/>
        </w:rPr>
        <w:t>” means, for any Payment Date, the sum of (i) the Daily Average Collateral Obligation Commitment Amount for such Payment Date and (ii) the daily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average balance of cash on deposit in the Principal Collection Subaccount for the Collection Period related to such Payment Date.</w:t>
      </w:r>
    </w:p>
    <w:p>
      <w:pPr>
        <w:spacing w:after="0" w:line="225"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 Agency</w:t>
      </w:r>
      <w:r>
        <w:rPr>
          <w:rFonts w:ascii="Arial" w:cs="Arial" w:eastAsia="Arial" w:hAnsi="Arial"/>
          <w:sz w:val="17"/>
          <w:szCs w:val="17"/>
          <w:color w:val="auto"/>
        </w:rPr>
        <w:t>” means DBRS or, with respect to the Collateral generally, Moody’s, Fitch, S&amp;P or DBRS (or, if, at any time Moody’s, Fitch, S&amp;P or DBRS ceases to provide rating services with respect to debt obligations, any other nationally recognized investment rating agency selected by the Borrower or the Investment Manager and consented to by the Facility Agent). In the event that at any time any of the rating agencies referred to above ceases to be a “</w:t>
      </w:r>
      <w:r>
        <w:rPr>
          <w:rFonts w:ascii="Arial" w:cs="Arial" w:eastAsia="Arial" w:hAnsi="Arial"/>
          <w:sz w:val="17"/>
          <w:szCs w:val="17"/>
          <w:u w:val="single" w:color="auto"/>
          <w:color w:val="auto"/>
        </w:rPr>
        <w:t>Rating Agency</w:t>
      </w:r>
      <w:r>
        <w:rPr>
          <w:rFonts w:ascii="Arial" w:cs="Arial" w:eastAsia="Arial" w:hAnsi="Arial"/>
          <w:sz w:val="17"/>
          <w:szCs w:val="17"/>
          <w:color w:val="auto"/>
        </w:rPr>
        <w:t>” and a 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Confirmation</w:t>
      </w:r>
      <w:r>
        <w:rPr>
          <w:rFonts w:ascii="Arial" w:cs="Arial" w:eastAsia="Arial" w:hAnsi="Arial"/>
          <w:sz w:val="18"/>
          <w:szCs w:val="18"/>
          <w:color w:val="auto"/>
        </w:rPr>
        <w:t>” means, with respect to any action or proposed action, a condition that is satisfied (and upon satisfaction of such condition, the related Rating Confirmation shall be deemed to have been satisfied) if DBRS has been notified in writing by the Borrower of such action or proposed action and none of the Borrower, the Investment Manager or any of the Secured Parties has received a written communication relating to such action or proposed action from DBRS within 10 Business Days following such notification by the Borrower.</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Criteria</w:t>
      </w:r>
      <w:r>
        <w:rPr>
          <w:rFonts w:ascii="Arial" w:cs="Arial" w:eastAsia="Arial" w:hAnsi="Arial"/>
          <w:sz w:val="18"/>
          <w:szCs w:val="18"/>
          <w:color w:val="auto"/>
        </w:rPr>
        <w:t>” is satisfied for any Person at any time if:</w:t>
      </w:r>
    </w:p>
    <w:p>
      <w:pPr>
        <w:spacing w:after="0" w:line="117" w:lineRule="exact"/>
        <w:rPr>
          <w:sz w:val="20"/>
          <w:szCs w:val="20"/>
          <w:color w:val="auto"/>
        </w:rPr>
      </w:pPr>
    </w:p>
    <w:p>
      <w:pPr>
        <w:ind w:left="1140" w:hanging="237"/>
        <w:spacing w:after="0"/>
        <w:tabs>
          <w:tab w:leader="none" w:pos="11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such Person has a DBRS Short Term Rating of at least “</w:t>
      </w:r>
      <w:r>
        <w:rPr>
          <w:rFonts w:ascii="Arial" w:cs="Arial" w:eastAsia="Arial" w:hAnsi="Arial"/>
          <w:sz w:val="16"/>
          <w:szCs w:val="16"/>
          <w:u w:val="single" w:color="auto"/>
          <w:color w:val="auto"/>
        </w:rPr>
        <w:t>R-1 (middle)</w:t>
      </w:r>
      <w:r>
        <w:rPr>
          <w:rFonts w:ascii="Arial" w:cs="Arial" w:eastAsia="Arial" w:hAnsi="Arial"/>
          <w:sz w:val="16"/>
          <w:szCs w:val="16"/>
          <w:color w:val="auto"/>
        </w:rPr>
        <w:t>” and a DBRS Long Term Rating of at least “</w:t>
      </w:r>
      <w:r>
        <w:rPr>
          <w:rFonts w:ascii="Arial" w:cs="Arial" w:eastAsia="Arial" w:hAnsi="Arial"/>
          <w:sz w:val="16"/>
          <w:szCs w:val="16"/>
          <w:u w:val="single" w:color="auto"/>
          <w:color w:val="auto"/>
        </w:rPr>
        <w:t>A (high)</w:t>
      </w:r>
      <w:r>
        <w:rPr>
          <w:rFonts w:ascii="Arial" w:cs="Arial" w:eastAsia="Arial" w:hAnsi="Arial"/>
          <w:sz w:val="16"/>
          <w:szCs w:val="16"/>
          <w:color w:val="auto"/>
        </w:rPr>
        <w:t>” at such time; or</w:t>
      </w:r>
    </w:p>
    <w:p>
      <w:pPr>
        <w:spacing w:after="0" w:line="140" w:lineRule="exact"/>
        <w:rPr>
          <w:rFonts w:ascii="Arial" w:cs="Arial" w:eastAsia="Arial" w:hAnsi="Arial"/>
          <w:sz w:val="16"/>
          <w:szCs w:val="16"/>
          <w:color w:val="auto"/>
        </w:rPr>
      </w:pPr>
    </w:p>
    <w:p>
      <w:pPr>
        <w:ind w:left="460" w:right="40" w:firstLine="443"/>
        <w:spacing w:after="0" w:line="264" w:lineRule="auto"/>
        <w:tabs>
          <w:tab w:leader="none" w:pos="115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Person’s obligations in respect of this Agreement are fully supported by a Conduit Support Facility provided by one or more Conduit Support Providers, or one or more guarantors, and each such Conduit Support Providers or guarantors meets the requirements under clause (a) above at such time; or</w:t>
      </w:r>
    </w:p>
    <w:p>
      <w:pPr>
        <w:spacing w:after="0" w:line="73" w:lineRule="exact"/>
        <w:rPr>
          <w:rFonts w:ascii="Arial" w:cs="Arial" w:eastAsia="Arial" w:hAnsi="Arial"/>
          <w:sz w:val="18"/>
          <w:szCs w:val="18"/>
          <w:color w:val="auto"/>
        </w:rPr>
      </w:pPr>
    </w:p>
    <w:p>
      <w:pPr>
        <w:ind w:left="460" w:firstLine="443"/>
        <w:spacing w:after="0" w:line="277" w:lineRule="auto"/>
        <w:tabs>
          <w:tab w:leader="none" w:pos="114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Rating Confirmation is obtained with respect to such Person’s failure to satisfy the requirements under either of clause (a) or (b) at such time and both the Borrower and the Facility Agent have consented thereto.</w:t>
      </w:r>
    </w:p>
    <w:p>
      <w:pPr>
        <w:spacing w:after="0" w:line="170"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Estate Loan</w:t>
      </w:r>
      <w:r>
        <w:rPr>
          <w:rFonts w:ascii="Arial" w:cs="Arial" w:eastAsia="Arial" w:hAnsi="Arial"/>
          <w:sz w:val="17"/>
          <w:szCs w:val="17"/>
          <w:color w:val="auto"/>
        </w:rPr>
        <w:t>” means any debt obligation that is directly or indirectly secured by a mortgage or deed of trust or any security interest, in each case, on residential, commercial, office, retail or industrial property and is underwritten as a mortgage loan (including, for the avoidance of doubt, a debt obligation of an Obligor whose operating cash flow is primarily derived from the sale or liquidation of the aforementioned types of property).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jc w:val="right"/>
        <w:ind w:right="5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Change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158" w:lineRule="exact"/>
        <w:rPr>
          <w:sz w:val="20"/>
          <w:szCs w:val="20"/>
          <w:color w:val="auto"/>
        </w:rPr>
      </w:pPr>
    </w:p>
    <w:p>
      <w:pPr>
        <w:jc w:val="right"/>
        <w:ind w:right="56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174" w:name="page175"/>
    <w:bookmarkEnd w:id="174"/>
    <w:p>
      <w:pPr>
        <w:ind w:right="3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Regulation U</w:t>
      </w:r>
      <w:r>
        <w:rPr>
          <w:rFonts w:ascii="Arial" w:cs="Arial" w:eastAsia="Arial" w:hAnsi="Arial"/>
          <w:sz w:val="18"/>
          <w:szCs w:val="18"/>
          <w:color w:val="auto"/>
        </w:rPr>
        <w:t>” and “</w:t>
      </w:r>
      <w:r>
        <w:rPr>
          <w:rFonts w:ascii="Arial" w:cs="Arial" w:eastAsia="Arial" w:hAnsi="Arial"/>
          <w:sz w:val="18"/>
          <w:szCs w:val="18"/>
          <w:u w:val="single" w:color="auto"/>
          <w:color w:val="auto"/>
        </w:rPr>
        <w:t>Regulation X</w:t>
      </w:r>
      <w:r>
        <w:rPr>
          <w:rFonts w:ascii="Arial" w:cs="Arial" w:eastAsia="Arial" w:hAnsi="Arial"/>
          <w:sz w:val="18"/>
          <w:szCs w:val="18"/>
          <w:color w:val="auto"/>
        </w:rPr>
        <w:t>” mean Regulation U and X, respectively, of the Board of Governors of the Federal Reserve System, as in effect from time to time.</w:t>
      </w:r>
    </w:p>
    <w:p>
      <w:pPr>
        <w:spacing w:after="0" w:line="170"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Agreement</w:t>
      </w:r>
      <w:r>
        <w:rPr>
          <w:rFonts w:ascii="Arial" w:cs="Arial" w:eastAsia="Arial" w:hAnsi="Arial"/>
          <w:sz w:val="16"/>
          <w:szCs w:val="16"/>
          <w:color w:val="auto"/>
        </w:rPr>
        <w:t xml:space="preserve">” means a guaranteed reinvestment agreement from a bank, insurance company or other corporation or entity having Eligible Investment Required Ratings;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provides that it is terminable by the purchaser, without penalty and with the return of all invested funds, if within 60 days after the provider of such agreement no longer satisfies the Eligible Investment Required Ratings the provider has failed to obtain either (i) (x) a guarantor with Eligible Investment Required Ratings to guarantee the obligations of such provider under such agreement and (y) a Rating Confirmation or (ii) (x) a replacement provider with Eligible Investment Required Ratings and (y) a Rating Confirmation.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Reinvestment Period</w:t>
      </w:r>
      <w:r>
        <w:rPr>
          <w:rFonts w:ascii="Arial" w:cs="Arial" w:eastAsia="Arial" w:hAnsi="Arial"/>
          <w:sz w:val="17"/>
          <w:szCs w:val="17"/>
          <w:color w:val="auto"/>
        </w:rPr>
        <w:t>” means the period from and including the Original Closing Date to and including the earliest of (a) July 21, 2014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by written notice provided by the Borrower or the Investment Manager no later than June 21, 2014 to the Agents, the Lenders and DBRS,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may be extended to January 21, 2015) (or such later date as may be agreed in writing by the Borrower and each of the Lenders and notified in writing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Agents, but subject to the Rating Confirmation having been satisfied with respect to each such extension); (b) the date of the acceleration of the maturity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the Advances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(c) the occurrence of any Change in Control; (d) the date on which the Investment Manager shall no longer be TPG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Specialty Lending, Inc. unless each of the Lenders and the Facility Agent have otherwise consented; (e) the date on which the Investment Manager shall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notified the Borrower of its intention to resign as Investment Manager or the occurrence of any other termination of the Investment Management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whether or not in accordance with its terms; and (f) the termination of the Commitments in whole pursuant to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11" w:lineRule="exact"/>
        <w:rPr>
          <w:sz w:val="20"/>
          <w:szCs w:val="20"/>
          <w:color w:val="auto"/>
        </w:rPr>
      </w:pPr>
    </w:p>
    <w:p>
      <w:pPr>
        <w:jc w:val="both"/>
        <w:ind w:right="16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Documents</w:t>
      </w:r>
      <w:r>
        <w:rPr>
          <w:rFonts w:ascii="Arial" w:cs="Arial" w:eastAsia="Arial" w:hAnsi="Arial"/>
          <w:sz w:val="17"/>
          <w:szCs w:val="17"/>
          <w:color w:val="auto"/>
        </w:rPr>
        <w:t>” means, with respect to any Collateral Obligation, all agreements or documents evidencing, securing, governing or giving rise to such Collateral Obligation. As used in this Agreement, each reference to the Related Documents to which the Borrower is a party shall be deemed to mean the Related Documents to which the Borrower is a party or to which the Borrower is otherwise bound.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Document Modification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5.02(v)</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2.04(f)</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Investment Management Fee</w:t>
      </w:r>
      <w:r>
        <w:rPr>
          <w:rFonts w:ascii="Arial" w:cs="Arial" w:eastAsia="Arial" w:hAnsi="Arial"/>
          <w:sz w:val="18"/>
          <w:szCs w:val="18"/>
          <w:color w:val="auto"/>
        </w:rPr>
        <w:t>” means the fee that may be payable to, or at the direction of, the Lenders in arrears on each Payment Date, in an amount, if payable, equal to 0.25% per annum of the Quarterly Asset Amount.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right="2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as of any date of determination, Lenders whose aggregate principal amount of outstanding Advances plus unused Commitments aggregate more than 50% of the aggregate amount of the Commitments (used and unused) or, if the Commitments have expired or been terminated or otherwise reduced to zero, the aggregate principal amount of all outstanding Advances;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any Lender shall be 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175" w:name="page176"/>
    <w:bookmarkEnd w:id="1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Lender at such time, then there shall be excluded from the determination of Required Lenders such Defaulting Lender’s unfunded Commitments.</w:t>
      </w:r>
    </w:p>
    <w:p>
      <w:pPr>
        <w:spacing w:after="0" w:line="24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(a) in the case of (i) a corporation or (ii) a partnership or limited liability company that, pursuant to its Constituent Documents, has officers, any chief executive officer, chief financial officer, president, vice president, assistant vice president, treasurer, director or manager, and, in any case where two Responsible Officers are acting on behalf of such corporation or other entity, the second such Responsible Officer may be a secretary or assistant secretary, (b) without limitation of clause (a)(ii), in the case of a limited partnership, the Responsible Officer of the general partner, acting on behalf of such general partner in its capacity as general partner, (c) without limitation of clause (a)(ii), in the case of a limited liability company, the Responsible Officer of the sole member or managing member, acting on behalf of the sole member or managing member in its capacity as sole member or managing member, (d) in the case of a trust, the Responsible Officer of the trustee, acting on behalf of such trustee in its capacity as trustee, (e) an “authorized signatory” or “authorized officer” that has been so authorized pursuant to customary corporate proceedings, limited partnership proceedings, limited liability company proceedings or trust proceedings, as the case may be, and that has responsibilities commensurate with the matter for which it is acting as a Responsible Officer, and (f) when used with respect to the Custodian and the Collateral Agent, any officer assigned to the corporate trust department (or any successor thereto) of such Person, including any Vice President, Assistant Vice President, Trust Officer, or any other officer of the Custodian or the Collateral Agent, as the case may be, customarily performing functions similar to those performed by any of the above designated officers, in each case having direct responsibility for the administration of this Agreement.</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Retained Interest</w:t>
      </w:r>
      <w:r>
        <w:rPr>
          <w:rFonts w:ascii="Arial" w:cs="Arial" w:eastAsia="Arial" w:hAnsi="Arial"/>
          <w:sz w:val="17"/>
          <w:szCs w:val="17"/>
          <w:color w:val="auto"/>
        </w:rPr>
        <w:t>” means the Retention Provider’s membership interest in the Borrower as required and set forth in the Retention Letter.</w:t>
      </w:r>
    </w:p>
    <w:p>
      <w:pPr>
        <w:spacing w:after="0" w:line="237"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Retention Letter</w:t>
      </w:r>
      <w:r>
        <w:rPr>
          <w:rFonts w:ascii="Arial" w:cs="Arial" w:eastAsia="Arial" w:hAnsi="Arial"/>
          <w:sz w:val="18"/>
          <w:szCs w:val="18"/>
          <w:color w:val="auto"/>
        </w:rPr>
        <w:t xml:space="preserve">” means each letter relating to the retention of net economic interest in substantially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from the Retention Provider and addressed to each Lender, the Facility Agent and the Borrower.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Retention Provider</w:t>
      </w:r>
      <w:r>
        <w:rPr>
          <w:rFonts w:ascii="Arial" w:cs="Arial" w:eastAsia="Arial" w:hAnsi="Arial"/>
          <w:sz w:val="18"/>
          <w:szCs w:val="18"/>
          <w:color w:val="auto"/>
        </w:rPr>
        <w:t>” means TPG Specialty Lending, Inc.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Retention Requirement</w:t>
      </w:r>
      <w:r>
        <w:rPr>
          <w:rFonts w:ascii="Arial" w:cs="Arial" w:eastAsia="Arial" w:hAnsi="Arial"/>
          <w:sz w:val="18"/>
          <w:szCs w:val="18"/>
          <w:color w:val="auto"/>
        </w:rPr>
        <w:t>” means the requirements and obligations of the Retention Provider as set forth in the Retention Letter.</w:t>
      </w:r>
    </w:p>
    <w:p>
      <w:pPr>
        <w:spacing w:after="0" w:line="225"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Retention Requirement Laws</w:t>
      </w:r>
      <w:r>
        <w:rPr>
          <w:rFonts w:ascii="Arial" w:cs="Arial" w:eastAsia="Arial" w:hAnsi="Arial"/>
          <w:sz w:val="18"/>
          <w:szCs w:val="18"/>
          <w:color w:val="auto"/>
        </w:rPr>
        <w:t>” means Article 405(1), the CRR and Article 17, together with the Final Draft RTS and any other applicable guidance, technical standards or related documents published by the European Banking Authority (including its predecessor, the Committee of European Banking Supervisors, and any successor or replacement agency or authority) and any delegated regulations of the European Commission (and in each case including any amendment or successor thereto).</w:t>
      </w:r>
    </w:p>
    <w:p>
      <w:pPr>
        <w:spacing w:after="0" w:line="18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Collateral Loan</w:t>
      </w:r>
      <w:r>
        <w:rPr>
          <w:rFonts w:ascii="Arial" w:cs="Arial" w:eastAsia="Arial" w:hAnsi="Arial"/>
          <w:sz w:val="18"/>
          <w:szCs w:val="18"/>
          <w:color w:val="auto"/>
        </w:rPr>
        <w:t>” means any Collateral Obligation (other than a Delayed Drawdown Collateral Loan) that is a loan (including, without limitation, revolving credit loans, including funded and unfunded portions of revolving credit lines and letter of credit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176" w:name="page177"/>
    <w:bookmarkEnd w:id="176"/>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facilities, unfunded commitments under specific facilities and other similar loans and investments) that by its terms may require one or more future advances to be made to the borrower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Collateral Obligation will be a Revolving Collateral Loan only until all commitments to make revolving advances to the borrower expire or are terminated or irrevocably reduced to zero.</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Reserve Account</w:t>
      </w:r>
      <w:r>
        <w:rPr>
          <w:rFonts w:ascii="Arial" w:cs="Arial" w:eastAsia="Arial" w:hAnsi="Arial"/>
          <w:sz w:val="18"/>
          <w:szCs w:val="18"/>
          <w:color w:val="auto"/>
        </w:rPr>
        <w:t xml:space="preserve">” means the account established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Reserve Required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Advance Rate</w:t>
      </w:r>
      <w:r>
        <w:rPr>
          <w:rFonts w:ascii="Arial" w:cs="Arial" w:eastAsia="Arial" w:hAnsi="Arial"/>
          <w:sz w:val="18"/>
          <w:szCs w:val="18"/>
          <w:color w:val="auto"/>
        </w:rPr>
        <w:t>” means, (i) prior to the Commitment Termination Date, the applicable Row Advance Rate as set forth in the column of that name in the Matrix corresponding to the Applicable Row Level and (ii) on any date after the Commitment Termination Date, the Row Advance Rate shall equal zero.</w:t>
      </w:r>
    </w:p>
    <w:p>
      <w:pPr>
        <w:spacing w:after="0" w:line="18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DBRS Average Risk Score</w:t>
      </w:r>
      <w:r>
        <w:rPr>
          <w:rFonts w:ascii="Arial" w:cs="Arial" w:eastAsia="Arial" w:hAnsi="Arial"/>
          <w:sz w:val="18"/>
          <w:szCs w:val="18"/>
          <w:color w:val="auto"/>
        </w:rPr>
        <w:t>” means the applicable Row DBRS Average Risk Score as set forth in the column of that name in the Matrix corresponding to the Applicable Row Level.</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Diversity Score</w:t>
      </w:r>
      <w:r>
        <w:rPr>
          <w:rFonts w:ascii="Arial" w:cs="Arial" w:eastAsia="Arial" w:hAnsi="Arial"/>
          <w:sz w:val="18"/>
          <w:szCs w:val="18"/>
          <w:color w:val="auto"/>
        </w:rPr>
        <w:t>” means the applicable Row Diversity Score as set forth in the column of that name in the Matrix corresponding to the Applicable Row Level.</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Minimum OC Level</w:t>
      </w:r>
      <w:r>
        <w:rPr>
          <w:rFonts w:ascii="Arial" w:cs="Arial" w:eastAsia="Arial" w:hAnsi="Arial"/>
          <w:sz w:val="18"/>
          <w:szCs w:val="18"/>
          <w:color w:val="auto"/>
        </w:rPr>
        <w:t>” means the applicable Row Minimum OC Level as set forth in the column of that name in the Matrix corresponding to the Applicable Row Level.</w:t>
      </w:r>
    </w:p>
    <w:p>
      <w:pPr>
        <w:spacing w:after="0" w:line="170"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Spread Level</w:t>
      </w:r>
      <w:r>
        <w:rPr>
          <w:rFonts w:ascii="Arial" w:cs="Arial" w:eastAsia="Arial" w:hAnsi="Arial"/>
          <w:sz w:val="18"/>
          <w:szCs w:val="18"/>
          <w:color w:val="auto"/>
        </w:rPr>
        <w:t>” means the applicable Row Spread Level as set forth in the column of that name in the Matrix corresponding to the Applicable Row Level.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together with its successors.</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Distribution</w:t>
      </w:r>
      <w:r>
        <w:rPr>
          <w:rFonts w:ascii="Arial" w:cs="Arial" w:eastAsia="Arial" w:hAnsi="Arial"/>
          <w:sz w:val="18"/>
          <w:szCs w:val="18"/>
          <w:color w:val="auto"/>
        </w:rPr>
        <w:t>” means, with respect to any Collateral Obligation, for each Due Date, the scheduled payment of principal and/or interest and/or fees due on such Due Date with respect to such Collateral Obligation.</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other governmental authority of the United States at the time administrating the Securities Act, the Investment Company Act or the Exchange Act.</w:t>
      </w:r>
    </w:p>
    <w:p>
      <w:pPr>
        <w:spacing w:after="0" w:line="170" w:lineRule="exact"/>
        <w:rPr>
          <w:sz w:val="20"/>
          <w:szCs w:val="20"/>
          <w:color w:val="auto"/>
        </w:rPr>
      </w:pPr>
    </w:p>
    <w:p>
      <w:pPr>
        <w:ind w:right="4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means the Facility Agent, the Collateral Agent, the Custodian, State Street Bank and Trust Company (in its capacity as a Securities Intermediary under the Account Control Agreement), the Lenders and their respective permitted successors and assigns.</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all as from time to time in effect, or any successor law, rules or regulations, and any reference to any statutory or regulatory provisions shall be deemed to be a reference to any successor statutory or regulatory provision.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177" w:name="page178"/>
    <w:bookmarkEnd w:id="17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Securities Intermediary</w:t>
      </w:r>
      <w:r>
        <w:rPr>
          <w:rFonts w:ascii="Arial" w:cs="Arial" w:eastAsia="Arial" w:hAnsi="Arial"/>
          <w:sz w:val="18"/>
          <w:szCs w:val="18"/>
          <w:color w:val="auto"/>
        </w:rPr>
        <w:t>” has the meaning specified in Section 8-102(a)(14)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Entitlement</w:t>
      </w:r>
      <w:r>
        <w:rPr>
          <w:rFonts w:ascii="Arial" w:cs="Arial" w:eastAsia="Arial" w:hAnsi="Arial"/>
          <w:sz w:val="18"/>
          <w:szCs w:val="18"/>
          <w:color w:val="auto"/>
        </w:rPr>
        <w:t>” has the meaning specified in Section 8-102(a)(17)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Institution</w:t>
      </w:r>
      <w:r>
        <w:rPr>
          <w:rFonts w:ascii="Arial" w:cs="Arial" w:eastAsia="Arial" w:hAnsi="Arial"/>
          <w:sz w:val="18"/>
          <w:szCs w:val="18"/>
          <w:color w:val="auto"/>
        </w:rPr>
        <w:t>” means an entity obligated to make payments to the Borrower under the terms of a Participation Interest.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Servicing Standard</w:t>
      </w:r>
      <w:r>
        <w:rPr>
          <w:rFonts w:ascii="Arial" w:cs="Arial" w:eastAsia="Arial" w:hAnsi="Arial"/>
          <w:sz w:val="16"/>
          <w:szCs w:val="16"/>
          <w:color w:val="auto"/>
        </w:rPr>
        <w:t>” means the standard of care of the Investment Manager specified in Section 2(a) of the Investment Management Agreement.</w:t>
      </w:r>
    </w:p>
    <w:p>
      <w:pPr>
        <w:spacing w:after="0" w:line="24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Settled</w:t>
      </w:r>
      <w:r>
        <w:rPr>
          <w:rFonts w:ascii="Arial" w:cs="Arial" w:eastAsia="Arial" w:hAnsi="Arial"/>
          <w:sz w:val="18"/>
          <w:szCs w:val="18"/>
          <w:color w:val="auto"/>
        </w:rPr>
        <w:t>” means, with respect to a loan, other debt obligation or Participation Interest (for purposes of this definition, a “</w:t>
      </w:r>
      <w:r>
        <w:rPr>
          <w:rFonts w:ascii="Arial" w:cs="Arial" w:eastAsia="Arial" w:hAnsi="Arial"/>
          <w:sz w:val="18"/>
          <w:szCs w:val="18"/>
          <w:u w:val="single" w:color="auto"/>
          <w:color w:val="auto"/>
        </w:rPr>
        <w:t>loan</w:t>
      </w:r>
      <w:r>
        <w:rPr>
          <w:rFonts w:ascii="Arial" w:cs="Arial" w:eastAsia="Arial" w:hAnsi="Arial"/>
          <w:sz w:val="18"/>
          <w:szCs w:val="18"/>
          <w:color w:val="auto"/>
        </w:rPr>
        <w:t>”), that (a) such loan is owned by the Borrower and has been fully paid for by the Borrower, (b) all requisite consents and acceptances required in connection with the Borrower’s ownership of such loan have been obtained and (c) all documentation establishing the Borrower’s ownership of such loan is valid, binding and enforceable and is in the possession (including electronically) of the Collateral Agent.</w:t>
      </w:r>
    </w:p>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 Rate</w:t>
      </w:r>
      <w:r>
        <w:rPr>
          <w:rFonts w:ascii="Arial" w:cs="Arial" w:eastAsia="Arial" w:hAnsi="Arial"/>
          <w:sz w:val="18"/>
          <w:szCs w:val="18"/>
          <w:color w:val="auto"/>
        </w:rPr>
        <w:t>” means with respect to a Canadian Dollar Obligation, the applicable Spot Foreign Exchange Rate as of the date that such Canadian Dollar Obligation has Settled.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Similar Law</w:t>
      </w:r>
      <w:r>
        <w:rPr>
          <w:rFonts w:ascii="Arial" w:cs="Arial" w:eastAsia="Arial" w:hAnsi="Arial"/>
          <w:sz w:val="16"/>
          <w:szCs w:val="16"/>
          <w:color w:val="auto"/>
        </w:rPr>
        <w:t>” means any federal, state or local law or regulations that are substantially similar to Title I of ERISA or Section 4975 of the Code.</w:t>
      </w:r>
    </w:p>
    <w:p>
      <w:pPr>
        <w:spacing w:after="0" w:line="248"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as to any Person means that such Person is not “insolvent” within the meaning of Section 101(32) of the Bankruptcy Code or Section 271 of the Debtor and Creditor Law of the State of New York.</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Entity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5.02(u)</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Provisions</w:t>
      </w:r>
      <w:r>
        <w:rPr>
          <w:rFonts w:ascii="Arial" w:cs="Arial" w:eastAsia="Arial" w:hAnsi="Arial"/>
          <w:sz w:val="18"/>
          <w:szCs w:val="18"/>
          <w:color w:val="auto"/>
        </w:rPr>
        <w:t>” has the meaning assigned to such term in Section 9(j) of the Borrower LLC Agreement.</w:t>
      </w:r>
    </w:p>
    <w:p>
      <w:pPr>
        <w:spacing w:after="0" w:line="225"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Change</w:t>
      </w:r>
      <w:r>
        <w:rPr>
          <w:rFonts w:ascii="Arial" w:cs="Arial" w:eastAsia="Arial" w:hAnsi="Arial"/>
          <w:sz w:val="18"/>
          <w:szCs w:val="18"/>
          <w:color w:val="auto"/>
        </w:rPr>
        <w:t xml:space="preserve">” means, with respect to any Collateral Obligation, any amendment, consent, waiver or other modification with respect to a Related Document that (a) reduces the principal amount of such Collateral Obligation, (b) reduces the rate of interest payable on such Collateral Obligation by greater than 3% per annum (whether calculated based on a spread above a floating reference rate or a fixed rate), (c) reduces the aggregate amount of principal payable on any one or more scheduled amortization or other redemption dates within any 12-month period by greater than 25%,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is no reduction in the absolute amount of principal due, (d) increases the advance rate or other borrowing base formula utilized with such Collateral Obligation by greater than 10%, (e) postpones the Due Date of any Scheduled Distribution in respect of such Collateral Obligation, (f) releases any material guarantor or co-obligor of such Collateral Obligation from its obligations, (g) transfers or otherwise releases all or substantially all of the assets securing such Collateral Obligation,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178" w:name="page179"/>
    <w:bookmarkEnd w:id="178"/>
    <w:p>
      <w:pPr>
        <w:ind w:left="260" w:hanging="252"/>
        <w:spacing w:after="0"/>
        <w:tabs>
          <w:tab w:leader="none" w:pos="2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any of the provisions of a Related Document specifying the number or percentage of lenders required to effect any of the foregoing or (i) changes</w:t>
      </w:r>
    </w:p>
    <w:p>
      <w:pPr>
        <w:spacing w:after="0" w:line="46" w:lineRule="exact"/>
        <w:rPr>
          <w:rFonts w:ascii="Arial" w:cs="Arial" w:eastAsia="Arial" w:hAnsi="Arial"/>
          <w:sz w:val="16"/>
          <w:szCs w:val="16"/>
          <w:color w:val="auto"/>
        </w:rPr>
      </w:pPr>
    </w:p>
    <w:p>
      <w:pPr>
        <w:ind w:right="160"/>
        <w:spacing w:after="0" w:line="273" w:lineRule="auto"/>
        <w:rPr>
          <w:rFonts w:ascii="Arial" w:cs="Arial" w:eastAsia="Arial" w:hAnsi="Arial"/>
          <w:sz w:val="16"/>
          <w:szCs w:val="16"/>
          <w:color w:val="auto"/>
        </w:rPr>
      </w:pPr>
      <w:r>
        <w:rPr>
          <w:rFonts w:ascii="Arial" w:cs="Arial" w:eastAsia="Arial" w:hAnsi="Arial"/>
          <w:sz w:val="17"/>
          <w:szCs w:val="17"/>
          <w:color w:val="auto"/>
        </w:rPr>
        <w:t>(I) any covenant therein (other than a financial covenant) in a manner that is material and favorable to the respective Obligor or (II) any financial covenant therein (whether expressed as a covenant, event of default or otherwise) in a manner that is favorable to the respective Obligor, but, in the case of this clause (i), only if the Investment Manager or any of its Affiliates (other than the Borrower) either (A) owns or controls 33-1/3% or more of the voting rights or economic interest of the related Obligor or (B) is a controlling equity holder of the related Obligor.</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LIBOR</w:t>
      </w:r>
      <w:r>
        <w:rPr>
          <w:rFonts w:ascii="Arial" w:cs="Arial" w:eastAsia="Arial" w:hAnsi="Arial"/>
          <w:sz w:val="18"/>
          <w:szCs w:val="18"/>
          <w:color w:val="auto"/>
        </w:rPr>
        <w:t>” means, at any time:</w:t>
      </w:r>
    </w:p>
    <w:p>
      <w:pPr>
        <w:spacing w:after="0" w:line="117" w:lineRule="exact"/>
        <w:rPr>
          <w:sz w:val="20"/>
          <w:szCs w:val="20"/>
          <w:color w:val="auto"/>
        </w:rPr>
      </w:pPr>
    </w:p>
    <w:p>
      <w:pPr>
        <w:ind w:left="460" w:right="60" w:firstLine="443"/>
        <w:spacing w:after="0" w:line="259" w:lineRule="auto"/>
        <w:tabs>
          <w:tab w:leader="none" w:pos="114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no Interest Accrual Period for Eurodollar Rate Advances is then in effect hereunder, LIBOR determined as if (1) Eurodollar Rate Advances having an aggregate principal balance of $10,000,000 were outstanding hereunder and (2) the related Interest Accrual Period were in effect for the period from the immediately preceding Payment Date (or, if prior to the first Payment Date, the Original Closing Date) through the next following Payment Date;</w:t>
      </w:r>
    </w:p>
    <w:p>
      <w:pPr>
        <w:spacing w:after="0" w:line="78" w:lineRule="exact"/>
        <w:rPr>
          <w:rFonts w:ascii="Arial" w:cs="Arial" w:eastAsia="Arial" w:hAnsi="Arial"/>
          <w:sz w:val="18"/>
          <w:szCs w:val="18"/>
          <w:color w:val="auto"/>
        </w:rPr>
      </w:pPr>
    </w:p>
    <w:p>
      <w:pPr>
        <w:ind w:left="460" w:right="360" w:firstLine="443"/>
        <w:spacing w:after="0" w:line="277" w:lineRule="auto"/>
        <w:tabs>
          <w:tab w:leader="none" w:pos="11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only one Interest Accrual Period for Eurodollar Rate Advances is outstanding at such time, the LIBOR rate in effect with respect to the Eurodollar Rate Advances for such Interest Accrual Period; and</w:t>
      </w:r>
    </w:p>
    <w:p>
      <w:pPr>
        <w:spacing w:after="0" w:line="62" w:lineRule="exact"/>
        <w:rPr>
          <w:rFonts w:ascii="Arial" w:cs="Arial" w:eastAsia="Arial" w:hAnsi="Arial"/>
          <w:sz w:val="18"/>
          <w:szCs w:val="18"/>
          <w:color w:val="auto"/>
        </w:rPr>
      </w:pPr>
    </w:p>
    <w:p>
      <w:pPr>
        <w:ind w:left="460" w:right="220" w:firstLine="443"/>
        <w:spacing w:after="0" w:line="279" w:lineRule="auto"/>
        <w:tabs>
          <w:tab w:leader="none" w:pos="114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if more than one Interest Accrual Period for Eurodollar Rate Advances is outstanding at such time, a rate per annum equal to (1) the sum of the products, for each such Interest Accrual Period, of the LIBOR rate in effect with respect to such Interest Accrual Period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outstanding principal amount of Eurodollar Rate Advances then bearing interest at a rate based on such LIBOR rate,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(2) the aggregate outstanding principal amount of all Eurodollar Rate Advances outstanding at such time, rounded to the nearest 0.01%.</w:t>
      </w:r>
    </w:p>
    <w:p>
      <w:pPr>
        <w:spacing w:after="0" w:line="17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Foreign Exchange Rate</w:t>
      </w:r>
      <w:r>
        <w:rPr>
          <w:rFonts w:ascii="Arial" w:cs="Arial" w:eastAsia="Arial" w:hAnsi="Arial"/>
          <w:sz w:val="18"/>
          <w:szCs w:val="18"/>
          <w:color w:val="auto"/>
        </w:rPr>
        <w:t>” means on any date the spot rate for conversion of Canadian Dollars into United States Dollars as published on Reuters page FXFX at 11:00 a.m. New York time. For the avoidance of doubt, the Spot Foreign Exchange Rate shall be expressed as the number of Canadian Dollars that may be purchased with one Dollar.</w:t>
      </w:r>
    </w:p>
    <w:p>
      <w:pPr>
        <w:spacing w:after="0" w:line="18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xml:space="preserve">” means any debt obligation owing by a finance vehicle that is secured directly and primarily by, primarily 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ABL Facilities, loans to financial service companies, factoring businesses, health care providers and other genuine operating businesses do not constitute Structured Finance Obligations.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Laws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and similar levies, imposts, deductions, charges, withholdings (including backup withholding), assessments, fees and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charges imposed by any governmental Authority, and all liabilities (including penalties, interest and expenses) with respect thereto.</w:t>
      </w:r>
    </w:p>
    <w:p>
      <w:pPr>
        <w:spacing w:after="0" w:line="22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Capitalization</w:t>
      </w:r>
      <w:r>
        <w:rPr>
          <w:rFonts w:ascii="Arial" w:cs="Arial" w:eastAsia="Arial" w:hAnsi="Arial"/>
          <w:sz w:val="18"/>
          <w:szCs w:val="18"/>
          <w:color w:val="auto"/>
        </w:rPr>
        <w:t xml:space="preserve">” means, at any time, the </w:t>
      </w:r>
      <w:r>
        <w:rPr>
          <w:rFonts w:ascii="Arial" w:cs="Arial" w:eastAsia="Arial" w:hAnsi="Arial"/>
          <w:sz w:val="18"/>
          <w:szCs w:val="18"/>
          <w:i w:val="1"/>
          <w:iCs w:val="1"/>
          <w:color w:val="auto"/>
        </w:rPr>
        <w:t>result</w:t>
      </w:r>
      <w:r>
        <w:rPr>
          <w:rFonts w:ascii="Arial" w:cs="Arial" w:eastAsia="Arial" w:hAnsi="Arial"/>
          <w:sz w:val="18"/>
          <w:szCs w:val="18"/>
          <w:color w:val="auto"/>
        </w:rPr>
        <w:t xml:space="preserve"> of (i) the Aggregate Principal Balance of all Performing Collateral Obligations,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aggregate amount of cash on deposit in the Principal Collection Subaccount,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the excess of the aggregate amount of the undrawn Commitments over the Portfolio Exposure Amount that may be drawn and used to purchase additional Collateral Obligations at such time in accordance with the terms of this Agreement (including subject to compliance with the applicable Row Advance Rate).</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w:t>
      </w:r>
      <w:r>
        <w:rPr>
          <w:rFonts w:ascii="Arial" w:cs="Arial" w:eastAsia="Arial" w:hAnsi="Arial"/>
          <w:sz w:val="18"/>
          <w:szCs w:val="18"/>
          <w:color w:val="auto"/>
        </w:rPr>
        <w:t xml:space="preserve">” means (a) on or prior to the Commitment Termination Date, $175,000,000 (as such amount may be reduced from time to time pursuant to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2.06</w:t>
      </w:r>
      <w:r>
        <w:rPr>
          <w:rFonts w:ascii="Arial" w:cs="Arial" w:eastAsia="Arial" w:hAnsi="Arial"/>
          <w:sz w:val="18"/>
          <w:szCs w:val="18"/>
          <w:color w:val="auto"/>
        </w:rPr>
        <w:t>) and (b) following the Commitment Termination Date, zero.</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issued by the Internal Revenue Service under the Code, as such regulations may be amended from time to time.</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from time to time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by reason of any mandatory provisions of law, the perfection, the effect of perfection or non-perfection or priority of the security interests granted to the Collateral Agent pursuant to this Agreement are governed by the Uniform Commercial Code as in effect in a jurisdiction of the United States other than the State of New York, then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such perfection, effect of perfection or non-perfection or priority.</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Uncertificated Security</w:t>
      </w:r>
      <w:r>
        <w:rPr>
          <w:rFonts w:ascii="Arial" w:cs="Arial" w:eastAsia="Arial" w:hAnsi="Arial"/>
          <w:sz w:val="18"/>
          <w:szCs w:val="18"/>
          <w:color w:val="auto"/>
        </w:rPr>
        <w:t>” has the meaning specified in Section 8-102(a)(18)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DBRS Risk Score</w:t>
      </w:r>
      <w:r>
        <w:rPr>
          <w:rFonts w:ascii="Arial" w:cs="Arial" w:eastAsia="Arial" w:hAnsi="Arial"/>
          <w:sz w:val="18"/>
          <w:szCs w:val="18"/>
          <w:color w:val="auto"/>
        </w:rPr>
        <w:t>” means, as of any date of determination, the number (rounded to the nearest hundredth) determined by summing the products obtained by multiplying:</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The Principal Balance of each Collateral Obligation</w:t>
            </w:r>
          </w:p>
        </w:tc>
        <w:tc>
          <w:tcPr>
            <w:tcW w:w="6160" w:type="dxa"/>
            <w:vAlign w:val="bottom"/>
            <w:gridSpan w:val="3"/>
          </w:tcPr>
          <w:p>
            <w:pPr>
              <w:ind w:left="860"/>
              <w:spacing w:after="0"/>
              <w:rPr>
                <w:sz w:val="20"/>
                <w:szCs w:val="20"/>
                <w:color w:val="auto"/>
              </w:rPr>
            </w:pPr>
            <w:r>
              <w:rPr>
                <w:rFonts w:ascii="Arial" w:cs="Arial" w:eastAsia="Arial" w:hAnsi="Arial"/>
                <w:sz w:val="18"/>
                <w:szCs w:val="18"/>
                <w:color w:val="auto"/>
                <w:w w:val="91"/>
              </w:rPr>
              <w:t>X The DBRS Risk Score of such Collateral Obligation (as determined as</w:t>
            </w:r>
          </w:p>
        </w:tc>
      </w:tr>
      <w:tr>
        <w:trPr>
          <w:trHeight w:val="190"/>
        </w:trPr>
        <w:tc>
          <w:tcPr>
            <w:tcW w:w="4600" w:type="dxa"/>
            <w:vAlign w:val="bottom"/>
          </w:tcPr>
          <w:p>
            <w:pPr>
              <w:spacing w:after="0"/>
              <w:rPr>
                <w:sz w:val="16"/>
                <w:szCs w:val="16"/>
                <w:color w:val="auto"/>
              </w:rPr>
            </w:pPr>
          </w:p>
        </w:tc>
        <w:tc>
          <w:tcPr>
            <w:tcW w:w="6160" w:type="dxa"/>
            <w:vAlign w:val="bottom"/>
            <w:gridSpan w:val="3"/>
          </w:tcPr>
          <w:p>
            <w:pPr>
              <w:ind w:left="1100"/>
              <w:spacing w:after="0" w:line="190" w:lineRule="exact"/>
              <w:rPr>
                <w:sz w:val="20"/>
                <w:szCs w:val="20"/>
                <w:color w:val="auto"/>
              </w:rPr>
            </w:pPr>
            <w:r>
              <w:rPr>
                <w:rFonts w:ascii="Arial" w:cs="Arial" w:eastAsia="Arial" w:hAnsi="Arial"/>
                <w:sz w:val="18"/>
                <w:szCs w:val="18"/>
                <w:color w:val="auto"/>
              </w:rPr>
              <w:t>provided on Schedule 4 hereto)</w:t>
            </w:r>
          </w:p>
        </w:tc>
      </w:tr>
      <w:tr>
        <w:trPr>
          <w:trHeight w:val="20"/>
        </w:trPr>
        <w:tc>
          <w:tcPr>
            <w:tcW w:w="4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and dividing such sum by</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Aggregate Principal Balance of all such Collateral Obligations.</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Fixed Rate Coupon</w:t>
      </w:r>
      <w:r>
        <w:rPr>
          <w:rFonts w:ascii="Arial" w:cs="Arial" w:eastAsia="Arial" w:hAnsi="Arial"/>
          <w:sz w:val="18"/>
          <w:szCs w:val="18"/>
          <w:color w:val="auto"/>
        </w:rPr>
        <w:t>” means, as of any date, the number, expressed as a percentage, determined by summing the products obtained by multiplying: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180" w:name="page181"/>
    <w:bookmarkEnd w:id="180"/>
    <w:p>
      <w:pPr>
        <w:ind w:lef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sum, for each Fixed Rate Obligation, of the stated interest coupon on such Collateral Obligation</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and dividing such sum by:</w:t>
      </w:r>
    </w:p>
    <w:p>
      <w:pPr>
        <w:spacing w:after="0" w:line="20" w:lineRule="exact"/>
        <w:rPr>
          <w:sz w:val="20"/>
          <w:szCs w:val="20"/>
          <w:color w:val="auto"/>
        </w:rPr>
      </w:pPr>
      <w:r>
        <w:rPr>
          <w:sz w:val="20"/>
          <w:szCs w:val="20"/>
          <w:color w:val="auto"/>
        </w:rPr>
        <w:br w:type="column"/>
      </w:r>
    </w:p>
    <w:p>
      <w:pPr>
        <w:ind w:left="242"/>
        <w:spacing w:after="0"/>
        <w:rPr>
          <w:sz w:val="20"/>
          <w:szCs w:val="20"/>
          <w:color w:val="auto"/>
        </w:rPr>
      </w:pPr>
      <w:r>
        <w:rPr>
          <w:rFonts w:ascii="Arial" w:cs="Arial" w:eastAsia="Arial" w:hAnsi="Arial"/>
          <w:sz w:val="16"/>
          <w:szCs w:val="16"/>
          <w:color w:val="auto"/>
        </w:rPr>
        <w:t>The Principal Balance of such Collateral Obligation (excluding the</w:t>
      </w:r>
    </w:p>
    <w:p>
      <w:pPr>
        <w:spacing w:after="0" w:line="46" w:lineRule="exact"/>
        <w:rPr>
          <w:sz w:val="20"/>
          <w:szCs w:val="20"/>
          <w:color w:val="auto"/>
        </w:rPr>
      </w:pPr>
    </w:p>
    <w:p>
      <w:pPr>
        <w:ind w:left="242" w:right="660" w:hanging="242"/>
        <w:spacing w:after="0" w:line="261" w:lineRule="auto"/>
        <w:tabs>
          <w:tab w:leader="none" w:pos="24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unfunded portion of any Delayed Drawdown Collateral Loans or Revolving Collateral Loans)</w:t>
      </w:r>
    </w:p>
    <w:p>
      <w:pPr>
        <w:spacing w:after="0" w:line="507" w:lineRule="exact"/>
        <w:rPr>
          <w:sz w:val="20"/>
          <w:szCs w:val="20"/>
          <w:color w:val="auto"/>
        </w:rPr>
      </w:pPr>
    </w:p>
    <w:p>
      <w:pPr>
        <w:sectPr>
          <w:pgSz w:w="11900" w:h="16838" w:orient="portrait"/>
          <w:cols w:equalWidth="0" w:num="2">
            <w:col w:w="5660" w:space="158"/>
            <w:col w:w="5562"/>
          </w:cols>
          <w:pgMar w:left="240" w:top="274" w:right="279" w:bottom="1440" w:gutter="0" w:footer="0" w:header="0"/>
        </w:sectPr>
      </w:pPr>
    </w:p>
    <w:p>
      <w:pPr>
        <w:ind w:left="460" w:right="20"/>
        <w:spacing w:after="0" w:line="277" w:lineRule="auto"/>
        <w:rPr>
          <w:sz w:val="20"/>
          <w:szCs w:val="20"/>
          <w:color w:val="auto"/>
        </w:rPr>
      </w:pPr>
      <w:r>
        <w:rPr>
          <w:rFonts w:ascii="Arial" w:cs="Arial" w:eastAsia="Arial" w:hAnsi="Arial"/>
          <w:sz w:val="18"/>
          <w:szCs w:val="18"/>
          <w:color w:val="auto"/>
        </w:rPr>
        <w:t>the Aggregate Principal Balance of all Fixed Rate Obligations as of such date (in each case, excluding the unfunded portion of any Delayed Drawdown Collateral Loans or Revolving Collateral Loans that are Fixed Rate Obligations);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foregoing amount is less than 6.00%, then all or a portion of the Weighted Average Fixed Rate Coupon Adjustment, if any, as of such date, to the extent not exceeding such shortfall, shall be added to such result.</w:t>
      </w:r>
    </w:p>
    <w:p>
      <w:pPr>
        <w:spacing w:after="0" w:line="170"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Fixed Rate Coupon Adjustment</w:t>
      </w:r>
      <w:r>
        <w:rPr>
          <w:rFonts w:ascii="Arial" w:cs="Arial" w:eastAsia="Arial" w:hAnsi="Arial"/>
          <w:sz w:val="16"/>
          <w:szCs w:val="16"/>
          <w:color w:val="auto"/>
        </w:rPr>
        <w:t>” means, as of any date, a fraction (expressed as a percentage), the numerator of which is equal to the product of (i) the excess, if any, of the Weighted Average Spread for such date over the Row Spread Level in effect as of such date, and (ii) the Aggregate Principal Balance of all Collateral Obligations that are not Fixed Rate Obligations as of such date, and the denominator of which is the Aggregate Principal Balance of all Fixed Rate Obligation as of such date (in each case, excluding the unfunded portion of any Delayed Drawdown Collateral Loans or Revolving Collateral Loans that are Fixed Rate Obligations). In computing the Weighted Average Fixed Rate Coupon Adjustment on any date, the Weighted Average Spread for such date shall be computed as if the Weighted Average Spread Adjustment was equal to zero.</w:t>
      </w:r>
    </w:p>
    <w:p>
      <w:pPr>
        <w:spacing w:after="0" w:line="16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Maturity Date</w:t>
      </w:r>
      <w:r>
        <w:rPr>
          <w:rFonts w:ascii="Arial" w:cs="Arial" w:eastAsia="Arial" w:hAnsi="Arial"/>
          <w:sz w:val="17"/>
          <w:szCs w:val="17"/>
          <w:color w:val="auto"/>
        </w:rPr>
        <w:t>” means, as of any date of determination, with respect to all Performing Collateral Obligations, the date calculated by adding to the Original Closing Date the weighted average maturity of such Performing Collateral Obligations (expressed as a number of months from the Original Closing Date) calculated by (a) summing the Average Maturity Dates of such Performing Collateral Obligations and (b) dividing such sum by the Aggregate Principal Balance of such Performing Collateral Obligations, in each case as of such date.</w:t>
      </w:r>
    </w:p>
    <w:p>
      <w:pPr>
        <w:spacing w:after="0" w:line="17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Maturity Date Test</w:t>
      </w:r>
      <w:r>
        <w:rPr>
          <w:rFonts w:ascii="Arial" w:cs="Arial" w:eastAsia="Arial" w:hAnsi="Arial"/>
          <w:sz w:val="18"/>
          <w:szCs w:val="18"/>
          <w:color w:val="auto"/>
        </w:rPr>
        <w:t>” means a test that will be satisfied on any date of determination if the Weighted Average Maturity Date of all Performing Collateral Obligations as of such date is on or before May 8, 2019.</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Recovery Rate</w:t>
      </w:r>
      <w:r>
        <w:rPr>
          <w:rFonts w:ascii="Arial" w:cs="Arial" w:eastAsia="Arial" w:hAnsi="Arial"/>
          <w:sz w:val="18"/>
          <w:szCs w:val="18"/>
          <w:color w:val="auto"/>
        </w:rPr>
        <w:t>” means, as of any date, the number determined by summing the products obtained by multiplying:</w:t>
      </w:r>
    </w:p>
    <w:p>
      <w:pPr>
        <w:sectPr>
          <w:pgSz w:w="11900" w:h="16838" w:orient="portrait"/>
          <w:cols w:equalWidth="0" w:num="1">
            <w:col w:w="11380"/>
          </w:cols>
          <w:pgMar w:left="240" w:top="274" w:right="279" w:bottom="1440" w:gutter="0" w:footer="0" w:header="0"/>
          <w:type w:val="continuous"/>
        </w:sectPr>
      </w:pPr>
    </w:p>
    <w:p>
      <w:pPr>
        <w:spacing w:after="0" w:line="252"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The DBRS Recovery Rate with respect to each Performing Collateral Obligation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40" w:right="320" w:hanging="242"/>
        <w:spacing w:after="0" w:line="182" w:lineRule="auto"/>
        <w:tabs>
          <w:tab w:leader="none" w:pos="440" w:val="left"/>
        </w:tabs>
        <w:numPr>
          <w:ilvl w:val="0"/>
          <w:numId w:val="142"/>
        </w:numPr>
        <w:rPr>
          <w:rFonts w:ascii="Arial" w:cs="Arial" w:eastAsia="Arial" w:hAnsi="Arial"/>
          <w:sz w:val="34"/>
          <w:szCs w:val="34"/>
          <w:color w:val="auto"/>
          <w:vertAlign w:val="subscript"/>
        </w:rPr>
      </w:pPr>
      <w:r>
        <w:rPr>
          <w:rFonts w:ascii="Arial" w:cs="Arial" w:eastAsia="Arial" w:hAnsi="Arial"/>
          <w:sz w:val="17"/>
          <w:szCs w:val="17"/>
          <w:color w:val="auto"/>
        </w:rPr>
        <w:t>The Principal Balance of such Performing Collateral Obligation as of such date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ectPr>
          <w:pgSz w:w="11900" w:h="16838" w:orient="portrait"/>
          <w:cols w:equalWidth="0" w:num="2">
            <w:col w:w="5380" w:space="240"/>
            <w:col w:w="5760"/>
          </w:cols>
          <w:pgMar w:left="240" w:top="274" w:right="279" w:bottom="1440" w:gutter="0" w:footer="0" w:header="0"/>
          <w:type w:val="continuous"/>
        </w:sectPr>
      </w:pPr>
    </w:p>
    <w:bookmarkStart w:id="181" w:name="page182"/>
    <w:bookmarkEnd w:id="181"/>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dividing such sum by: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Balance of such Performing Collateral Obligations as of such date.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Spread</w:t>
      </w:r>
      <w:r>
        <w:rPr>
          <w:rFonts w:ascii="Arial" w:cs="Arial" w:eastAsia="Arial" w:hAnsi="Arial"/>
          <w:sz w:val="16"/>
          <w:szCs w:val="16"/>
          <w:color w:val="auto"/>
        </w:rPr>
        <w:t>” means, as of any date, the number determined by summing the number obtained by adding:</w:t>
      </w:r>
    </w:p>
    <w:p>
      <w:pPr>
        <w:sectPr>
          <w:pgSz w:w="11900" w:h="16838" w:orient="portrait"/>
          <w:cols w:equalWidth="0" w:num="1">
            <w:col w:w="11420"/>
          </w:cols>
          <w:pgMar w:left="240" w:top="274" w:right="239" w:bottom="1440" w:gutter="0" w:footer="0" w:header="0"/>
        </w:sectPr>
      </w:pPr>
    </w:p>
    <w:p>
      <w:pPr>
        <w:spacing w:after="0" w:line="275" w:lineRule="exact"/>
        <w:rPr>
          <w:sz w:val="20"/>
          <w:szCs w:val="20"/>
          <w:color w:val="auto"/>
        </w:rPr>
      </w:pPr>
    </w:p>
    <w:p>
      <w:pPr>
        <w:ind w:left="360" w:right="340"/>
        <w:spacing w:after="0" w:line="308" w:lineRule="auto"/>
        <w:rPr>
          <w:sz w:val="20"/>
          <w:szCs w:val="20"/>
          <w:color w:val="auto"/>
        </w:rPr>
      </w:pPr>
      <w:r>
        <w:rPr>
          <w:rFonts w:ascii="Arial" w:cs="Arial" w:eastAsia="Arial" w:hAnsi="Arial"/>
          <w:sz w:val="17"/>
          <w:szCs w:val="17"/>
          <w:color w:val="auto"/>
        </w:rPr>
        <w:t>The Aggregate Funded Spread (with respect to all Collateral Obligations that are not Fixed Rate Obligations)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The Aggregate Unfunded Spread</w:t>
      </w:r>
    </w:p>
    <w:p>
      <w:pPr>
        <w:spacing w:after="0" w:line="464" w:lineRule="exact"/>
        <w:rPr>
          <w:sz w:val="20"/>
          <w:szCs w:val="20"/>
          <w:color w:val="auto"/>
        </w:rPr>
      </w:pPr>
    </w:p>
    <w:p>
      <w:pPr>
        <w:sectPr>
          <w:pgSz w:w="11900" w:h="16838" w:orient="portrait"/>
          <w:cols w:equalWidth="0" w:num="2">
            <w:col w:w="5060" w:space="720"/>
            <w:col w:w="564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i w:val="1"/>
          <w:iCs w:val="1"/>
          <w:color w:val="auto"/>
        </w:rPr>
        <w:t>and dividing such sum by: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Balance of all Collateral Obligations that are not Fixed Rate Obligations as of such date;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foregoing amount is less than the Row Spread Level in effect as of such date, then all or a portion of the Weighted Average Spread Adjustment, if any, as of such date, to the extent not exceeding such shortfall, shall be added to such result.</w:t>
      </w:r>
    </w:p>
    <w:p>
      <w:pPr>
        <w:spacing w:after="0" w:line="170"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Spread Adjustment</w:t>
      </w:r>
      <w:r>
        <w:rPr>
          <w:rFonts w:ascii="Arial" w:cs="Arial" w:eastAsia="Arial" w:hAnsi="Arial"/>
          <w:sz w:val="17"/>
          <w:szCs w:val="17"/>
          <w:color w:val="auto"/>
        </w:rPr>
        <w:t>” means, as of any date, a fraction (expressed as a percentage), the numerator of which is equal to the product of (i) the excess, if any, of the Weighted Average Fixed Rate Coupon for such date over 6.00% and (ii) the Aggregate Principal Balance of all Fixed Rate Obligations as of such date (in each case, excluding the unfunded portion of any Delayed Drawdown Collateral Loans or Revolving Collateral Loans that are Fixed Rate Obligations), and the denominator of which is the Aggregate Principal Balance of all Collateral Obligations that are not Fixed Rate Obligations as of such date. In computing the Weighted Average Spread Adjustment on any date, the Weighted Average Fixed Rate Coupon for such date shall be computed as if the Weighted Average Fixed Rate Coupon Adjustment was equal to zero.</w:t>
      </w:r>
    </w:p>
    <w:p>
      <w:pPr>
        <w:spacing w:after="0" w:line="17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Revolver</w:t>
      </w:r>
      <w:r>
        <w:rPr>
          <w:rFonts w:ascii="Arial" w:cs="Arial" w:eastAsia="Arial" w:hAnsi="Arial"/>
          <w:sz w:val="18"/>
          <w:szCs w:val="18"/>
          <w:color w:val="auto"/>
        </w:rPr>
        <w:t>” means a revolving lending facility secured by all or a portion of the current assets of the related obligor.</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Zero Coupon Obligation</w:t>
      </w:r>
      <w:r>
        <w:rPr>
          <w:rFonts w:ascii="Arial" w:cs="Arial" w:eastAsia="Arial" w:hAnsi="Arial"/>
          <w:sz w:val="18"/>
          <w:szCs w:val="18"/>
          <w:color w:val="auto"/>
        </w:rPr>
        <w:t>” means a Collateral Obligation that does not provide for periodic payments of interest in Cash or that pays interest only at its stated maturity.</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type w:val="continuous"/>
        </w:sectPr>
      </w:pPr>
    </w:p>
    <w:bookmarkStart w:id="182" w:name="page183"/>
    <w:bookmarkEnd w:id="182"/>
    <w:p>
      <w:pPr>
        <w:ind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all purposes of this Agreement, except as otherwise expressly provided or unless the context otherwise 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 (vi)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(vii) any reference herein to any Person shall be 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(ix) unless otherwise specified herein, all accounting terms used herein shall be interpreted and all accounting determinations hereunder shall be made in accordance with GAAP as in effect from time to time and</w:t>
      </w:r>
    </w:p>
    <w:p>
      <w:pPr>
        <w:spacing w:after="0" w:line="1" w:lineRule="exact"/>
        <w:rPr>
          <w:sz w:val="20"/>
          <w:szCs w:val="20"/>
          <w:color w:val="auto"/>
        </w:rPr>
      </w:pPr>
    </w:p>
    <w:p>
      <w:pPr>
        <w:ind w:right="40" w:firstLine="8"/>
        <w:spacing w:after="0" w:line="261"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unless otherwise specified herein and unless the context requires a different meaning, all terms used herein that are defined in Articles 8 and 9 of the UCC are used herein as so defined.</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Unless otherwise stated in this Agreement, in the computation of a period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and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both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Periods of days referred to in this Agreement shall be counted in calendar days unless Business Days are expressly prescribed. Unless otherwise indicated herein, all references to time of day refer to Eastern Standard Time or Eastern daylight saving time, as in effect in New York City on such day.</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Collateral Value Calculation Procedures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In connection with all calculations required to be made pursuant to this Agreement with respect to Scheduled Distributions on any Collateral Obligations, or any payments on any other assets included in the Collateral, with respect to the sale of and reinvestment in Collateral Obligations, and with respect to the income that can be earned on Scheduled Distributions on such Collateral Obligations and on any other amounts that may be received for deposit in the Collection Account, the provisions set forth in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shall be applied. The provisions of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shall be applicable to any determination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183" w:name="page184"/>
    <w:bookmarkEnd w:id="183"/>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calculation that is covered by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whether or not reference is specifically made to </w:t>
      </w:r>
      <w:r>
        <w:rPr>
          <w:rFonts w:ascii="Arial" w:cs="Arial" w:eastAsia="Arial" w:hAnsi="Arial"/>
          <w:sz w:val="18"/>
          <w:szCs w:val="18"/>
          <w:u w:val="single" w:color="auto"/>
          <w:color w:val="auto"/>
        </w:rPr>
        <w:t>Section 1.04</w:t>
      </w:r>
      <w:r>
        <w:rPr>
          <w:rFonts w:ascii="Arial" w:cs="Arial" w:eastAsia="Arial" w:hAnsi="Arial"/>
          <w:sz w:val="18"/>
          <w:szCs w:val="18"/>
          <w:color w:val="auto"/>
        </w:rPr>
        <w:t>, unless some other method of calculation or determination is expressly specified in the particular provision.</w:t>
      </w:r>
    </w:p>
    <w:p>
      <w:pPr>
        <w:spacing w:after="0" w:line="62" w:lineRule="exact"/>
        <w:rPr>
          <w:sz w:val="20"/>
          <w:szCs w:val="20"/>
          <w:color w:val="auto"/>
        </w:rPr>
      </w:pPr>
    </w:p>
    <w:p>
      <w:pPr>
        <w:ind w:right="140" w:firstLine="921"/>
        <w:spacing w:after="0" w:line="259" w:lineRule="auto"/>
        <w:tabs>
          <w:tab w:leader="none" w:pos="115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calculations with respect to Scheduled Distributions on the Collateral Obligations securing the Advances shall be made on the basis of information as to the terms of each of such Collateral Obligations and upon reports of payments, if any, received on such Collateral Obligations that are furnished by or on behalf of the Obligor of such Collateral Obligations and, to the extent they are not manifestly in error, such information or reports may be conclusively relied upon in making such calculations.</w:t>
      </w:r>
    </w:p>
    <w:p>
      <w:pPr>
        <w:spacing w:after="0" w:line="186"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purposes of calculating the Coverage Tests, except as otherwise specified in the Coverage Tests, such calculations will not include ticking fees in respect of Collateral Obligations, and other similar fees, unless or until such fees are actually paid.</w:t>
      </w:r>
    </w:p>
    <w:p>
      <w:pPr>
        <w:spacing w:after="0" w:line="170" w:lineRule="exact"/>
        <w:rPr>
          <w:rFonts w:ascii="Arial" w:cs="Arial" w:eastAsia="Arial" w:hAnsi="Arial"/>
          <w:sz w:val="18"/>
          <w:szCs w:val="18"/>
          <w:color w:val="auto"/>
        </w:rPr>
      </w:pPr>
    </w:p>
    <w:p>
      <w:pPr>
        <w:ind w:right="40" w:firstLine="921"/>
        <w:spacing w:after="0" w:line="291" w:lineRule="auto"/>
        <w:tabs>
          <w:tab w:leader="none" w:pos="115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For each Collection Period and as of any date of determination, the Scheduled Distribution on any Collateral Obligations (other than Defaulted Loan/Bonds, which, except as otherwise provided herein, shall be assumed to have Scheduled Distributions of zero) shall be the sum of (i) the total amount of payments and collections to be received during such Collection Period in respect of such Collateral Obligations (including the proceeds of the sale of such Collateral Obligations received and, in the case of sales which have not yet settled, to be received during the Collection Period) and not reinvested in additional Collateral Obligations or retained in the Collection Account for subsequent reinvestment pursuant to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that, if received as scheduled, will be available in the Collection Account at the end of the Collection Period and (ii) any such amounts received in prior Collection Periods that were not disbursed on a previous Payment Date or retained in the Collection Account for subsequent reinvestment pursuant to </w:t>
      </w:r>
      <w:r>
        <w:rPr>
          <w:rFonts w:ascii="Arial" w:cs="Arial" w:eastAsia="Arial" w:hAnsi="Arial"/>
          <w:sz w:val="16"/>
          <w:szCs w:val="16"/>
          <w:u w:val="single" w:color="auto"/>
          <w:color w:val="auto"/>
        </w:rPr>
        <w:t>Section 10.02</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firstLine="921"/>
        <w:spacing w:after="0" w:line="257" w:lineRule="auto"/>
        <w:tabs>
          <w:tab w:leader="none" w:pos="116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Scheduled Distribution receivable with respect to a Collateral Obligation shall be assumed to be received on the applicable Due Date, and each such Scheduled Distribution shall be assumed to be immediately deposited in the Collection Account to earn interest at the Assumed Reinvestment Rate (as determined on each relevant date of determination). All such funds shall be assumed to continue to earn interest until the date on which they are required to be available in the Collection Account for application, in accordance with the terms hereof, to payments of principal of or interest on the Advances or other amounts payable pursuant to this Agreement.</w:t>
      </w:r>
    </w:p>
    <w:p>
      <w:pPr>
        <w:spacing w:after="0" w:line="188" w:lineRule="exact"/>
        <w:rPr>
          <w:rFonts w:ascii="Arial" w:cs="Arial" w:eastAsia="Arial" w:hAnsi="Arial"/>
          <w:sz w:val="18"/>
          <w:szCs w:val="18"/>
          <w:color w:val="auto"/>
        </w:rPr>
      </w:pPr>
    </w:p>
    <w:p>
      <w:pPr>
        <w:ind w:right="440" w:firstLine="921"/>
        <w:spacing w:after="0" w:line="342" w:lineRule="auto"/>
        <w:tabs>
          <w:tab w:leader="none" w:pos="115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References in the Priority of Payments to calculations made on a “</w:t>
      </w:r>
      <w:r>
        <w:rPr>
          <w:rFonts w:ascii="Arial" w:cs="Arial" w:eastAsia="Arial" w:hAnsi="Arial"/>
          <w:sz w:val="16"/>
          <w:szCs w:val="16"/>
          <w:u w:val="single" w:color="auto"/>
          <w:color w:val="auto"/>
        </w:rPr>
        <w:t>pro forma basis</w:t>
      </w:r>
      <w:r>
        <w:rPr>
          <w:rFonts w:ascii="Arial" w:cs="Arial" w:eastAsia="Arial" w:hAnsi="Arial"/>
          <w:sz w:val="16"/>
          <w:szCs w:val="16"/>
          <w:color w:val="auto"/>
        </w:rPr>
        <w:t>” shall mean such calculations after giving effect to all payments, in accordance with the Priority of Payments, that precede (in priority of payment) or include the clause in which such calculation is made.</w:t>
      </w:r>
    </w:p>
    <w:p>
      <w:pPr>
        <w:spacing w:after="0" w:line="123" w:lineRule="exact"/>
        <w:rPr>
          <w:rFonts w:ascii="Arial" w:cs="Arial" w:eastAsia="Arial" w:hAnsi="Arial"/>
          <w:sz w:val="16"/>
          <w:szCs w:val="16"/>
          <w:color w:val="auto"/>
        </w:rPr>
      </w:pPr>
    </w:p>
    <w:p>
      <w:pPr>
        <w:ind w:right="100" w:firstLine="921"/>
        <w:spacing w:after="0" w:line="277" w:lineRule="auto"/>
        <w:tabs>
          <w:tab w:leader="none" w:pos="11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purposes of calculating all Concentration Limitations, in both the numerator and the denominator of any component of the Concentration Limitations, Defaulted Loan/Bonds will be treated as having a Principal Balance equal to zero.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184" w:name="page185"/>
    <w:bookmarkEnd w:id="184"/>
    <w:p>
      <w:pPr>
        <w:ind w:left="1160" w:hanging="259"/>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herein, Defaulted Loan/Bonds will not be included in the calculation of the Collateral Quality Tests.</w:t>
      </w:r>
    </w:p>
    <w:p>
      <w:pPr>
        <w:spacing w:after="0" w:line="225" w:lineRule="exact"/>
        <w:rPr>
          <w:rFonts w:ascii="Arial" w:cs="Arial" w:eastAsia="Arial" w:hAnsi="Arial"/>
          <w:sz w:val="18"/>
          <w:szCs w:val="18"/>
          <w:color w:val="auto"/>
        </w:rPr>
      </w:pPr>
    </w:p>
    <w:p>
      <w:pPr>
        <w:ind w:left="-20" w:firstLine="921"/>
        <w:spacing w:after="0" w:line="277" w:lineRule="auto"/>
        <w:tabs>
          <w:tab w:leader="none" w:pos="114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purposes of determining the Minimum Weighted Average Spread Test (and related computations of stated interest coupons and Aggregate Funded Spread), capitalized or deferred interest (and any other interest that is not paid in cash) will be excluded.</w:t>
      </w:r>
    </w:p>
    <w:p>
      <w:pPr>
        <w:spacing w:after="0" w:line="170" w:lineRule="exact"/>
        <w:rPr>
          <w:rFonts w:ascii="Arial" w:cs="Arial" w:eastAsia="Arial" w:hAnsi="Arial"/>
          <w:sz w:val="18"/>
          <w:szCs w:val="18"/>
          <w:color w:val="auto"/>
        </w:rPr>
      </w:pPr>
    </w:p>
    <w:p>
      <w:pPr>
        <w:ind w:left="-20" w:right="80" w:firstLine="921"/>
        <w:spacing w:after="0" w:line="272" w:lineRule="auto"/>
        <w:tabs>
          <w:tab w:leader="none" w:pos="110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References in this Agreement to the Borrower’s “purchase” or “acquisition” of a Collateral Obligation include references to the Borrower’s acquisition of such Collateral Obligation by way of contribution from the Investment Manager or an Affiliate thereof. Portions of the same Collateral Obligation acquired by the Borrower on different dates (whether through purchase or receipt by contribution, but excluding subsequent draws under Revolving Collateral Loans or Delayed Drawdown Collateral Loans) will, for purposes of determining the purchase price of such Collateral Obligation, be treated as separate purchases on separate dates (and not a weighted average purchase price for any particular Collateral Obligation). The “purchase price” for all or part of any Collateral Obligation acquired from an Affiliate of the Borrower, paid in the form of a contribution to the capital of the Borrower, shall be consistent with the amount that would be paid in an arms-length transaction with a non-Affiliate.</w:t>
      </w:r>
    </w:p>
    <w:p>
      <w:pPr>
        <w:spacing w:after="0" w:line="177" w:lineRule="exact"/>
        <w:rPr>
          <w:rFonts w:ascii="Arial" w:cs="Arial" w:eastAsia="Arial" w:hAnsi="Arial"/>
          <w:sz w:val="17"/>
          <w:szCs w:val="17"/>
          <w:color w:val="auto"/>
        </w:rPr>
      </w:pPr>
    </w:p>
    <w:p>
      <w:pPr>
        <w:ind w:left="1120" w:hanging="219"/>
        <w:spacing w:after="0"/>
        <w:tabs>
          <w:tab w:leader="none" w:pos="11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For the purposes of calculating compliance with each of the Concentration Limitations all calculations will be rounded to the nearest 0.01%.</w:t>
      </w:r>
    </w:p>
    <w:p>
      <w:pPr>
        <w:spacing w:after="0" w:line="248" w:lineRule="exact"/>
        <w:rPr>
          <w:rFonts w:ascii="Arial" w:cs="Arial" w:eastAsia="Arial" w:hAnsi="Arial"/>
          <w:sz w:val="16"/>
          <w:szCs w:val="16"/>
          <w:color w:val="auto"/>
        </w:rPr>
      </w:pPr>
    </w:p>
    <w:p>
      <w:pPr>
        <w:ind w:left="-20" w:right="220" w:firstLine="921"/>
        <w:spacing w:after="0" w:line="308" w:lineRule="auto"/>
        <w:tabs>
          <w:tab w:leader="none" w:pos="114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Specified Change that results in the transfer or release of all or substantially all of the assets securing a Collateral Obligation shall, for purposes of the Concentration Limitations, result in the recategorizing of such Collateral Obligation as an Equity Security.</w:t>
      </w:r>
    </w:p>
    <w:p>
      <w:pPr>
        <w:spacing w:after="0" w:line="146" w:lineRule="exact"/>
        <w:rPr>
          <w:rFonts w:ascii="Arial" w:cs="Arial" w:eastAsia="Arial" w:hAnsi="Arial"/>
          <w:sz w:val="17"/>
          <w:szCs w:val="17"/>
          <w:color w:val="auto"/>
        </w:rPr>
      </w:pPr>
    </w:p>
    <w:p>
      <w:pPr>
        <w:ind w:left="-20" w:right="40" w:firstLine="921"/>
        <w:spacing w:after="0" w:line="257" w:lineRule="auto"/>
        <w:tabs>
          <w:tab w:leader="none" w:pos="110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As of any date of determination, for purposes of all calculations under this Agreement, each Canadian Dollar Obligation and all cashflows in respect thereto (whether existing or anticipated) shall be expressed in Dollars applying the Settlement Date Rate relating to such Canadian Dollar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as of such date of determination the Settlement Date Rate relating to such Canadian Dollar Obligation is less than the prevailing Spot Foreign Exchange Rate as of such date of determination, then such Canadian Dollar Obligation shall be expressed in Dollars applying the prevailing Spot Foreign Exchange Rate as of such date of determination.</w:t>
      </w:r>
    </w:p>
    <w:p>
      <w:pPr>
        <w:spacing w:after="0" w:line="188" w:lineRule="exact"/>
        <w:rPr>
          <w:rFonts w:ascii="Arial" w:cs="Arial" w:eastAsia="Arial" w:hAnsi="Arial"/>
          <w:sz w:val="18"/>
          <w:szCs w:val="18"/>
          <w:color w:val="auto"/>
        </w:rPr>
      </w:pPr>
    </w:p>
    <w:p>
      <w:pPr>
        <w:ind w:left="-20" w:right="60" w:firstLine="921"/>
        <w:spacing w:after="0" w:line="312" w:lineRule="auto"/>
        <w:tabs>
          <w:tab w:leader="none" w:pos="119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Unless otherwise specified, for purposes of calculating compliance with any tests in this Agreement (including without limitation the Coverage Tests, the Collateral Quality Tests and the Concentration Limitations), the trade date (and not the settlement date) with respect to any acquisition or disposition of a Collateral Obligation or Eligible Investment shall be used to determine whether and when such acquisition or disposition has occurred.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ADVANCES UNDER THE FACILITY</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60" w:top="274" w:right="259" w:bottom="1440" w:gutter="0" w:footer="0" w:header="0"/>
        </w:sectPr>
      </w:pPr>
    </w:p>
    <w:bookmarkStart w:id="185" w:name="page186"/>
    <w:bookmarkEnd w:id="185"/>
    <w:p>
      <w:pPr>
        <w:ind w:right="80"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 the terms and subject to the conditions hereinafter set forth, including </w:t>
      </w:r>
      <w:r>
        <w:rPr>
          <w:rFonts w:ascii="Arial" w:cs="Arial" w:eastAsia="Arial" w:hAnsi="Arial"/>
          <w:sz w:val="16"/>
          <w:szCs w:val="16"/>
          <w:u w:val="single" w:color="auto"/>
          <w:color w:val="auto"/>
        </w:rPr>
        <w:t>Article III</w:t>
      </w:r>
      <w:r>
        <w:rPr>
          <w:rFonts w:ascii="Arial" w:cs="Arial" w:eastAsia="Arial" w:hAnsi="Arial"/>
          <w:sz w:val="16"/>
          <w:szCs w:val="16"/>
          <w:color w:val="auto"/>
        </w:rPr>
        <w:t>, each Lender severally agrees to make advances to the Borrower (each, an “</w:t>
      </w:r>
      <w:r>
        <w:rPr>
          <w:rFonts w:ascii="Arial" w:cs="Arial" w:eastAsia="Arial" w:hAnsi="Arial"/>
          <w:sz w:val="16"/>
          <w:szCs w:val="16"/>
          <w:u w:val="single" w:color="auto"/>
          <w:color w:val="auto"/>
        </w:rPr>
        <w:t>Advance</w:t>
      </w:r>
      <w:r>
        <w:rPr>
          <w:rFonts w:ascii="Arial" w:cs="Arial" w:eastAsia="Arial" w:hAnsi="Arial"/>
          <w:sz w:val="16"/>
          <w:szCs w:val="16"/>
          <w:color w:val="auto"/>
        </w:rPr>
        <w:t>” and each borrowing on any single day, a “</w:t>
      </w:r>
      <w:r>
        <w:rPr>
          <w:rFonts w:ascii="Arial" w:cs="Arial" w:eastAsia="Arial" w:hAnsi="Arial"/>
          <w:sz w:val="16"/>
          <w:szCs w:val="16"/>
          <w:u w:val="single" w:color="auto"/>
          <w:color w:val="auto"/>
        </w:rPr>
        <w:t>Borrowing</w:t>
      </w:r>
      <w:r>
        <w:rPr>
          <w:rFonts w:ascii="Arial" w:cs="Arial" w:eastAsia="Arial" w:hAnsi="Arial"/>
          <w:sz w:val="16"/>
          <w:szCs w:val="16"/>
          <w:color w:val="auto"/>
        </w:rPr>
        <w:t xml:space="preserve">”) from time to time on any Business Day during the period from the Original Closing Date until the Commitment Termination Date, in each case in an aggregate principal amount at any one time outstanding up to but not exceeding such Lender’s Commitment and, as to all Lenders, in an aggregate principal amount up to but not exceeding the Total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Advances and no prepayment of any Advances shall be made on the Business Day immediately preceding (but not including) any Payment Date.</w:t>
      </w:r>
    </w:p>
    <w:p>
      <w:pPr>
        <w:spacing w:after="0" w:line="158"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Within such limits and subject to the other terms and conditions of this Agreement, the Borrower may borrow (and re-borrow) Advances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prepay Advances under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Advances</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57" w:lineRule="auto"/>
        <w:tabs>
          <w:tab w:leader="none" w:pos="115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 Borrower desires to make a Borrowing under this Agreement it shall give each Lender and the Facility Agent (with a copy to the Collateral Agent) a written notice (each, a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for such Borrowing (which notice shall be irrevocable and effective upon receipt by the Facility Agent) not later than 11:00 a.m. at least three Business Days prior to the day of the requested Borrowing or, in the case of the Borrowing that is to occur on the Closing Date, not later than 11:00 a.m. on the Closing Date (or, in each case, such lesser notice period that the Facility Agent deems acceptable in its sole discretion).</w:t>
      </w:r>
    </w:p>
    <w:p>
      <w:pPr>
        <w:spacing w:after="0" w:line="188"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Each Notice of Borrowing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dated the date the request for the related Borrowing is being made, signed by a Responsible Officer of the Borrower, and otherwise be appropriately completed. The proposed Borrowing Date specified in each Notice of Borrowing shall be a Business Day falling on or prior to the Commitment Termination Date, and the amount of the Borrowing requested in such Notice of Borrowing (the “</w:t>
      </w:r>
      <w:r>
        <w:rPr>
          <w:rFonts w:ascii="Arial" w:cs="Arial" w:eastAsia="Arial" w:hAnsi="Arial"/>
          <w:sz w:val="18"/>
          <w:szCs w:val="18"/>
          <w:u w:val="single" w:color="auto"/>
          <w:color w:val="auto"/>
        </w:rPr>
        <w:t>Requested Amount</w:t>
      </w:r>
      <w:r>
        <w:rPr>
          <w:rFonts w:ascii="Arial" w:cs="Arial" w:eastAsia="Arial" w:hAnsi="Arial"/>
          <w:sz w:val="18"/>
          <w:szCs w:val="18"/>
          <w:color w:val="auto"/>
        </w:rPr>
        <w:t>”) shall be equal to at least $1,000,000 or an integral multiple of $500,000 in excess thereof (or, if less, the remaining unfunded Commitments hereunder).</w:t>
      </w:r>
    </w:p>
    <w:p>
      <w:pPr>
        <w:spacing w:after="0" w:line="80" w:lineRule="exact"/>
        <w:rPr>
          <w:sz w:val="20"/>
          <w:szCs w:val="20"/>
          <w:color w:val="auto"/>
        </w:rPr>
      </w:pPr>
    </w:p>
    <w:p>
      <w:pPr>
        <w:ind w:right="40" w:firstLine="921"/>
        <w:spacing w:after="0" w:line="277" w:lineRule="auto"/>
        <w:tabs>
          <w:tab w:leader="none" w:pos="11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Lender shall not later than 2:00 p.m. on each Borrowing Date in respect of an Advance make its Percentage of the applicable Requested Amount available to the Borrower by disbursing such funds in Dollars to the Principal Collection Subaccount.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Evidence of Indebtedness; Notes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4" w:lineRule="auto"/>
        <w:tabs>
          <w:tab w:leader="none" w:pos="11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it and resulting from the Advances made by such Lender to the Borrower, from time to time, including the amounts of principal and interest thereon and paid to it, from time to time hereunder.</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Any Lender may request that its Commitment to the Borrower be evidenced by a Note. In such event, the Borrower shall promptly prepare, execute and deliver to such Lender a Note payable to such Lender and otherwise appropriately completed. Thereafter, the Advances of such Lender evidenced by such Note and interest thereon shall at all times (including after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186" w:name="page187"/>
    <w:bookmarkEnd w:id="186"/>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assignment pursuant to </w:t>
      </w:r>
      <w:r>
        <w:rPr>
          <w:rFonts w:ascii="Arial" w:cs="Arial" w:eastAsia="Arial" w:hAnsi="Arial"/>
          <w:sz w:val="18"/>
          <w:szCs w:val="18"/>
          <w:u w:val="single" w:color="auto"/>
          <w:color w:val="auto"/>
        </w:rPr>
        <w:t>Section 12.06(a)</w:t>
      </w:r>
      <w:r>
        <w:rPr>
          <w:rFonts w:ascii="Arial" w:cs="Arial" w:eastAsia="Arial" w:hAnsi="Arial"/>
          <w:sz w:val="18"/>
          <w:szCs w:val="18"/>
          <w:color w:val="auto"/>
        </w:rPr>
        <w:t xml:space="preserve">) be represented by a Note payable to such Lender (or registered assigns pursuant to </w:t>
      </w:r>
      <w:r>
        <w:rPr>
          <w:rFonts w:ascii="Arial" w:cs="Arial" w:eastAsia="Arial" w:hAnsi="Arial"/>
          <w:sz w:val="18"/>
          <w:szCs w:val="18"/>
          <w:u w:val="single" w:color="auto"/>
          <w:color w:val="auto"/>
        </w:rPr>
        <w:t>Section 12.06(a)</w:t>
      </w:r>
      <w:r>
        <w:rPr>
          <w:rFonts w:ascii="Arial" w:cs="Arial" w:eastAsia="Arial" w:hAnsi="Arial"/>
          <w:sz w:val="18"/>
          <w:szCs w:val="18"/>
          <w:color w:val="auto"/>
        </w:rPr>
        <w:t xml:space="preserve">), except to the extent that such Lender (or assignee) subsequently returns any such Note for cancellation and requests that such Advances once again be evidenced as described in clauses (a) and (b) of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Payment of Principal and Interest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 shall pay principal and interest on the Advances as follows:</w:t>
      </w:r>
    </w:p>
    <w:p>
      <w:pPr>
        <w:spacing w:after="0" w:line="117" w:lineRule="exact"/>
        <w:rPr>
          <w:sz w:val="20"/>
          <w:szCs w:val="20"/>
          <w:color w:val="auto"/>
        </w:rPr>
      </w:pPr>
    </w:p>
    <w:p>
      <w:pPr>
        <w:ind w:right="340" w:firstLine="921"/>
        <w:spacing w:after="0" w:line="277" w:lineRule="auto"/>
        <w:tabs>
          <w:tab w:leader="none" w:pos="115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100% of the outstanding principal amount of each Advance, together with all accrued and unpaid interest thereon, shall be payable on the Final Maturity Date.</w:t>
      </w:r>
    </w:p>
    <w:p>
      <w:pPr>
        <w:spacing w:after="0" w:line="62" w:lineRule="exact"/>
        <w:rPr>
          <w:rFonts w:ascii="Arial" w:cs="Arial" w:eastAsia="Arial" w:hAnsi="Arial"/>
          <w:sz w:val="18"/>
          <w:szCs w:val="18"/>
          <w:color w:val="auto"/>
        </w:rPr>
      </w:pPr>
    </w:p>
    <w:p>
      <w:pPr>
        <w:ind w:right="260" w:firstLine="921"/>
        <w:spacing w:after="0" w:line="277" w:lineRule="auto"/>
        <w:tabs>
          <w:tab w:leader="none" w:pos="116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Interest shall accrue on the unpaid principal amount of each Advance from the date of such Advance until such principal amount is paid in full, at the following rates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40" w:firstLine="881"/>
        <w:spacing w:after="0" w:line="277" w:lineRule="auto"/>
        <w:tabs>
          <w:tab w:leader="none" w:pos="1551"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xml:space="preserve">. While an Advance is a Base Rate Advance, a rate per annum equal to the sum of the Base Rate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Facility Margin Level.</w:t>
      </w:r>
    </w:p>
    <w:p>
      <w:pPr>
        <w:spacing w:after="0" w:line="62" w:lineRule="exact"/>
        <w:rPr>
          <w:rFonts w:ascii="Arial" w:cs="Arial" w:eastAsia="Arial" w:hAnsi="Arial"/>
          <w:sz w:val="18"/>
          <w:szCs w:val="18"/>
          <w:color w:val="auto"/>
        </w:rPr>
      </w:pPr>
    </w:p>
    <w:p>
      <w:pPr>
        <w:ind w:left="460" w:right="40" w:firstLine="881"/>
        <w:spacing w:after="0" w:line="277" w:lineRule="auto"/>
        <w:tabs>
          <w:tab w:leader="none" w:pos="1601"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Eurodollar Rate Advances</w:t>
      </w:r>
      <w:r>
        <w:rPr>
          <w:rFonts w:ascii="Arial" w:cs="Arial" w:eastAsia="Arial" w:hAnsi="Arial"/>
          <w:sz w:val="18"/>
          <w:szCs w:val="18"/>
          <w:color w:val="auto"/>
        </w:rPr>
        <w:t xml:space="preserve">. While an Advance is a Eurodollar Rate Advance, a rate per annum for each Interest Accrual Period for such Advance equal to the sum of LIBOR for such Interest Accrual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Facility Margin Level.</w:t>
      </w:r>
    </w:p>
    <w:p>
      <w:pPr>
        <w:spacing w:after="0" w:line="62" w:lineRule="exact"/>
        <w:rPr>
          <w:rFonts w:ascii="Arial" w:cs="Arial" w:eastAsia="Arial" w:hAnsi="Arial"/>
          <w:sz w:val="18"/>
          <w:szCs w:val="18"/>
          <w:color w:val="auto"/>
        </w:rPr>
      </w:pPr>
    </w:p>
    <w:p>
      <w:pPr>
        <w:ind w:left="460" w:right="220" w:firstLine="881"/>
        <w:spacing w:after="0" w:line="277" w:lineRule="auto"/>
        <w:tabs>
          <w:tab w:leader="none" w:pos="1651"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Cost of Funds Rate Advances</w:t>
      </w:r>
      <w:r>
        <w:rPr>
          <w:rFonts w:ascii="Arial" w:cs="Arial" w:eastAsia="Arial" w:hAnsi="Arial"/>
          <w:sz w:val="18"/>
          <w:szCs w:val="18"/>
          <w:color w:val="auto"/>
        </w:rPr>
        <w:t xml:space="preserve">. While an Advance is a Cost of Funds Rate Advance, a rate per annum equal to the sum of the Cost of Funds Rate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Facility Margin Level.</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All Advances shall constitute Cost of Funds Rate Advances or Eurodollar Rate Advances (subject to the conversion of Eurodollar Rate Advances to Base Rate Advances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the event the Borrower is no longer able to borrow Eurodollar Rate Advances as a result of the occurrence of any of the circumstances set forth in </w:t>
      </w:r>
      <w:r>
        <w:rPr>
          <w:rFonts w:ascii="Arial" w:cs="Arial" w:eastAsia="Arial" w:hAnsi="Arial"/>
          <w:sz w:val="17"/>
          <w:szCs w:val="17"/>
          <w:u w:val="single" w:color="auto"/>
          <w:color w:val="auto"/>
        </w:rPr>
        <w:t>Section 2.11</w:t>
      </w:r>
      <w:r>
        <w:rPr>
          <w:rFonts w:ascii="Arial" w:cs="Arial" w:eastAsia="Arial" w:hAnsi="Arial"/>
          <w:sz w:val="17"/>
          <w:szCs w:val="17"/>
          <w:color w:val="auto"/>
        </w:rPr>
        <w:t>, the Borrower may request Base Rate Advances hereunder until such time as Eurodollar Rate Advances are available and (ii) after the occurrence and during the continuation of any Event of Default, all Eurodollar Rate Advances and all Cost of Funds Rate Advances will be converted to Base Rate Advances at the end of the applicable Interest Accrual Period if so directed by the Facility Agent (at the direction of the Required Lenders). All Advances by CP Lenders shall constitute Cost of Fund Rate Advances, except if a CP Lender is a CP LIBOR Lender, in which case Advances by CP LIBOR Lenders shall constitute Eurodollar Rate Advances (subject to the conversion of Eurodollar Rate Advances to Base Rate Advances as described above).</w:t>
      </w:r>
    </w:p>
    <w:p>
      <w:pPr>
        <w:spacing w:after="0" w:line="17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Calculation Agent shall provide notice to the Facility Agent and the Lenders of any and all LIBOR rate sets on the date that any such rate set is determined.</w:t>
      </w:r>
    </w:p>
    <w:p>
      <w:pPr>
        <w:spacing w:after="0" w:line="62" w:lineRule="exact"/>
        <w:rPr>
          <w:sz w:val="20"/>
          <w:szCs w:val="20"/>
          <w:color w:val="auto"/>
        </w:rPr>
      </w:pPr>
    </w:p>
    <w:p>
      <w:pPr>
        <w:ind w:right="400" w:firstLine="921"/>
        <w:spacing w:after="0" w:line="277" w:lineRule="auto"/>
        <w:tabs>
          <w:tab w:leader="none" w:pos="115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Accrued interest on each Advance shall be payable in arrears (x) on each Payment Date, and (y) on each date of prepayment of principal thereof, on the principal amount so prepaid to but excluding the date of prepayment.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187" w:name="page188"/>
    <w:bookmarkEnd w:id="187"/>
    <w:p>
      <w:pPr>
        <w:ind w:left="-20" w:right="40" w:firstLine="921"/>
        <w:spacing w:after="0" w:line="279" w:lineRule="auto"/>
        <w:tabs>
          <w:tab w:leader="none" w:pos="1148" w:val="left"/>
        </w:tabs>
        <w:numPr>
          <w:ilvl w:val="0"/>
          <w:numId w:val="1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in all cases to </w:t>
      </w:r>
      <w:r>
        <w:rPr>
          <w:rFonts w:ascii="Arial" w:cs="Arial" w:eastAsia="Arial" w:hAnsi="Arial"/>
          <w:sz w:val="17"/>
          <w:szCs w:val="17"/>
          <w:u w:val="single" w:color="auto"/>
          <w:color w:val="auto"/>
        </w:rPr>
        <w:t>Section 2.04(f)</w:t>
      </w:r>
      <w:r>
        <w:rPr>
          <w:rFonts w:ascii="Arial" w:cs="Arial" w:eastAsia="Arial" w:hAnsi="Arial"/>
          <w:sz w:val="17"/>
          <w:szCs w:val="17"/>
          <w:color w:val="auto"/>
        </w:rPr>
        <w:t>,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Section 2.15), under any and all circumstances and irrespective of any setoff, counterclaim or defense to payment which the Borrower or any other Person may have or have had against any Secured Party or any other Person.</w:t>
      </w:r>
    </w:p>
    <w:p>
      <w:pPr>
        <w:spacing w:after="0" w:line="171" w:lineRule="exact"/>
        <w:rPr>
          <w:rFonts w:ascii="Arial" w:cs="Arial" w:eastAsia="Arial" w:hAnsi="Arial"/>
          <w:sz w:val="17"/>
          <w:szCs w:val="17"/>
          <w:color w:val="auto"/>
        </w:rPr>
      </w:pPr>
    </w:p>
    <w:p>
      <w:pPr>
        <w:ind w:left="-20" w:right="340" w:firstLine="921"/>
        <w:spacing w:after="0" w:line="297" w:lineRule="auto"/>
        <w:tabs>
          <w:tab w:leader="none" w:pos="113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As a condition to the payment of principal of and interest on any Advance without the imposition of withholding tax, each Agent and the Borrower may require certification acceptable to such Agent or the Borrower from any recipient to enable the Borrower and the Agents to determine their duties and liabilities with respect to any taxes or other charges that they may be required to deduct or withhold from payments in respect of such 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158" w:lineRule="exact"/>
        <w:rPr>
          <w:rFonts w:ascii="Arial" w:cs="Arial" w:eastAsia="Arial" w:hAnsi="Arial"/>
          <w:sz w:val="16"/>
          <w:szCs w:val="16"/>
          <w:color w:val="auto"/>
        </w:rPr>
      </w:pPr>
    </w:p>
    <w:p>
      <w:pPr>
        <w:ind w:left="-20" w:right="20" w:firstLine="921"/>
        <w:spacing w:after="0" w:line="287" w:lineRule="auto"/>
        <w:tabs>
          <w:tab w:leader="none" w:pos="111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obligations of the Borrower under this Agreement are limited recourse obligations of the Borrower only payable solely from the Collateral and, following realization of the Collateral, and application of the proceeds thereof in accordance with the Priority of Payments and, subject to Section 2.12,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(any “</w:t>
      </w:r>
      <w:r>
        <w:rPr>
          <w:rFonts w:ascii="Arial" w:cs="Arial" w:eastAsia="Arial" w:hAnsi="Arial"/>
          <w:sz w:val="16"/>
          <w:szCs w:val="16"/>
          <w:u w:val="single" w:color="auto"/>
          <w:color w:val="auto"/>
        </w:rPr>
        <w:t>Related Person</w:t>
      </w:r>
      <w:r>
        <w:rPr>
          <w:rFonts w:ascii="Arial" w:cs="Arial" w:eastAsia="Arial" w:hAnsi="Arial"/>
          <w:sz w:val="16"/>
          <w:szCs w:val="16"/>
          <w:color w:val="auto"/>
        </w:rPr>
        <w:t>”) for any amounts payable under this Agreement. It is understood that the foregoing provisions of this clause (f) shall not (i) prevent recourse to (x) the Collateral for the sums due or to become due under any security, instrument or agreement which is part of the Collateral or (y) any Affiliate of the Borrower under any Facility Document to which they are party thereto or (ii) constitute a waiver, release or discharge of any indebtedness or obligation evidenced by this Agreement until such Collateral has been realized. It is further understood that the foregoing provisions of this clause (f)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any such Related Person.</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Prepayment of Advances</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55" w:lineRule="auto"/>
        <w:tabs>
          <w:tab w:leader="none" w:pos="1137"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from time to time on any Business Day, voluntarily prepay the Advances in whole or in part, without penalty or premium; provided that the Borrower shall have delivered to the Lenders and the Facility Agent written notice of such prepayment (such notice, a “</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not later than 12:00 noon on the Business Day that is (i) in the case of Eurodollar Rate Advances and Cost of Funds Rate Advances, three Business Days prior to the date of such prepayment, and (ii) in the case of Base Rate Advances, one Business Day prior to the date of such prepayment. Each such Notice of Prepayment shall be irrevocable and effective upon receipt and shall be dated the date such notice is being given, signed by a Responsible Officer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60" w:top="274" w:right="239" w:bottom="1440" w:gutter="0" w:footer="0" w:header="0"/>
        </w:sectPr>
      </w:pPr>
    </w:p>
    <w:bookmarkStart w:id="188" w:name="page189"/>
    <w:bookmarkEnd w:id="18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and otherwise appropriately completed. Each prepayment of any Advance by the Borrower pursuant to this Section 2.05(a) shall in each case be in a principal amount of at least $1,000,000 or a whole multiple of $500,000 in excess thereof or, if less, the entire outstanding principal amount of the Advances of the Borrower. If a Notice of Prepayment is given by the Borrower, the Borrower shall make such prepayment and the payment amount specified in such notice shall be due and payable on the date specified therein.</w:t>
      </w:r>
    </w:p>
    <w:p>
      <w:pPr>
        <w:spacing w:after="0" w:line="187" w:lineRule="exact"/>
        <w:rPr>
          <w:sz w:val="20"/>
          <w:szCs w:val="20"/>
          <w:color w:val="auto"/>
        </w:rPr>
      </w:pPr>
    </w:p>
    <w:p>
      <w:pPr>
        <w:ind w:right="80" w:firstLine="921"/>
        <w:spacing w:after="0" w:line="293" w:lineRule="auto"/>
        <w:tabs>
          <w:tab w:leader="none" w:pos="1168"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Mandatory Prepayments</w:t>
      </w:r>
      <w:r>
        <w:rPr>
          <w:rFonts w:ascii="Arial" w:cs="Arial" w:eastAsia="Arial" w:hAnsi="Arial"/>
          <w:sz w:val="16"/>
          <w:szCs w:val="16"/>
          <w:color w:val="auto"/>
        </w:rPr>
        <w:t>. The Borrower shall prepay the Advances and make deposits in the Revolving Reserve Account on each Payment Date in the manner and to the extent provided in the Priority of Payments. The Borrower shall provide, in each Payment Date Report, notice of the aggregate amounts of Advances that are to be prepaid on the related Payment Date and amounts to be deposited in the Revolving Reserve Account in accordance with the Priority of Payments. In connection with such prepayment and deposit to be made in the Revolving Reserve Account on any Payment Date in an amount necessary to result in the satisfaction of the Coverage Tests, the corresponding Commitment as of such date shall be terminated in an amount equal to the lesser of (i) the amount so deposited in the Revolving Reserve Account at such Payment Date, and (ii) the Total Commitment as in effect on such date.</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Additional Prepayment Provisions</w:t>
      </w:r>
      <w:r>
        <w:rPr>
          <w:rFonts w:ascii="Arial" w:cs="Arial" w:eastAsia="Arial" w:hAnsi="Arial"/>
          <w:sz w:val="17"/>
          <w:szCs w:val="17"/>
          <w:color w:val="auto"/>
        </w:rPr>
        <w:t xml:space="preserve">. Each prepayment pursuant to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shall be (i) subject to </w:t>
      </w:r>
      <w:r>
        <w:rPr>
          <w:rFonts w:ascii="Arial" w:cs="Arial" w:eastAsia="Arial" w:hAnsi="Arial"/>
          <w:sz w:val="17"/>
          <w:szCs w:val="17"/>
          <w:u w:val="single" w:color="auto"/>
          <w:color w:val="auto"/>
        </w:rPr>
        <w:t>Sections 2.04(c)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applied to the Advances of the Lenders in accordance with their respective Percentages.</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Reductions in Commitments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312" w:lineRule="auto"/>
        <w:tabs>
          <w:tab w:leader="none" w:pos="1157"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Automatic Reduction and Termination</w:t>
      </w:r>
      <w:r>
        <w:rPr>
          <w:rFonts w:ascii="Arial" w:cs="Arial" w:eastAsia="Arial" w:hAnsi="Arial"/>
          <w:sz w:val="16"/>
          <w:szCs w:val="16"/>
          <w:color w:val="auto"/>
        </w:rPr>
        <w:t xml:space="preserve">. The Total Commitment (and the Commitment of each Lender) shall be automatically reduced to zero at the close of business on the Commitment Termination Date. The Borrower shall not terminate or reduce the Total Commitment (including, without limitation, pursuant to </w:t>
      </w:r>
      <w:r>
        <w:rPr>
          <w:rFonts w:ascii="Arial" w:cs="Arial" w:eastAsia="Arial" w:hAnsi="Arial"/>
          <w:sz w:val="16"/>
          <w:szCs w:val="16"/>
          <w:u w:val="single" w:color="auto"/>
          <w:color w:val="auto"/>
        </w:rPr>
        <w:t>Section 2.05(b)</w:t>
      </w:r>
      <w:r>
        <w:rPr>
          <w:rFonts w:ascii="Arial" w:cs="Arial" w:eastAsia="Arial" w:hAnsi="Arial"/>
          <w:sz w:val="16"/>
          <w:szCs w:val="16"/>
          <w:color w:val="auto"/>
        </w:rPr>
        <w:t>) if, to the extent that after giving effect to such reduction or termination, a Commitment Shortfall shall exist.</w:t>
      </w:r>
    </w:p>
    <w:p>
      <w:pPr>
        <w:spacing w:after="0" w:line="146" w:lineRule="exact"/>
        <w:rPr>
          <w:rFonts w:ascii="Arial" w:cs="Arial" w:eastAsia="Arial" w:hAnsi="Arial"/>
          <w:sz w:val="16"/>
          <w:szCs w:val="16"/>
          <w:color w:val="auto"/>
        </w:rPr>
      </w:pPr>
    </w:p>
    <w:p>
      <w:pPr>
        <w:ind w:right="20" w:firstLine="921"/>
        <w:spacing w:after="0" w:line="276" w:lineRule="auto"/>
        <w:tabs>
          <w:tab w:leader="none" w:pos="1168"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Optional Termination in Whole</w:t>
      </w:r>
      <w:r>
        <w:rPr>
          <w:rFonts w:ascii="Arial" w:cs="Arial" w:eastAsia="Arial" w:hAnsi="Arial"/>
          <w:sz w:val="17"/>
          <w:szCs w:val="17"/>
          <w:color w:val="auto"/>
        </w:rPr>
        <w:t xml:space="preserve">. Prior to the Commitment Termination Date, the Borrower shall have the right at any time to terminate the Commitments in their entirety upon not less than 5 Business Days’ prior notice to the Lenders and the Facility Agent of any such termination, which notice shall specify the effective date of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amounts due under this Agreement and the other Facility Documents are satisfied in full, including without limitation all principal, interest, Commitment Fees and Administrative Expenses. Such notice of termination shall be irrevocable and effective only upon receipt and shall terminate and cancel the Commitments of each Lender on the date specified in such notice.</w:t>
      </w:r>
    </w:p>
    <w:p>
      <w:pPr>
        <w:spacing w:after="0" w:line="172" w:lineRule="exact"/>
        <w:rPr>
          <w:rFonts w:ascii="Arial" w:cs="Arial" w:eastAsia="Arial" w:hAnsi="Arial"/>
          <w:sz w:val="17"/>
          <w:szCs w:val="17"/>
          <w:color w:val="auto"/>
        </w:rPr>
      </w:pPr>
    </w:p>
    <w:p>
      <w:pPr>
        <w:ind w:right="40" w:firstLine="921"/>
        <w:spacing w:after="0" w:line="257" w:lineRule="auto"/>
        <w:tabs>
          <w:tab w:leader="none" w:pos="1157"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Optional Reductions in Part</w:t>
      </w:r>
      <w:r>
        <w:rPr>
          <w:rFonts w:ascii="Arial" w:cs="Arial" w:eastAsia="Arial" w:hAnsi="Arial"/>
          <w:sz w:val="18"/>
          <w:szCs w:val="18"/>
          <w:color w:val="auto"/>
        </w:rPr>
        <w:t xml:space="preserve">. Prior to the Commitment Termination Date, the Borrower shall have the right at any time to reduce permanently in an aggregate amount of at least $10,000,000 the unused amount of the Total Commitment upon not less than 5 Business Days’ prior notice to the Lenders and the Facility Agent of any such reduction, which notice shall specify the effective date of such reduction and the amount of any such reduction,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reduction will reduce the Total Commitments below the aggregate principal amount of Advances at such time. Such notice of reduction shall be irrevocable.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189" w:name="page190"/>
    <w:bookmarkEnd w:id="189"/>
    <w:p>
      <w:pPr>
        <w:ind w:right="260" w:firstLine="921"/>
        <w:spacing w:after="0" w:line="264" w:lineRule="auto"/>
        <w:tabs>
          <w:tab w:leader="none" w:pos="116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of Termination or Reduction</w:t>
      </w:r>
      <w:r>
        <w:rPr>
          <w:rFonts w:ascii="Arial" w:cs="Arial" w:eastAsia="Arial" w:hAnsi="Arial"/>
          <w:sz w:val="18"/>
          <w:szCs w:val="18"/>
          <w:color w:val="auto"/>
        </w:rPr>
        <w:t xml:space="preserve">. The Total Commitment (and the Commitment of each Lender) once terminated or reduced may not be reinstated. Each reduction of the Total Commitment pursuant to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be applied ratably among the Lenders in accordance with their respective Commitments.</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Maximum Lawful Rate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It is the intention of the parties hereto that the interest on the Advances shall not exceed the maximum rate permissible under Applicable Law. Accordingly, anything herein or in any Note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Several Obligations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failure of any Lender to make any Advance to be made by it on the date specified therefor shall not relieve 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If, due to either (i) the introduction of or any change in or in the interpretation, application or implementation of any Applicable Law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Change</w:t>
      </w:r>
      <w:r>
        <w:rPr>
          <w:rFonts w:ascii="Arial" w:cs="Arial" w:eastAsia="Arial" w:hAnsi="Arial"/>
          <w:sz w:val="16"/>
          <w:szCs w:val="16"/>
          <w:color w:val="auto"/>
        </w:rPr>
        <w:t>”) after the Original Closing Date, or (ii) the compliance with any guideline or change in the interpretation, application or implementation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guideline or request from any central bank or other Authority (whether or not having the force of law) after the Original Closing Date, there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increase in the cost to any Affected Person, (A) other than with respect to Taxes, of agreeing to make or making, funding or maintaining Advances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 (B) as a result of Taxes (other than (I) Indemnified Taxes, (II) Taxes described in clause (ii) through (vi) of the definition of Excluded Taxes and</w:t>
      </w:r>
    </w:p>
    <w:p>
      <w:pPr>
        <w:spacing w:after="0" w:line="32" w:lineRule="exact"/>
        <w:rPr>
          <w:sz w:val="20"/>
          <w:szCs w:val="20"/>
          <w:color w:val="auto"/>
        </w:rPr>
      </w:pPr>
    </w:p>
    <w:p>
      <w:pPr>
        <w:ind w:right="40" w:firstLine="8"/>
        <w:spacing w:after="0" w:line="268" w:lineRule="auto"/>
        <w:tabs>
          <w:tab w:leader="none" w:pos="34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Connection Taxes) on Advances, Notes or Commitments, or reserves, other liabilities or capital attributable thereto or (C) other than Excluded Risk Retention Increased Costs, then the Borrower shall from time to time, on the Payment Dates (but subject in all cases to </w:t>
      </w:r>
      <w:r>
        <w:rPr>
          <w:rFonts w:ascii="Arial" w:cs="Arial" w:eastAsia="Arial" w:hAnsi="Arial"/>
          <w:sz w:val="17"/>
          <w:szCs w:val="17"/>
          <w:u w:val="single" w:color="auto"/>
          <w:color w:val="auto"/>
        </w:rPr>
        <w:t>Section 2.04(f)</w:t>
      </w:r>
      <w:r>
        <w:rPr>
          <w:rFonts w:ascii="Arial" w:cs="Arial" w:eastAsia="Arial" w:hAnsi="Arial"/>
          <w:sz w:val="17"/>
          <w:szCs w:val="17"/>
          <w:color w:val="auto"/>
        </w:rPr>
        <w:t>), following such Affected Person’s demand, pay in accordance with the Priority of Payments to such Affected Person such additional amounts as may be sufficient to compensate such Affected Person for such increased cost. A certificate setting forth in reasonable detail the amount of such increased cost, submitted to the Borrower by an Affected Person (with a copy to the Agents and DBRS), shall be conclusive and binding for all purposes, absent manifest error. Notwithstanding anything herein to the contrary, each of (i) the Dodd–Frank Wall Street Reform and Consumer Protection Act and all rules and regulations promulgated thereunder or issued in connection therewith (the “</w:t>
      </w:r>
      <w:r>
        <w:rPr>
          <w:rFonts w:ascii="Arial" w:cs="Arial" w:eastAsia="Arial" w:hAnsi="Arial"/>
          <w:sz w:val="17"/>
          <w:szCs w:val="17"/>
          <w:u w:val="single" w:color="auto"/>
          <w:color w:val="auto"/>
        </w:rPr>
        <w:t>Dodd-Frank Act</w:t>
      </w:r>
      <w:r>
        <w:rPr>
          <w:rFonts w:ascii="Arial" w:cs="Arial" w:eastAsia="Arial" w:hAnsi="Arial"/>
          <w:sz w:val="17"/>
          <w:szCs w:val="17"/>
          <w:color w:val="auto"/>
        </w:rPr>
        <w:t>”), (ii) the Retention Requirement Laws, (iii) any law, request, rule, guideline or directive promulgated by the Bank of International Settlements, the Basel Committee on Banking Supervision (or 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190" w:name="page191"/>
    <w:bookmarkEnd w:id="190"/>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 or similar authority) or the United States or foreign regulatory authorities, in each case pursuant to Basel III (“</w:t>
      </w:r>
      <w:r>
        <w:rPr>
          <w:rFonts w:ascii="Arial" w:cs="Arial" w:eastAsia="Arial" w:hAnsi="Arial"/>
          <w:sz w:val="17"/>
          <w:szCs w:val="17"/>
          <w:u w:val="single" w:color="auto"/>
          <w:color w:val="auto"/>
        </w:rPr>
        <w:t>Basel III</w:t>
      </w:r>
      <w:r>
        <w:rPr>
          <w:rFonts w:ascii="Arial" w:cs="Arial" w:eastAsia="Arial" w:hAnsi="Arial"/>
          <w:sz w:val="17"/>
          <w:szCs w:val="17"/>
          <w:color w:val="auto"/>
        </w:rPr>
        <w:t>”), and (iv) any existing or future rules, regulations, guidance, interpretations or directives from the U.S. bank regulatory agencies relating to the Dodd-Frank Act, Basel III or the Retention Requirement Laws (whether or not having the force of law), and all rules and regulations promulgated thereunder or issued in connection therewith shall in each case be deemed to have been introduced after the Original Closing Date, thereby constituting a Regulatory Change hereunder with respect to the Affected Parties as of the Original Closing Date, regardless of the date enacted, adopted or issued.</w:t>
      </w:r>
    </w:p>
    <w:p>
      <w:pPr>
        <w:spacing w:after="0" w:line="173" w:lineRule="exact"/>
        <w:rPr>
          <w:sz w:val="20"/>
          <w:szCs w:val="20"/>
          <w:color w:val="auto"/>
        </w:rPr>
      </w:pPr>
    </w:p>
    <w:p>
      <w:pPr>
        <w:ind w:firstLine="921"/>
        <w:spacing w:after="0" w:line="285" w:lineRule="auto"/>
        <w:tabs>
          <w:tab w:leader="none" w:pos="116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If an Affected Person determines that (i) the applicability of any law, rule, regulation or guideline adopted after the Original Closing Date pursuant to or arising out of Basel III or (ii) the adoption after the Original Closing Date of any other law, rule, regulation or guideline regarding capital adequacy affecting such Affected Person or any holding company for such Affected Person or (iii) compliance, implementation or application, whether commenced prior to or after the Original Closing Date, by any Affected Person with the Dodd-Frank Act, Basel III, the Retention Requirement Laws or any rules, regulations, guidance, interpretations or directives from bank regulatory agencies promulgated in connection therewith or (iv) any change arising after the Original Closing Date in the foregoing or in the interpretation or administration of any of the foregoing by any governmental Authority, central bank or comparable agency charged with the interpretation or administration thereof, or (v) compliance by any Affected Person (or any lending office of such Affected Person), or any holding company for such Affected Person which is subject to any of the capital requirements described above, with any request or directive issued after the Original Closing Date regarding capital adequacy (whether or not having the force of law) of any such authority, central bank or comparable agency, (A) affects the amount of capital required to be maintained by such Affected Person and that the amount of such capital is increased by or based upon the existence of such Affected Person’s Commitment under this Agreement or upon such Affected Person’s making, funding or maintaining Advances or (B) reduces the rate of return of an Affected Person to a level below that which such Affected Person could have achieved but for such compliance (taking into consideration such Affected Person’s policies with respect to capital adequacy), then the Borrower shall from time to time, on the Payment Dates (but subject in all cases to Section 2.04(f)), following such Affected Person’s demand, pay in accordance with the Priority of Payments such additional amounts which are sufficient to compensate such Affected Person for such increase in capital or reduced return (other than in respect of Excluded Risk Retention Increased Costs). If any Affected Person becomes entitled to claim any additional amounts pursuant to this </w:t>
      </w:r>
      <w:r>
        <w:rPr>
          <w:rFonts w:ascii="Arial" w:cs="Arial" w:eastAsia="Arial" w:hAnsi="Arial"/>
          <w:sz w:val="16"/>
          <w:szCs w:val="16"/>
          <w:u w:val="single" w:color="auto"/>
          <w:color w:val="auto"/>
        </w:rPr>
        <w:t>Section 2.09(b)</w:t>
      </w:r>
      <w:r>
        <w:rPr>
          <w:rFonts w:ascii="Arial" w:cs="Arial" w:eastAsia="Arial" w:hAnsi="Arial"/>
          <w:sz w:val="16"/>
          <w:szCs w:val="16"/>
          <w:color w:val="auto"/>
        </w:rPr>
        <w:t>, it shall promptly notify the Borrower (with a copy to the Agents and DBRS) of the event by reason of which it has become so entitled. A certificate setting forth in reasonable detail such amounts submitted to the Borrower by an Affected Person shall be conclusive and binding for all purposes, absent manifest error.</w:t>
      </w:r>
    </w:p>
    <w:p>
      <w:pPr>
        <w:spacing w:after="0" w:line="173"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Upon the occurrence of any event giving rise to the Borrower’s obligation to pay additional amounts to a Lender pursuant to clauses (a) or (b) of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such Lender will, if requested by the Borrower, use reasonable efforts to designate a different lending office if, in the judgment of such Lender, such designation would reduce or obviate the obligations of the Borrower to make future payments of such additional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such terms that such Lender and its lending office suffer no unreimbursed cost or legal or regulatory disadvantage (as reasonably determined by such Lender), with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191" w:name="page192"/>
    <w:bookmarkEnd w:id="191"/>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object of avoiding future consequence of the event giving rise to the operation of any such provision. Notwithstanding anything to the contrary in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the Borrower shall not be required to compensate a Lender pursuant to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for any amounts incurred more than nine months prior to the date that such Lender notifies the Borrower of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circumstances giving rise to such claim have a retroactive effect, then such nine-month period shall be extended to include the period of such retroactive effect.</w:t>
      </w:r>
    </w:p>
    <w:p>
      <w:pPr>
        <w:spacing w:after="0" w:line="154"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Notwithstanding the foregoing, if the Borrower is otherwise in compliance with its covenants and representations in this Agreement with respect to the Retention Requirement Laws, and the reason for the increased cost incurred by an Affected Party pursuant to this Section 2.09 is the negligence or willful failure of such Affected Party or an Affiliate thereof to comply with the Retention Requirement Laws, the Borrower shall not be obligated to compensate such Affected Party for such increased costs.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Compensation; Breakage Payments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The Borrower agrees to compensate each Affected Person from time to time, on the Payment Dates,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by the Borrower to make or carry a Eurodollar Rate Advance or a Cost of Funds Rate Advance made to the Borrower and any loss sustained by such Affected Person in connection with the re-employment of such funds but excluding loss of anticipated profits or margin), which such Affected Person may sustain: (i) if for any reason (including any failure of a condition precedent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but excluding a default by the applicable Lender) a Borrowing of any Eurodollar Rate Advance or Cost of Funds Rate Advance by the Borrower does not occur on the Borrowing Date specified therefor in the applicable Notice of Borrowing delivered by the Borrower, (ii) if any payment, prepayment or conversion of any of the Borrower’s Eurodollar Rate Advances occurs on a date that is not the last day of the relevant Interest Accrual Period, (iii) if any payment or prepayment of any Eurodollar Rate Advance or Cost of Funds Rate Advance is not made on any date specified in a Notice of Prepayment given by the Borrower, (iv) if any Eurodollar Rate Advance is converted into a Base Rate Advance on a date other than the last day of the Interest Accrual Period therefor or (v) as a consequence of any other default by the Borrower to repay its Eurodollar Rate Advances or Cost of Funds Rate Advances when required by the terms of this Agreement. A certificate as to any amounts payable pursuant to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submitted to the Borrower by any Lender (with a copy to the Agents and DBRS, and accompanied by a reasonably detailed calculation of such amounts and a description of the basis for requesting such amounts) shall be conclusive in the absence of manifest error.</w:t>
      </w:r>
    </w:p>
    <w:p>
      <w:pPr>
        <w:spacing w:after="0" w:line="17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Illegality; Inability to Determine Rates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64" w:lineRule="auto"/>
        <w:tabs>
          <w:tab w:leader="none" w:pos="115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in the event that it becomes unlawful for a Lender to (i) honor its obligation to make Eurodollar Rate Advances hereunder, or (ii) maintain Eurodollar Rate Advances hereunder, then such Lender shall promptly notify the Agents and the Borrower thereof (with a copy to DBRS), and such Lender’s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74" w:right="279" w:bottom="1440" w:gutter="0" w:footer="0" w:header="0"/>
        </w:sectPr>
      </w:pPr>
    </w:p>
    <w:bookmarkStart w:id="192" w:name="page193"/>
    <w:bookmarkEnd w:id="192"/>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 to make or maintain Eurodollar Rate Advances hereunder shall be suspended until such time as such Lender may again make and maintain Eurodollar Rate Advances, and such Lender’s outstanding Eurodollar Rate Advances shall be automatically converted into Base Rate Advances on the date that such Lender shall specify to the Agents and the Borrower.</w:t>
      </w:r>
    </w:p>
    <w:p>
      <w:pPr>
        <w:spacing w:after="0" w:line="181" w:lineRule="exact"/>
        <w:rPr>
          <w:sz w:val="20"/>
          <w:szCs w:val="20"/>
          <w:color w:val="auto"/>
        </w:rPr>
      </w:pPr>
    </w:p>
    <w:p>
      <w:pPr>
        <w:ind w:firstLine="921"/>
        <w:spacing w:after="0" w:line="297" w:lineRule="auto"/>
        <w:tabs>
          <w:tab w:leader="none" w:pos="116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Upon the occurrence of any event giving rise to a Lender’s suspending its obligation to make or maintain Eurodollar Rate Advances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such Lender will, if requested by the Borrower, use reasonable efforts (subject to overall policy considerations of such Lender) to designate a different lending office if such designation would enable such Lender to again make and maintain Eurodollar Rate Advances;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58" w:lineRule="exact"/>
        <w:rPr>
          <w:rFonts w:ascii="Arial" w:cs="Arial" w:eastAsia="Arial" w:hAnsi="Arial"/>
          <w:sz w:val="16"/>
          <w:szCs w:val="16"/>
          <w:color w:val="auto"/>
        </w:rPr>
      </w:pPr>
    </w:p>
    <w:p>
      <w:pPr>
        <w:ind w:firstLine="921"/>
        <w:spacing w:after="0" w:line="255" w:lineRule="auto"/>
        <w:tabs>
          <w:tab w:leader="none" w:pos="115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prior to the first day of any Interest Accrual Period, either (i) the Calculation Agent determines that for any reason adequate and reasonable means do not exist for determining LIBOR for such Interest Accrual Period for any Eurodollar Rate Advances, or (ii) the Facility Agent determines and notifies the Calculation Agent that the Eurodollar Rate with respect to such Interest Accrual Period for any Eurodollar Rate Advances does not adequately and fairly reflect the cost to such Lenders of funding such Eurodollar Rate Advances, the Calculation Agent will promptly so notify the Borrower, the Agents, each Lender and DBRS. Thereafter, the obligation of the Lenders to make or maintain Eurodollar Rate Advances shall be suspended until the Facility Agent revokes such notice, and all outstanding Eurodollar Rate Advances shall be converted into Base Rate Advances on the date that the Facility Agent shall specify to the Borrower.</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Rescission or Return of Payment</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97" w:lineRule="auto"/>
        <w:rPr>
          <w:sz w:val="20"/>
          <w:szCs w:val="20"/>
          <w:color w:val="auto"/>
        </w:rPr>
      </w:pPr>
      <w:r>
        <w:rPr>
          <w:rFonts w:ascii="Arial" w:cs="Arial" w:eastAsia="Arial" w:hAnsi="Arial"/>
          <w:sz w:val="16"/>
          <w:szCs w:val="16"/>
          <w:color w:val="auto"/>
        </w:rPr>
        <w:t>The Borrower agrees that, if at any time (including after the occurrence 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 be, as to such obligations, all as though such payment had not been made.</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Fees Payable by Borrower</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312" w:lineRule="auto"/>
        <w:tabs>
          <w:tab w:leader="none" w:pos="115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Borrower hereby agrees to pay to each Lender, other than a Defaulting Lender, a commitment fee (a “</w:t>
      </w:r>
      <w:r>
        <w:rPr>
          <w:rFonts w:ascii="Arial" w:cs="Arial" w:eastAsia="Arial" w:hAnsi="Arial"/>
          <w:sz w:val="16"/>
          <w:szCs w:val="16"/>
          <w:u w:val="single" w:color="auto"/>
          <w:color w:val="auto"/>
        </w:rPr>
        <w:t>Commitment Fee</w:t>
      </w:r>
      <w:r>
        <w:rPr>
          <w:rFonts w:ascii="Arial" w:cs="Arial" w:eastAsia="Arial" w:hAnsi="Arial"/>
          <w:sz w:val="16"/>
          <w:szCs w:val="16"/>
          <w:color w:val="auto"/>
        </w:rPr>
        <w:t>”) on the daily average unused amount of the Commitment of such Lender, for each day during the period from the date hereof until the Commitment Termination Date, at a rate equal to 0.75% per annum. Commitment Fees accrued during each Collection Period shall be payable on the related Payment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193" w:name="page194"/>
    <w:bookmarkEnd w:id="193"/>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All payments by or on behalf of the Borrower under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made in accordance with the Priority of Payments.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Post-Default Interest</w:t>
      </w:r>
      <w:r>
        <w:rPr>
          <w:rFonts w:ascii="Arial" w:cs="Arial" w:eastAsia="Arial" w:hAnsi="Arial"/>
          <w:sz w:val="18"/>
          <w:szCs w:val="18"/>
          <w:color w:val="auto"/>
        </w:rPr>
        <w:t>.</w:t>
      </w:r>
    </w:p>
    <w:p>
      <w:pPr>
        <w:spacing w:after="0" w:line="11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 Borrower shall pay interest on all Obligations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Payments Generally</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97" w:lineRule="auto"/>
        <w:tabs>
          <w:tab w:leader="none" w:pos="115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All amounts owing and payable to any Secured Party, any Affected Person or any Indemnified Party, in respect of the Advances and other Obligations, including the principal thereof, interest, fees, indemnities, expenses or other amounts payable under this Agreement, shall be paid by the Borrower (through the Collateral Agent) to the applicable recipient in Dollars, in immediately available funds, in accordance with the Priority of Payments, and all without counterclaim, setoff, deduction, defense, abatement, suspension or deferment. Each Lender shall provide wire instructions to the Borrower and the Collateral Agent. Payments received after 1:00 p.m. on a Business Day will be deemed to have been paid on the next following Business Day.</w:t>
      </w:r>
    </w:p>
    <w:p>
      <w:pPr>
        <w:spacing w:after="0" w:line="158" w:lineRule="exact"/>
        <w:rPr>
          <w:rFonts w:ascii="Arial" w:cs="Arial" w:eastAsia="Arial" w:hAnsi="Arial"/>
          <w:sz w:val="16"/>
          <w:szCs w:val="16"/>
          <w:color w:val="auto"/>
        </w:rPr>
      </w:pPr>
    </w:p>
    <w:p>
      <w:pPr>
        <w:ind w:left="1180" w:hanging="259"/>
        <w:spacing w:after="0"/>
        <w:tabs>
          <w:tab w:leader="none" w:pos="11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Except as otherwise expressly provided herein, all computations of interest, fees and other Obligations shall be made on the basis of a year</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 xml:space="preserve">of 360 days for the actual number of days elapsed in computing interest on any Advance, the date of the making of an Advance shall be included and the date of payment shall be excluded;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 Advance is repaid on the same day on which it is made, one day’s interest shall be paid on such Advance. All computations made by the Calculation Agent or the Facility Agent under this Agreement shall be conclusive absent manifest error.</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Lenders Not Satisfying the Rating Criteria</w:t>
      </w:r>
      <w:r>
        <w:rPr>
          <w:rFonts w:ascii="Arial" w:cs="Arial" w:eastAsia="Arial" w:hAnsi="Arial"/>
          <w:sz w:val="18"/>
          <w:szCs w:val="18"/>
          <w:color w:val="auto"/>
        </w:rPr>
        <w:t>.</w:t>
      </w:r>
    </w:p>
    <w:p>
      <w:pPr>
        <w:spacing w:after="0" w:line="117" w:lineRule="exact"/>
        <w:rPr>
          <w:sz w:val="20"/>
          <w:szCs w:val="20"/>
          <w:color w:val="auto"/>
        </w:rPr>
      </w:pPr>
    </w:p>
    <w:p>
      <w:pPr>
        <w:ind w:right="420" w:firstLine="913"/>
        <w:spacing w:after="0" w:line="293" w:lineRule="auto"/>
        <w:rPr>
          <w:sz w:val="20"/>
          <w:szCs w:val="20"/>
          <w:color w:val="auto"/>
        </w:rPr>
      </w:pPr>
      <w:r>
        <w:rPr>
          <w:rFonts w:ascii="Arial" w:cs="Arial" w:eastAsia="Arial" w:hAnsi="Arial"/>
          <w:sz w:val="16"/>
          <w:szCs w:val="16"/>
          <w:color w:val="auto"/>
        </w:rPr>
        <w:t xml:space="preserve">If and for so long as any Lender fails to satisfy the Rating Criteria, such Lender may deposit, in accordance with </w:t>
      </w:r>
      <w:r>
        <w:rPr>
          <w:rFonts w:ascii="Arial" w:cs="Arial" w:eastAsia="Arial" w:hAnsi="Arial"/>
          <w:sz w:val="16"/>
          <w:szCs w:val="16"/>
          <w:u w:val="single" w:color="auto"/>
          <w:color w:val="auto"/>
        </w:rPr>
        <w:t>Section 8.03(c)</w:t>
      </w:r>
      <w:r>
        <w:rPr>
          <w:rFonts w:ascii="Arial" w:cs="Arial" w:eastAsia="Arial" w:hAnsi="Arial"/>
          <w:sz w:val="16"/>
          <w:szCs w:val="16"/>
          <w:color w:val="auto"/>
        </w:rPr>
        <w:t xml:space="preserve">, an amount equal to such Lender’s undrawn Commitment at such time in the appropriate Lender Funding Subaccount, and all principal payments in respect of the Advances which would otherwise be made to such Lender shall be diverted to the appropriate Lender Funding Subaccount, in accordance with </w:t>
      </w:r>
      <w:r>
        <w:rPr>
          <w:rFonts w:ascii="Arial" w:cs="Arial" w:eastAsia="Arial" w:hAnsi="Arial"/>
          <w:sz w:val="16"/>
          <w:szCs w:val="16"/>
          <w:u w:val="single" w:color="auto"/>
          <w:color w:val="auto"/>
        </w:rPr>
        <w:t>Section 8.03(c)</w:t>
      </w:r>
      <w:r>
        <w:rPr>
          <w:rFonts w:ascii="Arial" w:cs="Arial" w:eastAsia="Arial" w:hAnsi="Arial"/>
          <w:sz w:val="16"/>
          <w:szCs w:val="16"/>
          <w:color w:val="auto"/>
        </w:rPr>
        <w:t>, and any amounts in such Lender Funding Subaccount shall be applied to any future funding obligations of such Lender. If, within 20 Business Days after the date as of which any Lender has ceased to satisfy the Rating Criteria, such Lender has not deposited an amount equal to such Lender’s undrawn Commitment in the appropriate Lender Funding Subaccount, the Facility Agent will provide written notice thereof to DBRS.</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Applicable Row Level</w:t>
      </w:r>
      <w:r>
        <w:rPr>
          <w:rFonts w:ascii="Arial" w:cs="Arial" w:eastAsia="Arial" w:hAnsi="Arial"/>
          <w:sz w:val="18"/>
          <w:szCs w:val="18"/>
          <w:color w:val="auto"/>
        </w:rPr>
        <w:t>.</w:t>
      </w:r>
    </w:p>
    <w:p>
      <w:pPr>
        <w:spacing w:after="0" w:line="117" w:lineRule="exact"/>
        <w:rPr>
          <w:sz w:val="20"/>
          <w:szCs w:val="20"/>
          <w:color w:val="auto"/>
        </w:rPr>
      </w:pPr>
    </w:p>
    <w:p>
      <w:pPr>
        <w:ind w:right="120" w:firstLine="921"/>
        <w:spacing w:after="0" w:line="277" w:lineRule="auto"/>
        <w:tabs>
          <w:tab w:leader="none" w:pos="11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On or prior to the date hereof, the Borrower or Investment Manager will specify the Applicable Row Level to be in effect for purposes of the Matrix by delivery of written notice to the Agents (with a copy to DBRS, the Collateral Agent, and the Lenders),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194" w:name="page195"/>
    <w:bookmarkEnd w:id="194"/>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signed by a Responsible Officer of the Borrower or Investment Manager, as applicable, certifying that (i) each Collateral Quality Test and Concentration Limitation is satisfied at such time, (ii) each Coverage Test is satisfied at such time, (iii) the Row Advance Rate to be in effect for purposes of the Matrix equals or exceeds the Portfolio Advance Rate at such time; and (iv) no Commitment Shortfall exists at such time, together with a report demonstrating compliance with each requirement set forth in the aforementioned clauses (i) through (iv).</w:t>
      </w:r>
    </w:p>
    <w:p>
      <w:pPr>
        <w:spacing w:after="0" w:line="187" w:lineRule="exact"/>
        <w:rPr>
          <w:sz w:val="20"/>
          <w:szCs w:val="20"/>
          <w:color w:val="auto"/>
        </w:rPr>
      </w:pPr>
    </w:p>
    <w:p>
      <w:pPr>
        <w:ind w:firstLine="921"/>
        <w:spacing w:after="0" w:line="271" w:lineRule="auto"/>
        <w:tabs>
          <w:tab w:leader="none" w:pos="115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At any time after the delivery of the certification required in </w:t>
      </w:r>
      <w:r>
        <w:rPr>
          <w:rFonts w:ascii="Arial" w:cs="Arial" w:eastAsia="Arial" w:hAnsi="Arial"/>
          <w:sz w:val="17"/>
          <w:szCs w:val="17"/>
          <w:u w:val="single" w:color="auto"/>
          <w:color w:val="auto"/>
        </w:rPr>
        <w:t>Section 2.17(a)</w:t>
      </w:r>
      <w:r>
        <w:rPr>
          <w:rFonts w:ascii="Arial" w:cs="Arial" w:eastAsia="Arial" w:hAnsi="Arial"/>
          <w:sz w:val="17"/>
          <w:szCs w:val="17"/>
          <w:color w:val="auto"/>
        </w:rPr>
        <w:t>, the Borrower or the Investment Manager may specify a different Applicable Row Level than the one in use at that time by delivery of written notice to the Agents (with a copy to DBRS, the Collateral Agent and the Lenders), signed by a Responsible Officer of the Borrower or Investment Manager, as applicable, upon not more than five Business Days and not less than one Business Day prior to the day on which such different Applicable Row Level is to become effective for purposes of the Matrix certifying that (i) each Collateral Quality Test and Concentration Limitation is satisfied at such time, (ii) each Coverage Test is satisfied at such time, (iii) the Row Advance Rate that is in use at such time equals or exceeds the Portfolio Advance Rate at such time; and (iv) no Commitment Shortfall exists at such time, together with a report demonstrating compliance with each requirement set forth in the aforementioned clauses (i) through (iv) as well as compliance with all columns in the Matrix for both the existing and proposed Applicable Row Level.</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w:t>
      </w:r>
    </w:p>
    <w:p>
      <w:pPr>
        <w:spacing w:after="0" w:line="117" w:lineRule="exact"/>
        <w:rPr>
          <w:sz w:val="20"/>
          <w:szCs w:val="20"/>
          <w:color w:val="auto"/>
        </w:rPr>
      </w:pPr>
    </w:p>
    <w:p>
      <w:pPr>
        <w:ind w:right="300" w:firstLine="921"/>
        <w:spacing w:after="0" w:line="291" w:lineRule="auto"/>
        <w:tabs>
          <w:tab w:leader="none" w:pos="1158"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in the event that any Affected Person shall request reimbursement for amounts owing pursuant to Section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(each such Affected Person, a “</w:t>
      </w:r>
      <w:r>
        <w:rPr>
          <w:rFonts w:ascii="Arial" w:cs="Arial" w:eastAsia="Arial" w:hAnsi="Arial"/>
          <w:sz w:val="16"/>
          <w:szCs w:val="16"/>
          <w:u w:val="single" w:color="auto"/>
          <w:color w:val="auto"/>
        </w:rPr>
        <w:t>Potential Terminated Purchaser</w:t>
      </w:r>
      <w:r>
        <w:rPr>
          <w:rFonts w:ascii="Arial" w:cs="Arial" w:eastAsia="Arial" w:hAnsi="Arial"/>
          <w:sz w:val="16"/>
          <w:szCs w:val="16"/>
          <w:color w:val="auto"/>
        </w:rPr>
        <w:t>”), the Borrower shall be permitted, upon no less than ten</w:t>
      </w:r>
    </w:p>
    <w:p>
      <w:pPr>
        <w:ind w:right="100" w:firstLine="8"/>
        <w:spacing w:after="0" w:line="271" w:lineRule="auto"/>
        <w:tabs>
          <w:tab w:leader="none" w:pos="34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days notice to the Facility Agent and the Potential Terminated Purchaser, to (i)(1) elect to terminate the Commitment, if any, of such Potential Terminated Purchaser on the date specified in such termination notice, and (2) prepay on the date of such termination the outstanding principal amount of the Advances and all accrued and unpaid interest thereon of such Potential Terminated Purchaser, or (ii) elect to cause such Potential Terminated Purchaser to (and the Potential Terminated Purchaser must) assign 100% of its Commitment to a replacement purchaser (a “</w:t>
      </w:r>
      <w:r>
        <w:rPr>
          <w:rFonts w:ascii="Arial" w:cs="Arial" w:eastAsia="Arial" w:hAnsi="Arial"/>
          <w:sz w:val="17"/>
          <w:szCs w:val="17"/>
          <w:u w:val="single" w:color="auto"/>
          <w:color w:val="auto"/>
        </w:rPr>
        <w:t>Replacement Purchaser</w:t>
      </w:r>
      <w:r>
        <w:rPr>
          <w:rFonts w:ascii="Arial" w:cs="Arial" w:eastAsia="Arial" w:hAnsi="Arial"/>
          <w:sz w:val="17"/>
          <w:szCs w:val="17"/>
          <w:color w:val="auto"/>
        </w:rPr>
        <w:t>”) (any such Potential Terminated Purchaser with respect to which the Borrower has made any such election, a “</w:t>
      </w:r>
      <w:r>
        <w:rPr>
          <w:rFonts w:ascii="Arial" w:cs="Arial" w:eastAsia="Arial" w:hAnsi="Arial"/>
          <w:sz w:val="17"/>
          <w:szCs w:val="17"/>
          <w:u w:val="single" w:color="auto"/>
          <w:color w:val="auto"/>
        </w:rPr>
        <w:t>Terminated Purchaser</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160" w:firstLine="921"/>
        <w:spacing w:after="0" w:line="291" w:lineRule="auto"/>
        <w:tabs>
          <w:tab w:leader="none" w:pos="1168"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Borrower shall not make an election described in the preceding paragraph unless (a) no Default or Event of Default shall have occurred and be continuing at the time of such election (unless such Default or Event of Default would no longer be continuing after giving effect to such election),</w:t>
      </w:r>
    </w:p>
    <w:p>
      <w:pPr>
        <w:ind w:right="20"/>
        <w:spacing w:after="0" w:line="271" w:lineRule="auto"/>
        <w:rPr>
          <w:rFonts w:ascii="Arial" w:cs="Arial" w:eastAsia="Arial" w:hAnsi="Arial"/>
          <w:sz w:val="16"/>
          <w:szCs w:val="16"/>
          <w:color w:val="auto"/>
        </w:rPr>
      </w:pPr>
      <w:r>
        <w:rPr>
          <w:rFonts w:ascii="Arial" w:cs="Arial" w:eastAsia="Arial" w:hAnsi="Arial"/>
          <w:sz w:val="17"/>
          <w:szCs w:val="17"/>
          <w:color w:val="auto"/>
        </w:rPr>
        <w:t>(b) in respect of an election described in clause (ii) of the immediately preceding paragraph only, on or prior to the effectiveness of the applicable assignment, the Terminated Purchaser shall have been paid the outstanding principal amount of the Advances and all accrued and unpaid interest thereon of such Terminated Purchaser by or on behalf of the related Replacement Purchaser. Each Terminated Purchaser hereby agrees to take all actions reasonably necessary, at the expense of the Borrower, to permit a Replacement Purchaser to succeed to its rights and obligations hereunder. Upon the effectiveness of any such assignment to a Replacement Purchaser, (i) such Replacement Purchaser shall become 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195" w:name="page196"/>
    <w:bookmarkEnd w:id="195"/>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Lender</w:t>
      </w:r>
      <w:r>
        <w:rPr>
          <w:rFonts w:ascii="Arial" w:cs="Arial" w:eastAsia="Arial" w:hAnsi="Arial"/>
          <w:sz w:val="18"/>
          <w:szCs w:val="18"/>
          <w:color w:val="auto"/>
        </w:rPr>
        <w:t>” hereunder for all purposes of this Agreement and the other Facility Documents, (ii) such Replacement Purchaser shall have a Commitment in the amount not less than the Terminated Purchaser’s Commitment assumed by it and (iii) the Commitment of the Terminated Purchaser shall be terminated in all respects.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CONDITIONS PRECEDENT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Closing</w:t>
      </w:r>
      <w:r>
        <w:rPr>
          <w:rFonts w:ascii="Arial" w:cs="Arial" w:eastAsia="Arial" w:hAnsi="Arial"/>
          <w:sz w:val="18"/>
          <w:szCs w:val="18"/>
          <w:color w:val="auto"/>
        </w:rPr>
        <w:t>.</w:t>
      </w:r>
    </w:p>
    <w:p>
      <w:pPr>
        <w:spacing w:after="0" w:line="117" w:lineRule="exact"/>
        <w:rPr>
          <w:sz w:val="20"/>
          <w:szCs w:val="20"/>
          <w:color w:val="auto"/>
        </w:rPr>
      </w:pPr>
    </w:p>
    <w:p>
      <w:pPr>
        <w:ind w:right="400" w:firstLine="913"/>
        <w:spacing w:after="0" w:line="286" w:lineRule="auto"/>
        <w:rPr>
          <w:sz w:val="20"/>
          <w:szCs w:val="20"/>
          <w:color w:val="auto"/>
        </w:rPr>
      </w:pPr>
      <w:r>
        <w:rPr>
          <w:rFonts w:ascii="Arial" w:cs="Arial" w:eastAsia="Arial" w:hAnsi="Arial"/>
          <w:sz w:val="17"/>
          <w:szCs w:val="17"/>
          <w:color w:val="auto"/>
        </w:rPr>
        <w:t xml:space="preserve">The obligation of the Lenders to make Advances hereunder comprising the initial Borrowing were subject to the conditions precedent in Section 3.01 of the Existing Credit Agreement, which have been satisfied. This Agreement shall become effective on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Facility Agent shall have received the following, each in form and substance satisfactory to the Facility Agent:</w:t>
      </w:r>
    </w:p>
    <w:p>
      <w:pPr>
        <w:spacing w:after="0" w:line="57" w:lineRule="exact"/>
        <w:rPr>
          <w:sz w:val="20"/>
          <w:szCs w:val="20"/>
          <w:color w:val="auto"/>
        </w:rPr>
      </w:pPr>
    </w:p>
    <w:p>
      <w:pPr>
        <w:ind w:right="40" w:firstLine="921"/>
        <w:spacing w:after="0" w:line="277" w:lineRule="auto"/>
        <w:tabs>
          <w:tab w:leader="none" w:pos="115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this Agreement and the Master Transfer Agreement, each duly executed and delivered by the parties hereto, and each of which shall be in full force and effect;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true and complete copies of the Constituent Documents of the Borrower and the Investment Manager as in effect on the Closing Date;</w:t>
      </w:r>
    </w:p>
    <w:p>
      <w:pPr>
        <w:spacing w:after="0" w:line="236" w:lineRule="exact"/>
        <w:rPr>
          <w:rFonts w:ascii="Arial" w:cs="Arial" w:eastAsia="Arial" w:hAnsi="Arial"/>
          <w:sz w:val="17"/>
          <w:szCs w:val="17"/>
          <w:color w:val="auto"/>
        </w:rPr>
      </w:pPr>
    </w:p>
    <w:p>
      <w:pPr>
        <w:ind w:right="80" w:firstLine="921"/>
        <w:spacing w:after="0" w:line="302" w:lineRule="auto"/>
        <w:tabs>
          <w:tab w:leader="none" w:pos="115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true and complete copies certified by a Responsible Officer of the Borrower or the Investment Manager, as applicable, of all Governmental Authorizations, Private Authorizations and Governmental Filings (other than any current transaction reports on Form 8-K or other disclosure documents required to be filed or furnished by the Investment Manager with the SEC pursuant to Section 13 or 15(d) of the Exchange Act or otherwise), if any, required in connection with the transactions contemplated by this Agreement, the other Facility Documents and the Retention Letter;</w:t>
      </w:r>
    </w:p>
    <w:p>
      <w:pPr>
        <w:spacing w:after="0" w:line="154" w:lineRule="exact"/>
        <w:rPr>
          <w:rFonts w:ascii="Arial" w:cs="Arial" w:eastAsia="Arial" w:hAnsi="Arial"/>
          <w:sz w:val="16"/>
          <w:szCs w:val="16"/>
          <w:color w:val="auto"/>
        </w:rPr>
      </w:pPr>
    </w:p>
    <w:p>
      <w:pPr>
        <w:ind w:firstLine="921"/>
        <w:spacing w:after="0" w:line="270" w:lineRule="auto"/>
        <w:tabs>
          <w:tab w:leader="none" w:pos="116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 certificate of a Responsible Officer of the Borrower and the Investment Manager certifying (i) as to its Constituent Documents, (ii) as to its resolutions or other action of its board of directors or members approving this Agreement and the transactions contemplated hereby, (iii) that its representations and warranties set forth in this Agreement, the other Facility Documents and the Retention Letter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no Default or Event of Default has occurred and is continuing, (v) as to the incumbency and specimen signature of (x) certain of its Responsible Officers that are authorized to execute this Agreement, the other Facility Documents and any other documents related thereto and (y) each of its Responsible Officers that will execute this Agreement, any other Facility Documents, the Retention Letter and any other documents related thereto and (vi) that each of the Facility Documents not being amended in connection with this Agreement shall remain unchanged and in full force and effect following the effectiveness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196" w:name="page197"/>
    <w:bookmarkEnd w:id="196"/>
    <w:p>
      <w:pPr>
        <w:ind w:right="140" w:firstLine="921"/>
        <w:spacing w:after="0" w:line="264" w:lineRule="auto"/>
        <w:tabs>
          <w:tab w:leader="none" w:pos="1158"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opinions (addressed to each of the Secured Parties and DBRS) of (i) Cleary Gottlieb Steen &amp; Hamilton LLP, New York counsel, and Morris, Nichols, Arsht &amp; Tunnell LLP, Delaware counsel, in each case to the Borrower and the Investment Manager and (ii) Nixon Peabody LLP, counsel to the Collateral Agent, covering such matters as the Facility Agent and its counsel shall reasonably request;</w:t>
      </w:r>
    </w:p>
    <w:p>
      <w:pPr>
        <w:spacing w:after="0" w:line="181" w:lineRule="exact"/>
        <w:rPr>
          <w:rFonts w:ascii="Arial" w:cs="Arial" w:eastAsia="Arial" w:hAnsi="Arial"/>
          <w:sz w:val="18"/>
          <w:szCs w:val="18"/>
          <w:color w:val="auto"/>
        </w:rPr>
      </w:pPr>
    </w:p>
    <w:p>
      <w:pPr>
        <w:ind w:right="160" w:firstLine="921"/>
        <w:spacing w:after="0" w:line="277" w:lineRule="auto"/>
        <w:tabs>
          <w:tab w:leader="none" w:pos="113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lien searches in all jurisdictions that the Facility Agent deems necessary or desirable in order to ensure the existing perfection of the security interests granted under the Existing Credit Agreement;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 refreshed Retention Letter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rating letter, delivered and signed by DBRS and confirming that the Facility, as amended and restated by this Agreement, has been assigned at least a “AA” (sf) rating by DBRS;</w:t>
      </w:r>
    </w:p>
    <w:p>
      <w:pPr>
        <w:spacing w:after="0" w:line="170" w:lineRule="exact"/>
        <w:rPr>
          <w:rFonts w:ascii="Arial" w:cs="Arial" w:eastAsia="Arial" w:hAnsi="Arial"/>
          <w:sz w:val="18"/>
          <w:szCs w:val="18"/>
          <w:color w:val="auto"/>
        </w:rPr>
      </w:pPr>
    </w:p>
    <w:p>
      <w:pPr>
        <w:ind w:right="560" w:firstLine="921"/>
        <w:spacing w:after="0" w:line="277" w:lineRule="auto"/>
        <w:tabs>
          <w:tab w:leader="none" w:pos="112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evidence of payment by or on behalf of the Borrower of Closing Date Expenses invoiced on or prior to the Closing Date (in the case of payment by the Borrower, out of a contribution made or deemed made by TPG Specialty Lending, Inc.);</w:t>
      </w:r>
    </w:p>
    <w:p>
      <w:pPr>
        <w:spacing w:after="0" w:line="170" w:lineRule="exact"/>
        <w:rPr>
          <w:rFonts w:ascii="Arial" w:cs="Arial" w:eastAsia="Arial" w:hAnsi="Arial"/>
          <w:sz w:val="18"/>
          <w:szCs w:val="18"/>
          <w:color w:val="auto"/>
        </w:rPr>
      </w:pPr>
    </w:p>
    <w:p>
      <w:pPr>
        <w:ind w:right="460" w:firstLine="921"/>
        <w:spacing w:after="0" w:line="277" w:lineRule="auto"/>
        <w:tabs>
          <w:tab w:leader="none" w:pos="112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secretary’s certificate from the Collateral Agent, which shall include (i) extracts from its bylaws and (ii) the incumbency and specimen signature of each of its Responsible Officers authorized to execute this Agreement;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issuance of a Note to Versailles Assets LLC, replacing its Note issued as of the Original Closing Date;</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 Amendment to the Engagement Letter, dated as of January 21, 2014, between TPG Specialty Lending, Inc. and Natixis Securities Americas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LLC; and</w:t>
      </w:r>
    </w:p>
    <w:p>
      <w:pPr>
        <w:spacing w:after="0" w:line="210" w:lineRule="exact"/>
        <w:rPr>
          <w:rFonts w:ascii="Arial" w:cs="Arial" w:eastAsia="Arial" w:hAnsi="Arial"/>
          <w:sz w:val="16"/>
          <w:szCs w:val="16"/>
          <w:color w:val="auto"/>
        </w:rPr>
      </w:pPr>
    </w:p>
    <w:p>
      <w:pPr>
        <w:ind w:left="1220" w:hanging="299"/>
        <w:spacing w:after="0"/>
        <w:tabs>
          <w:tab w:leader="none" w:pos="12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such other opinions, instruments, certificates and documents from the Borrower as the Agents or any Lender shall have reasonably requested.</w:t>
      </w:r>
    </w:p>
    <w:p>
      <w:pPr>
        <w:spacing w:after="0" w:line="24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Conditions Precedent to Each Borrowing</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The obligation of the Lenders to make each Advance (including any such Advance in respect of the initial Borrowing on or after the Closing Date) on each Borrowing Date shall be subject to the fulfillment of the following conditions;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such Borrowing Date shall occur prior to the end of the Reinvestment Period, and (2) the conditions described in clauses (e) and (f) (other than a Default or Event of Default described in </w:t>
      </w:r>
      <w:r>
        <w:rPr>
          <w:rFonts w:ascii="Arial" w:cs="Arial" w:eastAsia="Arial" w:hAnsi="Arial"/>
          <w:sz w:val="16"/>
          <w:szCs w:val="16"/>
          <w:u w:val="single" w:color="auto"/>
          <w:color w:val="auto"/>
        </w:rPr>
        <w:t>Sections 6.01(c)</w:t>
      </w:r>
      <w:r>
        <w:rPr>
          <w:rFonts w:ascii="Arial" w:cs="Arial" w:eastAsia="Arial" w:hAnsi="Arial"/>
          <w:sz w:val="16"/>
          <w:szCs w:val="16"/>
          <w:color w:val="auto"/>
        </w:rPr>
        <w:t>,</w:t>
      </w:r>
    </w:p>
    <w:p>
      <w:pPr>
        <w:ind w:right="180" w:firstLine="8"/>
        <w:spacing w:after="0" w:line="261" w:lineRule="auto"/>
        <w:tabs>
          <w:tab w:leader="none" w:pos="245" w:val="left"/>
        </w:tabs>
        <w:numPr>
          <w:ilvl w:val="0"/>
          <w:numId w:val="169"/>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below need not be satisfied if the proceeds of the Borrowing are used to fund Revolving Collateral Loans or Delayed Drawdown Collateral Loans then owned by the Borrower or to fund the Revolving Reserve Account to the extent required under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75" w:lineRule="exact"/>
        <w:rPr>
          <w:rFonts w:ascii="Arial" w:cs="Arial" w:eastAsia="Arial" w:hAnsi="Arial"/>
          <w:sz w:val="18"/>
          <w:szCs w:val="18"/>
          <w:u w:val="single" w:color="auto"/>
          <w:color w:val="auto"/>
        </w:rPr>
      </w:pPr>
    </w:p>
    <w:p>
      <w:pPr>
        <w:ind w:right="160" w:firstLine="921"/>
        <w:spacing w:after="0" w:line="277" w:lineRule="auto"/>
        <w:tabs>
          <w:tab w:leader="none" w:pos="115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in the case of the initial Borrowing hereunder on or after the Closing Date, the conditions precedent set forth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have been fully satisfied on or prior to the applicable Borrowing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197" w:name="page198"/>
    <w:bookmarkEnd w:id="197"/>
    <w:p>
      <w:pPr>
        <w:ind w:left="1180" w:hanging="259"/>
        <w:spacing w:after="0"/>
        <w:tabs>
          <w:tab w:leader="none" w:pos="11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Lenders and the Facility Agent shall have received a Notice of Borrowing with respect to such Advance delivered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right="720" w:firstLine="921"/>
        <w:spacing w:after="0" w:line="277" w:lineRule="auto"/>
        <w:tabs>
          <w:tab w:leader="none" w:pos="115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immediately after the making of such Advance on the applicable Borrowing Date, the aggregate outstanding principal amount of the Borrower Liabilities shall not exceed the Total Commitment as in effect on such Borrowing Date;</w:t>
      </w:r>
    </w:p>
    <w:p>
      <w:pPr>
        <w:spacing w:after="0" w:line="170" w:lineRule="exact"/>
        <w:rPr>
          <w:rFonts w:ascii="Arial" w:cs="Arial" w:eastAsia="Arial" w:hAnsi="Arial"/>
          <w:sz w:val="18"/>
          <w:szCs w:val="18"/>
          <w:color w:val="auto"/>
        </w:rPr>
      </w:pPr>
    </w:p>
    <w:p>
      <w:pPr>
        <w:ind w:firstLine="921"/>
        <w:spacing w:after="0" w:line="277" w:lineRule="auto"/>
        <w:tabs>
          <w:tab w:leader="none" w:pos="11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immediately after the making of such Advance on the applicable Borrowing Date, each Coverage Test shall be satisfied and the Row Advance Rate that is in use at such time equals or exceeds the Portfolio Advance Rate;</w:t>
      </w:r>
    </w:p>
    <w:p>
      <w:pPr>
        <w:spacing w:after="0" w:line="170" w:lineRule="exact"/>
        <w:rPr>
          <w:rFonts w:ascii="Arial" w:cs="Arial" w:eastAsia="Arial" w:hAnsi="Arial"/>
          <w:sz w:val="18"/>
          <w:szCs w:val="18"/>
          <w:color w:val="auto"/>
        </w:rPr>
      </w:pPr>
    </w:p>
    <w:p>
      <w:pPr>
        <w:ind w:right="280" w:firstLine="921"/>
        <w:spacing w:after="0" w:line="286" w:lineRule="auto"/>
        <w:tabs>
          <w:tab w:leader="none" w:pos="115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each of the representations and warranties of the Borrower contained in this Agreement and the other Facility Documents shall be true and correct in all material respects as of such Borrowing Date (except to the extent such representations and warranties expressly relate to any earlier date, in which case such representations and warranties shall be true and correct in all material respects as of such earlier date);</w:t>
      </w:r>
    </w:p>
    <w:p>
      <w:pPr>
        <w:spacing w:after="0" w:line="165" w:lineRule="exact"/>
        <w:rPr>
          <w:rFonts w:ascii="Arial" w:cs="Arial" w:eastAsia="Arial" w:hAnsi="Arial"/>
          <w:sz w:val="17"/>
          <w:szCs w:val="17"/>
          <w:color w:val="auto"/>
        </w:rPr>
      </w:pPr>
    </w:p>
    <w:p>
      <w:pPr>
        <w:ind w:right="500" w:firstLine="921"/>
        <w:spacing w:after="0" w:line="277" w:lineRule="auto"/>
        <w:tabs>
          <w:tab w:leader="none" w:pos="113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of the making of such Advance or shall result upon the making of such Advance; and</w:t>
      </w:r>
    </w:p>
    <w:p>
      <w:pPr>
        <w:spacing w:after="0" w:line="170" w:lineRule="exact"/>
        <w:rPr>
          <w:rFonts w:ascii="Arial" w:cs="Arial" w:eastAsia="Arial" w:hAnsi="Arial"/>
          <w:sz w:val="18"/>
          <w:szCs w:val="18"/>
          <w:color w:val="auto"/>
        </w:rPr>
      </w:pPr>
    </w:p>
    <w:p>
      <w:pPr>
        <w:ind w:right="460" w:firstLine="921"/>
        <w:spacing w:after="0" w:line="277" w:lineRule="auto"/>
        <w:tabs>
          <w:tab w:leader="none" w:pos="11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provisions of Section 10.02 have been satisfied as of the date of purchase in connection with any acquisition of additional Collateral Obligations with the proceeds of the applicable Advance.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Borrower represents and warrants to each of the Secured Parties on and as of the Closing Date and the date each Advance is made,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right="200" w:firstLine="921"/>
        <w:spacing w:after="0" w:line="264" w:lineRule="auto"/>
        <w:tabs>
          <w:tab w:leader="none" w:pos="1157"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The Borrower is a limited liability company duly organized and 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81" w:lineRule="exact"/>
        <w:rPr>
          <w:rFonts w:ascii="Arial" w:cs="Arial" w:eastAsia="Arial" w:hAnsi="Arial"/>
          <w:sz w:val="18"/>
          <w:szCs w:val="18"/>
          <w:color w:val="auto"/>
        </w:rPr>
      </w:pPr>
    </w:p>
    <w:p>
      <w:pPr>
        <w:ind w:right="140" w:firstLine="921"/>
        <w:spacing w:after="0" w:line="257" w:lineRule="auto"/>
        <w:tabs>
          <w:tab w:leader="none" w:pos="116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Due Qualification and Good Standing</w:t>
      </w:r>
      <w:r>
        <w:rPr>
          <w:rFonts w:ascii="Arial" w:cs="Arial" w:eastAsia="Arial" w:hAnsi="Arial"/>
          <w:sz w:val="18"/>
          <w:szCs w:val="18"/>
          <w:color w:val="auto"/>
        </w:rPr>
        <w:t>. The Borrower is in good standing in the State of Delaware. The Borrower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198" w:name="page199"/>
    <w:bookmarkEnd w:id="198"/>
    <w:p>
      <w:pPr>
        <w:ind w:left="-40" w:firstLine="921"/>
        <w:spacing w:after="0" w:line="272" w:lineRule="auto"/>
        <w:tabs>
          <w:tab w:leader="none" w:pos="1117"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Authorization; Execution and Delivery; Legal, Valid and Binding; Enforceability</w:t>
      </w:r>
      <w:r>
        <w:rPr>
          <w:rFonts w:ascii="Arial" w:cs="Arial" w:eastAsia="Arial" w:hAnsi="Arial"/>
          <w:sz w:val="17"/>
          <w:szCs w:val="17"/>
          <w:color w:val="auto"/>
        </w:rPr>
        <w:t>. The execution and delivery by the Borrower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 For the avoidance of doubt, each of the Facility Documents not being amended in connection with this Agreement shall remain unchanged and in full force and effect following the effectiveness of this Agreement.</w:t>
      </w:r>
    </w:p>
    <w:p>
      <w:pPr>
        <w:spacing w:after="0" w:line="177" w:lineRule="exact"/>
        <w:rPr>
          <w:rFonts w:ascii="Arial" w:cs="Arial" w:eastAsia="Arial" w:hAnsi="Arial"/>
          <w:sz w:val="17"/>
          <w:szCs w:val="17"/>
          <w:color w:val="auto"/>
        </w:rPr>
      </w:pPr>
    </w:p>
    <w:p>
      <w:pPr>
        <w:ind w:left="-40" w:firstLine="921"/>
        <w:spacing w:after="0" w:line="270" w:lineRule="auto"/>
        <w:tabs>
          <w:tab w:leader="none" w:pos="1128"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Non-Contravention</w:t>
      </w:r>
      <w:r>
        <w:rPr>
          <w:rFonts w:ascii="Arial" w:cs="Arial" w:eastAsia="Arial" w:hAnsi="Arial"/>
          <w:sz w:val="17"/>
          <w:szCs w:val="17"/>
          <w:color w:val="auto"/>
        </w:rPr>
        <w:t>. None of the execution and delivery by the Borrower of this Agreement or the other Facility Documents to which it is a party, the Borrowings or the pledge of the Collateral hereunder, the consummation of the transactions herein or therein contemplated, or performance and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w:t>
      </w:r>
    </w:p>
    <w:p>
      <w:pPr>
        <w:spacing w:after="0" w:line="181" w:lineRule="exact"/>
        <w:rPr>
          <w:rFonts w:ascii="Arial" w:cs="Arial" w:eastAsia="Arial" w:hAnsi="Arial"/>
          <w:sz w:val="17"/>
          <w:szCs w:val="17"/>
          <w:color w:val="auto"/>
        </w:rPr>
      </w:pPr>
    </w:p>
    <w:p>
      <w:pPr>
        <w:ind w:left="-40" w:right="100" w:firstLine="921"/>
        <w:spacing w:after="0" w:line="271" w:lineRule="auto"/>
        <w:tabs>
          <w:tab w:leader="none" w:pos="1117"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Governmental Authorizations; Private Authorizations; Governmental Filings</w:t>
      </w:r>
      <w:r>
        <w:rPr>
          <w:rFonts w:ascii="Arial" w:cs="Arial" w:eastAsia="Arial" w:hAnsi="Arial"/>
          <w:sz w:val="17"/>
          <w:szCs w:val="17"/>
          <w:color w:val="auto"/>
        </w:rPr>
        <w:t>. The Borrower has obtained, maintained and kept in full force and effect all Governmental Authorizations and Private Authorizations which are necessary for it to properly carry out its business, and made all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and the other Facility Documents, and no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178" w:lineRule="exact"/>
        <w:rPr>
          <w:rFonts w:ascii="Arial" w:cs="Arial" w:eastAsia="Arial" w:hAnsi="Arial"/>
          <w:sz w:val="17"/>
          <w:szCs w:val="17"/>
          <w:color w:val="auto"/>
        </w:rPr>
      </w:pPr>
    </w:p>
    <w:p>
      <w:pPr>
        <w:ind w:left="-40" w:right="160" w:firstLine="921"/>
        <w:spacing w:after="0" w:line="264" w:lineRule="auto"/>
        <w:tabs>
          <w:tab w:leader="none" w:pos="109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Compliance with Agreements, Laws, Etc</w:t>
      </w:r>
      <w:r>
        <w:rPr>
          <w:rFonts w:ascii="Arial" w:cs="Arial" w:eastAsia="Arial" w:hAnsi="Arial"/>
          <w:sz w:val="18"/>
          <w:szCs w:val="18"/>
          <w:color w:val="auto"/>
        </w:rPr>
        <w:t>. The Borrower has duly observed and complied with all Applicable Laws, including the Securities Act and the Investment Company Act, relating to the conduct of its business and its assets. The Borrower has preserved and kept in full force and effect its legal existence. The Borrower has preserved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80" w:top="274" w:right="279" w:bottom="1440" w:gutter="0" w:footer="0" w:header="0"/>
        </w:sectPr>
      </w:pPr>
    </w:p>
    <w:bookmarkStart w:id="199" w:name="page200"/>
    <w:bookmarkEnd w:id="19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the regulations and rules promulgated by the U.S. Department of Treasury and/or administered by the U.S. Office of Foreign Asset Controls (“</w:t>
      </w:r>
      <w:r>
        <w:rPr>
          <w:rFonts w:ascii="Arial" w:cs="Arial" w:eastAsia="Arial" w:hAnsi="Arial"/>
          <w:sz w:val="17"/>
          <w:szCs w:val="17"/>
          <w:u w:val="single" w:color="auto"/>
          <w:color w:val="auto"/>
        </w:rPr>
        <w:t>OFAC</w:t>
      </w:r>
      <w:r>
        <w:rPr>
          <w:rFonts w:ascii="Arial" w:cs="Arial" w:eastAsia="Arial" w:hAnsi="Arial"/>
          <w:sz w:val="17"/>
          <w:szCs w:val="17"/>
          <w:color w:val="auto"/>
        </w:rPr>
        <w:t>”), including U.S. Executive Order No. 13224, and other related statutes, laws and regulations (collectively, the “</w:t>
      </w:r>
      <w:r>
        <w:rPr>
          <w:rFonts w:ascii="Arial" w:cs="Arial" w:eastAsia="Arial" w:hAnsi="Arial"/>
          <w:sz w:val="17"/>
          <w:szCs w:val="17"/>
          <w:u w:val="single" w:color="auto"/>
          <w:color w:val="auto"/>
        </w:rPr>
        <w:t>Subject Laws</w:t>
      </w:r>
      <w:r>
        <w:rPr>
          <w:rFonts w:ascii="Arial" w:cs="Arial" w:eastAsia="Arial" w:hAnsi="Arial"/>
          <w:sz w:val="17"/>
          <w:szCs w:val="17"/>
          <w:color w:val="auto"/>
        </w:rPr>
        <w:t>”), (y) the Borrower has adopted internal controls and procedures designed to ensure its continued compliance with the applicable provisions of the Subject Laws and, to the extent applicable, will adopt procedures consistent with the PATRIOT Act and implementing regulations, and (z) no investor in the Borrower is a Person whose name appears on the “List of Specially Designated Nationals” and “Blocked Persons” maintained by the OFAC.</w:t>
      </w:r>
    </w:p>
    <w:p>
      <w:pPr>
        <w:spacing w:after="0" w:line="178" w:lineRule="exact"/>
        <w:rPr>
          <w:sz w:val="20"/>
          <w:szCs w:val="20"/>
          <w:color w:val="auto"/>
        </w:rPr>
      </w:pPr>
    </w:p>
    <w:p>
      <w:pPr>
        <w:ind w:right="520" w:firstLine="921"/>
        <w:spacing w:after="0" w:line="277" w:lineRule="auto"/>
        <w:tabs>
          <w:tab w:leader="none" w:pos="116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The Borrower maintains the majority of its books and records in the State of Texas. The Borrower’s registered office and the jurisdiction of organization of the Borrower is the jurisdiction referred to in </w:t>
      </w:r>
      <w:r>
        <w:rPr>
          <w:rFonts w:ascii="Arial" w:cs="Arial" w:eastAsia="Arial" w:hAnsi="Arial"/>
          <w:sz w:val="18"/>
          <w:szCs w:val="18"/>
          <w:u w:val="single" w:color="auto"/>
          <w:color w:val="auto"/>
        </w:rPr>
        <w:t>Section 4.01(a)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Borrower, the Investment Manager nor the pool of Collateral is required to register as an “investment company” or a company controlled by an “investment company” under the Investment Company Act.</w:t>
      </w:r>
    </w:p>
    <w:p>
      <w:pPr>
        <w:spacing w:after="0" w:line="170" w:lineRule="exact"/>
        <w:rPr>
          <w:rFonts w:ascii="Arial" w:cs="Arial" w:eastAsia="Arial" w:hAnsi="Arial"/>
          <w:sz w:val="18"/>
          <w:szCs w:val="18"/>
          <w:color w:val="auto"/>
        </w:rPr>
      </w:pPr>
    </w:p>
    <w:p>
      <w:pPr>
        <w:ind w:right="420" w:firstLine="921"/>
        <w:spacing w:after="0" w:line="277" w:lineRule="auto"/>
        <w:tabs>
          <w:tab w:leader="none" w:pos="112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Neither the Borrower nor any member of its ERISA Group has, or during the past five years had, any liability or obligation with respect to any Plan or Multiemployer Plan.</w:t>
      </w:r>
    </w:p>
    <w:p>
      <w:pPr>
        <w:spacing w:after="0" w:line="170" w:lineRule="exact"/>
        <w:rPr>
          <w:rFonts w:ascii="Arial" w:cs="Arial" w:eastAsia="Arial" w:hAnsi="Arial"/>
          <w:sz w:val="18"/>
          <w:szCs w:val="18"/>
          <w:color w:val="auto"/>
        </w:rPr>
      </w:pPr>
    </w:p>
    <w:p>
      <w:pPr>
        <w:ind w:firstLine="921"/>
        <w:spacing w:after="0" w:line="264" w:lineRule="auto"/>
        <w:tabs>
          <w:tab w:leader="none" w:pos="112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Borrower has filed all federal, state and local income tax returns and all other material federal, state and local tax returns which are required to be filed by it, if any, and has paid all taxes shown to be due and payable on such returns, if any, or pursuant to any assessment received by any such Person.</w:t>
      </w:r>
    </w:p>
    <w:p>
      <w:pPr>
        <w:spacing w:after="0" w:line="181"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For U.S. federal income tax purposes, assuming that the Facility constitutes debt for such purposes, the Borrower is not a publicly traded partnership or an association taxable as a corporation.</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The operations and property of the Borrower comply with all applicable Environmental Laws.</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After giving effect to each Advance hereunder, and the disbursement of the proceeds of such Advance, the Borrower is and will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Solvent.</w:t>
      </w:r>
    </w:p>
    <w:p>
      <w:pPr>
        <w:spacing w:after="0" w:line="210" w:lineRule="exact"/>
        <w:rPr>
          <w:rFonts w:ascii="Arial" w:cs="Arial" w:eastAsia="Arial" w:hAnsi="Arial"/>
          <w:sz w:val="16"/>
          <w:szCs w:val="16"/>
          <w:color w:val="auto"/>
        </w:rPr>
      </w:pPr>
    </w:p>
    <w:p>
      <w:pPr>
        <w:ind w:right="100" w:firstLine="921"/>
        <w:spacing w:after="0" w:line="277" w:lineRule="auto"/>
        <w:tabs>
          <w:tab w:leader="none" w:pos="116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Initial Collateral Obligations</w:t>
      </w:r>
      <w:r>
        <w:rPr>
          <w:rFonts w:ascii="Arial" w:cs="Arial" w:eastAsia="Arial" w:hAnsi="Arial"/>
          <w:sz w:val="18"/>
          <w:szCs w:val="18"/>
          <w:color w:val="auto"/>
        </w:rPr>
        <w:t>. Each loan, debt obligation, or Participation Interest contributed by the Investment Manager to the Borrower on the Original Closing Date complies with the criteria set forth in the definition of “Collateral Obligation”.</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Additional Representations and Warranties of the Borrower</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200" w:name="page201"/>
    <w:bookmarkEnd w:id="20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represents and warrants to each of the Secured Parties on and as of the Closing Date, each Determination Date, the date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Advance is made, and each date on which a Collateral Obligation is granted to the Trustee hereunder, as follows:</w:t>
      </w:r>
    </w:p>
    <w:p>
      <w:pPr>
        <w:spacing w:after="0" w:line="103" w:lineRule="exact"/>
        <w:rPr>
          <w:sz w:val="20"/>
          <w:szCs w:val="20"/>
          <w:color w:val="auto"/>
        </w:rPr>
      </w:pPr>
    </w:p>
    <w:p>
      <w:pPr>
        <w:ind w:firstLine="921"/>
        <w:spacing w:after="0" w:line="297" w:lineRule="auto"/>
        <w:tabs>
          <w:tab w:leader="none" w:pos="1157"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Information and Reports</w:t>
      </w:r>
      <w:r>
        <w:rPr>
          <w:rFonts w:ascii="Arial" w:cs="Arial" w:eastAsia="Arial" w:hAnsi="Arial"/>
          <w:sz w:val="16"/>
          <w:szCs w:val="16"/>
          <w:color w:val="auto"/>
        </w:rPr>
        <w:t>. Each Notice of Borrowing, each Monthly Report, each Payment Date Report and all other written information, reports, certificates and statements furnished by or on behalf of the Borrower to any Secured Party for purposes of or in connection with this Agreement, the other Facility Documents or the transactions contemplated hereby or thereby taken as a whole, and all such written information provided by or on behalf of the Borrower to any Secured Party taken as a whole, do not contain any material misstatement of fact or omit to state any material fact necessary to make the statements therein, in the light of the circumstances under which it was made, not misleading as of the date such information is stated or certified.</w:t>
      </w:r>
    </w:p>
    <w:p>
      <w:pPr>
        <w:spacing w:after="0" w:line="158" w:lineRule="exact"/>
        <w:rPr>
          <w:rFonts w:ascii="Arial" w:cs="Arial" w:eastAsia="Arial" w:hAnsi="Arial"/>
          <w:sz w:val="16"/>
          <w:szCs w:val="16"/>
          <w:color w:val="auto"/>
        </w:rPr>
      </w:pPr>
    </w:p>
    <w:p>
      <w:pPr>
        <w:ind w:right="60" w:firstLine="921"/>
        <w:spacing w:after="0" w:line="259" w:lineRule="auto"/>
        <w:tabs>
          <w:tab w:leader="none" w:pos="116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Plan Assets</w:t>
      </w:r>
      <w:r>
        <w:rPr>
          <w:rFonts w:ascii="Arial" w:cs="Arial" w:eastAsia="Arial" w:hAnsi="Arial"/>
          <w:sz w:val="18"/>
          <w:szCs w:val="18"/>
          <w:color w:val="auto"/>
        </w:rPr>
        <w:t>. The assets of the Borrower are not treated as “</w:t>
      </w:r>
      <w:r>
        <w:rPr>
          <w:rFonts w:ascii="Arial" w:cs="Arial" w:eastAsia="Arial" w:hAnsi="Arial"/>
          <w:sz w:val="18"/>
          <w:szCs w:val="18"/>
          <w:u w:val="single" w:color="auto"/>
          <w:color w:val="auto"/>
        </w:rPr>
        <w:t>plan assets</w:t>
      </w:r>
      <w:r>
        <w:rPr>
          <w:rFonts w:ascii="Arial" w:cs="Arial" w:eastAsia="Arial" w:hAnsi="Arial"/>
          <w:sz w:val="18"/>
          <w:szCs w:val="18"/>
          <w:color w:val="auto"/>
        </w:rPr>
        <w:t>” for purposes of Section 3(42) of ERISA or Similar Law and the Collateral is not deemed to be “</w:t>
      </w:r>
      <w:r>
        <w:rPr>
          <w:rFonts w:ascii="Arial" w:cs="Arial" w:eastAsia="Arial" w:hAnsi="Arial"/>
          <w:sz w:val="18"/>
          <w:szCs w:val="18"/>
          <w:u w:val="single" w:color="auto"/>
          <w:color w:val="auto"/>
        </w:rPr>
        <w:t>plan assets</w:t>
      </w:r>
      <w:r>
        <w:rPr>
          <w:rFonts w:ascii="Arial" w:cs="Arial" w:eastAsia="Arial" w:hAnsi="Arial"/>
          <w:sz w:val="18"/>
          <w:szCs w:val="18"/>
          <w:color w:val="auto"/>
        </w:rPr>
        <w:t>” for purposes of Section 3(42) of ERISA or Similar Law. The Borrower has not taken, or omitted to take, any action which would result in any of the Collateral being treated as “</w:t>
      </w:r>
      <w:r>
        <w:rPr>
          <w:rFonts w:ascii="Arial" w:cs="Arial" w:eastAsia="Arial" w:hAnsi="Arial"/>
          <w:sz w:val="18"/>
          <w:szCs w:val="18"/>
          <w:u w:val="single" w:color="auto"/>
          <w:color w:val="auto"/>
        </w:rPr>
        <w:t>plan assets</w:t>
      </w:r>
      <w:r>
        <w:rPr>
          <w:rFonts w:ascii="Arial" w:cs="Arial" w:eastAsia="Arial" w:hAnsi="Arial"/>
          <w:sz w:val="18"/>
          <w:szCs w:val="18"/>
          <w:color w:val="auto"/>
        </w:rPr>
        <w:t>” for purposes of Section 3(42) of ERISA or Similar Law or the occurrence of any Prohibited Transaction in connection with the transactions contemplated hereunder.</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Representations Relating to the Collateral</w:t>
      </w:r>
      <w:r>
        <w:rPr>
          <w:rFonts w:ascii="Arial" w:cs="Arial" w:eastAsia="Arial" w:hAnsi="Arial"/>
          <w:sz w:val="18"/>
          <w:szCs w:val="18"/>
          <w:color w:val="auto"/>
        </w:rPr>
        <w:t>. The Borrower hereby represents and warrants that:</w:t>
      </w:r>
    </w:p>
    <w:p>
      <w:pPr>
        <w:spacing w:after="0" w:line="117" w:lineRule="exact"/>
        <w:rPr>
          <w:rFonts w:ascii="Arial" w:cs="Arial" w:eastAsia="Arial" w:hAnsi="Arial"/>
          <w:sz w:val="18"/>
          <w:szCs w:val="18"/>
          <w:color w:val="auto"/>
        </w:rPr>
      </w:pPr>
    </w:p>
    <w:p>
      <w:pPr>
        <w:ind w:left="460" w:right="100" w:firstLine="881"/>
        <w:spacing w:after="0" w:line="264" w:lineRule="auto"/>
        <w:tabs>
          <w:tab w:leader="none" w:pos="155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it owns and has legal and beneficial title to all Collateral Obligations and other Collateral free and clear of any Lien, claim or encumbrance of any Person, other than Permitted Liens (or, in the case of an asset of a Blocker Subsidiary, the Borrower has a first priority, perfected security interest in the Blocker Subsidiary’s interest in such asset);</w:t>
      </w:r>
    </w:p>
    <w:p>
      <w:pPr>
        <w:spacing w:after="0" w:line="73" w:lineRule="exact"/>
        <w:rPr>
          <w:rFonts w:ascii="Arial" w:cs="Arial" w:eastAsia="Arial" w:hAnsi="Arial"/>
          <w:sz w:val="18"/>
          <w:szCs w:val="18"/>
          <w:color w:val="auto"/>
        </w:rPr>
      </w:pPr>
    </w:p>
    <w:p>
      <w:pPr>
        <w:ind w:left="460" w:right="80" w:firstLine="881"/>
        <w:spacing w:after="0" w:line="257" w:lineRule="auto"/>
        <w:tabs>
          <w:tab w:leader="none" w:pos="160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other than the security interest granted to the Collateral Agent pursuant to this Agreement,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80" w:lineRule="exact"/>
        <w:rPr>
          <w:rFonts w:ascii="Arial" w:cs="Arial" w:eastAsia="Arial" w:hAnsi="Arial"/>
          <w:sz w:val="18"/>
          <w:szCs w:val="18"/>
          <w:color w:val="auto"/>
        </w:rPr>
      </w:pPr>
    </w:p>
    <w:p>
      <w:pPr>
        <w:ind w:left="460" w:right="660" w:firstLine="881"/>
        <w:spacing w:after="0" w:line="264" w:lineRule="auto"/>
        <w:tabs>
          <w:tab w:leader="none" w:pos="165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Collateral constitutes Money, Cash, Accounts, Instruments, General Intangibles, securities accounts, deposit accounts, Uncertificated Securities, Certificated Securities or security entitlements to financial assets resulting from the crediting of financial assets to a “securities account” (as defined in Section 8-501(a) of the UCC);</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Covered Accounts constitute “securities accounts” under Section 8-501(a) of the UCC;</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20"/>
          </w:cols>
          <w:pgMar w:left="240" w:top="274" w:right="339" w:bottom="1440" w:gutter="0" w:footer="0" w:header="0"/>
        </w:sectPr>
      </w:pPr>
    </w:p>
    <w:bookmarkStart w:id="201" w:name="page202"/>
    <w:bookmarkEnd w:id="201"/>
    <w:p>
      <w:pPr>
        <w:ind w:left="440" w:right="40" w:firstLine="881"/>
        <w:spacing w:after="0" w:line="259" w:lineRule="auto"/>
        <w:tabs>
          <w:tab w:leader="none" w:pos="1571" w:val="left"/>
        </w:tabs>
        <w:numPr>
          <w:ilvl w:val="1"/>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creates a valid, continuing and, upon Delivery of Collateral and execution of the Account Control Agreement, perfected security interest (as defined in Section 1-201(37) of the UCC) in the Collateral in favor of the Collateral Agent, for the benefit and security of the Secured Parties, which security interest is prior to all other liens, claims and encumbrances and is enforceable as such against creditors of and purchasers from the Borrower;</w:t>
      </w:r>
    </w:p>
    <w:p>
      <w:pPr>
        <w:spacing w:after="0" w:line="78" w:lineRule="exact"/>
        <w:rPr>
          <w:rFonts w:ascii="Arial" w:cs="Arial" w:eastAsia="Arial" w:hAnsi="Arial"/>
          <w:sz w:val="18"/>
          <w:szCs w:val="18"/>
          <w:color w:val="auto"/>
        </w:rPr>
      </w:pPr>
    </w:p>
    <w:p>
      <w:pPr>
        <w:ind w:left="440" w:right="200" w:firstLine="881"/>
        <w:spacing w:after="0" w:line="277" w:lineRule="auto"/>
        <w:tabs>
          <w:tab w:leader="none" w:pos="162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Borrower has received all consents and approvals required by the terms of the Collateral to the pledge hereunder to the Collateral Agent of all of its interest and rights in the Collateral;</w:t>
      </w:r>
    </w:p>
    <w:p>
      <w:pPr>
        <w:spacing w:after="0" w:line="62" w:lineRule="exact"/>
        <w:rPr>
          <w:rFonts w:ascii="Arial" w:cs="Arial" w:eastAsia="Arial" w:hAnsi="Arial"/>
          <w:sz w:val="18"/>
          <w:szCs w:val="18"/>
          <w:color w:val="auto"/>
        </w:rPr>
      </w:pPr>
    </w:p>
    <w:p>
      <w:pPr>
        <w:ind w:left="440" w:right="380" w:firstLine="881"/>
        <w:spacing w:after="0" w:line="277" w:lineRule="auto"/>
        <w:tabs>
          <w:tab w:leader="none" w:pos="167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with respect to the Collateral that constitutes Security Entitlements, all such Collateral has been and will have been credited to the Custodial Account;</w:t>
      </w:r>
    </w:p>
    <w:p>
      <w:pPr>
        <w:spacing w:after="0" w:line="62" w:lineRule="exact"/>
        <w:rPr>
          <w:rFonts w:ascii="Arial" w:cs="Arial" w:eastAsia="Arial" w:hAnsi="Arial"/>
          <w:sz w:val="18"/>
          <w:szCs w:val="18"/>
          <w:color w:val="auto"/>
        </w:rPr>
      </w:pPr>
    </w:p>
    <w:p>
      <w:pPr>
        <w:ind w:left="440" w:firstLine="881"/>
        <w:spacing w:after="0" w:line="279" w:lineRule="auto"/>
        <w:tabs>
          <w:tab w:leader="none" w:pos="1721" w:val="left"/>
        </w:tabs>
        <w:numPr>
          <w:ilvl w:val="1"/>
          <w:numId w:val="175"/>
        </w:numPr>
        <w:rPr>
          <w:rFonts w:ascii="Arial" w:cs="Arial" w:eastAsia="Arial" w:hAnsi="Arial"/>
          <w:sz w:val="17"/>
          <w:szCs w:val="17"/>
          <w:color w:val="auto"/>
        </w:rPr>
      </w:pPr>
      <w:r>
        <w:rPr>
          <w:rFonts w:ascii="Arial" w:cs="Arial" w:eastAsia="Arial" w:hAnsi="Arial"/>
          <w:sz w:val="17"/>
          <w:szCs w:val="17"/>
          <w:color w:val="auto"/>
        </w:rPr>
        <w:t>with respect to Collateral that constitutes Accounts or General Intangibles, the Borrower has caused or will have caused, on or prior to the Original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and the Borrower hereby agrees that any such Financing Statement may be an “all assets” filing.</w:t>
      </w:r>
    </w:p>
    <w:p>
      <w:pPr>
        <w:spacing w:after="0" w:line="171" w:lineRule="exact"/>
        <w:rPr>
          <w:rFonts w:ascii="Arial" w:cs="Arial" w:eastAsia="Arial" w:hAnsi="Arial"/>
          <w:sz w:val="17"/>
          <w:szCs w:val="17"/>
          <w:color w:val="auto"/>
        </w:rPr>
      </w:pPr>
    </w:p>
    <w:p>
      <w:pPr>
        <w:ind w:left="-20" w:right="40" w:firstLine="921"/>
        <w:spacing w:after="0" w:line="259" w:lineRule="auto"/>
        <w:tabs>
          <w:tab w:leader="none" w:pos="114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Risk Retention</w:t>
      </w:r>
      <w:r>
        <w:rPr>
          <w:rFonts w:ascii="Arial" w:cs="Arial" w:eastAsia="Arial" w:hAnsi="Arial"/>
          <w:sz w:val="18"/>
          <w:szCs w:val="18"/>
          <w:color w:val="auto"/>
        </w:rPr>
        <w:t>. At all times since the Closing Date, the Retention Provider (i) has held the Retained Interest in accordance with the Retention Requirement Laws, (ii) has not changed the manner in which it retains the Retained Interest, except to the extent permitted under the Retention Requirement Laws and (iii) has not entered into any credit risk mitigation, short position or any other credit risk hedge or credit risk hedging arrangement of any kind with respect to the Retained Interest to the extent prohibited by the Retention Requirement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 of the Borrower</w:t>
      </w:r>
      <w:r>
        <w:rPr>
          <w:rFonts w:ascii="Arial" w:cs="Arial" w:eastAsia="Arial" w:hAnsi="Arial"/>
          <w:sz w:val="18"/>
          <w:szCs w:val="18"/>
          <w:color w:val="auto"/>
        </w:rPr>
        <w: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Borrower covenants and agrees that, until the Final Maturity Date (and thereafter until the date that all Obligations have been paid in full):</w:t>
      </w:r>
    </w:p>
    <w:p>
      <w:pPr>
        <w:spacing w:after="0" w:line="140" w:lineRule="exact"/>
        <w:rPr>
          <w:sz w:val="20"/>
          <w:szCs w:val="20"/>
          <w:color w:val="auto"/>
        </w:rPr>
      </w:pPr>
    </w:p>
    <w:p>
      <w:pPr>
        <w:ind w:left="-20" w:right="40" w:firstLine="921"/>
        <w:spacing w:after="0" w:line="276" w:lineRule="auto"/>
        <w:tabs>
          <w:tab w:leader="none" w:pos="1137"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Compliance with Agreements, Laws, Etc</w:t>
      </w:r>
      <w:r>
        <w:rPr>
          <w:rFonts w:ascii="Arial" w:cs="Arial" w:eastAsia="Arial" w:hAnsi="Arial"/>
          <w:sz w:val="17"/>
          <w:szCs w:val="17"/>
          <w:color w:val="auto"/>
        </w:rPr>
        <w:t>. It shall (i) duly observe, comply with and conform to all Applicable Laws,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the Borrower LLC Agreement and each Related Document to which it is a party and (v) obtain, maintain and keep in full force and effect all Governmental Authorizations, Private Authorizations and Governmental Filings which are necessary to properly carry out its business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60" w:top="274" w:right="239" w:bottom="1440" w:gutter="0" w:footer="0" w:header="0"/>
        </w:sectPr>
      </w:pPr>
    </w:p>
    <w:bookmarkStart w:id="202" w:name="page203"/>
    <w:bookmarkEnd w:id="20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transactions contemplated to be performed by it under the Facility Documents, the Borrower LLC Agreement and the Related Documents to which it is a party.</w:t>
      </w:r>
    </w:p>
    <w:p>
      <w:pPr>
        <w:spacing w:after="0" w:line="170" w:lineRule="exact"/>
        <w:rPr>
          <w:sz w:val="20"/>
          <w:szCs w:val="20"/>
          <w:color w:val="auto"/>
        </w:rPr>
      </w:pPr>
    </w:p>
    <w:p>
      <w:pPr>
        <w:ind w:firstLine="921"/>
        <w:spacing w:after="0" w:line="291" w:lineRule="auto"/>
        <w:tabs>
          <w:tab w:leader="none" w:pos="1168"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(i) It shall not take any action, and will use its commercially reasonable best efforts not to permit any action to be taken by others, that would release any Person from any of such Person’s covenants or obligations under any instrument included in the Collateral, except in the case of</w:t>
      </w:r>
    </w:p>
    <w:p>
      <w:pPr>
        <w:ind w:right="520" w:firstLine="8"/>
        <w:spacing w:after="0" w:line="281" w:lineRule="auto"/>
        <w:tabs>
          <w:tab w:leader="none" w:pos="29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repayment of Collateral Obligations, (B) subject to the other terms of this Agreement, (i) amendments to Related Documents that govern Defaulted Loan/Bonds and (ii) enforcement actions taken or work-outs with respect to any Defaulted Loan/Bond in accordance with the provisions hereof,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actions by the Investment Manager under the Investment Management Agreement and in conformity with this Agreement or as otherwise required hereby.</w:t>
      </w:r>
    </w:p>
    <w:p>
      <w:pPr>
        <w:spacing w:after="0" w:line="125" w:lineRule="exact"/>
        <w:rPr>
          <w:rFonts w:ascii="Arial" w:cs="Arial" w:eastAsia="Arial" w:hAnsi="Arial"/>
          <w:sz w:val="16"/>
          <w:szCs w:val="16"/>
          <w:color w:val="auto"/>
        </w:rPr>
      </w:pPr>
    </w:p>
    <w:p>
      <w:pPr>
        <w:ind w:left="460" w:firstLine="881"/>
        <w:spacing w:after="0" w:line="273" w:lineRule="auto"/>
        <w:tabs>
          <w:tab w:leader="none" w:pos="1601" w:val="left"/>
        </w:tabs>
        <w:numPr>
          <w:ilvl w:val="2"/>
          <w:numId w:val="180"/>
        </w:numPr>
        <w:rPr>
          <w:rFonts w:ascii="Arial" w:cs="Arial" w:eastAsia="Arial" w:hAnsi="Arial"/>
          <w:sz w:val="17"/>
          <w:szCs w:val="17"/>
          <w:color w:val="auto"/>
        </w:rPr>
      </w:pPr>
      <w:r>
        <w:rPr>
          <w:rFonts w:ascii="Arial" w:cs="Arial" w:eastAsia="Arial" w:hAnsi="Arial"/>
          <w:sz w:val="17"/>
          <w:szCs w:val="17"/>
          <w:color w:val="auto"/>
        </w:rPr>
        <w:t>It will not, without the prior written consent of the Facility Agent (at the direction of the Required Lenders) (except in the case of the Investment Management Agreement, in which case no consent shall be required), contract with other Persons for the performance of actions and obligations to be performed by the Borrower hereunder and under the Investment Management Agreement by such Persons. Notwithstanding any such arrangement, the Borrower shall remain primarily liable with respect thereto. The Borrower will punctually perform, and use its best efforts to cause the Investment Manager and such other Person to perform in all material respects, all of their obligations and agreements contained in the Investment Management Agreement, this Agreement or any such other agreement.</w:t>
      </w:r>
    </w:p>
    <w:p>
      <w:pPr>
        <w:spacing w:after="0" w:line="178" w:lineRule="exact"/>
        <w:rPr>
          <w:rFonts w:ascii="Arial" w:cs="Arial" w:eastAsia="Arial" w:hAnsi="Arial"/>
          <w:sz w:val="17"/>
          <w:szCs w:val="17"/>
          <w:color w:val="auto"/>
        </w:rPr>
      </w:pPr>
    </w:p>
    <w:p>
      <w:pPr>
        <w:ind w:right="20" w:firstLine="921"/>
        <w:spacing w:after="0" w:line="287" w:lineRule="auto"/>
        <w:tabs>
          <w:tab w:leader="none" w:pos="1157"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It shall promptly upon the reasonable request of either Agent, at the Borrower’s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Subject to </w:t>
      </w:r>
      <w:r>
        <w:rPr>
          <w:rFonts w:ascii="Arial" w:cs="Arial" w:eastAsia="Arial" w:hAnsi="Arial"/>
          <w:sz w:val="16"/>
          <w:szCs w:val="16"/>
          <w:u w:val="single" w:color="auto"/>
          <w:color w:val="auto"/>
        </w:rPr>
        <w:t>Section 7.02</w:t>
      </w:r>
      <w:r>
        <w:rPr>
          <w:rFonts w:ascii="Arial" w:cs="Arial" w:eastAsia="Arial" w:hAnsi="Arial"/>
          <w:sz w:val="16"/>
          <w:szCs w:val="16"/>
          <w:color w:val="auto"/>
        </w:rPr>
        <w:t>, the Borrower authorizes the Collateral Agent and the Facility Agent to file or record, without the Borrower’s signature, UCC-1 financing statements (including financing statements describing the Collateral as “all assets” or the equivalent) that name the Borrower as debtor and the Collateral Agent as secured party, and ratifies any such filings or recordings made within 30 days prior to the date hereof, and other filing or recording documents or instruments with respect to the Collateral in such form and in such offices as such Agent determines appropriate to perfect the security interests of the Collateral Agent under this Agreement.</w:t>
      </w:r>
    </w:p>
    <w:p>
      <w:pPr>
        <w:spacing w:after="0" w:line="173"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In addition, the Borrower will take such reasonable action from time to time as shall be necessary to ensure that all assets (including all Covered Accounts) of the Borrower constitute “</w:t>
      </w:r>
      <w:r>
        <w:rPr>
          <w:rFonts w:ascii="Arial" w:cs="Arial" w:eastAsia="Arial" w:hAnsi="Arial"/>
          <w:sz w:val="18"/>
          <w:szCs w:val="18"/>
          <w:u w:val="single" w:color="auto"/>
          <w:color w:val="auto"/>
        </w:rPr>
        <w:t>Collateral</w:t>
      </w:r>
      <w:r>
        <w:rPr>
          <w:rFonts w:ascii="Arial" w:cs="Arial" w:eastAsia="Arial" w:hAnsi="Arial"/>
          <w:sz w:val="18"/>
          <w:szCs w:val="18"/>
          <w:color w:val="auto"/>
        </w:rPr>
        <w:t>” hereunder. Subject to the foregoing, the Borrower will upon the reasonable request of either Agent, at the Borrower’s expense, take such other action (including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203" w:name="page204"/>
    <w:bookmarkEnd w:id="203"/>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executing and delivering or authorizing for filing any required UCC financing statements) as shall be necessary to create and perfect a valid and enforceable first-priority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of the Existing Credit Agreement on the Original Closing Date or as either Agent shall have reasonably requested.</w:t>
      </w:r>
    </w:p>
    <w:p>
      <w:pPr>
        <w:spacing w:after="0" w:line="154" w:lineRule="exact"/>
        <w:rPr>
          <w:sz w:val="20"/>
          <w:szCs w:val="20"/>
          <w:color w:val="auto"/>
        </w:rPr>
      </w:pPr>
    </w:p>
    <w:p>
      <w:pPr>
        <w:ind w:left="1180" w:hanging="259"/>
        <w:spacing w:after="0"/>
        <w:tabs>
          <w:tab w:leader="none" w:pos="118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Financial Statements; Other Information</w:t>
      </w:r>
      <w:r>
        <w:rPr>
          <w:rFonts w:ascii="Arial" w:cs="Arial" w:eastAsia="Arial" w:hAnsi="Arial"/>
          <w:sz w:val="18"/>
          <w:szCs w:val="18"/>
          <w:color w:val="auto"/>
        </w:rPr>
        <w:t>. It shall provide to the Facility Agent or cause to be provided to the Facility Agent:</w:t>
      </w:r>
    </w:p>
    <w:p>
      <w:pPr>
        <w:spacing w:after="0" w:line="117" w:lineRule="exact"/>
        <w:rPr>
          <w:rFonts w:ascii="Arial" w:cs="Arial" w:eastAsia="Arial" w:hAnsi="Arial"/>
          <w:sz w:val="18"/>
          <w:szCs w:val="18"/>
          <w:color w:val="auto"/>
        </w:rPr>
      </w:pPr>
    </w:p>
    <w:p>
      <w:pPr>
        <w:ind w:left="460" w:right="20" w:firstLine="881"/>
        <w:spacing w:after="0" w:line="257" w:lineRule="auto"/>
        <w:tabs>
          <w:tab w:leader="none" w:pos="155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as soon as available and in any event within 120 days after the end of each fiscal year of TPG Specialty Lending, Inc. (on a consolidated basis) (beginning with the year ended December 31, 2011), from a firm of Independent certified public accountants of nationally recognized standing, audited financial statements of TPG Specialty Lending, Inc. (on a consolidated basis), including balance sheet, income statement, statement of cash flows and the accompanying footnotes for such fiscal year prepared in accordance with GAAP, setting forth in the case of each fiscal year ending after 2011 in comparative form the figures for the previous fiscal year;</w:t>
      </w:r>
    </w:p>
    <w:p>
      <w:pPr>
        <w:spacing w:after="0" w:line="80" w:lineRule="exact"/>
        <w:rPr>
          <w:rFonts w:ascii="Arial" w:cs="Arial" w:eastAsia="Arial" w:hAnsi="Arial"/>
          <w:sz w:val="18"/>
          <w:szCs w:val="18"/>
          <w:color w:val="auto"/>
        </w:rPr>
      </w:pPr>
    </w:p>
    <w:p>
      <w:pPr>
        <w:ind w:left="460" w:right="60" w:firstLine="881"/>
        <w:spacing w:after="0" w:line="255" w:lineRule="auto"/>
        <w:tabs>
          <w:tab w:leader="none" w:pos="160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as soon as available and in any event within 60 days after the end of each of the first three fiscal quarters of each fiscal year of TPG Specialty Lending, Inc. (on a consolidated basis) (beginning with the quarter ended March 30, 2012), unaudited financial statements of TPG Specialty Lending, Inc. (on a consolidated basis), including balance sheet, income statement, statement of cash flows (and the accompanying footnotes, solely relating to “related transactions” and any swap transactions, if any) for such fiscal quarter and for the portion of the fiscal year ended at the end of such fiscal quarter setting forth in the case of each fiscal quarter ending on or after March 30, 2012 in comparative form the figures for the corresponding fiscal quarter and the corresponding portion of the previous fiscal year, all certified as to fairness of presentation, GAAP and consistency by the Investment Manager;</w:t>
      </w:r>
    </w:p>
    <w:p>
      <w:pPr>
        <w:spacing w:after="0" w:line="81" w:lineRule="exact"/>
        <w:rPr>
          <w:rFonts w:ascii="Arial" w:cs="Arial" w:eastAsia="Arial" w:hAnsi="Arial"/>
          <w:sz w:val="18"/>
          <w:szCs w:val="18"/>
          <w:color w:val="auto"/>
        </w:rPr>
      </w:pPr>
    </w:p>
    <w:p>
      <w:pPr>
        <w:jc w:val="both"/>
        <w:ind w:left="460" w:right="40" w:firstLine="881"/>
        <w:spacing w:after="0" w:line="302" w:lineRule="auto"/>
        <w:tabs>
          <w:tab w:leader="none" w:pos="1651" w:val="left"/>
        </w:tabs>
        <w:numPr>
          <w:ilvl w:val="1"/>
          <w:numId w:val="181"/>
        </w:numPr>
        <w:rPr>
          <w:rFonts w:ascii="Arial" w:cs="Arial" w:eastAsia="Arial" w:hAnsi="Arial"/>
          <w:sz w:val="16"/>
          <w:szCs w:val="16"/>
          <w:color w:val="auto"/>
        </w:rPr>
      </w:pPr>
      <w:r>
        <w:rPr>
          <w:rFonts w:ascii="Arial" w:cs="Arial" w:eastAsia="Arial" w:hAnsi="Arial"/>
          <w:sz w:val="16"/>
          <w:szCs w:val="16"/>
          <w:color w:val="auto"/>
        </w:rPr>
        <w:t>simultaneously with the delivery of each set of annual financial statements referred to in clause (a) above, a certificate of the Borrower certifying (x) that such financial statements fairly present the financial condition and the results of operations of the Borrower on the dates and periods indicated in such financial statements and (y) that no Default or Event of Default occurred during such period or if any Default or Event of Default occurred during such period, setting forth the details thereof and the action which the Borrower is taking or proposes to take with respect thereto;</w:t>
      </w:r>
    </w:p>
    <w:p>
      <w:pPr>
        <w:spacing w:after="0" w:line="46" w:lineRule="exact"/>
        <w:rPr>
          <w:rFonts w:ascii="Arial" w:cs="Arial" w:eastAsia="Arial" w:hAnsi="Arial"/>
          <w:sz w:val="16"/>
          <w:szCs w:val="16"/>
          <w:color w:val="auto"/>
        </w:rPr>
      </w:pPr>
    </w:p>
    <w:p>
      <w:pPr>
        <w:ind w:left="460" w:right="80" w:firstLine="881"/>
        <w:spacing w:after="0" w:line="302" w:lineRule="auto"/>
        <w:tabs>
          <w:tab w:leader="none" w:pos="1641"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as soon as possible, and in any event within five Business Days (in the case of clauses (A), (B), (C) and (D) below) or within one Business Day (in the case of clause (E) below) after a Responsible Officer of the Investment Manager or the Borrower obtains actual knowledge of the occurrence and continuance of any (A) Default, (B) Event of Default, (C) early termination of the Reinvestment Period as a result of the occurrence of an event referred to in clause (d) of the definition of Reinvestment Period, (D) litigation or governmental proceeding pending or actions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204" w:name="page205"/>
    <w:bookmarkEnd w:id="204"/>
    <w:p>
      <w:pPr>
        <w:ind w:right="6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threatened against the Borrower’s rights in the Collateral Obligations; or (E) EoD OC Ratio Failure, a certificate of a Responsible Officer of the Borrower setting forth the details thereof and the action which the Borrower is taking or proposes to take, if any, with respect thereto;</w:t>
      </w:r>
    </w:p>
    <w:p>
      <w:pPr>
        <w:spacing w:after="0" w:line="16" w:lineRule="exact"/>
        <w:rPr>
          <w:sz w:val="20"/>
          <w:szCs w:val="20"/>
          <w:color w:val="auto"/>
        </w:rPr>
      </w:pPr>
    </w:p>
    <w:p>
      <w:pPr>
        <w:ind w:right="40" w:firstLine="881"/>
        <w:spacing w:after="0" w:line="288" w:lineRule="auto"/>
        <w:tabs>
          <w:tab w:leader="none" w:pos="113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from time to time such additional information regarding the Borrower’s financial position or business and the Collateral (including reasonably detailed calculations of each Coverage Test and Collateral Quality Test) as the Facility Agent or the Required Lenders (through the Facility Agent) may request, or as the Lenders may require in order to comply with the FAS 166/167 Regulatory Capital Rules or Basel III or their respective obligations under the Retention Requirement Laws (including a refreshed Retention Letter from the Retention Provider on each Payment Date and as the Lenders may require in order to comply with their respective obligations under the Retention Requirement Laws) in each such case if reasonably available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the Retention Provider provides the Facility Agent and the Lenders with a refreshed Retention Letter on a Payment Date, the Retention Provider shall be deemed to have provided the Facility Agent and the Lenders with a refreshed Retention Letter on any such Payment Date certifying that on such Payment Date the information contained in the prior Retention Letter delivered by the Retention Provider remains unchanged;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notwithstanding the immediately preceding proviso, the Retention Provider shall deliver a Net Economic Interest Letter to the Facility Agent and the Lenders no less frequently than annually;</w:t>
      </w:r>
    </w:p>
    <w:p>
      <w:pPr>
        <w:spacing w:after="0" w:line="61" w:lineRule="exact"/>
        <w:rPr>
          <w:rFonts w:ascii="Arial" w:cs="Arial" w:eastAsia="Arial" w:hAnsi="Arial"/>
          <w:sz w:val="16"/>
          <w:szCs w:val="16"/>
          <w:color w:val="auto"/>
        </w:rPr>
      </w:pPr>
    </w:p>
    <w:p>
      <w:pPr>
        <w:ind w:firstLine="881"/>
        <w:spacing w:after="0" w:line="277" w:lineRule="auto"/>
        <w:tabs>
          <w:tab w:leader="none" w:pos="118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promptly after the occurrence of any ERISA Event, notice of such ERISA Event and copies of any communications with all Authorities or any Multiemployer Plan with respect to such ERISA Event;</w:t>
      </w:r>
    </w:p>
    <w:p>
      <w:pPr>
        <w:spacing w:after="0" w:line="62" w:lineRule="exact"/>
        <w:rPr>
          <w:rFonts w:ascii="Arial" w:cs="Arial" w:eastAsia="Arial" w:hAnsi="Arial"/>
          <w:sz w:val="18"/>
          <w:szCs w:val="18"/>
          <w:color w:val="auto"/>
        </w:rPr>
      </w:pPr>
    </w:p>
    <w:p>
      <w:pPr>
        <w:jc w:val="both"/>
        <w:ind w:right="220" w:firstLine="881"/>
        <w:spacing w:after="0" w:line="286" w:lineRule="auto"/>
        <w:tabs>
          <w:tab w:leader="none" w:pos="123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within 10 Business Days after each Determination Date, a report prepared by the Investment Manager, with respect to the Collateral Obligations, providing summary balance sheet, earnings and performance data (including without limitation EBITDA and relevant leverage metrics) with respect to each of the related Obligors, in each case determined as of the related Determination Date; and</w:t>
      </w:r>
    </w:p>
    <w:p>
      <w:pPr>
        <w:spacing w:after="0" w:line="57" w:lineRule="exact"/>
        <w:rPr>
          <w:rFonts w:ascii="Arial" w:cs="Arial" w:eastAsia="Arial" w:hAnsi="Arial"/>
          <w:sz w:val="17"/>
          <w:szCs w:val="17"/>
          <w:color w:val="auto"/>
        </w:rPr>
      </w:pPr>
    </w:p>
    <w:p>
      <w:pPr>
        <w:ind w:left="1280" w:hanging="399"/>
        <w:spacing w:after="0"/>
        <w:tabs>
          <w:tab w:leader="none" w:pos="1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following with respect to the Retention Requirement Laws:</w:t>
      </w:r>
    </w:p>
    <w:p>
      <w:pPr>
        <w:spacing w:after="0" w:line="117" w:lineRule="exact"/>
        <w:rPr>
          <w:sz w:val="20"/>
          <w:szCs w:val="20"/>
          <w:color w:val="auto"/>
        </w:rPr>
      </w:pPr>
    </w:p>
    <w:p>
      <w:pPr>
        <w:ind w:left="460" w:right="320" w:firstLine="421"/>
        <w:spacing w:after="0" w:line="342" w:lineRule="auto"/>
        <w:tabs>
          <w:tab w:leader="none" w:pos="117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on a monthly basis (concurrent with the delivery of each Monthly Report), a certificate from a Responsible Officer of the Retention Provider confirming continued compliance with the requirements set forth in paragraph 1 of the Retention Letter as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60" w:right="100" w:firstLine="421"/>
        <w:spacing w:after="0" w:line="279" w:lineRule="auto"/>
        <w:tabs>
          <w:tab w:leader="none" w:pos="116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upon any written request therefor by or on behalf of any Affected Lender delivered as a result of (1) a material change in (x) the performance of the Advances, (y) the risk characteristics of the transaction contemplated by the Facility Documents or (z) the Collateral Obligations and/or the Eligible Investments from time to time, or (2) the breach of the Retention Letter or any Facility Document to which it is a party, a certificate from a Responsible Officer of the Retention Provider confirming continued compliance with the requirements</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700" w:top="274" w:right="239" w:bottom="1440" w:gutter="0" w:footer="0" w:header="0"/>
        </w:sectPr>
      </w:pPr>
    </w:p>
    <w:bookmarkStart w:id="205" w:name="page206"/>
    <w:bookmarkEnd w:id="20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set forth in paragraph 1 and paragraph 2 of the form of Retention Letter as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17" w:lineRule="exact"/>
        <w:rPr>
          <w:sz w:val="20"/>
          <w:szCs w:val="20"/>
          <w:color w:val="auto"/>
        </w:rPr>
      </w:pPr>
    </w:p>
    <w:p>
      <w:pPr>
        <w:ind w:left="900" w:right="80" w:firstLine="421"/>
        <w:spacing w:after="0" w:line="277" w:lineRule="auto"/>
        <w:tabs>
          <w:tab w:leader="none" w:pos="160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promptly following a request by the Borrower which is received in connection with a material amendment of any Facility Document, a refreshed Retention Letter from the Retention Provider;</w:t>
      </w:r>
    </w:p>
    <w:p>
      <w:pPr>
        <w:spacing w:after="0" w:line="62" w:lineRule="exact"/>
        <w:rPr>
          <w:rFonts w:ascii="Arial" w:cs="Arial" w:eastAsia="Arial" w:hAnsi="Arial"/>
          <w:sz w:val="18"/>
          <w:szCs w:val="18"/>
          <w:color w:val="auto"/>
        </w:rPr>
      </w:pPr>
    </w:p>
    <w:p>
      <w:pPr>
        <w:ind w:left="1620" w:hanging="299"/>
        <w:spacing w:after="0"/>
        <w:tabs>
          <w:tab w:leader="none" w:pos="16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promptly on becoming aware of the occurrence thereof, written notice of any failure to satisfy the Retention Requirement at any time;</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900" w:right="200" w:firstLine="421"/>
        <w:spacing w:after="0" w:line="297" w:lineRule="auto"/>
        <w:tabs>
          <w:tab w:leader="none" w:pos="1595"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upon the request of any Affected Lender or the Facility Agent, such information as may be reasonably required so as to ensure compliance with the provisions of the Retention Requirement Laws, so long as any such Affected Lender or the Facility Agent, as applicable, agrees to keep confidential such information provided to it by the Retention Provider in accordance with the terms and conditions of </w:t>
      </w:r>
      <w:r>
        <w:rPr>
          <w:rFonts w:ascii="Arial" w:cs="Arial" w:eastAsia="Arial" w:hAnsi="Arial"/>
          <w:sz w:val="16"/>
          <w:szCs w:val="16"/>
          <w:u w:val="single" w:color="auto"/>
          <w:color w:val="auto"/>
        </w:rPr>
        <w:t>Section 12.09</w:t>
      </w:r>
      <w:r>
        <w:rPr>
          <w:rFonts w:ascii="Arial" w:cs="Arial" w:eastAsia="Arial" w:hAnsi="Arial"/>
          <w:sz w:val="16"/>
          <w:szCs w:val="16"/>
          <w:color w:val="auto"/>
        </w:rPr>
        <w:t xml:space="preserv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Affected Lender or the Facility Agent may share such information with any Authority (including any bank regulatory agency) as may be necessary to ensure compliance with the provisions of the Retention Requirement Laws.</w:t>
      </w:r>
    </w:p>
    <w:p>
      <w:pPr>
        <w:spacing w:after="0" w:line="158" w:lineRule="exact"/>
        <w:rPr>
          <w:rFonts w:ascii="Arial" w:cs="Arial" w:eastAsia="Arial" w:hAnsi="Arial"/>
          <w:sz w:val="16"/>
          <w:szCs w:val="16"/>
          <w:color w:val="auto"/>
        </w:rPr>
      </w:pPr>
    </w:p>
    <w:p>
      <w:pPr>
        <w:ind w:left="-20" w:firstLine="921"/>
        <w:spacing w:after="0" w:line="291" w:lineRule="auto"/>
        <w:tabs>
          <w:tab w:leader="none" w:pos="1137"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Access to Records and Documents</w:t>
      </w:r>
      <w:r>
        <w:rPr>
          <w:rFonts w:ascii="Arial" w:cs="Arial" w:eastAsia="Arial" w:hAnsi="Arial"/>
          <w:sz w:val="16"/>
          <w:szCs w:val="16"/>
          <w:color w:val="auto"/>
        </w:rPr>
        <w:t xml:space="preserve">. It shall cause the Investment Manager to permit (at the Borrower’s expense) the Facility Agent, or its designees, to, upon reasonable advance notice and during normal business hours, visit and inspect and make copies of (i) the Investment Manager’s books, records and accounts relating to the Investment Manager’s and the Borrower’s business, financial condition, operations, assets and performance under the Facility Documents and the Related Documents and to discuss the foregoing with the Investment Manager’s officers, partners, employees and accountants, and (ii) all of the Related Documents available to the Investment Manager;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has occurred and is continuing, each Person entitled to so visit and inspect the Investment Manager’s records under this clause (e) may only exercise its rights under this clause (e) once during any fiscal quarter of the Investment Manager and only one such quarterly visit per annum shall be at the Borrower’s expense;</w:t>
      </w:r>
    </w:p>
    <w:p>
      <w:pPr>
        <w:spacing w:after="0" w:line="167" w:lineRule="exact"/>
        <w:rPr>
          <w:rFonts w:ascii="Arial" w:cs="Arial" w:eastAsia="Arial" w:hAnsi="Arial"/>
          <w:sz w:val="16"/>
          <w:szCs w:val="16"/>
          <w:color w:val="auto"/>
        </w:rPr>
      </w:pPr>
    </w:p>
    <w:p>
      <w:pPr>
        <w:ind w:left="1120" w:hanging="219"/>
        <w:spacing w:after="0"/>
        <w:tabs>
          <w:tab w:leader="none" w:pos="112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It shall use the proceeds of each Advance made hereunder solely:</w:t>
      </w:r>
    </w:p>
    <w:p>
      <w:pPr>
        <w:spacing w:after="0" w:line="117" w:lineRule="exact"/>
        <w:rPr>
          <w:sz w:val="20"/>
          <w:szCs w:val="20"/>
          <w:color w:val="auto"/>
        </w:rPr>
      </w:pPr>
    </w:p>
    <w:p>
      <w:pPr>
        <w:ind w:left="440" w:right="40" w:firstLine="881"/>
        <w:spacing w:after="0" w:line="277" w:lineRule="auto"/>
        <w:tabs>
          <w:tab w:leader="none" w:pos="153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fund or pay the purchase price of Collateral Obligations or Eligible Investments acquired or originated by the Borrower in accordance with the terms and conditions set forth herein;</w:t>
      </w:r>
    </w:p>
    <w:p>
      <w:pPr>
        <w:spacing w:after="0" w:line="62" w:lineRule="exact"/>
        <w:rPr>
          <w:rFonts w:ascii="Arial" w:cs="Arial" w:eastAsia="Arial" w:hAnsi="Arial"/>
          <w:sz w:val="18"/>
          <w:szCs w:val="18"/>
          <w:color w:val="auto"/>
        </w:rPr>
      </w:pPr>
    </w:p>
    <w:p>
      <w:pPr>
        <w:ind w:left="440" w:right="600" w:firstLine="881"/>
        <w:spacing w:after="0" w:line="277" w:lineRule="auto"/>
        <w:tabs>
          <w:tab w:leader="none" w:pos="158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fund additional extensions of credit under Revolving Collateral Loans and Delayed Drawdown Collateral Loans purchased in accordance with the terms of this Agreement; and</w:t>
      </w:r>
    </w:p>
    <w:p>
      <w:pPr>
        <w:spacing w:after="0" w:line="62" w:lineRule="exact"/>
        <w:rPr>
          <w:rFonts w:ascii="Arial" w:cs="Arial" w:eastAsia="Arial" w:hAnsi="Arial"/>
          <w:sz w:val="18"/>
          <w:szCs w:val="18"/>
          <w:color w:val="auto"/>
        </w:rPr>
      </w:pPr>
    </w:p>
    <w:p>
      <w:pPr>
        <w:ind w:left="440" w:right="60" w:firstLine="881"/>
        <w:spacing w:after="0" w:line="264" w:lineRule="auto"/>
        <w:tabs>
          <w:tab w:leader="none" w:pos="163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to fund the Revolving Reserve Account on or prior to the Commitment Termination Date to the extent the Revolving Reserve Account is required to be funded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(and the Borrower shall submit a Notice of Borrowing requesting a Borrowing for a Borrowing Date falling no more than five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60" w:top="274" w:right="239" w:bottom="1440" w:gutter="0" w:footer="0" w:header="0"/>
        </w:sectPr>
      </w:pPr>
    </w:p>
    <w:bookmarkStart w:id="206" w:name="page207"/>
    <w:bookmarkEnd w:id="206"/>
    <w:p>
      <w:pPr>
        <w:ind w:left="460"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Business Days and no less than one Business Day prior to the Commitment Termination Date with a Requested Amount sufficient to fully fund the Revolving Reserve Account under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Without limiting the foregoing, it shall use the proceeds of each Advance in a manner that does not, directly or indirectly, violate any provision of its Constituent Documents or any Applicable Law, including Regulation U and Regulation X.</w:t>
      </w:r>
    </w:p>
    <w:p>
      <w:pPr>
        <w:spacing w:after="0" w:line="170" w:lineRule="exact"/>
        <w:rPr>
          <w:sz w:val="20"/>
          <w:szCs w:val="20"/>
          <w:color w:val="auto"/>
        </w:rPr>
      </w:pPr>
    </w:p>
    <w:p>
      <w:pPr>
        <w:ind w:right="40" w:firstLine="921"/>
        <w:spacing w:after="0" w:line="264" w:lineRule="auto"/>
        <w:tabs>
          <w:tab w:leader="none" w:pos="116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Opinions as to Collateral</w:t>
      </w:r>
      <w:r>
        <w:rPr>
          <w:rFonts w:ascii="Arial" w:cs="Arial" w:eastAsia="Arial" w:hAnsi="Arial"/>
          <w:sz w:val="18"/>
          <w:szCs w:val="18"/>
          <w:color w:val="auto"/>
        </w:rPr>
        <w:t>. On or before September 30 in each calendar year, commencing in 2012, the Borrower shall furnish to the Agents and DBRS an opinion of counsel, addressed to the Borrower, the Agents and DBRS, relating to the continued perfection of the security interest granted by the Borrower to the Collateral Agent hereunder.</w:t>
      </w:r>
    </w:p>
    <w:p>
      <w:pPr>
        <w:spacing w:after="0" w:line="181" w:lineRule="exact"/>
        <w:rPr>
          <w:rFonts w:ascii="Arial" w:cs="Arial" w:eastAsia="Arial" w:hAnsi="Arial"/>
          <w:sz w:val="18"/>
          <w:szCs w:val="18"/>
          <w:color w:val="auto"/>
        </w:rPr>
      </w:pPr>
    </w:p>
    <w:p>
      <w:pPr>
        <w:ind w:right="160" w:firstLine="921"/>
        <w:spacing w:after="0" w:line="259" w:lineRule="auto"/>
        <w:tabs>
          <w:tab w:leader="none" w:pos="116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Rating Monitoring</w:t>
      </w:r>
      <w:r>
        <w:rPr>
          <w:rFonts w:ascii="Arial" w:cs="Arial" w:eastAsia="Arial" w:hAnsi="Arial"/>
          <w:sz w:val="18"/>
          <w:szCs w:val="18"/>
          <w:color w:val="auto"/>
        </w:rPr>
        <w:t>. On or before September 30 in each calendar year, commencing in 2012, the Borrower shall pay for the ongoing monitoring of the rating of the Facility from DBRS. The Borrower shall promptly notify the Agents and the Investment Manager in writing (and the Facility Agent shall promptly provide the Lenders with a copy of such notice) if at any time the rating of the Facility has been changed or withdrawn or the rating outlook on the Facility has been changed.</w:t>
      </w:r>
    </w:p>
    <w:p>
      <w:pPr>
        <w:spacing w:after="0" w:line="186" w:lineRule="exact"/>
        <w:rPr>
          <w:rFonts w:ascii="Arial" w:cs="Arial" w:eastAsia="Arial" w:hAnsi="Arial"/>
          <w:sz w:val="18"/>
          <w:szCs w:val="18"/>
          <w:color w:val="auto"/>
        </w:rPr>
      </w:pPr>
    </w:p>
    <w:p>
      <w:pPr>
        <w:ind w:right="40" w:firstLine="921"/>
        <w:spacing w:after="0" w:line="255" w:lineRule="auto"/>
        <w:tabs>
          <w:tab w:leader="none" w:pos="112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 Other Business</w:t>
      </w:r>
      <w:r>
        <w:rPr>
          <w:rFonts w:ascii="Arial" w:cs="Arial" w:eastAsia="Arial" w:hAnsi="Arial"/>
          <w:sz w:val="18"/>
          <w:szCs w:val="18"/>
          <w:color w:val="auto"/>
        </w:rPr>
        <w:t>. From and after the Original Closing Date, the Borrower shall not engage in any business or activity other than borrowing Advances pursuant to this Agreement, originating, funding, acquiring, owning, holding, administering, selling, enforcing, lending, exchanging, redeeming, pledging, contracting for the management of and otherwise dealing with Collateral Obligations, Eligible Investments and the other Collateral in connection therewith (including assets received upon enforcement or work-out and establishing and maintaining Blocker Subsidiaries) and entering into the Facility Documents, any agreements whereby the Borrower lends funds to a Blocker Subsidiary for purposes of acquiring assets not permitted to be held directly by the Borrower under this Agreement, any applicable Related Documents and any other agreements contemplated by this Agreement and any business ancillary thereto.</w:t>
      </w:r>
    </w:p>
    <w:p>
      <w:pPr>
        <w:spacing w:after="0" w:line="189" w:lineRule="exact"/>
        <w:rPr>
          <w:rFonts w:ascii="Arial" w:cs="Arial" w:eastAsia="Arial" w:hAnsi="Arial"/>
          <w:sz w:val="18"/>
          <w:szCs w:val="18"/>
          <w:color w:val="auto"/>
        </w:rPr>
      </w:pPr>
    </w:p>
    <w:p>
      <w:pPr>
        <w:ind w:right="140" w:firstLine="921"/>
        <w:spacing w:after="0" w:line="255" w:lineRule="auto"/>
        <w:tabs>
          <w:tab w:leader="none" w:pos="112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 The Borrower shall (and each Lender hereby agrees to) treat the Facility and the Notes as debt for U.S. federal income tax purposes and will take no contrary position unless otherwise required (i) due to a change of law occurring after the Original Closing Date, (ii) pursuant to a closing agreement with the U.S. Internal Revenue Service or (iii) pursuant to a non-appealable judgment of a court of competent jurisdiction. Assuming that such treatment is correct, the Borrower shall at all times maintain its status as an entity that is not a publicly traded partnership or an association taxable as a corporation for U.S. federal income tax purposes. The Borrower shall at all times ensure that it is treated for U.S. federal income tax purposes as owned by a United States person.</w:t>
      </w:r>
    </w:p>
    <w:p>
      <w:pPr>
        <w:spacing w:after="0" w:line="193" w:lineRule="exact"/>
        <w:rPr>
          <w:rFonts w:ascii="Arial" w:cs="Arial" w:eastAsia="Arial" w:hAnsi="Arial"/>
          <w:sz w:val="18"/>
          <w:szCs w:val="18"/>
          <w:color w:val="auto"/>
        </w:rPr>
      </w:pPr>
    </w:p>
    <w:p>
      <w:pPr>
        <w:ind w:right="180" w:firstLine="921"/>
        <w:spacing w:after="0" w:line="342" w:lineRule="auto"/>
        <w:tabs>
          <w:tab w:leader="none" w:pos="1168"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Provision of Information</w:t>
      </w:r>
      <w:r>
        <w:rPr>
          <w:rFonts w:ascii="Arial" w:cs="Arial" w:eastAsia="Arial" w:hAnsi="Arial"/>
          <w:sz w:val="16"/>
          <w:szCs w:val="16"/>
          <w:color w:val="auto"/>
        </w:rPr>
        <w:t>. With respect to each Collateral Obligation, the Borrower will provide to each Rating Agency, Agent or Lender all information reasonably requested by such Rating Agency, Agent or Lender that is in its possession or can be obtained by it without unreasonable expense.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207" w:name="page208"/>
    <w:bookmarkEnd w:id="207"/>
    <w:p>
      <w:pPr>
        <w:ind w:left="-20" w:right="60" w:firstLine="921"/>
        <w:spacing w:after="0" w:line="293" w:lineRule="auto"/>
        <w:tabs>
          <w:tab w:leader="none" w:pos="1108"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Retention</w:t>
      </w:r>
      <w:r>
        <w:rPr>
          <w:rFonts w:ascii="Arial" w:cs="Arial" w:eastAsia="Arial" w:hAnsi="Arial"/>
          <w:sz w:val="16"/>
          <w:szCs w:val="16"/>
          <w:color w:val="auto"/>
        </w:rPr>
        <w:t>. The Borrower shall ensure (by obtaining a signed Retention Letter from a Responsible Officer of the Retention Provider from time to time upon the written request of the Facility Agent) that, among other things, the Retention Provider (i) at all times will hold the Retained Interest in accordance with the Retention Requirement Laws, (ii) will not change the manner in which it retains the Retained Interest, except to the extent permitted under the Retention Requirement Laws, (iii) will not enter into any credit risk mitigation, short position or any other credit risk hedge or credit risk hedging arrangement of any kind with respect to the Retained Interest to the extent prohibited by the Retention Requirement Laws and (iv) will not amend, supplement, modify, repudiate, or waive any provision of, any Retention Letter without the written consent of the Facility Agent and each Affected Lender.</w:t>
      </w:r>
    </w:p>
    <w:p>
      <w:pPr>
        <w:spacing w:after="0" w:line="164" w:lineRule="exact"/>
        <w:rPr>
          <w:rFonts w:ascii="Arial" w:cs="Arial" w:eastAsia="Arial" w:hAnsi="Arial"/>
          <w:sz w:val="16"/>
          <w:szCs w:val="16"/>
          <w:color w:val="auto"/>
        </w:rPr>
      </w:pPr>
    </w:p>
    <w:p>
      <w:pPr>
        <w:jc w:val="both"/>
        <w:ind w:left="-20" w:firstLine="921"/>
        <w:spacing w:after="0" w:line="279" w:lineRule="auto"/>
        <w:tabs>
          <w:tab w:leader="none" w:pos="1198"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Credit Estimate</w:t>
      </w:r>
      <w:r>
        <w:rPr>
          <w:rFonts w:ascii="Arial" w:cs="Arial" w:eastAsia="Arial" w:hAnsi="Arial"/>
          <w:sz w:val="17"/>
          <w:szCs w:val="17"/>
          <w:color w:val="auto"/>
        </w:rPr>
        <w:t>. With respect to each Collateral Obligation which has received a Credit Estimate from DBRS, the Borrower, on or prior to the 367th day after the date of assignment of such Credit Estimate, shall provide updated information available to it relating to such Collateral Obligation as may reasonably be requested by DBRS, and apply to DBRS for an updated Credit Estimate within such 367 day period. Promptly upon the Borrower’s receipt of any such updated Credit Estimate from DBRS, the Borrower shall deliver such updated Credit Estimate to the Collateral Agent.</w:t>
      </w:r>
    </w:p>
    <w:p>
      <w:pPr>
        <w:spacing w:after="0" w:line="171" w:lineRule="exact"/>
        <w:rPr>
          <w:rFonts w:ascii="Arial" w:cs="Arial" w:eastAsia="Arial" w:hAnsi="Arial"/>
          <w:sz w:val="17"/>
          <w:szCs w:val="17"/>
          <w:color w:val="auto"/>
        </w:rPr>
      </w:pPr>
    </w:p>
    <w:p>
      <w:pPr>
        <w:ind w:left="-20" w:right="140" w:firstLine="921"/>
        <w:spacing w:after="0" w:line="264" w:lineRule="auto"/>
        <w:tabs>
          <w:tab w:leader="none" w:pos="114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Each repayment of principal or interest under this Agreement shall be (x) in payment of a debt incurred by the Borrower in the ordinary course of business or financial affairs of the Borrower and (y) made in the ordinary course of business or financial affairs of the Borrower.</w:t>
      </w:r>
    </w:p>
    <w:p>
      <w:pPr>
        <w:spacing w:after="0" w:line="18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Negative Covenants of the Borrower</w:t>
      </w:r>
      <w:r>
        <w:rPr>
          <w:rFonts w:ascii="Arial" w:cs="Arial" w:eastAsia="Arial" w:hAnsi="Arial"/>
          <w:sz w:val="18"/>
          <w:szCs w:val="18"/>
          <w:color w:val="auto"/>
        </w:rPr>
        <w: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Borrower covenants and agrees that, until the Final Maturity Date (and thereafter until the date that all Obligations have been paid in full):</w:t>
      </w:r>
    </w:p>
    <w:p>
      <w:pPr>
        <w:spacing w:after="0" w:line="140" w:lineRule="exact"/>
        <w:rPr>
          <w:sz w:val="20"/>
          <w:szCs w:val="20"/>
          <w:color w:val="auto"/>
        </w:rPr>
      </w:pPr>
    </w:p>
    <w:p>
      <w:pPr>
        <w:ind w:left="-20" w:right="120" w:firstLine="921"/>
        <w:spacing w:after="0" w:line="286" w:lineRule="auto"/>
        <w:tabs>
          <w:tab w:leader="none" w:pos="1137"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Restrictive Agreements</w:t>
      </w:r>
      <w:r>
        <w:rPr>
          <w:rFonts w:ascii="Arial" w:cs="Arial" w:eastAsia="Arial" w:hAnsi="Arial"/>
          <w:sz w:val="17"/>
          <w:szCs w:val="17"/>
          <w:color w:val="auto"/>
        </w:rPr>
        <w:t>. It shall not enter into or suffer to exist or become effective any agreement that prohibits, limits or imposes any condition upon its ability to create, incur, assume or suffer to exist any Lien upon any of its property or revenues constituting Collateral, whether now owned or hereafter acquired, to secure its obligations under the Facility Documents other than this Agreement and the other Facility Documents.</w:t>
      </w:r>
    </w:p>
    <w:p>
      <w:pPr>
        <w:spacing w:after="0" w:line="165" w:lineRule="exact"/>
        <w:rPr>
          <w:rFonts w:ascii="Arial" w:cs="Arial" w:eastAsia="Arial" w:hAnsi="Arial"/>
          <w:sz w:val="17"/>
          <w:szCs w:val="17"/>
          <w:color w:val="auto"/>
        </w:rPr>
      </w:pPr>
    </w:p>
    <w:p>
      <w:pPr>
        <w:ind w:left="-20" w:right="60" w:firstLine="921"/>
        <w:spacing w:after="0" w:line="259" w:lineRule="auto"/>
        <w:tabs>
          <w:tab w:leader="none" w:pos="1148"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Liquidation; Merger; Sale of Collateral</w:t>
      </w:r>
      <w:r>
        <w:rPr>
          <w:rFonts w:ascii="Arial" w:cs="Arial" w:eastAsia="Arial" w:hAnsi="Arial"/>
          <w:sz w:val="18"/>
          <w:szCs w:val="18"/>
          <w:color w:val="auto"/>
        </w:rPr>
        <w:t>. It shall not consummate any plan of liquidation, dissolution, partial liquidation, merger or consolidation (or suffer any liquidation, dissolution or partial liquidation) nor sell, transfer, exchange or otherwise dispose of any of its assets, or enter into an agreement or commitment to do so or enter into or engage in any business with respect to any part of its assets, except as expressly permitted by this Agreement and the other Facility Documents.</w:t>
      </w:r>
    </w:p>
    <w:p>
      <w:pPr>
        <w:spacing w:after="0" w:line="186" w:lineRule="exact"/>
        <w:rPr>
          <w:rFonts w:ascii="Arial" w:cs="Arial" w:eastAsia="Arial" w:hAnsi="Arial"/>
          <w:sz w:val="18"/>
          <w:szCs w:val="18"/>
          <w:color w:val="auto"/>
        </w:rPr>
      </w:pPr>
    </w:p>
    <w:p>
      <w:pPr>
        <w:ind w:left="-20" w:right="40" w:firstLine="921"/>
        <w:spacing w:after="0" w:line="264" w:lineRule="auto"/>
        <w:tabs>
          <w:tab w:leader="none" w:pos="1137"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Amendments to Constituent Documents and Facility Documents</w:t>
      </w:r>
      <w:r>
        <w:rPr>
          <w:rFonts w:ascii="Arial" w:cs="Arial" w:eastAsia="Arial" w:hAnsi="Arial"/>
          <w:sz w:val="18"/>
          <w:szCs w:val="18"/>
          <w:color w:val="auto"/>
        </w:rPr>
        <w:t>. Except as otherwise provided in this Agreement, it shall not amend, change, waive or otherwise modify or take any action inconsistent with any of the Special Purpose Provisions, any of its Constituent Documents or any Facility Document, in each case, without the consent of the Facility Agent.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60" w:top="274" w:right="239" w:bottom="1440" w:gutter="0" w:footer="0" w:header="0"/>
        </w:sectPr>
      </w:pPr>
    </w:p>
    <w:bookmarkStart w:id="208" w:name="page209"/>
    <w:bookmarkEnd w:id="208"/>
    <w:p>
      <w:pPr>
        <w:ind w:left="1172" w:hanging="259"/>
        <w:spacing w:after="0"/>
        <w:tabs>
          <w:tab w:leader="none" w:pos="1172"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ERISA</w:t>
      </w:r>
      <w:r>
        <w:rPr>
          <w:rFonts w:ascii="Arial" w:cs="Arial" w:eastAsia="Arial" w:hAnsi="Arial"/>
          <w:sz w:val="18"/>
          <w:szCs w:val="18"/>
          <w:color w:val="auto"/>
        </w:rPr>
        <w:t>. It shall not establish any Plan or Multiemployer Plan and shall not become a member of an ERISA Group.</w:t>
      </w:r>
    </w:p>
    <w:p>
      <w:pPr>
        <w:spacing w:after="0" w:line="225" w:lineRule="exact"/>
        <w:rPr>
          <w:rFonts w:ascii="Arial" w:cs="Arial" w:eastAsia="Arial" w:hAnsi="Arial"/>
          <w:sz w:val="18"/>
          <w:szCs w:val="18"/>
          <w:color w:val="auto"/>
        </w:rPr>
      </w:pPr>
    </w:p>
    <w:p>
      <w:pPr>
        <w:ind w:left="-8" w:right="160" w:firstLine="921"/>
        <w:spacing w:after="0" w:line="277" w:lineRule="auto"/>
        <w:tabs>
          <w:tab w:leader="none" w:pos="1149"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It shall not create, assume or suffer to exist any Lien on any of its assets now owned or hereafter acquired, except for Permitted Liens and as otherwise expressly permitted by this Agreement and the other Facility Documents.</w:t>
      </w:r>
    </w:p>
    <w:p>
      <w:pPr>
        <w:spacing w:after="0" w:line="170" w:lineRule="exact"/>
        <w:rPr>
          <w:rFonts w:ascii="Arial" w:cs="Arial" w:eastAsia="Arial" w:hAnsi="Arial"/>
          <w:sz w:val="18"/>
          <w:szCs w:val="18"/>
          <w:color w:val="auto"/>
        </w:rPr>
      </w:pPr>
    </w:p>
    <w:p>
      <w:pPr>
        <w:ind w:left="-8" w:right="280" w:firstLine="921"/>
        <w:spacing w:after="0" w:line="279" w:lineRule="auto"/>
        <w:tabs>
          <w:tab w:leader="none" w:pos="1130"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Margin Requirements</w:t>
      </w:r>
      <w:r>
        <w:rPr>
          <w:rFonts w:ascii="Arial" w:cs="Arial" w:eastAsia="Arial" w:hAnsi="Arial"/>
          <w:sz w:val="17"/>
          <w:szCs w:val="17"/>
          <w:color w:val="auto"/>
        </w:rPr>
        <w:t>. It shall not (i) extend credit to others for the purpose of buying or carrying any Margin Stock in such a manner as to violate Regulation U or (ii) use all or any part of the proceeds of any Advance, whether directly or indirectly, and whether immediately, incidentally or ultimately, for any purpose that violates any provision of the Regulations of the Board of Governors, including, to the extent applicable, Regulation U and Regulation X, or for any purpose that would cause any of the Lenders to be in violation of Regulation U.</w:t>
      </w:r>
    </w:p>
    <w:p>
      <w:pPr>
        <w:spacing w:after="0" w:line="171" w:lineRule="exact"/>
        <w:rPr>
          <w:rFonts w:ascii="Arial" w:cs="Arial" w:eastAsia="Arial" w:hAnsi="Arial"/>
          <w:sz w:val="17"/>
          <w:szCs w:val="17"/>
          <w:color w:val="auto"/>
        </w:rPr>
      </w:pPr>
    </w:p>
    <w:p>
      <w:pPr>
        <w:jc w:val="both"/>
        <w:ind w:left="-8" w:right="60" w:firstLine="921"/>
        <w:spacing w:after="0" w:line="286" w:lineRule="auto"/>
        <w:tabs>
          <w:tab w:leader="none" w:pos="1160"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Changes to Filing Information</w:t>
      </w:r>
      <w:r>
        <w:rPr>
          <w:rFonts w:ascii="Arial" w:cs="Arial" w:eastAsia="Arial" w:hAnsi="Arial"/>
          <w:sz w:val="17"/>
          <w:szCs w:val="17"/>
          <w:color w:val="auto"/>
        </w:rPr>
        <w:t xml:space="preserve">. It shall not change its name or its jurisdiction of organization from that referred to in </w:t>
      </w:r>
      <w:r>
        <w:rPr>
          <w:rFonts w:ascii="Arial" w:cs="Arial" w:eastAsia="Arial" w:hAnsi="Arial"/>
          <w:sz w:val="17"/>
          <w:szCs w:val="17"/>
          <w:u w:val="single" w:color="auto"/>
          <w:color w:val="auto"/>
        </w:rPr>
        <w:t>Section 4.01(a)</w:t>
      </w:r>
      <w:r>
        <w:rPr>
          <w:rFonts w:ascii="Arial" w:cs="Arial" w:eastAsia="Arial" w:hAnsi="Arial"/>
          <w:sz w:val="17"/>
          <w:szCs w:val="17"/>
          <w:color w:val="auto"/>
        </w:rPr>
        <w:t>, unless it gives sixty days’ prior written notice to the Agents and takes all actions that the either Agent reasonably determines to be necessary to protect and perfect the Collateral Agent’s perfected security interest in the Collateral of the Borrower contemplated by this Agreement.</w:t>
      </w:r>
    </w:p>
    <w:p>
      <w:pPr>
        <w:spacing w:after="0" w:line="165" w:lineRule="exact"/>
        <w:rPr>
          <w:rFonts w:ascii="Arial" w:cs="Arial" w:eastAsia="Arial" w:hAnsi="Arial"/>
          <w:sz w:val="17"/>
          <w:szCs w:val="17"/>
          <w:color w:val="auto"/>
        </w:rPr>
      </w:pPr>
    </w:p>
    <w:p>
      <w:pPr>
        <w:ind w:left="-8" w:firstLine="921"/>
        <w:spacing w:after="0" w:line="302" w:lineRule="auto"/>
        <w:tabs>
          <w:tab w:leader="none" w:pos="116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Except as permitted in this Agreement and the other Facility Documents, it shall not sell, lease or otherwise transfer any property or assets to, or purchase, lease or otherwise acquire any property or assets from, or otherwise engage in any other transactions with, any of its Affiliates (including, without limitation, sales of Defaulted Loan/Bonds, Credit Risk Loan/Bonds and other Collateral Obligations), unless such transaction is upon terms no less favorable to the Borrower than it would obtain in a comparable arm’s length transaction with a Person that is not an Affiliate.</w:t>
      </w:r>
    </w:p>
    <w:p>
      <w:pPr>
        <w:spacing w:after="0" w:line="154" w:lineRule="exact"/>
        <w:rPr>
          <w:rFonts w:ascii="Arial" w:cs="Arial" w:eastAsia="Arial" w:hAnsi="Arial"/>
          <w:sz w:val="16"/>
          <w:szCs w:val="16"/>
          <w:color w:val="auto"/>
        </w:rPr>
      </w:pPr>
    </w:p>
    <w:p>
      <w:pPr>
        <w:ind w:left="-8" w:right="320" w:firstLine="921"/>
        <w:spacing w:after="0" w:line="277" w:lineRule="auto"/>
        <w:tabs>
          <w:tab w:leader="none" w:pos="112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Investment Company Restriction</w:t>
      </w:r>
      <w:r>
        <w:rPr>
          <w:rFonts w:ascii="Arial" w:cs="Arial" w:eastAsia="Arial" w:hAnsi="Arial"/>
          <w:sz w:val="18"/>
          <w:szCs w:val="18"/>
          <w:color w:val="auto"/>
        </w:rPr>
        <w:t>. It shall not and it shall not permit the pool of Collateral to become required to register as an “investment company” under the Investment Company Act.</w:t>
      </w:r>
    </w:p>
    <w:p>
      <w:pPr>
        <w:spacing w:after="0" w:line="170" w:lineRule="exact"/>
        <w:rPr>
          <w:rFonts w:ascii="Arial" w:cs="Arial" w:eastAsia="Arial" w:hAnsi="Arial"/>
          <w:sz w:val="18"/>
          <w:szCs w:val="18"/>
          <w:color w:val="auto"/>
        </w:rPr>
      </w:pPr>
    </w:p>
    <w:p>
      <w:pPr>
        <w:ind w:left="-8" w:right="20" w:firstLine="921"/>
        <w:spacing w:after="0" w:line="264" w:lineRule="auto"/>
        <w:tabs>
          <w:tab w:leader="none" w:pos="112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Subject Laws</w:t>
      </w:r>
      <w:r>
        <w:rPr>
          <w:rFonts w:ascii="Arial" w:cs="Arial" w:eastAsia="Arial" w:hAnsi="Arial"/>
          <w:sz w:val="18"/>
          <w:szCs w:val="18"/>
          <w:color w:val="auto"/>
        </w:rPr>
        <w:t>. It shall not utilize, directly or indirectly, the proceeds of any Advance for the benefit of any Person controlling, controlled by, or under common control with any other Person whose name appears on the List of Specially Designated Nationals and Blocked Persons maintained by OFAC or otherwise in violation of any Subject Laws.</w:t>
      </w:r>
    </w:p>
    <w:p>
      <w:pPr>
        <w:spacing w:after="0" w:line="181" w:lineRule="exact"/>
        <w:rPr>
          <w:rFonts w:ascii="Arial" w:cs="Arial" w:eastAsia="Arial" w:hAnsi="Arial"/>
          <w:sz w:val="18"/>
          <w:szCs w:val="18"/>
          <w:color w:val="auto"/>
        </w:rPr>
      </w:pPr>
    </w:p>
    <w:p>
      <w:pPr>
        <w:ind w:left="-8" w:right="120" w:firstLine="921"/>
        <w:spacing w:after="0" w:line="264" w:lineRule="auto"/>
        <w:tabs>
          <w:tab w:leader="none" w:pos="116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No Claims Against Advances</w:t>
      </w:r>
      <w:r>
        <w:rPr>
          <w:rFonts w:ascii="Arial" w:cs="Arial" w:eastAsia="Arial" w:hAnsi="Arial"/>
          <w:sz w:val="18"/>
          <w:szCs w:val="18"/>
          <w:color w:val="auto"/>
        </w:rPr>
        <w:t>. Subject to Applicable Law, it shall not claim any credit on, make any deduction from, or dispute the enforceability of payment of the principal or interest payable (or any other amount) in respect of the Facility or assert any claim against any present or future Lender, by reason of the payment of any taxes levied or assessed upon any part of the Collateral.</w:t>
      </w:r>
    </w:p>
    <w:p>
      <w:pPr>
        <w:spacing w:after="0" w:line="181" w:lineRule="exact"/>
        <w:rPr>
          <w:rFonts w:ascii="Arial" w:cs="Arial" w:eastAsia="Arial" w:hAnsi="Arial"/>
          <w:sz w:val="18"/>
          <w:szCs w:val="18"/>
          <w:color w:val="auto"/>
        </w:rPr>
      </w:pPr>
    </w:p>
    <w:p>
      <w:pPr>
        <w:ind w:left="-8" w:right="60" w:firstLine="921"/>
        <w:spacing w:after="0" w:line="291" w:lineRule="auto"/>
        <w:tabs>
          <w:tab w:leader="none" w:pos="112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Indebtedness; Guarantees; Securities; Other Assets</w:t>
      </w:r>
      <w:r>
        <w:rPr>
          <w:rFonts w:ascii="Arial" w:cs="Arial" w:eastAsia="Arial" w:hAnsi="Arial"/>
          <w:sz w:val="16"/>
          <w:szCs w:val="16"/>
          <w:color w:val="auto"/>
        </w:rPr>
        <w:t>. It shall not incur, assume, suffer to exist or guarantee any indebtedness or other liabilities, or issue any securities, whether debt or equity, in each case other than (i) as expressly permitted by this Agreement and the other Facility Documents</w:t>
      </w: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obligations under its Constituent Documents or (iii) pursuant to</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12"/>
          </w:cols>
          <w:pgMar w:left="248" w:top="274" w:right="239" w:bottom="1440" w:gutter="0" w:footer="0" w:header="0"/>
        </w:sectPr>
      </w:pPr>
    </w:p>
    <w:bookmarkStart w:id="209" w:name="page210"/>
    <w:bookmarkEnd w:id="209"/>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expense reimbursement and similar provisions under the Related Documents. The Borrower shall not acquire any Collateral Obligations or other property other than as expressly permitted under the Facility Documents.</w:t>
      </w:r>
    </w:p>
    <w:p>
      <w:pPr>
        <w:spacing w:after="0" w:line="170" w:lineRule="exact"/>
        <w:rPr>
          <w:sz w:val="20"/>
          <w:szCs w:val="20"/>
          <w:color w:val="auto"/>
        </w:rPr>
      </w:pPr>
    </w:p>
    <w:p>
      <w:pPr>
        <w:ind w:firstLine="921"/>
        <w:spacing w:after="0" w:line="257" w:lineRule="auto"/>
        <w:tabs>
          <w:tab w:leader="none" w:pos="1218"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Validity of this Agreement</w:t>
      </w:r>
      <w:r>
        <w:rPr>
          <w:rFonts w:ascii="Arial" w:cs="Arial" w:eastAsia="Arial" w:hAnsi="Arial"/>
          <w:sz w:val="18"/>
          <w:szCs w:val="18"/>
          <w:color w:val="auto"/>
        </w:rPr>
        <w:t>. It shall not (i) permit the validity or effectiveness of this Agreement or any grant of Collateral hereunder to be impaired, or permit the lien of this Agreement to be amended, hypothecated, subordinated, terminated or discharged, or permit any Person to be released from any covenants or obligations with respect to this Agreement, except as may be permitted hereby or by the Investment Management Agreement and (ii) except for Permitted Liens and as otherwise permitted by this Agreement, take any action that would result in the lien of this Agreement to no longer constitute a valid first priority security interest in the Collateral.</w:t>
      </w:r>
    </w:p>
    <w:p>
      <w:pPr>
        <w:spacing w:after="0" w:line="188" w:lineRule="exact"/>
        <w:rPr>
          <w:rFonts w:ascii="Arial" w:cs="Arial" w:eastAsia="Arial" w:hAnsi="Arial"/>
          <w:sz w:val="18"/>
          <w:szCs w:val="18"/>
          <w:color w:val="auto"/>
        </w:rPr>
      </w:pPr>
    </w:p>
    <w:p>
      <w:pPr>
        <w:ind w:right="80" w:firstLine="921"/>
        <w:spacing w:after="0" w:line="259" w:lineRule="auto"/>
        <w:tabs>
          <w:tab w:leader="none" w:pos="1168"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Transfer of Equity Interests in the Borrower</w:t>
      </w:r>
      <w:r>
        <w:rPr>
          <w:rFonts w:ascii="Arial" w:cs="Arial" w:eastAsia="Arial" w:hAnsi="Arial"/>
          <w:sz w:val="18"/>
          <w:szCs w:val="18"/>
          <w:color w:val="auto"/>
        </w:rPr>
        <w:t>. The Borrower shall not recognize the issuance or transfer of any membership or other equity interests in the Borrower (“</w:t>
      </w:r>
      <w:r>
        <w:rPr>
          <w:rFonts w:ascii="Arial" w:cs="Arial" w:eastAsia="Arial" w:hAnsi="Arial"/>
          <w:sz w:val="18"/>
          <w:szCs w:val="18"/>
          <w:u w:val="single" w:color="auto"/>
          <w:color w:val="auto"/>
        </w:rPr>
        <w:t>Equity Interests</w:t>
      </w:r>
      <w:r>
        <w:rPr>
          <w:rFonts w:ascii="Arial" w:cs="Arial" w:eastAsia="Arial" w:hAnsi="Arial"/>
          <w:sz w:val="18"/>
          <w:szCs w:val="18"/>
          <w:color w:val="auto"/>
        </w:rPr>
        <w:t>”) to any person that is not a Permitted U.S. Holder and will treat any purported issuance or transfer of any Equity Interests in violation of this requirement as null and void. The Borrower shall not take any action to elect to be treated as other than a disregarded entity, or if it has more than one equity owner, a partnership.</w:t>
      </w:r>
    </w:p>
    <w:p>
      <w:pPr>
        <w:spacing w:after="0" w:line="186" w:lineRule="exact"/>
        <w:rPr>
          <w:rFonts w:ascii="Arial" w:cs="Arial" w:eastAsia="Arial" w:hAnsi="Arial"/>
          <w:sz w:val="18"/>
          <w:szCs w:val="18"/>
          <w:color w:val="auto"/>
        </w:rPr>
      </w:pPr>
    </w:p>
    <w:p>
      <w:pPr>
        <w:ind w:right="40" w:firstLine="921"/>
        <w:spacing w:after="0" w:line="342" w:lineRule="auto"/>
        <w:tabs>
          <w:tab w:leader="none" w:pos="1168"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Priority of Payments</w:t>
      </w:r>
      <w:r>
        <w:rPr>
          <w:rFonts w:ascii="Arial" w:cs="Arial" w:eastAsia="Arial" w:hAnsi="Arial"/>
          <w:sz w:val="16"/>
          <w:szCs w:val="16"/>
          <w:color w:val="auto"/>
        </w:rPr>
        <w:t>. Except for the payment of transaction expenses payable in connection with the Closing Date, it (or the Collateral Agent on its behalf) shall not disburse any amounts from the Collection Account or Payment Account other than in accordance with the Priority of Payments.</w:t>
      </w:r>
    </w:p>
    <w:p>
      <w:pPr>
        <w:spacing w:after="0" w:line="123" w:lineRule="exact"/>
        <w:rPr>
          <w:rFonts w:ascii="Arial" w:cs="Arial" w:eastAsia="Arial" w:hAnsi="Arial"/>
          <w:sz w:val="16"/>
          <w:szCs w:val="16"/>
          <w:color w:val="auto"/>
        </w:rPr>
      </w:pPr>
    </w:p>
    <w:p>
      <w:pPr>
        <w:ind w:right="20" w:firstLine="921"/>
        <w:spacing w:after="0" w:line="268" w:lineRule="auto"/>
        <w:tabs>
          <w:tab w:leader="none" w:pos="1168"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It shall not have or permit the formation of any subsidiaries, other than subsidiaries, each of which (x) meets the then-current general criteria of DBRS for bankruptcy remote entities and that includes, in its Constituent Documents, provisions analogous to the Special Purpose Provisions (as defined in the Borrower LLC Agreement), and (y) is formed for the sole purpose of holding stock or other equity interests in one or more corporations or other Persons or other assets received in a workout of a Defaulted Loan/Bond or otherwise acquired in connection with a workout of a Collateral Obligation (each, a “</w:t>
      </w:r>
      <w:r>
        <w:rPr>
          <w:rFonts w:ascii="Arial" w:cs="Arial" w:eastAsia="Arial" w:hAnsi="Arial"/>
          <w:sz w:val="17"/>
          <w:szCs w:val="17"/>
          <w:u w:val="single" w:color="auto"/>
          <w:color w:val="auto"/>
        </w:rPr>
        <w:t>Blocker Subsidiary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Rating Confirmation must be obtained with respect to each formation of a Blocker Subsidiary and the Facility Agent shall have consented thereto, except that, if due to exigent circumstances, a Blocker Subsidiary must be formed immediately, the Borrower may proceed with formation of the Blocker Subsidiary if it has not received a response from the Facility Agent within two Business Days of its request. The Borrower shall ensure that each Blocker Subsidiary (i) is wholly owned by the Borrower, (ii) will not sell, transfer, exchange or otherwise dispose of, or pledge, mortgage, hypothecate or otherwise encumber (or permit such to occur or suffer such to exist) any part of its assets, except in compliance with the Borrower’s rights and obligations under this Agreement and with such subsidiary’s constituent documents, (iii) will not have any subsidiaries, (iv) will comply with </w:t>
      </w:r>
      <w:r>
        <w:rPr>
          <w:rFonts w:ascii="Arial" w:cs="Arial" w:eastAsia="Arial" w:hAnsi="Arial"/>
          <w:sz w:val="17"/>
          <w:szCs w:val="17"/>
          <w:u w:val="single" w:color="auto"/>
          <w:color w:val="auto"/>
        </w:rPr>
        <w:t>Articles III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w:t>
      </w:r>
      <w:r>
        <w:rPr>
          <w:rFonts w:ascii="Arial" w:cs="Arial" w:eastAsia="Arial" w:hAnsi="Arial"/>
          <w:sz w:val="17"/>
          <w:szCs w:val="17"/>
          <w:i w:val="1"/>
          <w:iCs w:val="1"/>
          <w:color w:val="auto"/>
        </w:rPr>
        <w:t>mutatis mutandis</w:t>
      </w:r>
      <w:r>
        <w:rPr>
          <w:rFonts w:ascii="Arial" w:cs="Arial" w:eastAsia="Arial" w:hAnsi="Arial"/>
          <w:sz w:val="17"/>
          <w:szCs w:val="17"/>
          <w:color w:val="auto"/>
        </w:rPr>
        <w:t>) as if it were named as the Borrower in said Articles, excluding the Blocker Subsidiary Exempt Provisions, (v) will not incur or guarantee any indebtedness except indebtedness with respect to which the Borrower is the sole creditor, (vi) will include in its constituent documents a limitation on its business such that it may only engage in the acquisition of assets permitted under this Agreement and the disposition of such assets and the proceeds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210" w:name="page211"/>
    <w:bookmarkEnd w:id="210"/>
    <w:p>
      <w:pPr>
        <w:jc w:val="both"/>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to the Borrower (and activities ancillary thereto) and (vii) will distribute (including by way of interest payment) 100% of the proceeds of the assets acquired by it (net of applicable taxes and expenses payable by such subsidiary) to the Borrower, and the Borrower will ensure that 100% of the shares of stock and all other equity interest in each Blocker Subsidiary are pledged to the Collateral Agent hereunder.</w:t>
      </w:r>
    </w:p>
    <w:p>
      <w:pPr>
        <w:spacing w:after="0" w:line="166" w:lineRule="exact"/>
        <w:rPr>
          <w:sz w:val="20"/>
          <w:szCs w:val="20"/>
          <w:color w:val="auto"/>
        </w:rPr>
      </w:pPr>
    </w:p>
    <w:p>
      <w:pPr>
        <w:ind w:left="1180" w:hanging="259"/>
        <w:spacing w:after="0"/>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It shall not conduct business under any name other than its own.</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It shall not have any employees (other than officers and directors to the extent they are employees).</w:t>
      </w:r>
    </w:p>
    <w:p>
      <w:pPr>
        <w:spacing w:after="0" w:line="225" w:lineRule="exact"/>
        <w:rPr>
          <w:rFonts w:ascii="Arial" w:cs="Arial" w:eastAsia="Arial" w:hAnsi="Arial"/>
          <w:sz w:val="18"/>
          <w:szCs w:val="18"/>
          <w:color w:val="auto"/>
        </w:rPr>
      </w:pPr>
    </w:p>
    <w:p>
      <w:pPr>
        <w:ind w:right="320" w:firstLine="921"/>
        <w:spacing w:after="0" w:line="276" w:lineRule="auto"/>
        <w:tabs>
          <w:tab w:leader="none" w:pos="1148"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Non-Petition</w:t>
      </w:r>
      <w:r>
        <w:rPr>
          <w:rFonts w:ascii="Arial" w:cs="Arial" w:eastAsia="Arial" w:hAnsi="Arial"/>
          <w:sz w:val="17"/>
          <w:szCs w:val="17"/>
          <w:color w:val="auto"/>
        </w:rPr>
        <w:t>. The Borrower shall not be party to any agreement without including customary “non-petition” and “limited recourse” provisions therein (and shall not amend or eliminate such provisions in any agreement to which it is party), except for any Related Document or any other agreement related to the purchase and sale of any Collateral Obligations which contains customary purchase or sale terms or which is documented using customary loan trading documentation, in each case, if such Related Document or agreement does not contain any provision providing for recourse to the Borrower, including, without limitation, any indemnification obligation.</w:t>
      </w:r>
    </w:p>
    <w:p>
      <w:pPr>
        <w:spacing w:after="0" w:line="172" w:lineRule="exact"/>
        <w:rPr>
          <w:rFonts w:ascii="Arial" w:cs="Arial" w:eastAsia="Arial" w:hAnsi="Arial"/>
          <w:sz w:val="17"/>
          <w:szCs w:val="17"/>
          <w:color w:val="auto"/>
        </w:rPr>
      </w:pPr>
    </w:p>
    <w:p>
      <w:pPr>
        <w:ind w:right="100" w:firstLine="921"/>
        <w:spacing w:after="0" w:line="264" w:lineRule="auto"/>
        <w:tabs>
          <w:tab w:leader="none" w:pos="1128"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Certificated Securities</w:t>
      </w:r>
      <w:r>
        <w:rPr>
          <w:rFonts w:ascii="Arial" w:cs="Arial" w:eastAsia="Arial" w:hAnsi="Arial"/>
          <w:sz w:val="18"/>
          <w:szCs w:val="18"/>
          <w:color w:val="auto"/>
        </w:rPr>
        <w:t>. The Borrower shall not acquire or hold any Certificated Securities in bearer form (other than securities not required to be in registered form under Section 163(f)(2)(A) of the Code) in a manner that does not satisfy the requirements of United States Treasury Regulations section 1.165-12(c) (as determined by the Investment Manager).</w:t>
      </w:r>
    </w:p>
    <w:p>
      <w:pPr>
        <w:spacing w:after="0" w:line="181" w:lineRule="exact"/>
        <w:rPr>
          <w:rFonts w:ascii="Arial" w:cs="Arial" w:eastAsia="Arial" w:hAnsi="Arial"/>
          <w:sz w:val="18"/>
          <w:szCs w:val="18"/>
          <w:color w:val="auto"/>
        </w:rPr>
      </w:pPr>
    </w:p>
    <w:p>
      <w:pPr>
        <w:ind w:firstLine="921"/>
        <w:spacing w:after="0" w:line="270" w:lineRule="auto"/>
        <w:tabs>
          <w:tab w:leader="none" w:pos="1168"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Independent Managers</w:t>
      </w:r>
      <w:r>
        <w:rPr>
          <w:rFonts w:ascii="Arial" w:cs="Arial" w:eastAsia="Arial" w:hAnsi="Arial"/>
          <w:sz w:val="17"/>
          <w:szCs w:val="17"/>
          <w:color w:val="auto"/>
        </w:rPr>
        <w:t xml:space="preserve">. Without limiting anything in the Borrower LLC Agreement, the Borrower shall at all times maintain at least two independent managers or independent directors, each of who (A) for the five year period prior to his or her appointment as independent manager or independent director has not been, and during the continuation of his or her service as independent manager is not: (i) a stockholder (or other interest holder), director, officer, manager, owner, agent, trustee, employee, partner, member, attorney or counsel of the Borrower, the Investment Manager or any of their Affiliates; (ii) a creditor, customer, supplier of, or other Person who derives any of its purchases or revenues from its activities with, the Borrower, the Investment Manager or any of their Affiliates; (iii) a Person controlling or under common control with any Person excluded from serving as independent manager or independent director under clause (i) or (ii) above; or (iv) a member of the immediate family by blood or marriage of any Person excluded from serving as independent manager or independent director under clause (i), (ii) or (iii) above; and (B) is a Professional Independent Manager (as defined below). The criteria set forth above in this </w:t>
      </w:r>
      <w:r>
        <w:rPr>
          <w:rFonts w:ascii="Arial" w:cs="Arial" w:eastAsia="Arial" w:hAnsi="Arial"/>
          <w:sz w:val="17"/>
          <w:szCs w:val="17"/>
          <w:u w:val="single" w:color="auto"/>
          <w:color w:val="auto"/>
        </w:rPr>
        <w:t>Section 5.02(u)</w:t>
      </w:r>
      <w:r>
        <w:rPr>
          <w:rFonts w:ascii="Arial" w:cs="Arial" w:eastAsia="Arial" w:hAnsi="Arial"/>
          <w:sz w:val="17"/>
          <w:szCs w:val="17"/>
          <w:color w:val="auto"/>
        </w:rPr>
        <w:t xml:space="preserve"> are referred to herein as the “</w:t>
      </w:r>
      <w:r>
        <w:rPr>
          <w:rFonts w:ascii="Arial" w:cs="Arial" w:eastAsia="Arial" w:hAnsi="Arial"/>
          <w:sz w:val="17"/>
          <w:szCs w:val="17"/>
          <w:u w:val="single" w:color="auto"/>
          <w:color w:val="auto"/>
        </w:rPr>
        <w:t>Independent Manager Criteria</w:t>
      </w:r>
      <w:r>
        <w:rPr>
          <w:rFonts w:ascii="Arial" w:cs="Arial" w:eastAsia="Arial" w:hAnsi="Arial"/>
          <w:sz w:val="17"/>
          <w:szCs w:val="17"/>
          <w:color w:val="auto"/>
        </w:rPr>
        <w:t>”.</w:t>
      </w:r>
    </w:p>
    <w:p>
      <w:pPr>
        <w:spacing w:after="0" w:line="18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 natural person who satisfies the Independent Manager Criteria other than clause (i) above solely by reason of being the independent director or independent manager of a Special Purpose Entity affiliated with the Borrower shall not be disqualified from serving as an independent manager or independent director of the Borrower if such individual is a Professional Independent Manager. A natural person who satisfies the Independent Manager Criteria other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211" w:name="page212"/>
    <w:bookmarkEnd w:id="21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clause (ii) above shall not be disqualified from serving as an independent manager or independent director of the Borrower if such individual is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Professional Independent Manager. For purposes of this </w:t>
      </w:r>
      <w:r>
        <w:rPr>
          <w:rFonts w:ascii="Arial" w:cs="Arial" w:eastAsia="Arial" w:hAnsi="Arial"/>
          <w:sz w:val="18"/>
          <w:szCs w:val="18"/>
          <w:u w:val="single" w:color="auto"/>
          <w:color w:val="auto"/>
        </w:rPr>
        <w:t>Section 5.02(u)</w:t>
      </w:r>
      <w:r>
        <w:rPr>
          <w:rFonts w:ascii="Arial" w:cs="Arial" w:eastAsia="Arial" w:hAnsi="Arial"/>
          <w:sz w:val="18"/>
          <w:szCs w:val="18"/>
          <w:color w:val="auto"/>
        </w:rPr>
        <w:t>:</w:t>
      </w:r>
    </w:p>
    <w:p>
      <w:pPr>
        <w:spacing w:after="0" w:line="103" w:lineRule="exact"/>
        <w:rPr>
          <w:sz w:val="20"/>
          <w:szCs w:val="20"/>
          <w:color w:val="auto"/>
        </w:rPr>
      </w:pPr>
    </w:p>
    <w:p>
      <w:pPr>
        <w:ind w:left="460" w:right="48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Professional Independent Manager</w:t>
      </w:r>
      <w:r>
        <w:rPr>
          <w:rFonts w:ascii="Arial" w:cs="Arial" w:eastAsia="Arial" w:hAnsi="Arial"/>
          <w:sz w:val="16"/>
          <w:szCs w:val="16"/>
          <w:color w:val="auto"/>
        </w:rPr>
        <w:t>” means an individual who is employed by a nationally-recognized company that provides professional independent directors or independent managers for Special Purpose Entities and other corporate services in the ordinary course of its business.</w:t>
      </w:r>
    </w:p>
    <w:p>
      <w:pPr>
        <w:spacing w:after="0" w:line="16"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Entity</w:t>
      </w:r>
      <w:r>
        <w:rPr>
          <w:rFonts w:ascii="Arial" w:cs="Arial" w:eastAsia="Arial" w:hAnsi="Arial"/>
          <w:sz w:val="18"/>
          <w:szCs w:val="18"/>
          <w:color w:val="auto"/>
        </w:rPr>
        <w:t>” means a limited liability company or other business entity that is created with the purpose of being “</w:t>
      </w:r>
      <w:r>
        <w:rPr>
          <w:rFonts w:ascii="Arial" w:cs="Arial" w:eastAsia="Arial" w:hAnsi="Arial"/>
          <w:sz w:val="18"/>
          <w:szCs w:val="18"/>
          <w:u w:val="single" w:color="auto"/>
          <w:color w:val="auto"/>
        </w:rPr>
        <w:t>bankruptcy remote</w:t>
      </w:r>
      <w:r>
        <w:rPr>
          <w:rFonts w:ascii="Arial" w:cs="Arial" w:eastAsia="Arial" w:hAnsi="Arial"/>
          <w:sz w:val="18"/>
          <w:szCs w:val="18"/>
          <w:color w:val="auto"/>
        </w:rPr>
        <w:t>” and whose organizational documents contain restrictions on its activities and impose requirements intended to preserve such entity’s separateness that are substantially similar to the special purpose provisions of the Borrower LLC Agreement.</w:t>
      </w:r>
    </w:p>
    <w:p>
      <w:pPr>
        <w:spacing w:after="0" w:line="181"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 xml:space="preserve">Without limiting anything in the Borrower LLC Agreement, in the event that the manager of the Borrower intends to appoint a new independent manager or independent director, the manager or sole member of the Borrower shall provide written notice to the Facility Agent not less than ten days prior to the effective date of such appointment and shall certify in such notice that the designated Person satisfies the Independent Manager Criteria,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w:t>
      </w:r>
    </w:p>
    <w:p>
      <w:pPr>
        <w:spacing w:after="0" w:line="39" w:lineRule="exact"/>
        <w:rPr>
          <w:sz w:val="20"/>
          <w:szCs w:val="20"/>
          <w:color w:val="auto"/>
        </w:rPr>
      </w:pPr>
    </w:p>
    <w:p>
      <w:pPr>
        <w:ind w:left="460" w:right="120" w:firstLine="881"/>
        <w:spacing w:after="0" w:line="277" w:lineRule="auto"/>
        <w:tabs>
          <w:tab w:leader="none" w:pos="155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 independent manager or independent director of the Borrower dies, becomes incapacitated or no longer is employed by the firm that is then providing independent managers or independent directors for the Borrower; or</w:t>
      </w:r>
    </w:p>
    <w:p>
      <w:pPr>
        <w:spacing w:after="0" w:line="62" w:lineRule="exact"/>
        <w:rPr>
          <w:rFonts w:ascii="Arial" w:cs="Arial" w:eastAsia="Arial" w:hAnsi="Arial"/>
          <w:sz w:val="18"/>
          <w:szCs w:val="18"/>
          <w:color w:val="auto"/>
        </w:rPr>
      </w:pPr>
    </w:p>
    <w:p>
      <w:pPr>
        <w:ind w:left="460" w:right="300" w:firstLine="881"/>
        <w:spacing w:after="0" w:line="277" w:lineRule="auto"/>
        <w:tabs>
          <w:tab w:leader="none" w:pos="160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firm referred to in clause (i) is no longer in the business of providing independent managers or independent directors for Special Purpose Entities generally,</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(either of the circumstances in clause (i) or (ii) above, an “</w:t>
      </w:r>
      <w:r>
        <w:rPr>
          <w:rFonts w:ascii="Arial" w:cs="Arial" w:eastAsia="Arial" w:hAnsi="Arial"/>
          <w:sz w:val="17"/>
          <w:szCs w:val="17"/>
          <w:u w:val="single" w:color="auto"/>
          <w:color w:val="auto"/>
        </w:rPr>
        <w:t>Unexpected Replacement</w:t>
      </w:r>
      <w:r>
        <w:rPr>
          <w:rFonts w:ascii="Arial" w:cs="Arial" w:eastAsia="Arial" w:hAnsi="Arial"/>
          <w:sz w:val="17"/>
          <w:szCs w:val="17"/>
          <w:color w:val="auto"/>
        </w:rPr>
        <w:t>”) then the manager or sole member of the Borrower shall (A) provide written notice to the Facility Agent as soon as possible thereafter and (B) unless the Facility Agent otherwise objects in writing within 10 days of receipt of such notice, promptly appoint a new independent manager or independent director from the same firm as the deceased or incapacitated or formerly employed independent manager or independent director (in the case of clause (i)) or from another firm that is in the business of providing independent managers or directors for Special Purpose Entities generally (in the case of clause (ii)), in each case as to which the manager or sole member of the Borrower shall certify that the designated Person satisfies the Independent Manager Criteria.</w:t>
      </w:r>
    </w:p>
    <w:p>
      <w:pPr>
        <w:spacing w:after="0" w:line="178"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The Borrower hereby confirms that, as of the Original Closing Date, each independent manager or independent director of the Borrower (initially, Gregory F. Lavelle and Donald J. Puglisi) satisfies the Independent Manager Criteria.</w:t>
      </w:r>
    </w:p>
    <w:p>
      <w:pPr>
        <w:spacing w:after="0" w:line="170" w:lineRule="exact"/>
        <w:rPr>
          <w:sz w:val="20"/>
          <w:szCs w:val="20"/>
          <w:color w:val="auto"/>
        </w:rPr>
      </w:pPr>
    </w:p>
    <w:p>
      <w:pPr>
        <w:ind w:right="100" w:firstLine="921"/>
        <w:spacing w:after="0" w:line="312" w:lineRule="auto"/>
        <w:tabs>
          <w:tab w:leader="none" w:pos="1168"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Changes to Related Documents</w:t>
      </w:r>
      <w:r>
        <w:rPr>
          <w:rFonts w:ascii="Arial" w:cs="Arial" w:eastAsia="Arial" w:hAnsi="Arial"/>
          <w:sz w:val="16"/>
          <w:szCs w:val="16"/>
          <w:color w:val="auto"/>
        </w:rPr>
        <w:t>. The Borrower shall not enter into any amendment, consent, waiver or other modification with respect to a Related Document without the prior written consent of the Facility Agent if such amendment, consent, waiver or other modification would effect a Specified Change (a “</w:t>
      </w:r>
      <w:r>
        <w:rPr>
          <w:rFonts w:ascii="Arial" w:cs="Arial" w:eastAsia="Arial" w:hAnsi="Arial"/>
          <w:sz w:val="16"/>
          <w:szCs w:val="16"/>
          <w:u w:val="single" w:color="auto"/>
          <w:color w:val="auto"/>
        </w:rPr>
        <w:t>Related Document Modification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the Facility Agent shall not be required if, after giving effect to such Related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4" w:right="259" w:bottom="1440" w:gutter="0" w:footer="0" w:header="0"/>
        </w:sectPr>
      </w:pPr>
    </w:p>
    <w:bookmarkStart w:id="212" w:name="page213"/>
    <w:bookmarkEnd w:id="21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 Modification, (x) the relevant Collateral Obligation would be eligible to be acquired by the Borrower hereunder, (y) a DBRS Rating is obtained, or updated, for such Collateral Obligation and (z) all Coverage Tests and Collateral Quality Tests would be satisfied (or if any such Collateral Quality Test is not satisfied, such Collateral Quality Test shall be maintained or improved).</w:t>
      </w:r>
    </w:p>
    <w:p>
      <w:pPr>
        <w:spacing w:after="0" w:line="181" w:lineRule="exact"/>
        <w:rPr>
          <w:sz w:val="20"/>
          <w:szCs w:val="20"/>
          <w:color w:val="auto"/>
        </w:rPr>
      </w:pPr>
    </w:p>
    <w:p>
      <w:pPr>
        <w:ind w:left="1220" w:hanging="299"/>
        <w:spacing w:after="0"/>
        <w:tabs>
          <w:tab w:leader="none" w:pos="1220"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Investments; Retention of Funds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196"/>
        </w:numPr>
        <w:rPr>
          <w:rFonts w:ascii="Arial" w:cs="Arial" w:eastAsia="Arial" w:hAnsi="Arial"/>
          <w:sz w:val="16"/>
          <w:szCs w:val="16"/>
          <w:color w:val="auto"/>
        </w:rPr>
      </w:pPr>
      <w:r>
        <w:rPr>
          <w:rFonts w:ascii="Arial" w:cs="Arial" w:eastAsia="Arial" w:hAnsi="Arial"/>
          <w:sz w:val="16"/>
          <w:szCs w:val="16"/>
          <w:color w:val="auto"/>
        </w:rPr>
        <w:t>The Borrower shall not make any investment or acquire any property other than in (A) Collateral Obligations, (B) Eligible Investments,</w:t>
      </w:r>
    </w:p>
    <w:p>
      <w:pPr>
        <w:spacing w:after="0" w:line="46" w:lineRule="exact"/>
        <w:rPr>
          <w:rFonts w:ascii="Arial" w:cs="Arial" w:eastAsia="Arial" w:hAnsi="Arial"/>
          <w:sz w:val="16"/>
          <w:szCs w:val="16"/>
          <w:color w:val="auto"/>
        </w:rPr>
      </w:pPr>
    </w:p>
    <w:p>
      <w:pPr>
        <w:ind w:left="460" w:right="40" w:firstLine="4"/>
        <w:spacing w:after="0" w:line="323" w:lineRule="auto"/>
        <w:tabs>
          <w:tab w:leader="none" w:pos="74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Blocker Subsidiaries in accordance with </w:t>
      </w:r>
      <w:r>
        <w:rPr>
          <w:rFonts w:ascii="Arial" w:cs="Arial" w:eastAsia="Arial" w:hAnsi="Arial"/>
          <w:sz w:val="16"/>
          <w:szCs w:val="16"/>
          <w:u w:val="single" w:color="auto"/>
          <w:color w:val="auto"/>
        </w:rPr>
        <w:t>Section 5.02(p)</w:t>
      </w:r>
      <w:r>
        <w:rPr>
          <w:rFonts w:ascii="Arial" w:cs="Arial" w:eastAsia="Arial" w:hAnsi="Arial"/>
          <w:sz w:val="16"/>
          <w:szCs w:val="16"/>
          <w:color w:val="auto"/>
        </w:rPr>
        <w:t xml:space="preserve"> and (D) any stock or other equity interests in one or more corporations or other Persons or other assets received in a workout of a Defaulted Loan/Bond or otherwise acquired in connection with a workout of a Collateral Obligation.</w:t>
      </w:r>
    </w:p>
    <w:p>
      <w:pPr>
        <w:spacing w:after="0" w:line="30" w:lineRule="exact"/>
        <w:rPr>
          <w:rFonts w:ascii="Arial" w:cs="Arial" w:eastAsia="Arial" w:hAnsi="Arial"/>
          <w:sz w:val="16"/>
          <w:szCs w:val="16"/>
          <w:color w:val="auto"/>
        </w:rPr>
      </w:pPr>
    </w:p>
    <w:p>
      <w:pPr>
        <w:ind w:left="460" w:right="40" w:firstLine="881"/>
        <w:spacing w:after="0" w:line="277" w:lineRule="auto"/>
        <w:tabs>
          <w:tab w:leader="none" w:pos="1601" w:val="left"/>
        </w:tabs>
        <w:numPr>
          <w:ilvl w:val="2"/>
          <w:numId w:val="197"/>
        </w:numPr>
        <w:rPr>
          <w:rFonts w:ascii="Arial" w:cs="Arial" w:eastAsia="Arial" w:hAnsi="Arial"/>
          <w:sz w:val="18"/>
          <w:szCs w:val="18"/>
          <w:color w:val="auto"/>
        </w:rPr>
      </w:pPr>
      <w:r>
        <w:rPr>
          <w:rFonts w:ascii="Arial" w:cs="Arial" w:eastAsia="Arial" w:hAnsi="Arial"/>
          <w:sz w:val="18"/>
          <w:szCs w:val="18"/>
          <w:color w:val="auto"/>
        </w:rPr>
        <w:t xml:space="preserve">All Interest Proceeds and Principal Proceeds will be applied by the Borrower (or the Collateral Agent on its behalf) only as provided in </w:t>
      </w:r>
      <w:r>
        <w:rPr>
          <w:rFonts w:ascii="Arial" w:cs="Arial" w:eastAsia="Arial" w:hAnsi="Arial"/>
          <w:sz w:val="18"/>
          <w:szCs w:val="18"/>
          <w:u w:val="single" w:color="auto"/>
          <w:color w:val="auto"/>
        </w:rPr>
        <w:t>Sections 2.05(a)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9.01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80" w:firstLine="921"/>
        <w:spacing w:after="0" w:line="255" w:lineRule="auto"/>
        <w:tabs>
          <w:tab w:leader="none" w:pos="1168"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Hedge Agreements</w:t>
      </w:r>
      <w:r>
        <w:rPr>
          <w:rFonts w:ascii="Arial" w:cs="Arial" w:eastAsia="Arial" w:hAnsi="Arial"/>
          <w:sz w:val="18"/>
          <w:szCs w:val="18"/>
          <w:color w:val="auto"/>
        </w:rPr>
        <w:t>. The Borrower shall not enter into any hedge agreement that is not an Eligible Hedge Agreement. In addition, the Borrower (or the Investment Manager on behalf of the Borrower) shall not enter into any hedge agreement that would cause the Borrower to be considered a “commodity pool” as defined in Section 1a(10) of the Commodity Exchange Act unless (i) the Investment Manager is registered as a “commodity pool operator” as defined in Section 1(a)(11) of the Commodity Exchange Act and “commodity trading advisor” as defined in Section 1(a)(12) of the Commodity Exchange Act with the Commodity Futures Trading Commission or (ii) with respect to the Borrower as the commodity pool, the Investment Manager would be eligible for an exemption from registration as a commodity pool operator and commodity trading advisor and all conditions for obtaining the exemption have been satisfied.</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Certain Undertakings Relating to Separateness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4" w:lineRule="auto"/>
        <w:tabs>
          <w:tab w:leader="none" w:pos="115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Without limiting any, and subject to all, other covenants of the Borrower contained in this Agreement, the Borrower shall conduct its business and operations separate and apart from that any other Person (including the Investment Manager and any of its Affiliates, the holders of the Equity and their respective Affiliates) and in furtherance of the foregoing:</w:t>
      </w:r>
    </w:p>
    <w:p>
      <w:pPr>
        <w:spacing w:after="0" w:line="73"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shall maintain its accounts, financial statements, books, accounting and other records, and other Borrower documents separate from those of any other Person.</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4" w:right="279" w:bottom="1440" w:gutter="0" w:footer="0" w:header="0"/>
        </w:sectPr>
      </w:pPr>
    </w:p>
    <w:bookmarkStart w:id="213" w:name="page214"/>
    <w:bookmarkEnd w:id="213"/>
    <w:p>
      <w:pPr>
        <w:ind w:right="180" w:firstLine="443"/>
        <w:spacing w:after="0" w:line="277" w:lineRule="auto"/>
        <w:tabs>
          <w:tab w:leader="none" w:pos="693"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shall conduct its own business in its own name and, for all purposes, shall not operate, or purport to operate, collectively as a single or consolidated business entity with respect to any Person.</w:t>
      </w:r>
    </w:p>
    <w:p>
      <w:pPr>
        <w:spacing w:after="0" w:line="62" w:lineRule="exact"/>
        <w:rPr>
          <w:rFonts w:ascii="Arial" w:cs="Arial" w:eastAsia="Arial" w:hAnsi="Arial"/>
          <w:sz w:val="18"/>
          <w:szCs w:val="18"/>
          <w:color w:val="auto"/>
        </w:rPr>
      </w:pPr>
    </w:p>
    <w:p>
      <w:pPr>
        <w:ind w:right="260" w:firstLine="443"/>
        <w:spacing w:after="0" w:line="277" w:lineRule="auto"/>
        <w:tabs>
          <w:tab w:leader="none" w:pos="69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pay its own debts, liabilities and expenses (including overhead expenses, if any) only out of its own assets as the same shall become due.</w:t>
      </w:r>
    </w:p>
    <w:p>
      <w:pPr>
        <w:spacing w:after="0" w:line="62" w:lineRule="exact"/>
        <w:rPr>
          <w:rFonts w:ascii="Arial" w:cs="Arial" w:eastAsia="Arial" w:hAnsi="Arial"/>
          <w:sz w:val="18"/>
          <w:szCs w:val="18"/>
          <w:color w:val="auto"/>
        </w:rPr>
      </w:pPr>
    </w:p>
    <w:p>
      <w:pPr>
        <w:ind w:firstLine="443"/>
        <w:spacing w:after="0" w:line="259" w:lineRule="auto"/>
        <w:tabs>
          <w:tab w:leader="none" w:pos="69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bankruptcy-remote special purpose entity.</w:t>
      </w:r>
    </w:p>
    <w:p>
      <w:pPr>
        <w:spacing w:after="0" w:line="78" w:lineRule="exact"/>
        <w:rPr>
          <w:rFonts w:ascii="Arial" w:cs="Arial" w:eastAsia="Arial" w:hAnsi="Arial"/>
          <w:sz w:val="18"/>
          <w:szCs w:val="18"/>
          <w:color w:val="auto"/>
        </w:rPr>
      </w:pPr>
    </w:p>
    <w:p>
      <w:pPr>
        <w:ind w:right="100" w:firstLine="443"/>
        <w:spacing w:after="0" w:line="264" w:lineRule="auto"/>
        <w:tabs>
          <w:tab w:leader="none" w:pos="69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does not, and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73" w:lineRule="exact"/>
        <w:rPr>
          <w:rFonts w:ascii="Arial" w:cs="Arial" w:eastAsia="Arial" w:hAnsi="Arial"/>
          <w:sz w:val="18"/>
          <w:szCs w:val="18"/>
          <w:color w:val="auto"/>
        </w:rPr>
      </w:pPr>
    </w:p>
    <w:p>
      <w:pPr>
        <w:ind w:right="220" w:firstLine="443"/>
        <w:spacing w:after="0" w:line="277" w:lineRule="auto"/>
        <w:tabs>
          <w:tab w:leader="none" w:pos="69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Except for income tax purposes, the Borrower shall, at all times, hold itself out to the public as a legal entity separate and distinct from any other Person.</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Except for income tax purposes, the Borrower shall not identify itself as a division of any other Person.</w:t>
      </w:r>
    </w:p>
    <w:p>
      <w:pPr>
        <w:spacing w:after="0" w:line="117" w:lineRule="exact"/>
        <w:rPr>
          <w:rFonts w:ascii="Arial" w:cs="Arial" w:eastAsia="Arial" w:hAnsi="Arial"/>
          <w:sz w:val="18"/>
          <w:szCs w:val="18"/>
          <w:color w:val="auto"/>
        </w:rPr>
      </w:pPr>
    </w:p>
    <w:p>
      <w:pPr>
        <w:ind w:right="200" w:firstLine="443"/>
        <w:spacing w:after="0" w:line="277" w:lineRule="auto"/>
        <w:tabs>
          <w:tab w:leader="none" w:pos="69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maintain its assets in such a manner that it will not be costly or difficult to segregate, ascertain or identify its individual assets from those of any Affiliate or any other Person.</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not use its separate existence to perpetrate a fraud in violation of applicable law.</w:t>
      </w:r>
    </w:p>
    <w:p>
      <w:pPr>
        <w:spacing w:after="0" w:line="117" w:lineRule="exact"/>
        <w:rPr>
          <w:rFonts w:ascii="Arial" w:cs="Arial" w:eastAsia="Arial" w:hAnsi="Arial"/>
          <w:sz w:val="18"/>
          <w:szCs w:val="18"/>
          <w:color w:val="auto"/>
        </w:rPr>
      </w:pPr>
    </w:p>
    <w:p>
      <w:pPr>
        <w:ind w:right="440" w:firstLine="443"/>
        <w:spacing w:after="0" w:line="277" w:lineRule="auto"/>
        <w:tabs>
          <w:tab w:leader="none" w:pos="77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not, in connection with the Facility Documents, act with an intent to hinder, delay or defraud any of its creditors in violation of applicable law.</w:t>
      </w:r>
    </w:p>
    <w:p>
      <w:pPr>
        <w:spacing w:after="0" w:line="62" w:lineRule="exact"/>
        <w:rPr>
          <w:rFonts w:ascii="Arial" w:cs="Arial" w:eastAsia="Arial" w:hAnsi="Arial"/>
          <w:sz w:val="18"/>
          <w:szCs w:val="18"/>
          <w:color w:val="auto"/>
        </w:rPr>
      </w:pPr>
    </w:p>
    <w:p>
      <w:pPr>
        <w:ind w:right="140" w:firstLine="443"/>
        <w:spacing w:after="0" w:line="277" w:lineRule="auto"/>
        <w:tabs>
          <w:tab w:leader="none" w:pos="78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Except as permitted by this Agreement and the other Facility Documents, the Borrower shall maintain an arm’s length relationship with its Affiliates and the Investment Manager.</w:t>
      </w:r>
    </w:p>
    <w:p>
      <w:pPr>
        <w:spacing w:after="0" w:line="62" w:lineRule="exact"/>
        <w:rPr>
          <w:rFonts w:ascii="Arial" w:cs="Arial" w:eastAsia="Arial" w:hAnsi="Arial"/>
          <w:sz w:val="18"/>
          <w:szCs w:val="18"/>
          <w:color w:val="auto"/>
        </w:rPr>
      </w:pPr>
    </w:p>
    <w:p>
      <w:pPr>
        <w:ind w:right="140" w:firstLine="443"/>
        <w:spacing w:after="0" w:line="277" w:lineRule="auto"/>
        <w:tabs>
          <w:tab w:leader="none" w:pos="78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Except as permitted by or pursuant to the Facility Documents, the Borrower shall not grant a security interest or otherwise pledge its assets for the benefit of any other Person.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20"/>
          </w:cols>
          <w:pgMar w:left="700" w:top="274" w:right="279" w:bottom="1440" w:gutter="0" w:footer="0" w:header="0"/>
        </w:sectPr>
      </w:pPr>
    </w:p>
    <w:bookmarkStart w:id="214" w:name="page215"/>
    <w:bookmarkEnd w:id="214"/>
    <w:p>
      <w:pPr>
        <w:ind w:left="452" w:right="40" w:firstLine="443"/>
        <w:spacing w:after="0" w:line="277" w:lineRule="auto"/>
        <w:tabs>
          <w:tab w:leader="none" w:pos="1235"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provided in the Facility Documents, the Borrower shall not acquire any securities or debt instruments of the Investment Manager, its Affiliates or any other Person.</w:t>
      </w:r>
    </w:p>
    <w:p>
      <w:pPr>
        <w:spacing w:after="0" w:line="62" w:lineRule="exact"/>
        <w:rPr>
          <w:rFonts w:ascii="Arial" w:cs="Arial" w:eastAsia="Arial" w:hAnsi="Arial"/>
          <w:sz w:val="18"/>
          <w:szCs w:val="18"/>
          <w:color w:val="auto"/>
        </w:rPr>
      </w:pPr>
    </w:p>
    <w:p>
      <w:pPr>
        <w:ind w:left="452" w:right="140" w:firstLine="443"/>
        <w:spacing w:after="0" w:line="277" w:lineRule="auto"/>
        <w:tabs>
          <w:tab w:leader="none" w:pos="123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Borrower shall not make loans or advances to any Person, except for the Collateral Obligations and as permitted by or pursuant to the Facility Documents.</w:t>
      </w:r>
    </w:p>
    <w:p>
      <w:pPr>
        <w:spacing w:after="0" w:line="62" w:lineRule="exact"/>
        <w:rPr>
          <w:rFonts w:ascii="Arial" w:cs="Arial" w:eastAsia="Arial" w:hAnsi="Arial"/>
          <w:sz w:val="18"/>
          <w:szCs w:val="18"/>
          <w:color w:val="auto"/>
        </w:rPr>
      </w:pPr>
    </w:p>
    <w:p>
      <w:pPr>
        <w:ind w:left="1232" w:hanging="337"/>
        <w:spacing w:after="0"/>
        <w:tabs>
          <w:tab w:leader="none" w:pos="123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Borrower shall make no transfer of its assets except as permitted by or pursuant to the Facility Documents.</w:t>
      </w:r>
    </w:p>
    <w:p>
      <w:pPr>
        <w:spacing w:after="0" w:line="117" w:lineRule="exact"/>
        <w:rPr>
          <w:rFonts w:ascii="Arial" w:cs="Arial" w:eastAsia="Arial" w:hAnsi="Arial"/>
          <w:sz w:val="18"/>
          <w:szCs w:val="18"/>
          <w:color w:val="auto"/>
        </w:rPr>
      </w:pPr>
    </w:p>
    <w:p>
      <w:pPr>
        <w:ind w:left="452" w:right="240" w:firstLine="443"/>
        <w:spacing w:after="0" w:line="308" w:lineRule="auto"/>
        <w:tabs>
          <w:tab w:leader="none" w:pos="123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38" w:lineRule="exact"/>
        <w:rPr>
          <w:rFonts w:ascii="Arial" w:cs="Arial" w:eastAsia="Arial" w:hAnsi="Arial"/>
          <w:sz w:val="17"/>
          <w:szCs w:val="17"/>
          <w:color w:val="auto"/>
        </w:rPr>
      </w:pPr>
    </w:p>
    <w:p>
      <w:pPr>
        <w:ind w:left="1232" w:hanging="337"/>
        <w:spacing w:after="0"/>
        <w:tabs>
          <w:tab w:leader="none" w:pos="123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Borrower shall not acquire obligations or securities of its members.</w:t>
      </w:r>
    </w:p>
    <w:p>
      <w:pPr>
        <w:spacing w:after="0" w:line="117" w:lineRule="exact"/>
        <w:rPr>
          <w:rFonts w:ascii="Arial" w:cs="Arial" w:eastAsia="Arial" w:hAnsi="Arial"/>
          <w:sz w:val="18"/>
          <w:szCs w:val="18"/>
          <w:color w:val="auto"/>
        </w:rPr>
      </w:pPr>
    </w:p>
    <w:p>
      <w:pPr>
        <w:ind w:left="1232" w:hanging="337"/>
        <w:spacing w:after="0"/>
        <w:tabs>
          <w:tab w:leader="none" w:pos="123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Borrower shall use separate stationary, invoices and checks.</w:t>
      </w:r>
    </w:p>
    <w:p>
      <w:pPr>
        <w:spacing w:after="0" w:line="117" w:lineRule="exact"/>
        <w:rPr>
          <w:rFonts w:ascii="Arial" w:cs="Arial" w:eastAsia="Arial" w:hAnsi="Arial"/>
          <w:sz w:val="18"/>
          <w:szCs w:val="18"/>
          <w:color w:val="auto"/>
        </w:rPr>
      </w:pPr>
    </w:p>
    <w:p>
      <w:pPr>
        <w:ind w:left="1252" w:hanging="339"/>
        <w:spacing w:after="0"/>
        <w:tabs>
          <w:tab w:leader="none" w:pos="125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Borrower shall correct any known misunderstanding regarding its separate identity.</w:t>
      </w:r>
    </w:p>
    <w:p>
      <w:pPr>
        <w:spacing w:after="0" w:line="117" w:lineRule="exact"/>
        <w:rPr>
          <w:rFonts w:ascii="Arial" w:cs="Arial" w:eastAsia="Arial" w:hAnsi="Arial"/>
          <w:sz w:val="18"/>
          <w:szCs w:val="18"/>
          <w:color w:val="auto"/>
        </w:rPr>
      </w:pPr>
    </w:p>
    <w:p>
      <w:pPr>
        <w:ind w:left="1252" w:hanging="339"/>
        <w:spacing w:after="0"/>
        <w:tabs>
          <w:tab w:leader="none" w:pos="125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Borrower shall intend to maintain adequate capital in light of its contemplated business operations.</w:t>
      </w:r>
    </w:p>
    <w:p>
      <w:pPr>
        <w:spacing w:after="0" w:line="117" w:lineRule="exact"/>
        <w:rPr>
          <w:sz w:val="20"/>
          <w:szCs w:val="20"/>
          <w:color w:val="auto"/>
        </w:rPr>
      </w:pPr>
    </w:p>
    <w:p>
      <w:pPr>
        <w:ind w:left="452" w:firstLine="443"/>
        <w:spacing w:after="0" w:line="277" w:lineRule="auto"/>
        <w:tabs>
          <w:tab w:leader="none" w:pos="12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Borrower shall at all times be organized as a single-purpose entity with organizational documents substantially similar to those in effect on the Original Closing Date.</w:t>
      </w:r>
    </w:p>
    <w:p>
      <w:pPr>
        <w:spacing w:after="0" w:line="62" w:lineRule="exact"/>
        <w:rPr>
          <w:rFonts w:ascii="Arial" w:cs="Arial" w:eastAsia="Arial" w:hAnsi="Arial"/>
          <w:sz w:val="18"/>
          <w:szCs w:val="18"/>
          <w:color w:val="auto"/>
        </w:rPr>
      </w:pPr>
    </w:p>
    <w:p>
      <w:pPr>
        <w:ind w:left="452" w:right="280" w:firstLine="443"/>
        <w:spacing w:after="0" w:line="342" w:lineRule="auto"/>
        <w:tabs>
          <w:tab w:leader="none" w:pos="123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Borrower shall at all times conduct its business so that any assumptions made with respect to the Borrower in any “</w:t>
      </w:r>
      <w:r>
        <w:rPr>
          <w:rFonts w:ascii="Arial" w:cs="Arial" w:eastAsia="Arial" w:hAnsi="Arial"/>
          <w:sz w:val="16"/>
          <w:szCs w:val="16"/>
          <w:u w:val="single" w:color="auto"/>
          <w:color w:val="auto"/>
        </w:rPr>
        <w:t>substantive non-consolidation</w:t>
      </w:r>
      <w:r>
        <w:rPr>
          <w:rFonts w:ascii="Arial" w:cs="Arial" w:eastAsia="Arial" w:hAnsi="Arial"/>
          <w:sz w:val="16"/>
          <w:szCs w:val="16"/>
          <w:color w:val="auto"/>
        </w:rPr>
        <w:t>” opinion letter delivered in connection with the Facility Documents will continue to be true and correct in all respects.</w:t>
      </w:r>
    </w:p>
    <w:p>
      <w:pPr>
        <w:spacing w:after="0" w:line="124"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Credit Estimates; Failure to Have a DBRS Long Term Rating</w:t>
      </w:r>
      <w:r>
        <w:rPr>
          <w:rFonts w:ascii="Arial" w:cs="Arial" w:eastAsia="Arial" w:hAnsi="Arial"/>
          <w:sz w:val="18"/>
          <w:szCs w:val="18"/>
          <w:color w:val="auto"/>
        </w:rPr>
        <w:t>.</w:t>
      </w:r>
    </w:p>
    <w:p>
      <w:pPr>
        <w:spacing w:after="0" w:line="117" w:lineRule="exact"/>
        <w:rPr>
          <w:sz w:val="20"/>
          <w:szCs w:val="20"/>
          <w:color w:val="auto"/>
        </w:rPr>
      </w:pPr>
    </w:p>
    <w:p>
      <w:pPr>
        <w:ind w:left="1152" w:hanging="239"/>
        <w:spacing w:after="0"/>
        <w:tabs>
          <w:tab w:leader="none" w:pos="1152" w:val="left"/>
        </w:tabs>
        <w:numPr>
          <w:ilvl w:val="1"/>
          <w:numId w:val="203"/>
        </w:numPr>
        <w:rPr>
          <w:rFonts w:ascii="Arial" w:cs="Arial" w:eastAsia="Arial" w:hAnsi="Arial"/>
          <w:sz w:val="17"/>
          <w:szCs w:val="17"/>
          <w:color w:val="auto"/>
        </w:rPr>
      </w:pPr>
      <w:r>
        <w:rPr>
          <w:rFonts w:ascii="Arial" w:cs="Arial" w:eastAsia="Arial" w:hAnsi="Arial"/>
          <w:sz w:val="17"/>
          <w:szCs w:val="17"/>
          <w:color w:val="auto"/>
        </w:rPr>
        <w:t>If at any time a Collateral Obligation does not have a DBRS Long Term Rating, then the Borrower shall, within 10 Business Days after</w:t>
      </w:r>
    </w:p>
    <w:p>
      <w:pPr>
        <w:spacing w:after="0" w:line="34" w:lineRule="exact"/>
        <w:rPr>
          <w:rFonts w:ascii="Arial" w:cs="Arial" w:eastAsia="Arial" w:hAnsi="Arial"/>
          <w:sz w:val="17"/>
          <w:szCs w:val="17"/>
          <w:color w:val="auto"/>
        </w:rPr>
      </w:pPr>
    </w:p>
    <w:p>
      <w:pPr>
        <w:ind w:left="-8" w:right="220" w:firstLine="8"/>
        <w:spacing w:after="0" w:line="277" w:lineRule="auto"/>
        <w:tabs>
          <w:tab w:leader="none" w:pos="24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the origination or purchase of such Collateral Obligation or (y) the withdrawal of a DBRS Long Term Rating from such Collateral Obligation, apply to DBRS for a Credit Estimate, which shall be the DBRS Risk Score for such Collateral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DBRS Risk Score of a Collateral Obligation is determined based on a Credit Estimate, such Credit Estimate must be updated at least annually.</w:t>
      </w:r>
    </w:p>
    <w:p>
      <w:pPr>
        <w:spacing w:after="0" w:line="173" w:lineRule="exact"/>
        <w:rPr>
          <w:rFonts w:ascii="Arial" w:cs="Arial" w:eastAsia="Arial" w:hAnsi="Arial"/>
          <w:sz w:val="17"/>
          <w:szCs w:val="17"/>
          <w:color w:val="auto"/>
        </w:rPr>
      </w:pPr>
    </w:p>
    <w:p>
      <w:pPr>
        <w:ind w:left="-8" w:right="140" w:firstLine="921"/>
        <w:spacing w:after="0" w:line="277" w:lineRule="auto"/>
        <w:tabs>
          <w:tab w:leader="none" w:pos="1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the Borrower is in the process of obtaining a Credit Estimate in respect of a Collateral Obligation, at all times until the DBRS Risk Score for such Collateral Obligation</w:t>
      </w:r>
    </w:p>
    <w:p>
      <w:pPr>
        <w:spacing w:after="0" w:line="1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32"/>
          </w:cols>
          <w:pgMar w:left="248" w:top="274" w:right="31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a Credit Estimate) is assigned, the DBRS Risk Score of such Collateral Obligation shall be:</w:t>
      </w:r>
    </w:p>
    <w:p>
      <w:pPr>
        <w:spacing w:after="0" w:line="117" w:lineRule="exact"/>
        <w:rPr>
          <w:sz w:val="20"/>
          <w:szCs w:val="20"/>
          <w:color w:val="auto"/>
        </w:rPr>
      </w:pPr>
    </w:p>
    <w:p>
      <w:pPr>
        <w:ind w:left="460" w:right="40" w:firstLine="881"/>
        <w:spacing w:after="0" w:line="277" w:lineRule="auto"/>
        <w:tabs>
          <w:tab w:leader="none" w:pos="155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the Aggregate Principal Balance of all such Collateral Obligations with respect to which the Borrower is in the process of obtaining a Credit Estimate is equal to or less than 20% of the Total Capitalization, 49.7747, and</w:t>
      </w:r>
    </w:p>
    <w:p>
      <w:pPr>
        <w:spacing w:after="0" w:line="62" w:lineRule="exact"/>
        <w:rPr>
          <w:rFonts w:ascii="Arial" w:cs="Arial" w:eastAsia="Arial" w:hAnsi="Arial"/>
          <w:sz w:val="18"/>
          <w:szCs w:val="18"/>
          <w:color w:val="auto"/>
        </w:rPr>
      </w:pPr>
    </w:p>
    <w:p>
      <w:pPr>
        <w:ind w:left="460" w:firstLine="881"/>
        <w:spacing w:after="0" w:line="259" w:lineRule="auto"/>
        <w:tabs>
          <w:tab w:leader="none" w:pos="160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the Aggregate Principal Balance of all such Collateral Obligations with respect to which the Borrower is in the process of obtaining a Credit Estimate is in excess of 20% of the Total Capitalization, (a) 49.7747 with respect to the portion of the Aggregate Principal Balance of such Collateral Obligations equal to and less than 20% of the Total Capitalization and (b) 90.6642 with respect to the portion of the Aggregate Principal Balance of such Collateral Obligations in excess of 20% of the Total Capitalization.</w:t>
      </w:r>
    </w:p>
    <w:p>
      <w:pPr>
        <w:spacing w:after="0" w:line="186" w:lineRule="exact"/>
        <w:rPr>
          <w:rFonts w:ascii="Arial" w:cs="Arial" w:eastAsia="Arial" w:hAnsi="Arial"/>
          <w:sz w:val="18"/>
          <w:szCs w:val="18"/>
          <w:color w:val="auto"/>
        </w:rPr>
      </w:pPr>
    </w:p>
    <w:p>
      <w:pPr>
        <w:ind w:right="60" w:firstLine="921"/>
        <w:spacing w:after="0" w:line="264" w:lineRule="auto"/>
        <w:tabs>
          <w:tab w:leader="none" w:pos="115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the Borrower is not in the process of obtaining a Credit Estimate or DBRS declines to, or is unable to, provide a Credit Estimate in respect of any Collateral Obligation and such Collateral Obligation does not have a DBRS Long Term Rating, such Collateral Obligation will be deemed to have a DBRS Risk Score of 90.6642.</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firstLine="921"/>
        <w:spacing w:after="0" w:line="279" w:lineRule="auto"/>
        <w:tabs>
          <w:tab w:leader="none" w:pos="115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a default in the payment, when due and payable, of (i) any interest on the Advances or Commitment Fee in respect of the Facility and such default continues for three Business Days or (ii) any principal of any Advance on the Final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in the case of a failure to make payment due to an administrative error or omission by either Agent or the Calculation Agent, such failure continues for three Business Days after the Collateral Agent receives written notice or has actual knowledge of such administrative error or omission; or</w:t>
      </w:r>
    </w:p>
    <w:p>
      <w:pPr>
        <w:spacing w:after="0" w:line="171" w:lineRule="exact"/>
        <w:rPr>
          <w:rFonts w:ascii="Arial" w:cs="Arial" w:eastAsia="Arial" w:hAnsi="Arial"/>
          <w:sz w:val="17"/>
          <w:szCs w:val="17"/>
          <w:color w:val="auto"/>
        </w:rPr>
      </w:pPr>
    </w:p>
    <w:p>
      <w:pPr>
        <w:ind w:right="20" w:firstLine="921"/>
        <w:spacing w:after="0" w:line="286" w:lineRule="auto"/>
        <w:tabs>
          <w:tab w:leader="none" w:pos="116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(i) the failure on any Payment Date to disburse amounts available in the Payment Account in accordance with the Priority of Payments, and such default continues for three Business Days; or (ii) a default in the payment of any amounts due and owing on any Payment Date in respect of the Facility, other than any amounts described under clauses (a) and (b)(i) of this </w:t>
      </w:r>
      <w:r>
        <w:rPr>
          <w:rFonts w:ascii="Arial" w:cs="Arial" w:eastAsia="Arial" w:hAnsi="Arial"/>
          <w:sz w:val="17"/>
          <w:szCs w:val="17"/>
          <w:u w:val="single" w:color="auto"/>
          <w:color w:val="auto"/>
        </w:rPr>
        <w:t>Section 6.01</w:t>
      </w:r>
      <w:r>
        <w:rPr>
          <w:rFonts w:ascii="Arial" w:cs="Arial" w:eastAsia="Arial" w:hAnsi="Arial"/>
          <w:sz w:val="17"/>
          <w:szCs w:val="17"/>
          <w:color w:val="auto"/>
        </w:rPr>
        <w:t>, and such default continues for three Business Days; or</w:t>
      </w:r>
    </w:p>
    <w:p>
      <w:pPr>
        <w:spacing w:after="0" w:line="165" w:lineRule="exact"/>
        <w:rPr>
          <w:rFonts w:ascii="Arial" w:cs="Arial" w:eastAsia="Arial" w:hAnsi="Arial"/>
          <w:sz w:val="17"/>
          <w:szCs w:val="17"/>
          <w:color w:val="auto"/>
        </w:rPr>
      </w:pPr>
    </w:p>
    <w:p>
      <w:pPr>
        <w:ind w:left="1160" w:hanging="239"/>
        <w:spacing w:after="0"/>
        <w:tabs>
          <w:tab w:leader="none" w:pos="11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either of the Borrower or the pool of Collateral becomes an investment company required to be registered under the Investment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or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274" w:right="299" w:bottom="1440" w:gutter="0" w:footer="0" w:header="0"/>
        </w:sectPr>
      </w:pPr>
    </w:p>
    <w:bookmarkStart w:id="216" w:name="page217"/>
    <w:bookmarkEnd w:id="216"/>
    <w:p>
      <w:pPr>
        <w:ind w:right="40" w:firstLine="921"/>
        <w:spacing w:after="0" w:line="253" w:lineRule="auto"/>
        <w:tabs>
          <w:tab w:leader="none" w:pos="1168"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as otherwise provided in this </w:t>
      </w:r>
      <w:r>
        <w:rPr>
          <w:rFonts w:ascii="Arial" w:cs="Arial" w:eastAsia="Arial" w:hAnsi="Arial"/>
          <w:sz w:val="18"/>
          <w:szCs w:val="18"/>
          <w:u w:val="single" w:color="auto"/>
          <w:color w:val="auto"/>
        </w:rPr>
        <w:t>Section 6.01</w:t>
      </w:r>
      <w:r>
        <w:rPr>
          <w:rFonts w:ascii="Arial" w:cs="Arial" w:eastAsia="Arial" w:hAnsi="Arial"/>
          <w:sz w:val="18"/>
          <w:szCs w:val="18"/>
          <w:color w:val="auto"/>
        </w:rPr>
        <w:t>, a default in a material respect in the performance, or breach in a material respect, of any other covenant or other agreement of the Borrower or the Investment Manager under any Facility Document to which it is party (it being understood, without limiting the generality of the foregoing, that any failure to meet any Concentration Limitation, Collateral Quality Test or Coverage Test is not an Event of Default), or the failure of any representation or warranty of the Borrower or the Investment Manager made in any Facility Document or in any certificate or other writing delivered pursuant thereto or in connection therewith to be correct in each case in all material respects when the same shall have been made, and the continuation of such default, breach or failure for a period of thirty days after the earlier of (x) written notice to the Borrower or the Investment Manager, as applicable (which may be by e-mail) by either Agent or the Investment Manager, in each case specifying such default, breach or failure and requiring it to be remedied and stating that such notice is a “Notice of Default” hereunder and (y) actual knowledge of the Borrower or the Investment Manager, as applicable; or</w:t>
      </w:r>
    </w:p>
    <w:p>
      <w:pPr>
        <w:spacing w:after="0" w:line="197" w:lineRule="exact"/>
        <w:rPr>
          <w:rFonts w:ascii="Arial" w:cs="Arial" w:eastAsia="Arial" w:hAnsi="Arial"/>
          <w:sz w:val="18"/>
          <w:szCs w:val="18"/>
          <w:color w:val="auto"/>
        </w:rPr>
      </w:pPr>
    </w:p>
    <w:p>
      <w:pPr>
        <w:ind w:right="20" w:firstLine="921"/>
        <w:spacing w:after="0" w:line="257" w:lineRule="auto"/>
        <w:tabs>
          <w:tab w:leader="none" w:pos="115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entry of a decree or order by a court having competent jurisdiction adjudging the Borrower as bankrupt or insolvent, or approving as properly filed a petition seeking reorganization, arrangement, adjustment or composition of or in respect of the Borrower under the Bankruptcy Code or any other similar applicable law, or appointing a receiver, liquidator, assignee, or sequestrator (or other similar official) of the Borrower or of any substantial part of its property, respectively, or ordering the winding up or liquidation of its affairs, respectively, and the continuance of any such decree or order unstayed and in effect for a period of 60 consecutive days; or</w:t>
      </w:r>
    </w:p>
    <w:p>
      <w:pPr>
        <w:spacing w:after="0" w:line="188" w:lineRule="exact"/>
        <w:rPr>
          <w:rFonts w:ascii="Arial" w:cs="Arial" w:eastAsia="Arial" w:hAnsi="Arial"/>
          <w:sz w:val="18"/>
          <w:szCs w:val="18"/>
          <w:color w:val="auto"/>
        </w:rPr>
      </w:pPr>
    </w:p>
    <w:p>
      <w:pPr>
        <w:ind w:right="80" w:firstLine="921"/>
        <w:spacing w:after="0" w:line="273" w:lineRule="auto"/>
        <w:tabs>
          <w:tab w:leader="none" w:pos="113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institution by the Borrower of proceedings to be adjudicated as bankrupt or insolvent, or the consent of the Borrower to the institution of bankruptcy or insolvency proceedings against it, or the filing by it of a petition or answer or consent seeking reorganization or relief under the Bankruptcy Code or any other similar applicable law, or the consent by the Borrower to the filing of any such petition or to the appointment in a proceeding of a receiver, liquidator, assignee, trustee or sequestrator (or other similar official) of the Borrower or of any substantial part of its property, respectively, or the making by Borrower of an assignment for the benefit of creditors, or the admission by the Borrower in writing of its inability to pay its debts generally as they become due, or the taking of any action by the Borrower in furtherance of any such action; or</w:t>
      </w:r>
    </w:p>
    <w:p>
      <w:pPr>
        <w:spacing w:after="0" w:line="178" w:lineRule="exact"/>
        <w:rPr>
          <w:rFonts w:ascii="Arial" w:cs="Arial" w:eastAsia="Arial" w:hAnsi="Arial"/>
          <w:sz w:val="17"/>
          <w:szCs w:val="17"/>
          <w:color w:val="auto"/>
        </w:rPr>
      </w:pPr>
    </w:p>
    <w:p>
      <w:pPr>
        <w:ind w:left="1180" w:hanging="259"/>
        <w:spacing w:after="0"/>
        <w:tabs>
          <w:tab w:leader="none" w:pos="11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Overcollateralization Ratio is less than 115% (an “</w:t>
      </w:r>
      <w:r>
        <w:rPr>
          <w:rFonts w:ascii="Arial" w:cs="Arial" w:eastAsia="Arial" w:hAnsi="Arial"/>
          <w:sz w:val="18"/>
          <w:szCs w:val="18"/>
          <w:u w:val="single" w:color="auto"/>
          <w:color w:val="auto"/>
        </w:rPr>
        <w:t>EoD OC Ratio Failure</w:t>
      </w:r>
      <w:r>
        <w:rPr>
          <w:rFonts w:ascii="Arial" w:cs="Arial" w:eastAsia="Arial" w:hAnsi="Arial"/>
          <w:sz w:val="18"/>
          <w:szCs w:val="18"/>
          <w:color w:val="auto"/>
        </w:rPr>
        <w:t>”) for more than 15 consecutive Business Days; or</w:t>
      </w:r>
    </w:p>
    <w:p>
      <w:pPr>
        <w:spacing w:after="0" w:line="225" w:lineRule="exact"/>
        <w:rPr>
          <w:rFonts w:ascii="Arial" w:cs="Arial" w:eastAsia="Arial" w:hAnsi="Arial"/>
          <w:sz w:val="18"/>
          <w:szCs w:val="18"/>
          <w:color w:val="auto"/>
        </w:rPr>
      </w:pPr>
    </w:p>
    <w:p>
      <w:pPr>
        <w:ind w:firstLine="921"/>
        <w:spacing w:after="0" w:line="286" w:lineRule="auto"/>
        <w:tabs>
          <w:tab w:leader="none" w:pos="116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(1) the rendering of one or more final judgments, decrees or orders by a court or arbitrator of competent jurisdiction for the payment of money in excess individually or in the aggregate of $5,000,000 against the Borrower (exclusive of judgment amounts fully covered by insurance), and the Borrower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w:t>
      </w:r>
    </w:p>
    <w:p>
      <w:pPr>
        <w:spacing w:after="0" w:line="1" w:lineRule="exact"/>
        <w:rPr>
          <w:rFonts w:ascii="Arial" w:cs="Arial" w:eastAsia="Arial" w:hAnsi="Arial"/>
          <w:sz w:val="16"/>
          <w:szCs w:val="16"/>
          <w:color w:val="auto"/>
        </w:rPr>
      </w:pPr>
    </w:p>
    <w:p>
      <w:pPr>
        <w:ind w:right="420"/>
        <w:spacing w:after="0" w:line="261" w:lineRule="auto"/>
        <w:rPr>
          <w:rFonts w:ascii="Arial" w:cs="Arial" w:eastAsia="Arial" w:hAnsi="Arial"/>
          <w:sz w:val="16"/>
          <w:szCs w:val="16"/>
          <w:color w:val="auto"/>
        </w:rPr>
      </w:pPr>
      <w:r>
        <w:rPr>
          <w:rFonts w:ascii="Arial" w:cs="Arial" w:eastAsia="Arial" w:hAnsi="Arial"/>
          <w:sz w:val="18"/>
          <w:szCs w:val="18"/>
          <w:color w:val="auto"/>
        </w:rPr>
        <w:t>within 10 days from the date of entry thereof, or (2) the Borrower shall have made payments of amounts in excess of $5,000,000 in the settlement of any litigation, claim or dispute (excluding payments made from insurance proceeds or if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217" w:name="page218"/>
    <w:bookmarkEnd w:id="21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funded solely with new contributions of cash equity or amounts that are available to be disbursed to the equity holders pursuant to the Priority of Payments); or</w:t>
      </w:r>
    </w:p>
    <w:p>
      <w:pPr>
        <w:spacing w:after="0" w:line="170" w:lineRule="exact"/>
        <w:rPr>
          <w:sz w:val="20"/>
          <w:szCs w:val="20"/>
          <w:color w:val="auto"/>
        </w:rPr>
      </w:pPr>
    </w:p>
    <w:p>
      <w:pPr>
        <w:ind w:right="400" w:firstLine="921"/>
        <w:spacing w:after="0" w:line="277" w:lineRule="auto"/>
        <w:tabs>
          <w:tab w:leader="none" w:pos="112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a default in the performance of or compliance with or a breach of any obligation of the Borrower contained in any of the Special Purpose Provisions or </w:t>
      </w:r>
      <w:r>
        <w:rPr>
          <w:rFonts w:ascii="Arial" w:cs="Arial" w:eastAsia="Arial" w:hAnsi="Arial"/>
          <w:sz w:val="18"/>
          <w:szCs w:val="18"/>
          <w:u w:val="single" w:color="auto"/>
          <w:color w:val="auto"/>
        </w:rPr>
        <w:t>Section 5.02(u)</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 Insolvency Event relating to the Investment Manager occurs; or</w:t>
      </w:r>
    </w:p>
    <w:p>
      <w:pPr>
        <w:spacing w:after="0" w:line="225" w:lineRule="exact"/>
        <w:rPr>
          <w:rFonts w:ascii="Arial" w:cs="Arial" w:eastAsia="Arial" w:hAnsi="Arial"/>
          <w:sz w:val="18"/>
          <w:szCs w:val="18"/>
          <w:color w:val="auto"/>
        </w:rPr>
      </w:pPr>
    </w:p>
    <w:p>
      <w:pPr>
        <w:ind w:firstLine="921"/>
        <w:spacing w:after="0" w:line="255" w:lineRule="auto"/>
        <w:tabs>
          <w:tab w:leader="none" w:pos="116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(1) any Facility Document shall (except in accordance with its terms) terminate, cease to be effective or cease to be the legally valid, binding and enforceable obligation of the Borrower or the Investment Manager, (2) the Borrower or the Investment Manager shall, directly or indirectly, contest in any manner the effectiveness, validity, binding nature or enforceability of any Facility Document or any Lien or security interest thereunder, or (3) any Lien or security interest securing any obligation under any Facility Document shall, in whole or in part (other than in respect of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Collateral), cease to be a first priority perfected security interest of the Collateral Agent except for Permitted Liens and as otherwise expressly permitted in accordance with the applicable Facility Document; or</w:t>
      </w:r>
    </w:p>
    <w:p>
      <w:pPr>
        <w:spacing w:after="0" w:line="193" w:lineRule="exact"/>
        <w:rPr>
          <w:rFonts w:ascii="Arial" w:cs="Arial" w:eastAsia="Arial" w:hAnsi="Arial"/>
          <w:sz w:val="18"/>
          <w:szCs w:val="18"/>
          <w:color w:val="auto"/>
        </w:rPr>
      </w:pPr>
    </w:p>
    <w:p>
      <w:pPr>
        <w:ind w:right="20" w:firstLine="921"/>
        <w:spacing w:after="0" w:line="276" w:lineRule="auto"/>
        <w:tabs>
          <w:tab w:leader="none" w:pos="1128" w:val="left"/>
        </w:tabs>
        <w:numPr>
          <w:ilvl w:val="0"/>
          <w:numId w:val="209"/>
        </w:numPr>
        <w:rPr>
          <w:rFonts w:ascii="Arial" w:cs="Arial" w:eastAsia="Arial" w:hAnsi="Arial"/>
          <w:sz w:val="17"/>
          <w:szCs w:val="17"/>
          <w:color w:val="auto"/>
        </w:rPr>
      </w:pPr>
      <w:r>
        <w:rPr>
          <w:rFonts w:ascii="Arial" w:cs="Arial" w:eastAsia="Arial" w:hAnsi="Arial"/>
          <w:sz w:val="17"/>
          <w:szCs w:val="17"/>
          <w:color w:val="auto"/>
        </w:rPr>
        <w:t>(1) the Internal Revenue Service shall file notice of a Lien pursuant to Section 6323 of the Code with regard to any assets of the Borrower and such Lien shall not have been released within ten Business Days of the date that the Borrower is notified in writing of such Lien or (2) the PBGC shall file notice of a Lien pursuant to Section 4068 of ERISA with regard to any of the assets of the Borrower and such Lien shall not have been released within five Business Days, unless in each case a reserve has been established therefor in accordance with GAAP and such action is being diligently contested in good faith by appropriate proceedings (except to the extent that the amount secured by such Lien exceeds $1,000,000); or</w:t>
      </w:r>
    </w:p>
    <w:p>
      <w:pPr>
        <w:spacing w:after="0" w:line="172" w:lineRule="exact"/>
        <w:rPr>
          <w:rFonts w:ascii="Arial" w:cs="Arial" w:eastAsia="Arial" w:hAnsi="Arial"/>
          <w:sz w:val="17"/>
          <w:szCs w:val="17"/>
          <w:color w:val="auto"/>
        </w:rPr>
      </w:pPr>
    </w:p>
    <w:p>
      <w:pPr>
        <w:ind w:left="1220" w:hanging="299"/>
        <w:spacing w:after="0"/>
        <w:tabs>
          <w:tab w:leader="none" w:pos="12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occurrence of a Change in Control; or</w:t>
      </w:r>
    </w:p>
    <w:p>
      <w:pPr>
        <w:spacing w:after="0" w:line="225" w:lineRule="exact"/>
        <w:rPr>
          <w:rFonts w:ascii="Arial" w:cs="Arial" w:eastAsia="Arial" w:hAnsi="Arial"/>
          <w:sz w:val="18"/>
          <w:szCs w:val="18"/>
          <w:color w:val="auto"/>
        </w:rPr>
      </w:pPr>
    </w:p>
    <w:p>
      <w:pPr>
        <w:ind w:firstLine="921"/>
        <w:spacing w:after="0" w:line="302" w:lineRule="auto"/>
        <w:tabs>
          <w:tab w:leader="none" w:pos="116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occurrence of an act (or failure to act) by the Borrower or any subsidiary of the Borrower, if any, that constitutes gross negligence, willful misconduct or fraud or results in an indictment for criminal activity in the performance of its obligations under the Facility Documents or any such Person being indicted for a criminal offense materially related to the performance of its obligations under the Facility Documents or in the performance of investment advisory services comparable to those contemplated to be provided by the Investment Manager in connection with the Facility Documents; or</w:t>
      </w:r>
    </w:p>
    <w:p>
      <w:pPr>
        <w:spacing w:after="0" w:line="154" w:lineRule="exact"/>
        <w:rPr>
          <w:rFonts w:ascii="Arial" w:cs="Arial" w:eastAsia="Arial" w:hAnsi="Arial"/>
          <w:sz w:val="16"/>
          <w:szCs w:val="16"/>
          <w:color w:val="auto"/>
        </w:rPr>
      </w:pPr>
    </w:p>
    <w:p>
      <w:pPr>
        <w:ind w:right="40" w:firstLine="921"/>
        <w:spacing w:after="0" w:line="273" w:lineRule="auto"/>
        <w:tabs>
          <w:tab w:leader="none" w:pos="1168" w:val="left"/>
        </w:tabs>
        <w:numPr>
          <w:ilvl w:val="0"/>
          <w:numId w:val="209"/>
        </w:numPr>
        <w:rPr>
          <w:rFonts w:ascii="Arial" w:cs="Arial" w:eastAsia="Arial" w:hAnsi="Arial"/>
          <w:sz w:val="17"/>
          <w:szCs w:val="17"/>
          <w:color w:val="auto"/>
        </w:rPr>
      </w:pPr>
      <w:r>
        <w:rPr>
          <w:rFonts w:ascii="Arial" w:cs="Arial" w:eastAsia="Arial" w:hAnsi="Arial"/>
          <w:sz w:val="17"/>
          <w:szCs w:val="17"/>
          <w:color w:val="auto"/>
        </w:rPr>
        <w:t>(1) the occurrence of one or more acts (including any failure(s) to act) by the Investment Manager that constitutes fraud (as determined in an adjudication by a court of competent jurisdiction) in the performance of its obligations under this Agreement or any other Facility Document or in the performance of investment advisory services comparable to those contemplated to be provided by the Investment Manager under this Agreement and the other Facility Documents; or (2) the Investment Manager, or any senior officer of the Investment Manager is indicted for a criminal offense materially related to the performance of its obligations under this Agreement or any other Facility Document or in the performance of investment advisory services comparable to those contemplated to be provided by the Investment Manager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218" w:name="page219"/>
    <w:bookmarkEnd w:id="218"/>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Agreement and the other Facility Documents; or (3) the occurrence of one or more acts (including any failure(s) to act) by TSL Advisers, LLC or any senior officer thereof or any employee of Affiliates of TSL Advisers, LLC who exercise managerial responsibility for TSL Advisers, LLC that constitutes fraud (as determined in an adjudication) in the performance of investment advisory services comparable to those contemplated to be provided by the Investment Manager under this Agreement and the other Facility Documents and such event would reasonably be expected to have a Material Adverse Effect; or (4) TSL Advisers, LLC or any senior officer thereof or any employee of Affiliates of TSL Advisers, LLC who exercise managerial responsibility for TSL Advisers, LLC is indicted for a criminal offense materially related to the performance of investment advisory services comparable to those contemplated to be provided by the Investment Manager in this Agreement and the other Facility Documents and such event would reasonably be expected to have a Material Adverse Effect.</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Upon a Responsible Officer obtaining knowledge of the occurrence of an Event of Default, each of (i) the Borrower, (ii) the Collateral Agent and</w:t>
      </w:r>
    </w:p>
    <w:p>
      <w:pPr>
        <w:spacing w:after="0" w:line="46" w:lineRule="exact"/>
        <w:rPr>
          <w:sz w:val="20"/>
          <w:szCs w:val="20"/>
          <w:color w:val="auto"/>
        </w:rPr>
      </w:pPr>
    </w:p>
    <w:p>
      <w:pPr>
        <w:ind w:right="300" w:firstLine="8"/>
        <w:spacing w:after="0" w:line="254" w:lineRule="auto"/>
        <w:tabs>
          <w:tab w:leader="none" w:pos="31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Investment Manager shall notify each other, specifying the specific Event of Default(s) that occurred as well as all other Events of Default that are then known to be continuing. Upon the occurrence of an Event of Default known to the Collateral Agent, the Collateral Agent shall promptly notify the Facility Agent (which will notify the Lenders promptly) and DBRS of such Event of Default in writing, specifying the specific Event of Default(s) that occurred as well as all other Events of Default that are then known to be continuing.</w:t>
      </w:r>
    </w:p>
    <w:p>
      <w:pPr>
        <w:spacing w:after="0" w:line="19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Upon the occurrence of any Event of Default, in addition to all rights and remedies specified in this Agreement and the other Facility Documents, including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the rights and remedies of a secured party under Applicable Law, including the UCC, the Facility Agent (at the direction of 100% of the Lenders), by notice to the Borrower, may do any one or more of the following: (1) declare the Commitments to be terminated forthwith, whereupon the Commitments shall forthwith terminate, and (2) declare the principal of and the accrued interest on the Advances and the Notes and all other amounts whatsoever payable by the Borrower hereunder (including any amounts payable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to be forthwith due and payable, whereupon such amounts shall be immediately due and payable without presentment, demand, protest or other formalities of any kind, all of which are hereby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of any Event of Default described in clause (e) or (f)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the Commitments shall automatically terminate and the Advances and all such other amounts shall automatically become due and payable, without any further action by any party.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PLEDGE OF COLLATERAL; RIGHTS OF THE COLLATERAL AGENT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Grant of Security</w:t>
      </w:r>
      <w:r>
        <w:rPr>
          <w:rFonts w:ascii="Arial" w:cs="Arial" w:eastAsia="Arial" w:hAnsi="Arial"/>
          <w:sz w:val="18"/>
          <w:szCs w:val="18"/>
          <w:color w:val="auto"/>
        </w:rPr>
        <w:t>.</w:t>
      </w:r>
    </w:p>
    <w:p>
      <w:pPr>
        <w:spacing w:after="0" w:line="117" w:lineRule="exact"/>
        <w:rPr>
          <w:sz w:val="20"/>
          <w:szCs w:val="20"/>
          <w:color w:val="auto"/>
        </w:rPr>
      </w:pPr>
    </w:p>
    <w:p>
      <w:pPr>
        <w:ind w:right="240" w:firstLine="921"/>
        <w:spacing w:after="0" w:line="264" w:lineRule="auto"/>
        <w:tabs>
          <w:tab w:leader="none" w:pos="115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Borrower hereby (1) confirms the grant of security interest made on the Original Closing Date pursuant to Section 7.01 of the Existing Credit Agreement, (2) confirms the ongoing valid perfection of the security interests created pursuant to such grant and (3) grants, pledges, transfers and collaterally assigns to the Collateral Agent, for the benefit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219" w:name="page220"/>
    <w:bookmarkEnd w:id="219"/>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Secured Parties, as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being collectively referred to herein as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79" w:lineRule="exact"/>
        <w:rPr>
          <w:sz w:val="20"/>
          <w:szCs w:val="20"/>
          <w:color w:val="auto"/>
        </w:rPr>
      </w:pPr>
    </w:p>
    <w:p>
      <w:pPr>
        <w:ind w:left="1560" w:hanging="219"/>
        <w:spacing w:after="0"/>
        <w:tabs>
          <w:tab w:leader="none" w:pos="15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all Collateral Obligations, both now and hereafter owned, including all collections and other proceeds thereon or with respect thereto;</w:t>
      </w:r>
    </w:p>
    <w:p>
      <w:pPr>
        <w:spacing w:after="0" w:line="140" w:lineRule="exact"/>
        <w:rPr>
          <w:rFonts w:ascii="Arial" w:cs="Arial" w:eastAsia="Arial" w:hAnsi="Arial"/>
          <w:sz w:val="16"/>
          <w:szCs w:val="16"/>
          <w:color w:val="auto"/>
        </w:rPr>
      </w:pPr>
    </w:p>
    <w:p>
      <w:pPr>
        <w:jc w:val="both"/>
        <w:ind w:left="460" w:right="280" w:firstLine="881"/>
        <w:spacing w:after="0" w:line="264" w:lineRule="auto"/>
        <w:tabs>
          <w:tab w:leader="none" w:pos="160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each Covered Account and all money, all instruments, all investment property (including all securities, all security entitlements with respect to such Covered Account and all financial assets carried in such Covered Account), and all other property from time to time on deposit in or credited to each Covered Account;</w:t>
      </w:r>
    </w:p>
    <w:p>
      <w:pPr>
        <w:spacing w:after="0" w:line="73" w:lineRule="exact"/>
        <w:rPr>
          <w:rFonts w:ascii="Arial" w:cs="Arial" w:eastAsia="Arial" w:hAnsi="Arial"/>
          <w:sz w:val="18"/>
          <w:szCs w:val="18"/>
          <w:color w:val="auto"/>
        </w:rPr>
      </w:pPr>
    </w:p>
    <w:p>
      <w:pPr>
        <w:ind w:left="460" w:right="120" w:firstLine="881"/>
        <w:spacing w:after="0" w:line="277" w:lineRule="auto"/>
        <w:tabs>
          <w:tab w:leader="none" w:pos="165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interest, dividends, stock dividends, stock splits, distributions and other money or property of any kind distributed in respect of the Collateral Obligations which the Borrower is entitled to receive, including all Collections;</w:t>
      </w:r>
    </w:p>
    <w:p>
      <w:pPr>
        <w:spacing w:after="0" w:line="62" w:lineRule="exact"/>
        <w:rPr>
          <w:rFonts w:ascii="Arial" w:cs="Arial" w:eastAsia="Arial" w:hAnsi="Arial"/>
          <w:sz w:val="18"/>
          <w:szCs w:val="18"/>
          <w:color w:val="auto"/>
        </w:rPr>
      </w:pPr>
    </w:p>
    <w:p>
      <w:pPr>
        <w:ind w:left="460" w:right="80" w:firstLine="881"/>
        <w:spacing w:after="0" w:line="279" w:lineRule="auto"/>
        <w:tabs>
          <w:tab w:leader="none" w:pos="1641"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63" w:lineRule="exact"/>
        <w:rPr>
          <w:rFonts w:ascii="Arial" w:cs="Arial" w:eastAsia="Arial" w:hAnsi="Arial"/>
          <w:sz w:val="17"/>
          <w:szCs w:val="17"/>
          <w:color w:val="auto"/>
        </w:rPr>
      </w:pPr>
    </w:p>
    <w:p>
      <w:pPr>
        <w:ind w:left="1600" w:hanging="259"/>
        <w:spacing w:after="0"/>
        <w:tabs>
          <w:tab w:leader="none" w:pos="16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Cash or Money in possession of the Borrower or delivered to the Collateral Agent (or its bailee);</w:t>
      </w:r>
    </w:p>
    <w:p>
      <w:pPr>
        <w:spacing w:after="0" w:line="117" w:lineRule="exact"/>
        <w:rPr>
          <w:rFonts w:ascii="Arial" w:cs="Arial" w:eastAsia="Arial" w:hAnsi="Arial"/>
          <w:sz w:val="18"/>
          <w:szCs w:val="18"/>
          <w:color w:val="auto"/>
        </w:rPr>
      </w:pPr>
    </w:p>
    <w:p>
      <w:pPr>
        <w:ind w:left="460" w:right="380" w:firstLine="881"/>
        <w:spacing w:after="0" w:line="264" w:lineRule="auto"/>
        <w:tabs>
          <w:tab w:leader="none" w:pos="164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accounts, chattel paper, deposit accounts, financial assets, general intangibles, instruments, investment property, letter-of-credit rights and other supporting obligations of the Borrower, including any of the same relating to the assets and property described in the foregoing clauses (i) through (v) (in each case as defined in the UCC);</w:t>
      </w:r>
    </w:p>
    <w:p>
      <w:pPr>
        <w:spacing w:after="0" w:line="73" w:lineRule="exact"/>
        <w:rPr>
          <w:rFonts w:ascii="Arial" w:cs="Arial" w:eastAsia="Arial" w:hAnsi="Arial"/>
          <w:sz w:val="18"/>
          <w:szCs w:val="18"/>
          <w:color w:val="auto"/>
        </w:rPr>
      </w:pPr>
    </w:p>
    <w:p>
      <w:pPr>
        <w:ind w:left="460" w:firstLine="881"/>
        <w:spacing w:after="0" w:line="259" w:lineRule="auto"/>
        <w:tabs>
          <w:tab w:leader="none" w:pos="169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other property of the Borrower, including any such other property otherwise delivered to the Collateral Agent by or on behalf of the Borrower (whether or not constituting Collateral Obligations or Eligible Investments), including equity or equity-like investments (including, without limitation, any warrant that is received in connection with a Collateral Obligation) in Obligors and their Affiliates where the Borrower owns a debt obligation;</w:t>
      </w:r>
    </w:p>
    <w:p>
      <w:pPr>
        <w:spacing w:after="0" w:line="78" w:lineRule="exact"/>
        <w:rPr>
          <w:rFonts w:ascii="Arial" w:cs="Arial" w:eastAsia="Arial" w:hAnsi="Arial"/>
          <w:sz w:val="18"/>
          <w:szCs w:val="18"/>
          <w:color w:val="auto"/>
        </w:rPr>
      </w:pPr>
    </w:p>
    <w:p>
      <w:pPr>
        <w:ind w:left="460" w:right="40" w:firstLine="881"/>
        <w:spacing w:after="0" w:line="342" w:lineRule="auto"/>
        <w:tabs>
          <w:tab w:leader="none" w:pos="174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4" w:right="259" w:bottom="1440" w:gutter="0" w:footer="0" w:header="0"/>
        </w:sectPr>
      </w:pPr>
    </w:p>
    <w:bookmarkStart w:id="220" w:name="page221"/>
    <w:bookmarkEnd w:id="220"/>
    <w:p>
      <w:pPr>
        <w:ind w:left="460" w:right="400" w:firstLine="881"/>
        <w:spacing w:after="0" w:line="277" w:lineRule="auto"/>
        <w:tabs>
          <w:tab w:leader="none" w:pos="1641"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Borrower’s rights in all assets owned by any Blocker Subsidiary, the Borrower’s rights under any agreement with any Blocker Subsidiary, and 100% of the equity of each Blocker Subsidiary;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(b) All terms used in this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that are defined in the UCC shall have the respective meanings assigned to such terms in the UCC.</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Release of Security Interest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If and only if all Obligations under the Facility (other than unasserted contingent obligations) have been paid in full and all Commitments have been terminated, the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Secured Parties shall, at the expense of the Borrower, execute, deliver and file or authorize for filing such instrument as the Borrower shall reasonably request to reflect or evidence such termination. Any and all actions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in respect of the Collateral shall be without any recourse to, or representation or warranty by, any Secured Party and shall be at the sole cost and expense of the Borrower.</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Rights and Remedies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The Collateral Agent (for itself and on behalf of the other Secured Parties) shall have all of the rights and remedies of a secured party under the UCC and other Applicable Law. Upon the occurrence and during the continuance of an Event of Default, the Collateral Agent or its designees may, and shall at the direction of the Facility Agent (at the direction of 100% of the Lenders), and in each case, where applicable subject to the terms of the Related Documents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redeem or withdraw or cause the Borrower to redeem or withdraw any asset of the Borrower to pay amounts due and payable in respect of the Obligations; (x) make copies of or, if necessary, remove from the Borrower’s and its agents’ respective places of business all books, records and documents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74" w:right="259" w:bottom="1440" w:gutter="0" w:footer="0" w:header="0"/>
        </w:sectPr>
      </w:pPr>
    </w:p>
    <w:bookmarkStart w:id="221" w:name="page222"/>
    <w:bookmarkEnd w:id="221"/>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to the Collateral; and (xi) endorse the name of the Borrower upon any items of payment relating to the Collateral or upon any proof of claim in bankruptcy against an account debtor.</w:t>
      </w:r>
    </w:p>
    <w:p>
      <w:pPr>
        <w:spacing w:after="0" w:line="170"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The Borrower hereby agrees that, upon the occurrence and during the continuance of an Event of Default, at the request of the Collateral Agent or the Facility Agent but subject to the requirements of the Related Documents, it shall execute all documents and agreements which are necessary or appropriate to have the Collateral to be assigned to the Collateral Agent or its designee. For purposes of taking the actions described in clauses (i) through</w:t>
      </w:r>
    </w:p>
    <w:p>
      <w:pPr>
        <w:ind w:firstLine="8"/>
        <w:spacing w:after="0" w:line="273" w:lineRule="auto"/>
        <w:tabs>
          <w:tab w:leader="none" w:pos="30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the Borrower hereby irrevocably appoints the Collateral Agent as its attorney-in-fact (which appointment being coupled with an interest and is irrevocable while any of the Obligations remain unpaid and which can be exercised only if such Event of Default is continuing), with power of substitution, in the name of the Collateral Agent or in the name of the Borrower or otherwise, for the use and benefit of the Collateral Agent, but at the cost and expense of the Borrower and, except as permitted by applicable law, without notice to the Borrower.</w:t>
      </w:r>
    </w:p>
    <w:p>
      <w:pPr>
        <w:spacing w:after="0" w:line="17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All sums paid or advanced by the Collateral Agent in connection with the foregoing and all out-of-pocket costs and expenses (including reasonable and documented attorneys’ fees and expenses) incurred in connection therewith, together with interest thereon at the Post-Default Rate from the date of payment until repaid in full, shall be paid by the Borrower to the Collateral Agent from time to time on demand in accordance with the Priority of Payments and shall constitute and become a part of the Obligations secured hereby, and any costs of an advisor or agent retained to exercise foregoing remedies shall be paid from the Replacement Management Fee.</w:t>
      </w:r>
    </w:p>
    <w:p>
      <w:pPr>
        <w:spacing w:after="0" w:line="188"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To the extent permitted by law, without the prior written consent of all of the Lenders, credit bidding by any Lender (or any other Person) in connection with any foreclosure sale hereunder shall not be permitted.</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Remedies Cumulative</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Each right, power, and remedy of the Agents and the other Secured Parties, or any 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either of the Agents or any other Secured Party of any one or more of such rights, powers, or remedies shall not preclude the simultaneous or later exercise by such Persons of any or all such other rights, powers, or remedies.</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Related Documents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21"/>
        <w:spacing w:after="0" w:line="264" w:lineRule="auto"/>
        <w:tabs>
          <w:tab w:leader="none" w:pos="115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Borrower hereby agrees that after the occurrence and during the continuance of an Event of Default, it shall (i) upon the written request of either Agent promptly forward to such Agent all information and notices which it receives under or in connection with the Related Documents relating to the Collateral and (ii) upon the written request of either Agent,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274" w:right="319" w:bottom="1440" w:gutter="0" w:footer="0" w:header="0"/>
        </w:sectPr>
      </w:pPr>
    </w:p>
    <w:bookmarkStart w:id="222" w:name="page223"/>
    <w:bookmarkEnd w:id="22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 and refrain from acting in respect of any request, act, decision or vote under or in connection with the Related Documents relating to the Collateral only in accordance with the direction of such Agent.</w:t>
      </w:r>
    </w:p>
    <w:p>
      <w:pPr>
        <w:spacing w:after="0" w:line="170" w:lineRule="exact"/>
        <w:rPr>
          <w:sz w:val="20"/>
          <w:szCs w:val="20"/>
          <w:color w:val="auto"/>
        </w:rPr>
      </w:pPr>
    </w:p>
    <w:p>
      <w:pPr>
        <w:ind w:right="340" w:firstLine="921"/>
        <w:spacing w:after="0" w:line="264" w:lineRule="auto"/>
        <w:tabs>
          <w:tab w:leader="none" w:pos="116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Borrower agrees that, to the extent the same shall be in the Borrower’s possession, it will hold all Related Documents in trust for the Collateral Agent on behalf of the Secured Parties, and upon request of either Agent following the occurrence and during the continuance of an Event of Default or as otherwise provided herein, promptly deliver the same to the Collateral Agent or its designee.</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Borrower Remains Liable</w:t>
      </w:r>
      <w:r>
        <w:rPr>
          <w:rFonts w:ascii="Arial" w:cs="Arial" w:eastAsia="Arial" w:hAnsi="Arial"/>
          <w:sz w:val="18"/>
          <w:szCs w:val="18"/>
          <w:color w:val="auto"/>
        </w:rPr>
        <w:t>.</w:t>
      </w:r>
    </w:p>
    <w:p>
      <w:pPr>
        <w:spacing w:after="0" w:line="117" w:lineRule="exact"/>
        <w:rPr>
          <w:sz w:val="20"/>
          <w:szCs w:val="20"/>
          <w:color w:val="auto"/>
        </w:rPr>
      </w:pPr>
    </w:p>
    <w:p>
      <w:pPr>
        <w:ind w:right="180" w:firstLine="921"/>
        <w:spacing w:after="0" w:line="297" w:lineRule="auto"/>
        <w:tabs>
          <w:tab w:leader="none" w:pos="115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Except as may be necessary in connection with any assignment of the Collateral to the Collateral Agent or its designee pursuant to the first sentence of the second paragraph of </w:t>
      </w:r>
      <w:r>
        <w:rPr>
          <w:rFonts w:ascii="Arial" w:cs="Arial" w:eastAsia="Arial" w:hAnsi="Arial"/>
          <w:sz w:val="16"/>
          <w:szCs w:val="16"/>
          <w:u w:val="single" w:color="auto"/>
          <w:color w:val="auto"/>
        </w:rPr>
        <w:t>Section 7.03</w:t>
      </w:r>
      <w:r>
        <w:rPr>
          <w:rFonts w:ascii="Arial" w:cs="Arial" w:eastAsia="Arial" w:hAnsi="Arial"/>
          <w:sz w:val="16"/>
          <w:szCs w:val="16"/>
          <w:color w:val="auto"/>
        </w:rPr>
        <w:t>, (i) the Borrower shall 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58" w:lineRule="exact"/>
        <w:rPr>
          <w:rFonts w:ascii="Arial" w:cs="Arial" w:eastAsia="Arial" w:hAnsi="Arial"/>
          <w:sz w:val="16"/>
          <w:szCs w:val="16"/>
          <w:color w:val="auto"/>
        </w:rPr>
      </w:pPr>
    </w:p>
    <w:p>
      <w:pPr>
        <w:ind w:right="280" w:firstLine="921"/>
        <w:spacing w:after="0" w:line="276" w:lineRule="auto"/>
        <w:tabs>
          <w:tab w:leader="none" w:pos="116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No obligation or liability of the Borrower is intended to be assumed by either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Agents and the other Secured Parties expressly disclaim any such assumption. The Borrower agrees to indemnify, defend and hold harmless the Agents and the other Secured Parties from any loss, liability or expense incurred as a result of any claim that any such obligation or liability has been so assumed.</w:t>
      </w:r>
    </w:p>
    <w:p>
      <w:pPr>
        <w:spacing w:after="0" w:line="17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Assignment of Investment Management Agreement and Master Transfer Agreement</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84" w:lineRule="auto"/>
        <w:tabs>
          <w:tab w:leader="none" w:pos="1158" w:val="left"/>
        </w:tabs>
        <w:numPr>
          <w:ilvl w:val="1"/>
          <w:numId w:val="218"/>
        </w:numPr>
        <w:rPr>
          <w:rFonts w:ascii="Arial" w:cs="Arial" w:eastAsia="Arial" w:hAnsi="Arial"/>
          <w:sz w:val="16"/>
          <w:szCs w:val="16"/>
          <w:color w:val="auto"/>
        </w:rPr>
      </w:pPr>
      <w:r>
        <w:rPr>
          <w:rFonts w:ascii="Arial" w:cs="Arial" w:eastAsia="Arial" w:hAnsi="Arial"/>
          <w:sz w:val="16"/>
          <w:szCs w:val="16"/>
          <w:color w:val="auto"/>
        </w:rPr>
        <w:t xml:space="preserve">The Borrower hereby acknowledges that its grant contained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includes all of the Borrower’s estate, right, title and interest in, to and under the Investment Management Agreement and the Master Transfer Agreement, including (i) the right to give all notices, consents and releases thereunder, (ii) the right to give all notices of termination and to take any legal action upon the breach of an obligation of the Investment Manager thereunder, including the commencement, conduct and consummation of proceedings at law or in equity, (iii) the right to receive all notices, accountings, consents, releases and statements thereunder and (iv) the right to do any and all other things whatsoever that the Borrower is or may be entitled to do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the Agents shall not have the authority to exercise any of the rights set forth in (i) through</w:t>
      </w:r>
    </w:p>
    <w:p>
      <w:pPr>
        <w:spacing w:after="0" w:line="4" w:lineRule="exact"/>
        <w:rPr>
          <w:rFonts w:ascii="Arial" w:cs="Arial" w:eastAsia="Arial" w:hAnsi="Arial"/>
          <w:sz w:val="16"/>
          <w:szCs w:val="16"/>
          <w:color w:val="auto"/>
        </w:rPr>
      </w:pPr>
    </w:p>
    <w:p>
      <w:pPr>
        <w:ind w:right="40" w:firstLine="8"/>
        <w:spacing w:after="0" w:line="261" w:lineRule="auto"/>
        <w:tabs>
          <w:tab w:leader="none" w:pos="30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above or that may otherwise arise as a result of the grant until the occurrence of an Event of Default hereunder, and such authority shall terminate at such time, if any, as such Event of Default is cured or waived.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274" w:right="279" w:bottom="1440" w:gutter="0" w:footer="0" w:header="0"/>
        </w:sectPr>
      </w:pPr>
    </w:p>
    <w:bookmarkStart w:id="223" w:name="page224"/>
    <w:bookmarkEnd w:id="223"/>
    <w:p>
      <w:pPr>
        <w:jc w:val="both"/>
        <w:ind w:firstLine="921"/>
        <w:spacing w:after="0" w:line="312" w:lineRule="auto"/>
        <w:tabs>
          <w:tab w:leader="none" w:pos="1168" w:val="left"/>
        </w:tabs>
        <w:numPr>
          <w:ilvl w:val="0"/>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assignment made hereby is executed as collateral security, and the execution and delivery hereby shall not in any way impair or diminish the obligations of the Borrower under the provisions of the Investment Management Agreement or the other documents referred to in paragraph (a) above, nor shall any of the obligations contained in the Investment Management Agreement or such other documents be imposed on the Agents.</w:t>
      </w:r>
    </w:p>
    <w:p>
      <w:pPr>
        <w:spacing w:after="0" w:line="146" w:lineRule="exact"/>
        <w:rPr>
          <w:rFonts w:ascii="Arial" w:cs="Arial" w:eastAsia="Arial" w:hAnsi="Arial"/>
          <w:sz w:val="16"/>
          <w:szCs w:val="16"/>
          <w:color w:val="auto"/>
        </w:rPr>
      </w:pPr>
    </w:p>
    <w:p>
      <w:pPr>
        <w:ind w:right="60" w:firstLine="921"/>
        <w:spacing w:after="0" w:line="257" w:lineRule="auto"/>
        <w:tabs>
          <w:tab w:leader="none" w:pos="115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Upon the occurrence of the Final Maturity Date (or, if earlier, the payment in full of all of the Obligations and the termination of all of the Commitments), the payment of all Obligations and the release of the Collateral from the lien of this Agreement, this assignment and all rights herein assigned to the Collateral Agent for the benefit of the Lenders shall cease and terminate and all the estate, right, title and interest of the Collateral Agent in, to and under the Investment Management Agreement and the other documents referred to in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shall revert to the Borrower, and no further instrument or act shall be necessary to evidence such termination and reversion.</w:t>
      </w:r>
    </w:p>
    <w:p>
      <w:pPr>
        <w:spacing w:after="0" w:line="188"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Borrower represents that the Borrower has not executed any other assignment of the Investment Management Agreement or the Master Transfer Agreement.</w:t>
      </w:r>
    </w:p>
    <w:p>
      <w:pPr>
        <w:spacing w:after="0" w:line="170" w:lineRule="exact"/>
        <w:rPr>
          <w:rFonts w:ascii="Arial" w:cs="Arial" w:eastAsia="Arial" w:hAnsi="Arial"/>
          <w:sz w:val="18"/>
          <w:szCs w:val="18"/>
          <w:color w:val="auto"/>
        </w:rPr>
      </w:pPr>
    </w:p>
    <w:p>
      <w:pPr>
        <w:ind w:right="100" w:firstLine="921"/>
        <w:spacing w:after="0" w:line="279" w:lineRule="auto"/>
        <w:tabs>
          <w:tab w:leader="none" w:pos="115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Borrower agrees that this assignment is irrevocable until the Obligations (other than unasserted contingent obligations) have been repaid in full and all Commitments have terminated, and that it will not take any action which is inconsistent with this assignment or make any other assignment inconsistent herewith. The Borrower will, from time to time, execute all instruments of further assurance and all such supplemental instruments with respect to this assignment as may be necessary to continue and maintain the effectiveness of such assignment.</w:t>
      </w:r>
    </w:p>
    <w:p>
      <w:pPr>
        <w:spacing w:after="0" w:line="171" w:lineRule="exact"/>
        <w:rPr>
          <w:rFonts w:ascii="Arial" w:cs="Arial" w:eastAsia="Arial" w:hAnsi="Arial"/>
          <w:sz w:val="17"/>
          <w:szCs w:val="17"/>
          <w:color w:val="auto"/>
        </w:rPr>
      </w:pPr>
    </w:p>
    <w:p>
      <w:pPr>
        <w:ind w:right="580" w:firstLine="921"/>
        <w:spacing w:after="0" w:line="277" w:lineRule="auto"/>
        <w:tabs>
          <w:tab w:leader="none" w:pos="113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Borrower hereby agrees, and hereby undertakes to obtain the agreement and consent of the Investment Manager in the Investment Management Agreement, to the following:</w:t>
      </w:r>
    </w:p>
    <w:p>
      <w:pPr>
        <w:spacing w:after="0" w:line="62" w:lineRule="exact"/>
        <w:rPr>
          <w:rFonts w:ascii="Arial" w:cs="Arial" w:eastAsia="Arial" w:hAnsi="Arial"/>
          <w:sz w:val="18"/>
          <w:szCs w:val="18"/>
          <w:color w:val="auto"/>
        </w:rPr>
      </w:pPr>
    </w:p>
    <w:p>
      <w:pPr>
        <w:ind w:left="460" w:right="480" w:firstLine="881"/>
        <w:spacing w:after="0" w:line="277" w:lineRule="auto"/>
        <w:tabs>
          <w:tab w:leader="none" w:pos="1551"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Investment Manager shall consent to the provisions of this assignment and agree to perform any provisions of this Agreement applicable to the Investment Manager subject to the terms of the Investment Management Agreement.</w:t>
      </w:r>
    </w:p>
    <w:p>
      <w:pPr>
        <w:spacing w:after="0" w:line="62" w:lineRule="exact"/>
        <w:rPr>
          <w:rFonts w:ascii="Arial" w:cs="Arial" w:eastAsia="Arial" w:hAnsi="Arial"/>
          <w:sz w:val="18"/>
          <w:szCs w:val="18"/>
          <w:color w:val="auto"/>
        </w:rPr>
      </w:pPr>
    </w:p>
    <w:p>
      <w:pPr>
        <w:ind w:left="460" w:right="720" w:firstLine="881"/>
        <w:spacing w:after="0" w:line="277" w:lineRule="auto"/>
        <w:tabs>
          <w:tab w:leader="none" w:pos="1601"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Investment Manager shall acknowledge that the Borrower is assigning all of its right, title and interest in, to and under the Investment Management Agreement to the Collateral Agent for the benefit of the Secured Parties.</w:t>
      </w:r>
    </w:p>
    <w:p>
      <w:pPr>
        <w:spacing w:after="0" w:line="62" w:lineRule="exact"/>
        <w:rPr>
          <w:rFonts w:ascii="Arial" w:cs="Arial" w:eastAsia="Arial" w:hAnsi="Arial"/>
          <w:sz w:val="18"/>
          <w:szCs w:val="18"/>
          <w:color w:val="auto"/>
        </w:rPr>
      </w:pPr>
    </w:p>
    <w:p>
      <w:pPr>
        <w:ind w:left="460" w:right="220" w:firstLine="881"/>
        <w:spacing w:after="0" w:line="277" w:lineRule="auto"/>
        <w:tabs>
          <w:tab w:leader="none" w:pos="1651" w:val="left"/>
        </w:tabs>
        <w:numPr>
          <w:ilvl w:val="1"/>
          <w:numId w:val="220"/>
        </w:numPr>
        <w:rPr>
          <w:rFonts w:ascii="Arial" w:cs="Arial" w:eastAsia="Arial" w:hAnsi="Arial"/>
          <w:sz w:val="18"/>
          <w:szCs w:val="18"/>
          <w:color w:val="auto"/>
        </w:rPr>
      </w:pPr>
      <w:r>
        <w:rPr>
          <w:rFonts w:ascii="Arial" w:cs="Arial" w:eastAsia="Arial" w:hAnsi="Arial"/>
          <w:sz w:val="18"/>
          <w:szCs w:val="18"/>
          <w:color w:val="auto"/>
        </w:rPr>
        <w:t>Neither the Borrower nor the Investment Manager will enter into any agreement amending, modifying or terminating the Investment Management Agreement without complying with the applicable terms thereof.</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Protection of Collateral</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Borrower shall from time to time execute and deliver all such supplements and amendments hereto and file or authorize the filing of all such UCC-1 financing statements, continuation statements, instruments of further assurance and other instruments, and shall take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other action as may be necessary or advisable to secure the rights and remedies of the Secured Parties hereunder and to:</w:t>
      </w:r>
    </w:p>
    <w:p>
      <w:pPr>
        <w:spacing w:after="0" w:line="117" w:lineRule="exact"/>
        <w:rPr>
          <w:sz w:val="20"/>
          <w:szCs w:val="20"/>
          <w:color w:val="auto"/>
        </w:rPr>
      </w:pPr>
    </w:p>
    <w:p>
      <w:pPr>
        <w:ind w:left="1560" w:hanging="219"/>
        <w:spacing w:after="0"/>
        <w:tabs>
          <w:tab w:leader="none" w:pos="15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grant security more effectively on all or any portion of the Collateral;</w:t>
      </w:r>
    </w:p>
    <w:p>
      <w:pPr>
        <w:spacing w:after="0" w:line="117" w:lineRule="exact"/>
        <w:rPr>
          <w:rFonts w:ascii="Arial" w:cs="Arial" w:eastAsia="Arial" w:hAnsi="Arial"/>
          <w:sz w:val="18"/>
          <w:szCs w:val="18"/>
          <w:color w:val="auto"/>
        </w:rPr>
      </w:pPr>
    </w:p>
    <w:p>
      <w:pPr>
        <w:ind w:left="460" w:right="420" w:firstLine="881"/>
        <w:spacing w:after="0" w:line="308" w:lineRule="auto"/>
        <w:tabs>
          <w:tab w:leader="none" w:pos="160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maintain, preserve and perfect any grant of security made or to be made by this Agreement including, without limitation, the first priority nature of the lien (subject to clause (ii) of the definition of Permitted Liens) or carry out more effectively the purposes hereof;</w:t>
      </w:r>
    </w:p>
    <w:p>
      <w:pPr>
        <w:spacing w:after="0" w:line="38" w:lineRule="exact"/>
        <w:rPr>
          <w:rFonts w:ascii="Arial" w:cs="Arial" w:eastAsia="Arial" w:hAnsi="Arial"/>
          <w:sz w:val="17"/>
          <w:szCs w:val="17"/>
          <w:color w:val="auto"/>
        </w:rPr>
      </w:pPr>
    </w:p>
    <w:p>
      <w:pPr>
        <w:ind w:left="460" w:firstLine="881"/>
        <w:spacing w:after="0" w:line="277" w:lineRule="auto"/>
        <w:tabs>
          <w:tab w:leader="none" w:pos="165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perfect, publish notice of or protect the validity of any grant made or to be made by this Agreement (including, without limitation, any and all actions necessary or desirable as a result of changes in law or regulations)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enforce any of the Collateral or other instruments or property included in the Collateral;</w:t>
      </w:r>
    </w:p>
    <w:p>
      <w:pPr>
        <w:spacing w:after="0" w:line="117" w:lineRule="exact"/>
        <w:rPr>
          <w:rFonts w:ascii="Arial" w:cs="Arial" w:eastAsia="Arial" w:hAnsi="Arial"/>
          <w:sz w:val="18"/>
          <w:szCs w:val="18"/>
          <w:color w:val="auto"/>
        </w:rPr>
      </w:pPr>
    </w:p>
    <w:p>
      <w:pPr>
        <w:ind w:left="460" w:right="120" w:firstLine="881"/>
        <w:spacing w:after="0" w:line="277" w:lineRule="auto"/>
        <w:tabs>
          <w:tab w:leader="none" w:pos="159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preserve and defend title to the Collateral and the rights therein of the Collateral Agent and the other Secured Parties in the Collateral against the claims of all Persons and parties;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pay or cause to be paid any and all taxes levied or assessed upon all or any part of the Collateral; and</w:t>
      </w:r>
    </w:p>
    <w:p>
      <w:pPr>
        <w:spacing w:after="0" w:line="117" w:lineRule="exact"/>
        <w:rPr>
          <w:rFonts w:ascii="Arial" w:cs="Arial" w:eastAsia="Arial" w:hAnsi="Arial"/>
          <w:sz w:val="18"/>
          <w:szCs w:val="18"/>
          <w:color w:val="auto"/>
        </w:rPr>
      </w:pPr>
    </w:p>
    <w:p>
      <w:pPr>
        <w:ind w:left="460" w:right="280" w:firstLine="881"/>
        <w:spacing w:after="0" w:line="264" w:lineRule="auto"/>
        <w:tabs>
          <w:tab w:leader="none" w:pos="169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file precautionary UCC-1 financing statements and related continuation statements, in each case, naming the Borrower as secured party and the assignor under the Master Transfer Agreement as debtor in respect of the Collateral Obligations from time to time purchased by the Borrower thereunder.</w:t>
      </w:r>
    </w:p>
    <w:p>
      <w:pPr>
        <w:spacing w:after="0" w:line="18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The Borrower hereby designates the Collateral Agent as its agent and attorney in fact to prepare and file all UCC-1 financing statements, continuation statements and other instruments, and take all other actions, required pursuant to this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Such designation shall not impose upon the Collateral Agent, or release or diminish, the Borrower’s obligations under this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Acknowledgement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In connection with any contemplated secured financing by TPG Specialty Lending, Inc., upon the request of the Borrower and at the expense of TPG Specialty Lending, Inc., the Facility Agent agrees to cooperate in good faith and in a commercially reasonable manner in assisting the Borrower to identify the assets included in the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the lender to such contemplated secured financing provides the Facility Agent with an acknowledgement that it has no interest in the assets so identified as being included in the Collateral, the Facility Agent shall be under no obligation to provide such lender with a similar identification of the assets subject to the lien in favor of such lender.</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20"/>
          </w:cols>
          <w:pgMar w:left="240" w:top="274" w:right="339" w:bottom="1440" w:gutter="0" w:footer="0" w:header="0"/>
        </w:sectPr>
      </w:pPr>
    </w:p>
    <w:bookmarkStart w:id="225" w:name="page226"/>
    <w:bookmarkEnd w:id="22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ACCOUNTS, ACCOUNTINGS AND RELEASES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Collection of Money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Except as otherwise expressly provided herein, the Collateral Agent may demand payment or delivery of, and 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a Covered Account and in trust for the Secured Parties and shall apply it as provided in this Agreement. Each Covered Account shall be established as a single segregated securities account held in trust and maintained under the Account Control Agreement with (a) a federal or state-chartered depository institution having DBRS Ratings of at least “A (high)” and “R-1 (middle)” and, if such institution’s DBRS Ratings falls below such levels, then the assets held in such Covered Account shall, upon direction of the Facility Agent following notice to the Facility Agent from the Collateral Agent, be moved within 30 days to another institution that has such DBRS Ratings or (b) in segregated securities accounts held in trust with the corporate trust department of a federal or state-chartered deposit institution subject to regulations regarding fiduciary funds on deposit similar to Title 12 of the Code of Federal Regulation Section 9.10(b). Any Covered Account may contain any number of subaccounts for the convenience of the Collateral Agent or as required by this Agreement for convenience in administering the Covered Account or the Collateral.</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Collection Account</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69" w:lineRule="auto"/>
        <w:tabs>
          <w:tab w:leader="none" w:pos="1158"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accordance with this Agreement and the Account Control Agreement, the Collateral Agent, on or prior to the Original Closing Date, shall establish at the Custodian a single, segregated securities account held in trust and titled the “TPG SL SPV, LLC Collection Account, subject to the lien of the Collateral Agent”, which shall be designated as the “</w:t>
      </w:r>
      <w:r>
        <w:rPr>
          <w:rFonts w:ascii="Arial" w:cs="Arial" w:eastAsia="Arial" w:hAnsi="Arial"/>
          <w:sz w:val="17"/>
          <w:szCs w:val="17"/>
          <w:u w:val="single" w:color="auto"/>
          <w:color w:val="auto"/>
        </w:rPr>
        <w:t>Collection Account</w:t>
      </w:r>
      <w:r>
        <w:rPr>
          <w:rFonts w:ascii="Arial" w:cs="Arial" w:eastAsia="Arial" w:hAnsi="Arial"/>
          <w:sz w:val="17"/>
          <w:szCs w:val="17"/>
          <w:color w:val="auto"/>
        </w:rPr>
        <w:t>”, which shall be maintained with the Custodian in accordance with the Account Control Agreement and which shall be subject to the lien of the Collateral Agent. In addition, the Collateral Agent shall establish three segregated subaccounts within the Collection Account, one of which will be designated the “</w:t>
      </w:r>
      <w:r>
        <w:rPr>
          <w:rFonts w:ascii="Arial" w:cs="Arial" w:eastAsia="Arial" w:hAnsi="Arial"/>
          <w:sz w:val="17"/>
          <w:szCs w:val="17"/>
          <w:u w:val="single" w:color="auto"/>
          <w:color w:val="auto"/>
        </w:rPr>
        <w:t>Interest Collection Subaccount</w:t>
      </w:r>
      <w:r>
        <w:rPr>
          <w:rFonts w:ascii="Arial" w:cs="Arial" w:eastAsia="Arial" w:hAnsi="Arial"/>
          <w:sz w:val="17"/>
          <w:szCs w:val="17"/>
          <w:color w:val="auto"/>
        </w:rPr>
        <w:t>”, one of which will be designated the “</w:t>
      </w:r>
      <w:r>
        <w:rPr>
          <w:rFonts w:ascii="Arial" w:cs="Arial" w:eastAsia="Arial" w:hAnsi="Arial"/>
          <w:sz w:val="17"/>
          <w:szCs w:val="17"/>
          <w:u w:val="single" w:color="auto"/>
          <w:color w:val="auto"/>
        </w:rPr>
        <w:t>Principal Collection Subaccount</w:t>
      </w:r>
      <w:r>
        <w:rPr>
          <w:rFonts w:ascii="Arial" w:cs="Arial" w:eastAsia="Arial" w:hAnsi="Arial"/>
          <w:sz w:val="17"/>
          <w:szCs w:val="17"/>
          <w:color w:val="auto"/>
        </w:rPr>
        <w:t>”, and one of which will be designated the “</w:t>
      </w:r>
      <w:r>
        <w:rPr>
          <w:rFonts w:ascii="Arial" w:cs="Arial" w:eastAsia="Arial" w:hAnsi="Arial"/>
          <w:sz w:val="17"/>
          <w:szCs w:val="17"/>
          <w:u w:val="single" w:color="auto"/>
          <w:color w:val="auto"/>
        </w:rPr>
        <w:t>Canadian Dollar Subaccount</w:t>
      </w:r>
      <w:r>
        <w:rPr>
          <w:rFonts w:ascii="Arial" w:cs="Arial" w:eastAsia="Arial" w:hAnsi="Arial"/>
          <w:sz w:val="17"/>
          <w:szCs w:val="17"/>
          <w:color w:val="auto"/>
        </w:rPr>
        <w:t xml:space="preserve">”. The Collateral Agent shall from time to time deposit into the Interest Collection Subaccount, in addition to the deposits required pursuant to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all Principal Proceeds (unless simultaneously reinvested in additional Collateral Obligations in accordance with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in Eligible Investments or required to be deposited in the Revolving Reserve Account pursuant to </w:t>
      </w:r>
      <w:r>
        <w:rPr>
          <w:rFonts w:ascii="Arial" w:cs="Arial" w:eastAsia="Arial" w:hAnsi="Arial"/>
          <w:sz w:val="17"/>
          <w:szCs w:val="17"/>
          <w:u w:val="single" w:color="auto"/>
          <w:color w:val="auto"/>
        </w:rPr>
        <w:t>Section 8.04</w:t>
      </w:r>
      <w:r>
        <w:rPr>
          <w:rFonts w:ascii="Arial" w:cs="Arial" w:eastAsia="Arial" w:hAnsi="Arial"/>
          <w:sz w:val="17"/>
          <w:szCs w:val="17"/>
          <w:color w:val="auto"/>
        </w:rPr>
        <w:t>) received by the Collateral Agent. All Monies deposited from time to time in the Collection Account pursuant to this Agreement shall be held by the Collateral Agent as part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274" w:right="279" w:bottom="1440" w:gutter="0" w:footer="0" w:header="0"/>
        </w:sectPr>
      </w:pPr>
    </w:p>
    <w:bookmarkStart w:id="226" w:name="page227"/>
    <w:bookmarkEnd w:id="226"/>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Collateral and shall be applied to the purposes herein provided. All amounts in the Collection Account shall be reinvested pursuant to </w:t>
      </w:r>
      <w:r>
        <w:rPr>
          <w:rFonts w:ascii="Arial" w:cs="Arial" w:eastAsia="Arial" w:hAnsi="Arial"/>
          <w:sz w:val="17"/>
          <w:szCs w:val="17"/>
          <w:u w:val="single" w:color="auto"/>
          <w:color w:val="auto"/>
        </w:rPr>
        <w:t>Section 8.05(a)</w:t>
      </w:r>
      <w:r>
        <w:rPr>
          <w:rFonts w:ascii="Arial" w:cs="Arial" w:eastAsia="Arial" w:hAnsi="Arial"/>
          <w:sz w:val="17"/>
          <w:szCs w:val="17"/>
          <w:color w:val="auto"/>
        </w:rPr>
        <w:t>. The Borrower shall instruct all Obligors to remit all their payments in respect of the Collateral Obligations into the Collection Account (or one or more subaccounts thereof) in accordance with this Agreement. If the Borrower receives any Collections directly, the Borrower shall remit any such Collections to the Collection Account (or one or more subaccounts thereof) within 2 Business Days of receipt thereof.</w:t>
      </w:r>
    </w:p>
    <w:p>
      <w:pPr>
        <w:spacing w:after="0" w:line="171" w:lineRule="exact"/>
        <w:rPr>
          <w:sz w:val="20"/>
          <w:szCs w:val="20"/>
          <w:color w:val="auto"/>
        </w:rPr>
      </w:pPr>
    </w:p>
    <w:p>
      <w:pPr>
        <w:ind w:right="240" w:firstLine="921"/>
        <w:spacing w:after="0" w:line="291" w:lineRule="auto"/>
        <w:tabs>
          <w:tab w:leader="none" w:pos="116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The Collateral Agent, within one Business Day after receipt of any distribution or other proceeds in respect of the Collateral which are not Cash, shall so notify the Borrower and the Investment Manager, and the Borrower shall use its commercially reasonable efforts to, within fifteen Business Days of receipt of such notice from the Collateral Agent (or as soon as practicable thereafter), sell such distribution or other proceeds for Cash in an arm’s length transaction and deposit the proceeds thereof in the Collection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need not sell such distributions or other proceeds pursuant to this </w:t>
      </w:r>
      <w:r>
        <w:rPr>
          <w:rFonts w:ascii="Arial" w:cs="Arial" w:eastAsia="Arial" w:hAnsi="Arial"/>
          <w:sz w:val="16"/>
          <w:szCs w:val="16"/>
          <w:u w:val="single" w:color="auto"/>
          <w:color w:val="auto"/>
        </w:rPr>
        <w:t>Section 8.02(b)</w:t>
      </w:r>
      <w:r>
        <w:rPr>
          <w:rFonts w:ascii="Arial" w:cs="Arial" w:eastAsia="Arial" w:hAnsi="Arial"/>
          <w:sz w:val="16"/>
          <w:szCs w:val="16"/>
          <w:color w:val="auto"/>
        </w:rPr>
        <w:t xml:space="preserve"> if (x) it delivers a certificate of a Responsible Officer to the Collateral Agent certifying that such distributions or other proceeds constitute Collateral Obligations or Eligible Investments or (y) such distribution or proceeds are otherwise permitted to be held by the Borrower hereunder, it being understood that such distributions or other proceeds may be required to be sold pursuant to other provisions of this Agreement.</w:t>
      </w:r>
    </w:p>
    <w:p>
      <w:pPr>
        <w:spacing w:after="0" w:line="167" w:lineRule="exact"/>
        <w:rPr>
          <w:rFonts w:ascii="Arial" w:cs="Arial" w:eastAsia="Arial" w:hAnsi="Arial"/>
          <w:sz w:val="16"/>
          <w:szCs w:val="16"/>
          <w:color w:val="auto"/>
        </w:rPr>
      </w:pPr>
    </w:p>
    <w:p>
      <w:pPr>
        <w:ind w:right="40" w:firstLine="921"/>
        <w:spacing w:after="0" w:line="290" w:lineRule="auto"/>
        <w:tabs>
          <w:tab w:leader="none" w:pos="115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At any time when reinvestment is permitted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Investment Manager may by delivery of a certificate of a Responsible Officer of the Investment Manager direct the Collateral Agent to, and upon receipt of such certificate the Collateral Agent shall, withdraw funds on deposit in the Principal Collection Subaccount representing Principal Proceeds and from Interest Proceeds but only to the extent used to pay for accrued interest on an additional Collateral Obligation and reinvest such funds in additional Collateral Obligations or exercise a warrant held in the Collateral, in each case in accordance with the requirements of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such certificate. At any time as of which no funds are on deposit in the Revolving Reserve Account, the Investment Manager may by delivery of a certificate of a Responsible Officer direct the Collateral Agent to, and upon receipt of such certificate the Collateral Agent shall, withdraw funds on deposit in the Principal Collection Subaccount representing Principal Proceeds and remit such funds as so directed by the Investment Manager to meet the Borrower’s funding obligations in respect of Delayed Drawdown Collateral Loans or Revolving Collateral Loans.</w:t>
      </w:r>
    </w:p>
    <w:p>
      <w:pPr>
        <w:spacing w:after="0" w:line="166" w:lineRule="exact"/>
        <w:rPr>
          <w:rFonts w:ascii="Arial" w:cs="Arial" w:eastAsia="Arial" w:hAnsi="Arial"/>
          <w:sz w:val="16"/>
          <w:szCs w:val="16"/>
          <w:color w:val="auto"/>
        </w:rPr>
      </w:pPr>
    </w:p>
    <w:p>
      <w:pPr>
        <w:jc w:val="both"/>
        <w:ind w:right="100" w:firstLine="921"/>
        <w:spacing w:after="0" w:line="257" w:lineRule="auto"/>
        <w:tabs>
          <w:tab w:leader="none" w:pos="116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The Collateral Agent shall transfer to the Payment Account, from the Collection Account for application pursuant to </w:t>
      </w:r>
      <w:r>
        <w:rPr>
          <w:rFonts w:ascii="Arial" w:cs="Arial" w:eastAsia="Arial" w:hAnsi="Arial"/>
          <w:sz w:val="18"/>
          <w:szCs w:val="18"/>
          <w:u w:val="single" w:color="auto"/>
          <w:color w:val="auto"/>
        </w:rPr>
        <w:t>Section 9.01(a)</w:t>
      </w:r>
      <w:r>
        <w:rPr>
          <w:rFonts w:ascii="Arial" w:cs="Arial" w:eastAsia="Arial" w:hAnsi="Arial"/>
          <w:sz w:val="18"/>
          <w:szCs w:val="18"/>
          <w:color w:val="auto"/>
        </w:rPr>
        <w:t>, on or before the Business Day preceding each Payment Date, any amounts then held in the Collection Account other than Interest Proceeds or Principal Proceeds received after the end of the Collection Period with respect to such Payment Date (and not otherwise designated for reinvestment by the Investment Manager or to be used to settle binding commitments (entered into prior to the Determination Date) for the purchase of Collateral Obligations) and as described in the Payment Date Report for such Payment Date.</w:t>
      </w:r>
    </w:p>
    <w:p>
      <w:pPr>
        <w:spacing w:after="0" w:line="188" w:lineRule="exact"/>
        <w:rPr>
          <w:rFonts w:ascii="Arial" w:cs="Arial" w:eastAsia="Arial" w:hAnsi="Arial"/>
          <w:sz w:val="18"/>
          <w:szCs w:val="18"/>
          <w:color w:val="auto"/>
        </w:rPr>
      </w:pPr>
    </w:p>
    <w:p>
      <w:pPr>
        <w:ind w:firstLine="921"/>
        <w:spacing w:after="0" w:line="277" w:lineRule="auto"/>
        <w:tabs>
          <w:tab w:leader="none" w:pos="115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Canadian Dollar Subaccount</w:t>
      </w:r>
      <w:r>
        <w:rPr>
          <w:rFonts w:ascii="Arial" w:cs="Arial" w:eastAsia="Arial" w:hAnsi="Arial"/>
          <w:sz w:val="18"/>
          <w:szCs w:val="18"/>
          <w:color w:val="auto"/>
        </w:rPr>
        <w:t>” may include sub-subaccounts for Interest Proceeds and Principal Proceeds. Collections received in respect of any Canadian Dollar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227" w:name="page228"/>
    <w:bookmarkEnd w:id="227"/>
    <w:p>
      <w:pPr>
        <w:ind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 shall be identified by the Collateral Agent as such and deposited in the Canadian Dollar Subaccount. Within one Business Day of receipt of any distribution under a Canadian Dollar Obligation, the Collateral Agent shall convert the amount of such distribution to Dollars applying the Spot Foreign Exchange Rate as of the date of such conversion and deposit such Dollars in the Interest Collection Subaccount or the Principal Collection Subaccount, as applicable. Whenever it is provided in this Agreement that the Collateral Agent is required or permitted to convert any distribution or other amount received in Canadian Dollars into Dollars at the Spot Foreign Exchange Rate or words of similar import, it is expressly agreed that (unless the Collateral Agent shall have received other express written instruction from the Facility Agent, together with the designation and establishment of any arrangements or facilities needed to carry out such instructions), the Collateral Agent shall be entitled to carry out such conversion by means of the foreign exchange facilities of the Collateral Agent or any of its Affiliates, at whatever rates and terms the Collateral Agent then makes available to its customers, and in connection therewith the Collateral Agent may assess and receive its usual and customary fees and charges related thereto (so long as such fees and charges are reasonable and consistent with the amounts that would be received in an arm’s length transaction).</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Transaction Accounts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2" w:lineRule="auto"/>
        <w:tabs>
          <w:tab w:leader="none" w:pos="1157"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Payment Account</w:t>
      </w:r>
      <w:r>
        <w:rPr>
          <w:rFonts w:ascii="Arial" w:cs="Arial" w:eastAsia="Arial" w:hAnsi="Arial"/>
          <w:sz w:val="17"/>
          <w:szCs w:val="17"/>
          <w:color w:val="auto"/>
        </w:rPr>
        <w:t>. In accordance with this Agreement and the Account Control Agreement, the Collateral Agent, on or prior to the Original Closing Date, shall establish at the Custodian a single, segregated securities account held in trust and titled the “TPG SL SPV, LLC Payment Account, subject to the lien of the Collateral Agent”, which shall be designated as the “</w:t>
      </w:r>
      <w:r>
        <w:rPr>
          <w:rFonts w:ascii="Arial" w:cs="Arial" w:eastAsia="Arial" w:hAnsi="Arial"/>
          <w:sz w:val="17"/>
          <w:szCs w:val="17"/>
          <w:u w:val="single" w:color="auto"/>
          <w:color w:val="auto"/>
        </w:rPr>
        <w:t>Payment Account</w:t>
      </w:r>
      <w:r>
        <w:rPr>
          <w:rFonts w:ascii="Arial" w:cs="Arial" w:eastAsia="Arial" w:hAnsi="Arial"/>
          <w:sz w:val="17"/>
          <w:szCs w:val="17"/>
          <w:color w:val="auto"/>
        </w:rPr>
        <w:t>”, which shall be maintained by the Borrower with the Custodian in accordance with the Account Control Agreement and which shall be subject to the lien of the Collateral Agent. The only permitted withdrawal from or application of funds on deposit in, or otherwise to the credit of, the Payment Account shall be to pay amounts due and payable under the Priority of Payments on the Payment Dates in accordance with their terms and the provisions of this Agreement. The Borrower shall have legal, equitable and beneficial interest in the Payment Account in accordance with this Agreement and the Priority of Payments.</w:t>
      </w:r>
    </w:p>
    <w:p>
      <w:pPr>
        <w:spacing w:after="0" w:line="177" w:lineRule="exact"/>
        <w:rPr>
          <w:rFonts w:ascii="Arial" w:cs="Arial" w:eastAsia="Arial" w:hAnsi="Arial"/>
          <w:sz w:val="17"/>
          <w:szCs w:val="17"/>
          <w:color w:val="auto"/>
        </w:rPr>
      </w:pPr>
    </w:p>
    <w:p>
      <w:pPr>
        <w:ind w:firstLine="921"/>
        <w:spacing w:after="0" w:line="270" w:lineRule="auto"/>
        <w:tabs>
          <w:tab w:leader="none" w:pos="1168"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Custodial Account</w:t>
      </w:r>
      <w:r>
        <w:rPr>
          <w:rFonts w:ascii="Arial" w:cs="Arial" w:eastAsia="Arial" w:hAnsi="Arial"/>
          <w:sz w:val="17"/>
          <w:szCs w:val="17"/>
          <w:color w:val="auto"/>
        </w:rPr>
        <w:t>. In accordance with this Agreement and the Account Control Agreement, the Collateral Agent, on or prior to the Original Closing Date, shall establish at the Custodian a single, segregated securities account held in trust and titled the “TPG SL SPV, LLC Custodial Account, subject to the lien of the Collateral Agent”, which shall be designated as the “</w:t>
      </w:r>
      <w:r>
        <w:rPr>
          <w:rFonts w:ascii="Arial" w:cs="Arial" w:eastAsia="Arial" w:hAnsi="Arial"/>
          <w:sz w:val="17"/>
          <w:szCs w:val="17"/>
          <w:u w:val="single" w:color="auto"/>
          <w:color w:val="auto"/>
        </w:rPr>
        <w:t>Custodial Account</w:t>
      </w:r>
      <w:r>
        <w:rPr>
          <w:rFonts w:ascii="Arial" w:cs="Arial" w:eastAsia="Arial" w:hAnsi="Arial"/>
          <w:sz w:val="17"/>
          <w:szCs w:val="17"/>
          <w:color w:val="auto"/>
        </w:rPr>
        <w:t>”, which shall be maintained by the Borrower with the Custodian in accordance with this Agreement and the Account Control Agreement and which shall be subject to the lien of the Collateral Agent. All Collateral Obligations shall be credited to the Custodial Account. The only permitted withdrawals from the Custodial Account shall be in accordance with the provisions of this Agreement. The Collateral Agent agrees to give the Borrower prompt notice if (to the actual knowledge of a Responsible Officer of the Collateral Agent) the Custodial Account or any assets or securities on deposit therein, or otherwise to the credit of the Custodial Account, shall become subject to any writ, order, judgment, warrant of attachment, execution or similar process. The Borrower shall have legal, equitable and beneficial interest in the Custodial Account in accordance with this Agreement and the Priority of Payments.</w:t>
      </w:r>
    </w:p>
    <w:p>
      <w:pPr>
        <w:spacing w:after="0" w:line="181" w:lineRule="exact"/>
        <w:rPr>
          <w:rFonts w:ascii="Arial" w:cs="Arial" w:eastAsia="Arial" w:hAnsi="Arial"/>
          <w:sz w:val="17"/>
          <w:szCs w:val="17"/>
          <w:color w:val="auto"/>
        </w:rPr>
      </w:pPr>
    </w:p>
    <w:p>
      <w:pPr>
        <w:ind w:left="1160" w:hanging="239"/>
        <w:spacing w:after="0"/>
        <w:tabs>
          <w:tab w:leader="none" w:pos="116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Lender Funding Account</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274" w:right="279" w:bottom="1440" w:gutter="0" w:footer="0" w:header="0"/>
        </w:sectPr>
      </w:pPr>
    </w:p>
    <w:bookmarkStart w:id="228" w:name="page229"/>
    <w:bookmarkEnd w:id="228"/>
    <w:p>
      <w:pPr>
        <w:ind w:right="160" w:firstLine="881"/>
        <w:spacing w:after="0" w:line="273" w:lineRule="auto"/>
        <w:tabs>
          <w:tab w:leader="none" w:pos="1091" w:val="left"/>
        </w:tabs>
        <w:numPr>
          <w:ilvl w:val="0"/>
          <w:numId w:val="2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Collateral Agent, on or prior to the Original Closing Date, shall establish at the Custodian a single, segregated securities account held in trust and titled the “TPG SL SPV, LLC Lender Funding Account, subject to the lien of the Collateral Agent”, which shall be designated as the “</w:t>
      </w:r>
      <w:r>
        <w:rPr>
          <w:rFonts w:ascii="Arial" w:cs="Arial" w:eastAsia="Arial" w:hAnsi="Arial"/>
          <w:sz w:val="17"/>
          <w:szCs w:val="17"/>
          <w:u w:val="single" w:color="auto"/>
          <w:color w:val="auto"/>
        </w:rPr>
        <w:t>Lender Funding Account</w:t>
      </w:r>
      <w:r>
        <w:rPr>
          <w:rFonts w:ascii="Arial" w:cs="Arial" w:eastAsia="Arial" w:hAnsi="Arial"/>
          <w:sz w:val="17"/>
          <w:szCs w:val="17"/>
          <w:color w:val="auto"/>
        </w:rPr>
        <w:t xml:space="preserve">”, which shall be maintained by the Borrower with the Custodian and which shall be subject to the lien of the Collateral Agent. The Lender Funding Account may contain any number of subaccounts for the purposes described in this </w:t>
      </w:r>
      <w:r>
        <w:rPr>
          <w:rFonts w:ascii="Arial" w:cs="Arial" w:eastAsia="Arial" w:hAnsi="Arial"/>
          <w:sz w:val="17"/>
          <w:szCs w:val="17"/>
          <w:u w:val="single" w:color="auto"/>
          <w:color w:val="auto"/>
        </w:rPr>
        <w:t>Section 8.03(c)</w:t>
      </w:r>
      <w:r>
        <w:rPr>
          <w:rFonts w:ascii="Arial" w:cs="Arial" w:eastAsia="Arial" w:hAnsi="Arial"/>
          <w:sz w:val="17"/>
          <w:szCs w:val="17"/>
          <w:color w:val="auto"/>
        </w:rPr>
        <w:t>. The only permitted deposits to or withdrawals from the Lender Funding Account shall be in accordance with the provisions of this Agreement. The Borrower shall have legal, equitable and beneficial interest in the Lender Funding Account in accordance with this Agreement.</w:t>
      </w:r>
    </w:p>
    <w:p>
      <w:pPr>
        <w:spacing w:after="0" w:line="70" w:lineRule="exact"/>
        <w:rPr>
          <w:rFonts w:ascii="Arial" w:cs="Arial" w:eastAsia="Arial" w:hAnsi="Arial"/>
          <w:sz w:val="17"/>
          <w:szCs w:val="17"/>
          <w:color w:val="auto"/>
        </w:rPr>
      </w:pPr>
    </w:p>
    <w:p>
      <w:pPr>
        <w:ind w:right="140" w:firstLine="881"/>
        <w:spacing w:after="0" w:line="302" w:lineRule="auto"/>
        <w:tabs>
          <w:tab w:leader="none" w:pos="114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If any Lender shall at any time deposit any amount in the Lender Funding Account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then (x) the Collateral Agent shall create a segregated subaccount of the Lender Funding Account with respect to such Lender (the “</w:t>
      </w:r>
      <w:r>
        <w:rPr>
          <w:rFonts w:ascii="Arial" w:cs="Arial" w:eastAsia="Arial" w:hAnsi="Arial"/>
          <w:sz w:val="16"/>
          <w:szCs w:val="16"/>
          <w:u w:val="single" w:color="auto"/>
          <w:color w:val="auto"/>
        </w:rPr>
        <w:t>Lender Funding Subaccount</w:t>
      </w:r>
      <w:r>
        <w:rPr>
          <w:rFonts w:ascii="Arial" w:cs="Arial" w:eastAsia="Arial" w:hAnsi="Arial"/>
          <w:sz w:val="16"/>
          <w:szCs w:val="16"/>
          <w:color w:val="auto"/>
        </w:rPr>
        <w:t xml:space="preserve">” of such Lender) and (y) the Collateral Agent shall deposit all funds received from such Lender into such Lender Funding Subaccount. The only permitted withdrawal from or application of funds credited to a Lender Funding Subaccount shall be as specified in this </w:t>
      </w:r>
      <w:r>
        <w:rPr>
          <w:rFonts w:ascii="Arial" w:cs="Arial" w:eastAsia="Arial" w:hAnsi="Arial"/>
          <w:sz w:val="16"/>
          <w:szCs w:val="16"/>
          <w:u w:val="single" w:color="auto"/>
          <w:color w:val="auto"/>
        </w:rPr>
        <w:t>Section 8.03(c)</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firstLine="881"/>
        <w:spacing w:after="0" w:line="288" w:lineRule="auto"/>
        <w:tabs>
          <w:tab w:leader="none" w:pos="119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With respect to any Lender, the deposit of any funds in the applicable Lender Funding Subaccount by such Lender shall not constitute a Borrowing by the Borrower and shall not constitute a utilization of the Commitment of such Lender, and the funds so deposited shall not constitute principal outstanding under the Advances. However, from and after the establishment of a Lender Funding Subaccount, the obligation of such Lender to advance funds as part of any Borrowing under this Agreement shall be satisfied by the Collateral Agent withdrawing funds from such Lender Funding Subaccount in the amount of such Lender’s pro rata share of such Borrowing. All payments of principal from the Borrower with respect to Advances made by such Lender (whether or not originally funded from such Lender Funding Subaccount) shall be made by depositing the related funds into such Lender Funding Subaccount and all other payments from the Borrower (including without limitation all interest and Commitment Fees) shall be made to such Lender in accordance with the order specified in the Priority of Payments. The Collateral Agent shall have full power and authority to withdraw funds from each such Lender Funding Subaccount at the time of, and in connection with, the making of any such Borrowing and to deposit funds into each such Lender Funding Subaccount, all in accordance with the terms of and for the purposes set forth in this Agreement.</w:t>
      </w:r>
    </w:p>
    <w:p>
      <w:pPr>
        <w:spacing w:after="0" w:line="61" w:lineRule="exact"/>
        <w:rPr>
          <w:rFonts w:ascii="Arial" w:cs="Arial" w:eastAsia="Arial" w:hAnsi="Arial"/>
          <w:sz w:val="16"/>
          <w:szCs w:val="16"/>
          <w:color w:val="auto"/>
        </w:rPr>
      </w:pPr>
    </w:p>
    <w:p>
      <w:pPr>
        <w:ind w:right="80" w:firstLine="881"/>
        <w:spacing w:after="0" w:line="257" w:lineRule="auto"/>
        <w:tabs>
          <w:tab w:leader="none" w:pos="118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On any Business Day, any Lender may provide written notice to the Collateral Agent, certifying as to the amount of such Lender’s undrawn Commitment as of such date. If the sum of the amount of funds on deposit in the applicable Lender Funding Subaccount with respect to such Lender as of such date exceeds such Lender’s undrawn Commitment at such time (whether due to a reduction in the Total Commitment or otherwise), then the Collateral Agent shall remit to such Lender a portion of the funds then held in the related Lender Funding Subaccount in an aggregate amount equal to such excess.</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20"/>
          </w:cols>
          <w:pgMar w:left="700" w:top="274" w:right="279" w:bottom="1440" w:gutter="0" w:footer="0" w:header="0"/>
        </w:sectPr>
      </w:pPr>
    </w:p>
    <w:bookmarkStart w:id="229" w:name="page230"/>
    <w:bookmarkEnd w:id="229"/>
    <w:p>
      <w:pPr>
        <w:ind w:left="460" w:right="200" w:firstLine="881"/>
        <w:spacing w:after="0" w:line="276" w:lineRule="auto"/>
        <w:tabs>
          <w:tab w:leader="none" w:pos="1591" w:val="left"/>
        </w:tabs>
        <w:numPr>
          <w:ilvl w:val="0"/>
          <w:numId w:val="2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at any time a Lender provides written notice to the Borrower and the Agents that it no longer wishes to maintain funds in its Lender Funding Subaccount, then all funds then held in the relevant Lender Funding Subaccount (after giving effect to any Borrowings in respect of the Advances that are to be made on such date) shall be withdrawn from such Lender Funding Subaccount and remitted to such Lender, and thereafter all payments with respect to Advances made by such Lender shall be paid directly to such Lender in accordance with the terms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has provided prior written notice to DBRS and is no longer subject to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460" w:firstLine="881"/>
        <w:spacing w:after="0" w:line="255" w:lineRule="auto"/>
        <w:tabs>
          <w:tab w:leader="none" w:pos="164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otherwise provided in this Agreement, for so long as any amounts are on deposit in any Lender Funding Subaccount, the Collateral Agent shall invest and reinvest such funds in Dreyfus Treasury Fund (DTRXX), which is an Eligible Investment of the type described in clause (vii) of the definition of the term “</w:t>
      </w:r>
      <w:r>
        <w:rPr>
          <w:rFonts w:ascii="Arial" w:cs="Arial" w:eastAsia="Arial" w:hAnsi="Arial"/>
          <w:sz w:val="18"/>
          <w:szCs w:val="18"/>
          <w:u w:val="single" w:color="auto"/>
          <w:color w:val="auto"/>
        </w:rPr>
        <w:t>Eligible Investments</w:t>
      </w:r>
      <w:r>
        <w:rPr>
          <w:rFonts w:ascii="Arial" w:cs="Arial" w:eastAsia="Arial" w:hAnsi="Arial"/>
          <w:sz w:val="18"/>
          <w:szCs w:val="18"/>
          <w:color w:val="auto"/>
        </w:rPr>
        <w:t>” that mature overnight. Interest received on such Eligible Investments shall be retained in such Lender Funding Subaccount and be invested and reinvested as aforesaid. Any gain realized from such investments shall be credited to such Lender Funding Subaccount, and any loss resulting from such investments shall be charged to such Lender Funding Subaccount. None of the Borrower, the Investment Manager or the Collateral Agent shall in any way be held liable by reason of any insufficiency of such Lender Funding Subaccount resulting from any loss relating to any such investment.</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The Revolving Reserve Account; Fundings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In accordance with this Agreement and the Account Control Agreement, the Collateral Agent, on or prior to the Original Closing Date, shall establish at the Custodian a single, segregated securities account held in trust and titled the “TPG SL SPV, LLC Revolving Reserve Account, subject to the lien of the Collateral Agent”, which shall be designated as the “</w:t>
      </w:r>
      <w:r>
        <w:rPr>
          <w:rFonts w:ascii="Arial" w:cs="Arial" w:eastAsia="Arial" w:hAnsi="Arial"/>
          <w:sz w:val="17"/>
          <w:szCs w:val="17"/>
          <w:u w:val="single" w:color="auto"/>
          <w:color w:val="auto"/>
        </w:rPr>
        <w:t>Revolving Reserve Account</w:t>
      </w:r>
      <w:r>
        <w:rPr>
          <w:rFonts w:ascii="Arial" w:cs="Arial" w:eastAsia="Arial" w:hAnsi="Arial"/>
          <w:sz w:val="17"/>
          <w:szCs w:val="17"/>
          <w:color w:val="auto"/>
        </w:rPr>
        <w:t>”,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have legal, equitable and beneficial interest in the Revolving Reserve Account in accordance with this Agreement and the Priority of Payments.</w:t>
      </w:r>
    </w:p>
    <w:p>
      <w:pPr>
        <w:spacing w:after="0" w:line="178"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Upon the purchase of any Delayed Drawdown Collateral Loan or Revolving Collateral Loan or, if necessary, on the Commitment Termination Date, funds shall be withdrawn by the Collateral Agent at the direction of the Investment Manager from the Principal Collection Subaccount and deposited in the Revolving Reserve Account, (i) during the Reinvestment Period, in an amount sufficient to ensure no Commitment Shortfall exists as of such time, and</w:t>
      </w:r>
    </w:p>
    <w:p>
      <w:pPr>
        <w:jc w:val="both"/>
        <w:ind w:right="180" w:firstLine="8"/>
        <w:spacing w:after="0" w:line="255" w:lineRule="auto"/>
        <w:tabs>
          <w:tab w:leader="none" w:pos="26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at all times after the last day of the Reinvestment Period, equal to the aggregate unfunded commitments in respect of all Revolving Collateral Loans and Delayed Drawdown Collateral Loans (the amount required to be on deposit at all times in the Revolving Reserve Account pursuant to such clause (i) or (ii), as applicable, the “</w:t>
      </w:r>
      <w:r>
        <w:rPr>
          <w:rFonts w:ascii="Arial" w:cs="Arial" w:eastAsia="Arial" w:hAnsi="Arial"/>
          <w:sz w:val="18"/>
          <w:szCs w:val="18"/>
          <w:u w:val="single" w:color="auto"/>
          <w:color w:val="auto"/>
        </w:rPr>
        <w:t>Revolving Reserve Required Amount</w:t>
      </w:r>
      <w:r>
        <w:rPr>
          <w:rFonts w:ascii="Arial" w:cs="Arial" w:eastAsia="Arial" w:hAnsi="Arial"/>
          <w:sz w:val="18"/>
          <w:szCs w:val="18"/>
          <w:color w:val="auto"/>
        </w:rPr>
        <w:t>”).</w:t>
      </w:r>
    </w:p>
    <w:p>
      <w:pPr>
        <w:spacing w:after="0" w:line="190"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 xml:space="preserve">Fundings of Revolving Collateral Loans and Delayed Drawdown Collateral Loans shall be made using, </w:t>
      </w:r>
      <w:r>
        <w:rPr>
          <w:rFonts w:ascii="Arial" w:cs="Arial" w:eastAsia="Arial" w:hAnsi="Arial"/>
          <w:sz w:val="18"/>
          <w:szCs w:val="18"/>
          <w:i w:val="1"/>
          <w:iCs w:val="1"/>
          <w:color w:val="auto"/>
        </w:rPr>
        <w:t>first</w:t>
      </w:r>
      <w:r>
        <w:rPr>
          <w:rFonts w:ascii="Arial" w:cs="Arial" w:eastAsia="Arial" w:hAnsi="Arial"/>
          <w:sz w:val="18"/>
          <w:szCs w:val="18"/>
          <w:color w:val="auto"/>
        </w:rPr>
        <w:t>, amounts on deposit in the Revolving Reserve Account, then amounts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4"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 deposit in the Principal Collection Subaccount and </w:t>
      </w:r>
      <w:r>
        <w:rPr>
          <w:rFonts w:ascii="Arial" w:cs="Arial" w:eastAsia="Arial" w:hAnsi="Arial"/>
          <w:sz w:val="18"/>
          <w:szCs w:val="18"/>
          <w:i w:val="1"/>
          <w:iCs w:val="1"/>
          <w:color w:val="auto"/>
        </w:rPr>
        <w:t>finally</w:t>
      </w:r>
      <w:r>
        <w:rPr>
          <w:rFonts w:ascii="Arial" w:cs="Arial" w:eastAsia="Arial" w:hAnsi="Arial"/>
          <w:sz w:val="18"/>
          <w:szCs w:val="18"/>
          <w:color w:val="auto"/>
        </w:rPr>
        <w:t>, prior to the Commitment Termination Date, available Borrowings.</w:t>
      </w:r>
    </w:p>
    <w:p>
      <w:pPr>
        <w:spacing w:after="0" w:line="22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Amounts on deposit in the Revolving Reserve Account will be invested in overnight funds that are Eligible Investments selected by the Investment Manager pursuant to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and earnings from all such investments will be deposited in the Interest Collection Subaccount as Interest Proceeds. So long as no Event of Default has occurred and is then continuing, all funds in the Revolving Reserve Account (other than earnings from Eligible Investments therein) will be available solely to cover drawdowns on the Delayed Drawdown Collateral Loans and Revolving Collateral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the aggregate amount of funds on deposit therein at any time exceeds the Revolving Reserve Required Amount, the Collateral Agent shall promptly notify the Investment Manager and remit such excess to the Principal Collection Subaccount, and such amounts will be treated as Principal Collections.</w:t>
      </w:r>
    </w:p>
    <w:p>
      <w:pPr>
        <w:spacing w:after="0" w:line="18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Reinvestment of Funds in Covered Accounts; Reports by Collateral Agent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5" w:lineRule="auto"/>
        <w:tabs>
          <w:tab w:leader="none" w:pos="115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By delivery of a certificate of a Responsible Officer (which may be in the form of standing instructions), the Borrower or the Investment Manager shall at all times direct the Collateral Agent to, and, upon receipt of such certificate, the Collateral Agent shall, invest all funds on deposit in the Collection Account and the Revolving Reserve Account as so directed in Eligible Investments having stated maturities no later than the Business Day preceding the next Payment Date (or such shorter maturities expressly provided herein). If prior to the occurrence of an Event of Default, the Borrower shall not have given any such investment directions, the Collateral Agent shall seek instructions from the Investment Manager within three Business Days after the transfer of any funds to such accounts and shall immediately invest in Dreyfus Treasury Fund (DTRXX), which is an Eligible Investment of the type described in clause (vii) of the definition of the term “Eligible Investments” that mature overnight. If the Collateral Agent does not thereafter receive written instructions from the Investment Manager within five Business Days after the transfer of such funds to such accounts, it shall invest and reinvest the funds held in such accounts, as fully as practicable, but only in one or more Eligible Investments of the type described in clause (vii) of the definition of the term “Eligible Investments” maturing no later than the Business Day immediately preceding the next Payment Date (or such shorter maturities expressly provided herein). If, after the occurrence of an Event of Default, the Borrower shall not have given such investment directions to the Collateral Agent for three consecutive days, the Collateral Agent shall invest and reinvest such Monies as fully as practicable in Dreyfus Treasury Fund (DTRXX), which is an Eligible Investment of the type described in clause (vii) of the definition of the term “Eligible Investments” maturing not later than the earlier of (i) thirty days after the date of such investment (unless putable at par to the issuer thereof) or (ii) the Business Day immediately preceding the next Payment Date (or such shorter maturities expressly provided herein). Should any such specific Eligible Investment be unavailable, and in the absence of another proper investment instruction, all such funds shall be held uninvested. Except to the extent expressly provided otherwise herein, all interest and other income from such investments shall be deposited in the Interest Collection Subaccount, any gain realized from such investments shall be credited to the Principal Collection Subaccount upon receipt, and any loss resulting from such investments shall be charged to the Principal Collection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74" w:right="259" w:bottom="1440" w:gutter="0" w:footer="0" w:header="0"/>
        </w:sectPr>
      </w:pPr>
    </w:p>
    <w:bookmarkStart w:id="231" w:name="page232"/>
    <w:bookmarkEnd w:id="23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Subaccount. The Investment Manager shall not in any way be held liable by reason of any insufficiency of such accounts which results from any loss relating to any such investment, except with respect to investments in obligations of the Investment Manager or any Affiliate thereof.</w:t>
      </w:r>
    </w:p>
    <w:p>
      <w:pPr>
        <w:spacing w:after="0" w:line="170" w:lineRule="exact"/>
        <w:rPr>
          <w:sz w:val="20"/>
          <w:szCs w:val="20"/>
          <w:color w:val="auto"/>
        </w:rPr>
      </w:pPr>
    </w:p>
    <w:p>
      <w:pPr>
        <w:ind w:right="80" w:firstLine="921"/>
        <w:spacing w:after="0" w:line="297" w:lineRule="auto"/>
        <w:tabs>
          <w:tab w:leader="none" w:pos="116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 All Covered Accounts shall remain at all times with the Custodian or an entity organized and doing business under the laws of the United States or of any state thereof, authorized under such laws to exercise corporate trust powers, having a combined capital and surplus of at least $200,000,000, subject to supervision or examination by federal or state authority, having DBRS Ratings of at least “A (high)” and “R-1 (middle)” and having an office within the United States.</w:t>
      </w:r>
    </w:p>
    <w:p>
      <w:pPr>
        <w:spacing w:after="0" w:line="158" w:lineRule="exact"/>
        <w:rPr>
          <w:rFonts w:ascii="Arial" w:cs="Arial" w:eastAsia="Arial" w:hAnsi="Arial"/>
          <w:sz w:val="16"/>
          <w:szCs w:val="16"/>
          <w:color w:val="auto"/>
        </w:rPr>
      </w:pPr>
    </w:p>
    <w:p>
      <w:pPr>
        <w:ind w:right="60" w:firstLine="921"/>
        <w:spacing w:after="0" w:line="289" w:lineRule="auto"/>
        <w:tabs>
          <w:tab w:leader="none" w:pos="115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The Collateral Agent shall supply, in a timely fashion, to the Borrower, DBRS and the Investment Manager any information regularly maintained by the Collateral Agent that the Borrower, DBRS or the Investment Manager may from time to time reasonably request with respect to the Collateral Obligations, the Covered Accounts and the other Collateral and provide any other requested information reasonably available to the Collateral Agent by reason of its acting as Collateral Agent hereunder and required to be provided by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or to permit the Investment Manager to perform its obligations under the Investment Management Agreement or the Borrower’s obligations hereunder that have been delegated to the Investment Manager. The Collateral Agent shall promptly forward to the Investment Manager copies of notices and other writings received by it from the issuer of any Collateral Obligation or from any Clearing Agency with respect to any Collateral Obligation which notices or writings advise the holders of such Collateral Obligation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issuer.</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Accountings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4" w:lineRule="auto"/>
        <w:tabs>
          <w:tab w:leader="none" w:pos="1157"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Monthly</w:t>
      </w:r>
      <w:r>
        <w:rPr>
          <w:rFonts w:ascii="Arial" w:cs="Arial" w:eastAsia="Arial" w:hAnsi="Arial"/>
          <w:sz w:val="18"/>
          <w:szCs w:val="18"/>
          <w:color w:val="auto"/>
        </w:rPr>
        <w:t>. On each Monthly Report Date, the Borrower shall compile and provide (or cause to be compiled and provided) to DBRS, the Agents, the Investment Manager and the Lenders, a monthly report on a settlement basis (each a “</w:t>
      </w:r>
      <w:r>
        <w:rPr>
          <w:rFonts w:ascii="Arial" w:cs="Arial" w:eastAsia="Arial" w:hAnsi="Arial"/>
          <w:sz w:val="18"/>
          <w:szCs w:val="18"/>
          <w:u w:val="single" w:color="auto"/>
          <w:color w:val="auto"/>
        </w:rPr>
        <w:t>Monthly Report</w:t>
      </w:r>
      <w:r>
        <w:rPr>
          <w:rFonts w:ascii="Arial" w:cs="Arial" w:eastAsia="Arial" w:hAnsi="Arial"/>
          <w:sz w:val="18"/>
          <w:szCs w:val="18"/>
          <w:color w:val="auto"/>
        </w:rPr>
        <w:t xml:space="preserve">”), determined as of the close of business on the related Monthly Report Determination Date. The first Monthly Report shall be delivered in May 2012 and shall be determined with respect to the Monthly Report Determination Date that is six Business Days prior to the Monthly Report Date in May 2012. The final Monthly Report shall be delivered on the Final Maturity Date and shall be determined with respect to the Monthly Report Determination Date that is six Business Days prior to the Final Maturity Date. The Monthly Report for a calendar month shall contain the information with respect to the Facility and the Collateral Obligations and Eligible Investments included in the Collateral set forth in Part 1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and shall be determined as of the Monthly Report Determination Date for such calendar month.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232" w:name="page233"/>
    <w:bookmarkEnd w:id="232"/>
    <w:p>
      <w:pPr>
        <w:jc w:val="both"/>
        <w:ind w:right="16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Simultaneous with the delivery of each Monthly Report, the Borrower (or the Investment Manager) shall provide a certificate certifying that no Default or Event of Default occurred during the period covered by such Monthly Report or if any Default or Event of Default occurred during such period, setting forth the details thereof and the action which the Borrower is taking or proposes to take with respect thereto.</w:t>
      </w:r>
    </w:p>
    <w:p>
      <w:pPr>
        <w:spacing w:after="0" w:line="166"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 addition, the Investment Manager shall provide for inclusion in each Monthly Report a statement setting forth in reasonable detail each amendment, modification or waiver under any Related Document for each Collateral Obligation that became effective during the one month period ending on the Monthly Report Determination Date for the immediately prior Monthly Report (or, in respect of the first Monthly Report, from the Original Closing Date).</w:t>
      </w:r>
    </w:p>
    <w:p>
      <w:pPr>
        <w:spacing w:after="0" w:line="18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Three Business Days prior to each Monthly Report Date, the Borrower shall deliver to the Investment Manager a draft of the Monthly Report relating to such Monthly Report Date. Upon receipt of each draft Monthly Report, the Investment Manager shall compare the information contained in such Monthly Report to the information contained in its records with respect to the Collateral and shall, within two Business Days after receipt of such draft Monthly Report, notify the Borrower and the Collateral Agent if the information contained in the draft Monthly Report does not conform to the information maintained by the Investment Manager with respect to the Collateral. In the event that any discrepancy exists, the Collateral Agent and the Investment Manager shall attempt to resolve the discrepancy. If such discrepancy cannot be promptly resolved, the Investment Manager shall within 1 Business Day request that the Independent Accountants appointed by the Borrower pursuant to </w:t>
      </w:r>
      <w:r>
        <w:rPr>
          <w:rFonts w:ascii="Arial" w:cs="Arial" w:eastAsia="Arial" w:hAnsi="Arial"/>
          <w:sz w:val="17"/>
          <w:szCs w:val="17"/>
          <w:u w:val="single" w:color="auto"/>
          <w:color w:val="auto"/>
        </w:rPr>
        <w:t>Section 8.08</w:t>
      </w:r>
      <w:r>
        <w:rPr>
          <w:rFonts w:ascii="Arial" w:cs="Arial" w:eastAsia="Arial" w:hAnsi="Arial"/>
          <w:sz w:val="17"/>
          <w:szCs w:val="17"/>
          <w:color w:val="auto"/>
        </w:rPr>
        <w:t xml:space="preserve"> review such draft Monthly Report and the Collateral Agent’s records to determine the cause of such discrepancy. If such review reveals an error in the Monthly Report or the Collateral Agent’s records, the Monthly Report or the Collateral Agent’s records shall be revised accordingly and, as so revised, shall be utilized in making all calculations pursuant to this Agreement and notice of any error in the Monthly Report shall be sent as soon as practicable by the Borrower to all recipients of such report which may be accomplished by making a notation of such error in the subsequent Monthly Report.</w:t>
      </w:r>
    </w:p>
    <w:p>
      <w:pPr>
        <w:spacing w:after="0" w:line="183" w:lineRule="exact"/>
        <w:rPr>
          <w:sz w:val="20"/>
          <w:szCs w:val="20"/>
          <w:color w:val="auto"/>
        </w:rPr>
      </w:pPr>
    </w:p>
    <w:p>
      <w:pPr>
        <w:jc w:val="both"/>
        <w:ind w:right="40" w:firstLine="921"/>
        <w:spacing w:after="0" w:line="259" w:lineRule="auto"/>
        <w:tabs>
          <w:tab w:leader="none" w:pos="1168"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Payment Date Accounting</w:t>
      </w:r>
      <w:r>
        <w:rPr>
          <w:rFonts w:ascii="Arial" w:cs="Arial" w:eastAsia="Arial" w:hAnsi="Arial"/>
          <w:sz w:val="18"/>
          <w:szCs w:val="18"/>
          <w:color w:val="auto"/>
        </w:rPr>
        <w:t>. The Borrower shall render an accounting (each, a “</w:t>
      </w:r>
      <w:r>
        <w:rPr>
          <w:rFonts w:ascii="Arial" w:cs="Arial" w:eastAsia="Arial" w:hAnsi="Arial"/>
          <w:sz w:val="18"/>
          <w:szCs w:val="18"/>
          <w:u w:val="single" w:color="auto"/>
          <w:color w:val="auto"/>
        </w:rPr>
        <w:t>Payment Date Report</w:t>
      </w:r>
      <w:r>
        <w:rPr>
          <w:rFonts w:ascii="Arial" w:cs="Arial" w:eastAsia="Arial" w:hAnsi="Arial"/>
          <w:sz w:val="18"/>
          <w:szCs w:val="18"/>
          <w:color w:val="auto"/>
        </w:rPr>
        <w:t xml:space="preserve">”), determined as of the close of business on each Determination Date preceding a Payment Date, and shall deliver such Payment Date Report to the Agents, the Investment Manager, the Independent Accountants, DBRS and each Lender not later than the Business Day preceding the related Payment Date. The Payment Date Report shall contain the information set forth in Part 2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ind w:right="120" w:firstLine="921"/>
        <w:spacing w:after="0" w:line="277" w:lineRule="auto"/>
        <w:tabs>
          <w:tab w:leader="none" w:pos="1157"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Interest Rate Notice</w:t>
      </w:r>
      <w:r>
        <w:rPr>
          <w:rFonts w:ascii="Arial" w:cs="Arial" w:eastAsia="Arial" w:hAnsi="Arial"/>
          <w:sz w:val="18"/>
          <w:szCs w:val="18"/>
          <w:color w:val="auto"/>
        </w:rPr>
        <w:t>. The Collateral Agent shall include in each Payment Date Report a notice setting forth the interest rate for the Advances for the Interest Accrual Period preceding the next Payment Date.</w:t>
      </w:r>
    </w:p>
    <w:p>
      <w:pPr>
        <w:spacing w:after="0" w:line="170" w:lineRule="exact"/>
        <w:rPr>
          <w:rFonts w:ascii="Arial" w:cs="Arial" w:eastAsia="Arial" w:hAnsi="Arial"/>
          <w:sz w:val="18"/>
          <w:szCs w:val="18"/>
          <w:color w:val="auto"/>
        </w:rPr>
      </w:pPr>
    </w:p>
    <w:p>
      <w:pPr>
        <w:ind w:right="120" w:firstLine="921"/>
        <w:spacing w:after="0" w:line="312" w:lineRule="auto"/>
        <w:tabs>
          <w:tab w:leader="none" w:pos="1168"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Failure to Provide Accounting</w:t>
      </w:r>
      <w:r>
        <w:rPr>
          <w:rFonts w:ascii="Arial" w:cs="Arial" w:eastAsia="Arial" w:hAnsi="Arial"/>
          <w:sz w:val="16"/>
          <w:szCs w:val="16"/>
          <w:color w:val="auto"/>
        </w:rPr>
        <w:t xml:space="preserve">. If the Collateral Agent shall not have received any accounting provided for in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on the first Business Day after the date on which such accounting is due to the Collateral Agent, the Collateral Agent shall notify the Investment Manager who shall use all reasonable efforts to obtain such accounting by the applicable Payment Date. To the extent the Investment Manager is required to provide any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74" w:right="259" w:bottom="1440" w:gutter="0" w:footer="0" w:header="0"/>
        </w:sectPr>
      </w:pPr>
    </w:p>
    <w:bookmarkStart w:id="233" w:name="page234"/>
    <w:bookmarkEnd w:id="233"/>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information or reports pursuant to this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as a result of the failure of the Borrower to provide such information or reports, the Investment Manager shall be entitled to retain an independent certified public accountant in connection therewith and the reasonable costs incurred by the Investment Manager for such independent certified public accountant shall be paid by the Borrower.</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Release of Securities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54" w:lineRule="auto"/>
        <w:tabs>
          <w:tab w:leader="none" w:pos="115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If no Event of Default has occurred and is continuing, the Borrower or the Investment Manager may, by delivery of a certificate of a Responsible Officer, deliver to the Collateral Agent at least one Business Day prior to the settlement date for any sale of a security certifying that the sale of such security is being made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such sale complies with all applicable requirements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direct the Collateral Agent to release or cause to be released such security from the lien of this Agreement and, upon receipt of such certificate, the Collateral Agent shall promptly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Borrower or the Investment Manager in such certificate;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Collateral Agent may deliver any such security in physical form for examination in accordance with street delivery custom.</w:t>
      </w:r>
    </w:p>
    <w:p>
      <w:pPr>
        <w:spacing w:after="0" w:line="192" w:lineRule="exact"/>
        <w:rPr>
          <w:rFonts w:ascii="Arial" w:cs="Arial" w:eastAsia="Arial" w:hAnsi="Arial"/>
          <w:sz w:val="18"/>
          <w:szCs w:val="18"/>
          <w:color w:val="auto"/>
        </w:rPr>
      </w:pPr>
    </w:p>
    <w:p>
      <w:pPr>
        <w:jc w:val="both"/>
        <w:ind w:right="140" w:firstLine="921"/>
        <w:spacing w:after="0" w:line="302" w:lineRule="auto"/>
        <w:tabs>
          <w:tab w:leader="none" w:pos="1168" w:val="left"/>
        </w:tabs>
        <w:numPr>
          <w:ilvl w:val="1"/>
          <w:numId w:val="232"/>
        </w:numPr>
        <w:rPr>
          <w:rFonts w:ascii="Arial" w:cs="Arial" w:eastAsia="Arial" w:hAnsi="Arial"/>
          <w:sz w:val="16"/>
          <w:szCs w:val="16"/>
          <w:color w:val="auto"/>
        </w:rPr>
      </w:pPr>
      <w:r>
        <w:rPr>
          <w:rFonts w:ascii="Arial" w:cs="Arial" w:eastAsia="Arial" w:hAnsi="Arial"/>
          <w:sz w:val="16"/>
          <w:szCs w:val="16"/>
          <w:color w:val="auto"/>
        </w:rPr>
        <w:t>Subject to the terms of this Agreement, the Collateral Agent shall upon the delivery of a certificate of a Responsible Officer of the Borrower (or the Investment Manager) (i) deliver any Collateral, and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 and (ii) provide notice thereof to the Investment Manager.</w:t>
      </w:r>
    </w:p>
    <w:p>
      <w:pPr>
        <w:spacing w:after="0" w:line="154" w:lineRule="exact"/>
        <w:rPr>
          <w:rFonts w:ascii="Arial" w:cs="Arial" w:eastAsia="Arial" w:hAnsi="Arial"/>
          <w:sz w:val="16"/>
          <w:szCs w:val="16"/>
          <w:color w:val="auto"/>
        </w:rPr>
      </w:pPr>
    </w:p>
    <w:p>
      <w:pPr>
        <w:ind w:right="60" w:firstLine="921"/>
        <w:spacing w:after="0" w:line="288" w:lineRule="auto"/>
        <w:tabs>
          <w:tab w:leader="none" w:pos="1158" w:val="left"/>
        </w:tabs>
        <w:numPr>
          <w:ilvl w:val="1"/>
          <w:numId w:val="232"/>
        </w:numPr>
        <w:rPr>
          <w:rFonts w:ascii="Arial" w:cs="Arial" w:eastAsia="Arial" w:hAnsi="Arial"/>
          <w:sz w:val="16"/>
          <w:szCs w:val="16"/>
          <w:color w:val="auto"/>
        </w:rPr>
      </w:pPr>
      <w:r>
        <w:rPr>
          <w:rFonts w:ascii="Arial" w:cs="Arial" w:eastAsia="Arial" w:hAnsi="Arial"/>
          <w:sz w:val="16"/>
          <w:szCs w:val="16"/>
          <w:color w:val="auto"/>
        </w:rPr>
        <w:t>Upon receiving actual notice of any tender offer, voluntary redemption, exchange offer, conversion or other similar action (an “</w:t>
      </w:r>
      <w:r>
        <w:rPr>
          <w:rFonts w:ascii="Arial" w:cs="Arial" w:eastAsia="Arial" w:hAnsi="Arial"/>
          <w:sz w:val="16"/>
          <w:szCs w:val="16"/>
          <w:u w:val="single" w:color="auto"/>
          <w:color w:val="auto"/>
        </w:rPr>
        <w:t>Offer</w:t>
      </w:r>
      <w:r>
        <w:rPr>
          <w:rFonts w:ascii="Arial" w:cs="Arial" w:eastAsia="Arial" w:hAnsi="Arial"/>
          <w:sz w:val="16"/>
          <w:szCs w:val="16"/>
          <w:color w:val="auto"/>
        </w:rPr>
        <w:t>”) or any request for a waiver, consent, amendment or other modification, in each case, with respect to any Collateral Obligation, the Collateral Agent shall notify the Investment Manager of such Offer or request. Unless the Advances have been accelerated following an Event of Default, the Investment Manager may direct</w:t>
      </w:r>
    </w:p>
    <w:p>
      <w:pPr>
        <w:ind w:right="140" w:firstLine="8"/>
        <w:spacing w:after="0" w:line="277" w:lineRule="auto"/>
        <w:tabs>
          <w:tab w:leader="none" w:pos="25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Collateral Agent to accept or participate in or decline or refuse to participate in such Offer and, in the case of acceptance or participation, to release from the lien of this Agreement such Collateral Obligation in accordance with the terms of the Offer against receipt of payment therefor, or (y) the Borrower or the Collateral Agent to agree to or otherwise act with respect to such consent, waiver, amendment or modification.</w:t>
      </w:r>
    </w:p>
    <w:p>
      <w:pPr>
        <w:spacing w:after="0" w:line="173" w:lineRule="exact"/>
        <w:rPr>
          <w:rFonts w:ascii="Arial" w:cs="Arial" w:eastAsia="Arial" w:hAnsi="Arial"/>
          <w:sz w:val="17"/>
          <w:szCs w:val="17"/>
          <w:color w:val="auto"/>
        </w:rPr>
      </w:pPr>
    </w:p>
    <w:p>
      <w:pPr>
        <w:ind w:firstLine="921"/>
        <w:spacing w:after="0" w:line="264" w:lineRule="auto"/>
        <w:tabs>
          <w:tab w:leader="none" w:pos="116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the Collateral Agent shall deposit any proceeds received by it from the disposition of any Collateral in the applicable subaccount of the Collection Account, unless simultaneously applied to the purchase of additional Collateral Obligations or Eligible Investments as permitted under and in accordance with the requirements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74" w:right="239" w:bottom="1440" w:gutter="0" w:footer="0" w:header="0"/>
        </w:sectPr>
      </w:pPr>
    </w:p>
    <w:bookmarkStart w:id="234" w:name="page235"/>
    <w:bookmarkEnd w:id="234"/>
    <w:p>
      <w:pPr>
        <w:ind w:right="60" w:firstLine="921"/>
        <w:spacing w:after="0" w:line="264" w:lineRule="auto"/>
        <w:tabs>
          <w:tab w:leader="none" w:pos="1158"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Collateral Agent shall, upon receipt of a certificate of a Responsible Officer of the Borrower to the effect that there are no Commitments outstanding and all Obligations (other than unasserted contingent obligations) have been satisfied in full, and upon written request therefor, release any remaining Collateral from the lien of this Agreement.</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Any security, Collateral Obligation or amounts that are released pursuant to </w:t>
      </w:r>
      <w:r>
        <w:rPr>
          <w:rFonts w:ascii="Arial" w:cs="Arial" w:eastAsia="Arial" w:hAnsi="Arial"/>
          <w:sz w:val="16"/>
          <w:szCs w:val="16"/>
          <w:u w:val="single" w:color="auto"/>
          <w:color w:val="auto"/>
        </w:rPr>
        <w:t>Section 8.07(a)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shall be released from the lien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Reports by Independent Accountants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68" w:lineRule="auto"/>
        <w:tabs>
          <w:tab w:leader="none" w:pos="115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On or prior to the Original Closing Date, the Borrower shall appoint one or more firms of independent certified public accountants, independent auditors or independent consultants of recognized international reputation (together with its successors, the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for 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Investment Manager. The Borrower may remove any firm of Independent Accountants at any time upon notice to, but without the consent of any of, the Lenders and the Collateral Agent. Upon any resignation by such firm or removal of such firm by the Borrower, the Borrower (or the Investment Manager) shall promptly appoint by a certificate of a Responsible Officer of the Borrower delivered to the Collateral Agent and DBRS a successor thereto that shall also be a firm of independent certified public accountants, independent auditors or independent consultants of recognized international reputation, which may be a firm of independent certified public accountants, independent auditors or independent consultants that performs accounting services for the Borrower or the Investment Manager. If the Borrower shall fail to appoint a successor to the Independent Accountant which has resigned within thirty days after such resignation, the Borrower shall promptly notify the Collateral Agent and the Investment Manager of such failure in writing and the Investment Manager shall appoint a successor Independent Accountant of recognized international reputation. The fees of such Independent Accountants and any successor shall be payable by the Borrower.</w:t>
      </w:r>
    </w:p>
    <w:p>
      <w:pPr>
        <w:spacing w:after="0" w:line="187" w:lineRule="exact"/>
        <w:rPr>
          <w:rFonts w:ascii="Arial" w:cs="Arial" w:eastAsia="Arial" w:hAnsi="Arial"/>
          <w:sz w:val="17"/>
          <w:szCs w:val="17"/>
          <w:color w:val="auto"/>
        </w:rPr>
      </w:pPr>
    </w:p>
    <w:p>
      <w:pPr>
        <w:ind w:firstLine="921"/>
        <w:spacing w:after="0" w:line="272" w:lineRule="auto"/>
        <w:tabs>
          <w:tab w:leader="none" w:pos="116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Annually, on or before the business day immediately preceding the Payment Date occurring in July of each year, commencing in 2013, the Borrower shall cause to be delivered to the Agents, the Investment Manager, each Lender upon written request therefor and DBRS a statement from a firm of Independent Accountants for each Payment Date Report received since the last statement (i) indicating that the calculations within those Payment Date Reports have been performed in accordance with the applicable provisions of this Agreement and (ii) listing the Aggregate Principal Balance of the Collateral Obligations and the principal balance and/or other relevant information relating to the value of all other Collateral as of each immediately preceding Determination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 conflict between such firm of Independent Accountants and the Borrower with respect to any matter in this Section 8.08, the determination by such firm of Independent Accountants shall be conclusive.</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Reports to DBRS</w:t>
      </w:r>
      <w:r>
        <w:rPr>
          <w:rFonts w:ascii="Arial" w:cs="Arial" w:eastAsia="Arial" w:hAnsi="Arial"/>
          <w:sz w:val="18"/>
          <w:szCs w:val="18"/>
          <w:color w:val="auto"/>
        </w:rPr>
        <w:t>.</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 addition to the information and reports specifically required to be provided to DBRS pursuant to the terms of this Agreement, the Borrower shall provide DBRS with all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274" w:right="279" w:bottom="1440" w:gutter="0" w:footer="0" w:header="0"/>
        </w:sectPr>
      </w:pPr>
    </w:p>
    <w:bookmarkStart w:id="235" w:name="page236"/>
    <w:bookmarkEnd w:id="23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or reports delivered to the Collateral Agent hereunder, and such additional information as DBRS may from time to time reasonably request.</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Currency Exchange Account</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In accordance with this Agreement and the Account Control Agreement, the Collateral Agent, on or prior to the Original Closing Date, shall establish at the Custodian a single, segregated securities account held in trust and titled the “TPG SL SPV, LLC Currency Exchange Account, subject to the lien of the Collateral Agent”, which shall be designated as the “Currency Exchange Account”, which shall be maintained by the Borrower with the Custodian in accordance with the Account Control Agreement and which shall be subject to the lien of the Collateral Agent. The only permitted deposits to or withdrawals from the Currency Exchange Account shall be in accordance with the provisions of this Agreement. The Borrower shall not have any legal, equitable or beneficial interest in the Currency Exchange Account other than in accordance with this Agreement and the Priority of Payments. During the Reinvestment Period, on any Determination Date on which the Currency Exchange Mark-to-Market Amount equals zero, the Collateral Agent, at the direction of the Investment Manager, shall withdraw all amounts in the Currency Exchange Account and deposit such amounts into the Interest Collection Subaccount for application of payment on the related Payment Date. After the last day of the Reinvestment Period, all amounts in the Currency Exchange Account shall be transferred by the Collateral Agent into the Principal Collection Subaccount.</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Funded Draw Collection Account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In accordance with this Agreement and the Account Control Agreement, the Collateral Agent, on or prior to the Original Closing Date, shall establish at the Custodian a single, segregated securities account held in trust and titled the “TPG SL SPV, LLC Funded Draw Collection Account, subject to the lien of the Collateral Agent”, which shall be designated as the “Funded Draw Collection Account”, which shall be maintained by the Borrower with the Custodian in accordance with the Account Control Agreement and which shall be subject to the lien of the Collateral Agent. The only permitted deposits to or withdrawals from the Funded Draw Collection Account shall be in accordance with the provisions of this Agreement. The Borrower shall not have any legal, equitable or beneficial interest in the Funded Draw Collection Account other than in accordance with this Agreement and the Priority of Payments.</w:t>
      </w:r>
    </w:p>
    <w:p>
      <w:pPr>
        <w:spacing w:after="0" w:line="165"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color w:val="auto"/>
        </w:rPr>
        <w:t>Each obligor and, if applicable, agent that will make payments under a Funded Draw Assignment shall be directed by the Borrower to make all payments of principal, interest, fees or other amounts in respect of such Funded Draw Assignment (and all other amounts owing in respect of such Funded Draw Assignment, and all other amounts owing to the Borrower under the Related Documents in respect of such loan or tranche) directly into the Funded Draw Collection Account. Within one Business Day of receipt of any such payment, the Collateral Agent shall (i) in the case of Principal Proceeds, transfer such Principal Proceeds to the Collection Account for further transfer into the Principal Collection Subaccount, (ii) in the case of Interest Proceeds (except as provided in clause (iii) below), transfer such Interest Proceeds to the Collection Account for further transfer into the Interest Collection Subaccount and</w:t>
      </w:r>
    </w:p>
    <w:p>
      <w:pPr>
        <w:spacing w:after="0" w:line="5" w:lineRule="exact"/>
        <w:rPr>
          <w:sz w:val="20"/>
          <w:szCs w:val="20"/>
          <w:color w:val="auto"/>
        </w:rPr>
      </w:pPr>
    </w:p>
    <w:p>
      <w:pPr>
        <w:ind w:right="280" w:firstLine="8"/>
        <w:spacing w:after="0" w:line="261" w:lineRule="auto"/>
        <w:tabs>
          <w:tab w:leader="none" w:pos="31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the case of any commitment fee, unused line fee, ticking fee or similar fee that is paid in respect of the unused portion of the commitment under the Revolving Collateral Loan or Delayed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74" w:right="259" w:bottom="1440" w:gutter="0" w:footer="0" w:header="0"/>
        </w:sectPr>
      </w:pPr>
    </w:p>
    <w:bookmarkStart w:id="236" w:name="page237"/>
    <w:bookmarkEnd w:id="236"/>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Drawdown Collateral Loan to which such Funded Draw Assignment relates, such fee shall be remitted to the Borrower, free and clear of the lien of this Agreement, in accordance with instructions provided by the Investment Manager. The Collateral Agent agrees to give the Borrower prompt notice if (to the Collateral Agent’s actual knowledge) the Funded Draw Collection Account or any assets or securities on deposit therein, or otherwise to the credit of the Funded Draw Collection Account, shall become subject to any writ, order, judgment, warrant of attachment, execution or similar process known to a Responsible Officer of the Collateral Agent.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Closing Expense Account; Closing Date Expenses</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In accordance with this Agreement and the Account Control Agreement, the Collateral Agent, on or prior to the Original Closing Date, shall establish at the Custodian a single, segregated securities account held in trust and titled the “TPG SL SPV, LLC Closing Expense Account, subject to the lien of the Collateral Agent”, which shall be designated as the “Closing Expense Account”, which shall be maintained by the Borrower with the Custodian in accordance with the Account Control Agreement and which shall be subject to the lien of the Collateral Agent. The only permitted withdrawal from or application of funds on deposit in, or otherwise to the credit of, the Closing Expense Account shall be in accordance with the provisions of this Section 8.12. The Borrower shall not have any legal, equitable or beneficial interest in the Closing Expense Account other than in accordance with this Agreement and the Priority of Payments.</w:t>
      </w:r>
    </w:p>
    <w:p>
      <w:pPr>
        <w:spacing w:after="0" w:line="18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On the Original Closing Date, the Borrower shall deposit $2,575,000 into the Closing Expense Account. On any Business Day from the Original Closing Date to and including the Determination Date relating to the initial Payment Date following the Original Closing Date, the Collateral Agent shall apply funds from the Closing Expense Account, as directed by the Borrower, to pay all Original Closing Date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fees and expenses of Natixis, Weil, Gotshal &amp; Manges LLP, Sidley Austin LLP, and DBRS that have been invoiced for payment on the Original Closing Date in respect of Original Closing Date Expenses shall be paid by the Borrower on the Original Closing Date. On the Determination Date relating to the initial Payment Date following the Original Closing Date, all funds remaining in the Closing Expense Account after payment of the Original Closing Date Expenses on or prior to such Determination Date shall be deposited in the Collection Account as Interest Proceeds and the Closing Expense Account will be closed. By delivery of a certification of a Responsible Officer (which may be in the form of standing instructions), the Borrower or the Investment Manager may at any time direct the Collateral Agent to, and, upon receipt of such certification, the Collateral Agent shall, invest all funds remaining in the Closing Expense Account as so directed in Eligible Investments. Any income earned on amounts deposited in the Closing Expense Account will be deposited in the Interest Collection Account as Interest Proceeds as it is received.</w:t>
      </w:r>
    </w:p>
    <w:p>
      <w:pPr>
        <w:spacing w:after="0" w:line="183"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 xml:space="preserve">All fees and expenses due in respect of actions taken in connection with the Closing Date in respect of the transactions contemplated by this Agreement will be payable by or on behalf of the Borrower in accordance with </w:t>
      </w:r>
      <w:r>
        <w:rPr>
          <w:rFonts w:ascii="Arial" w:cs="Arial" w:eastAsia="Arial" w:hAnsi="Arial"/>
          <w:sz w:val="17"/>
          <w:szCs w:val="17"/>
          <w:u w:val="single" w:color="auto"/>
          <w:color w:val="auto"/>
        </w:rPr>
        <w:t>Section 3.01(i)</w:t>
      </w:r>
      <w:r>
        <w:rPr>
          <w:rFonts w:ascii="Arial" w:cs="Arial" w:eastAsia="Arial" w:hAnsi="Arial"/>
          <w:sz w:val="17"/>
          <w:szCs w:val="17"/>
          <w:color w:val="auto"/>
        </w:rPr>
        <w:t xml:space="preserve"> and the Engagement Letter.</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Collateral Reporting</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74" w:right="259" w:bottom="1440" w:gutter="0" w:footer="0" w:header="0"/>
        </w:sectPr>
      </w:pPr>
    </w:p>
    <w:bookmarkStart w:id="237" w:name="page238"/>
    <w:bookmarkEnd w:id="237"/>
    <w:p>
      <w:pPr>
        <w:ind w:left="1152" w:hanging="239"/>
        <w:spacing w:after="0"/>
        <w:tabs>
          <w:tab w:leader="none" w:pos="1152" w:val="left"/>
        </w:tabs>
        <w:numPr>
          <w:ilvl w:val="1"/>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Collateral Agent shall perform the following functions:</w:t>
      </w:r>
    </w:p>
    <w:p>
      <w:pPr>
        <w:spacing w:after="0" w:line="117" w:lineRule="exact"/>
        <w:rPr>
          <w:rFonts w:ascii="Arial" w:cs="Arial" w:eastAsia="Arial" w:hAnsi="Arial"/>
          <w:sz w:val="18"/>
          <w:szCs w:val="18"/>
          <w:color w:val="auto"/>
        </w:rPr>
      </w:pPr>
    </w:p>
    <w:p>
      <w:pPr>
        <w:ind w:left="1552" w:hanging="219"/>
        <w:spacing w:after="0"/>
        <w:tabs>
          <w:tab w:leader="none" w:pos="1552" w:val="left"/>
        </w:tabs>
        <w:numPr>
          <w:ilvl w:val="2"/>
          <w:numId w:val="237"/>
        </w:numPr>
        <w:rPr>
          <w:rFonts w:ascii="Arial" w:cs="Arial" w:eastAsia="Arial" w:hAnsi="Arial"/>
          <w:sz w:val="18"/>
          <w:szCs w:val="18"/>
          <w:color w:val="auto"/>
        </w:rPr>
      </w:pPr>
      <w:r>
        <w:rPr>
          <w:rFonts w:ascii="Arial" w:cs="Arial" w:eastAsia="Arial" w:hAnsi="Arial"/>
          <w:sz w:val="18"/>
          <w:szCs w:val="18"/>
          <w:color w:val="auto"/>
        </w:rPr>
        <w:t>create a Collateral database within 30 days of the Original Closing Date;</w:t>
      </w:r>
    </w:p>
    <w:p>
      <w:pPr>
        <w:spacing w:after="0" w:line="117" w:lineRule="exact"/>
        <w:rPr>
          <w:rFonts w:ascii="Arial" w:cs="Arial" w:eastAsia="Arial" w:hAnsi="Arial"/>
          <w:sz w:val="18"/>
          <w:szCs w:val="18"/>
          <w:color w:val="auto"/>
        </w:rPr>
      </w:pPr>
    </w:p>
    <w:p>
      <w:pPr>
        <w:ind w:left="1592" w:hanging="259"/>
        <w:spacing w:after="0"/>
        <w:tabs>
          <w:tab w:leader="none" w:pos="1592" w:val="left"/>
        </w:tabs>
        <w:numPr>
          <w:ilvl w:val="2"/>
          <w:numId w:val="237"/>
        </w:numPr>
        <w:rPr>
          <w:rFonts w:ascii="Arial" w:cs="Arial" w:eastAsia="Arial" w:hAnsi="Arial"/>
          <w:sz w:val="18"/>
          <w:szCs w:val="18"/>
          <w:color w:val="auto"/>
        </w:rPr>
      </w:pPr>
      <w:r>
        <w:rPr>
          <w:rFonts w:ascii="Arial" w:cs="Arial" w:eastAsia="Arial" w:hAnsi="Arial"/>
          <w:sz w:val="18"/>
          <w:szCs w:val="18"/>
          <w:color w:val="auto"/>
        </w:rPr>
        <w:t>permit access to the information in the Collateral database to the Investment Manager and the Borrower;</w:t>
      </w:r>
    </w:p>
    <w:p>
      <w:pPr>
        <w:spacing w:after="0" w:line="117" w:lineRule="exact"/>
        <w:rPr>
          <w:rFonts w:ascii="Arial" w:cs="Arial" w:eastAsia="Arial" w:hAnsi="Arial"/>
          <w:sz w:val="18"/>
          <w:szCs w:val="18"/>
          <w:color w:val="auto"/>
        </w:rPr>
      </w:pPr>
    </w:p>
    <w:p>
      <w:pPr>
        <w:ind w:left="1652" w:hanging="319"/>
        <w:spacing w:after="0"/>
        <w:tabs>
          <w:tab w:leader="none" w:pos="1652" w:val="left"/>
        </w:tabs>
        <w:numPr>
          <w:ilvl w:val="2"/>
          <w:numId w:val="237"/>
        </w:numPr>
        <w:rPr>
          <w:rFonts w:ascii="Arial" w:cs="Arial" w:eastAsia="Arial" w:hAnsi="Arial"/>
          <w:sz w:val="18"/>
          <w:szCs w:val="18"/>
          <w:color w:val="auto"/>
        </w:rPr>
      </w:pPr>
      <w:r>
        <w:rPr>
          <w:rFonts w:ascii="Arial" w:cs="Arial" w:eastAsia="Arial" w:hAnsi="Arial"/>
          <w:sz w:val="18"/>
          <w:szCs w:val="18"/>
          <w:color w:val="auto"/>
        </w:rPr>
        <w:t>update the Collateral database promptly for ratings changes;</w:t>
      </w:r>
    </w:p>
    <w:p>
      <w:pPr>
        <w:spacing w:after="0" w:line="117" w:lineRule="exact"/>
        <w:rPr>
          <w:rFonts w:ascii="Arial" w:cs="Arial" w:eastAsia="Arial" w:hAnsi="Arial"/>
          <w:sz w:val="18"/>
          <w:szCs w:val="18"/>
          <w:color w:val="auto"/>
        </w:rPr>
      </w:pPr>
    </w:p>
    <w:p>
      <w:pPr>
        <w:ind w:left="452" w:right="440" w:firstLine="881"/>
        <w:spacing w:after="0" w:line="277" w:lineRule="auto"/>
        <w:tabs>
          <w:tab w:leader="none" w:pos="1633" w:val="left"/>
        </w:tabs>
        <w:numPr>
          <w:ilvl w:val="2"/>
          <w:numId w:val="237"/>
        </w:numPr>
        <w:rPr>
          <w:rFonts w:ascii="Arial" w:cs="Arial" w:eastAsia="Arial" w:hAnsi="Arial"/>
          <w:sz w:val="18"/>
          <w:szCs w:val="18"/>
          <w:color w:val="auto"/>
        </w:rPr>
      </w:pPr>
      <w:r>
        <w:rPr>
          <w:rFonts w:ascii="Arial" w:cs="Arial" w:eastAsia="Arial" w:hAnsi="Arial"/>
          <w:sz w:val="18"/>
          <w:szCs w:val="18"/>
          <w:color w:val="auto"/>
        </w:rPr>
        <w:t>update the Collateral database promptly for Collateral Obligations, Equity Securities and Eligible Investments acquired or sold or otherwise disposed of and for any amendments or changes to loan amounts or interest rates;</w:t>
      </w:r>
    </w:p>
    <w:p>
      <w:pPr>
        <w:spacing w:after="0" w:line="62" w:lineRule="exact"/>
        <w:rPr>
          <w:rFonts w:ascii="Arial" w:cs="Arial" w:eastAsia="Arial" w:hAnsi="Arial"/>
          <w:sz w:val="18"/>
          <w:szCs w:val="18"/>
          <w:color w:val="auto"/>
        </w:rPr>
      </w:pPr>
    </w:p>
    <w:p>
      <w:pPr>
        <w:ind w:left="1592" w:hanging="259"/>
        <w:spacing w:after="0"/>
        <w:tabs>
          <w:tab w:leader="none" w:pos="1592" w:val="left"/>
        </w:tabs>
        <w:numPr>
          <w:ilvl w:val="2"/>
          <w:numId w:val="237"/>
        </w:numPr>
        <w:rPr>
          <w:rFonts w:ascii="Arial" w:cs="Arial" w:eastAsia="Arial" w:hAnsi="Arial"/>
          <w:sz w:val="18"/>
          <w:szCs w:val="18"/>
          <w:color w:val="auto"/>
        </w:rPr>
      </w:pPr>
      <w:r>
        <w:rPr>
          <w:rFonts w:ascii="Arial" w:cs="Arial" w:eastAsia="Arial" w:hAnsi="Arial"/>
          <w:sz w:val="18"/>
          <w:szCs w:val="18"/>
          <w:color w:val="auto"/>
        </w:rPr>
        <w:t>prepare and arrange for the delivery of each Monthly Report and Payment Date Report; and</w:t>
      </w:r>
    </w:p>
    <w:p>
      <w:pPr>
        <w:spacing w:after="0" w:line="117" w:lineRule="exact"/>
        <w:rPr>
          <w:rFonts w:ascii="Arial" w:cs="Arial" w:eastAsia="Arial" w:hAnsi="Arial"/>
          <w:sz w:val="18"/>
          <w:szCs w:val="18"/>
          <w:color w:val="auto"/>
        </w:rPr>
      </w:pPr>
    </w:p>
    <w:p>
      <w:pPr>
        <w:ind w:left="452" w:right="360" w:firstLine="881"/>
        <w:spacing w:after="0" w:line="277" w:lineRule="auto"/>
        <w:tabs>
          <w:tab w:leader="none" w:pos="1633" w:val="left"/>
        </w:tabs>
        <w:numPr>
          <w:ilvl w:val="2"/>
          <w:numId w:val="237"/>
        </w:numPr>
        <w:rPr>
          <w:rFonts w:ascii="Arial" w:cs="Arial" w:eastAsia="Arial" w:hAnsi="Arial"/>
          <w:sz w:val="18"/>
          <w:szCs w:val="18"/>
          <w:color w:val="auto"/>
        </w:rPr>
      </w:pPr>
      <w:r>
        <w:rPr>
          <w:rFonts w:ascii="Arial" w:cs="Arial" w:eastAsia="Arial" w:hAnsi="Arial"/>
          <w:sz w:val="18"/>
          <w:szCs w:val="18"/>
          <w:color w:val="auto"/>
        </w:rPr>
        <w:t>provide the Investment Manager with such other information as may be reasonably requested by the Investment Manager and as is within the possession of the Collateral Agent.</w:t>
      </w:r>
    </w:p>
    <w:p>
      <w:pPr>
        <w:spacing w:after="0" w:line="62" w:lineRule="exact"/>
        <w:rPr>
          <w:rFonts w:ascii="Arial" w:cs="Arial" w:eastAsia="Arial" w:hAnsi="Arial"/>
          <w:sz w:val="18"/>
          <w:szCs w:val="18"/>
          <w:color w:val="auto"/>
        </w:rPr>
      </w:pPr>
    </w:p>
    <w:p>
      <w:pPr>
        <w:ind w:left="-8" w:right="60" w:firstLine="921"/>
        <w:spacing w:after="0" w:line="257" w:lineRule="auto"/>
        <w:tabs>
          <w:tab w:leader="none" w:pos="11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Not later than the day on which each Monthly Report or Payment Date Report is required to be provided by the Borrower, the Collateral Agent shall calculate, using the information contained in the Collateral database created by the Collateral Agent and any other Collateral information normally maintained by the Collateral Agent, and subject to the Collateral Agent’s receipt from the Investment Manager of information with respect to the Collateral that is not contained in such Collateral database or normally maintained by the Collateral Agent, as Trustee, each item required to be stated in such Monthly Report or Payment Date Report.</w:t>
      </w:r>
    </w:p>
    <w:p>
      <w:pPr>
        <w:spacing w:after="0" w:line="188" w:lineRule="exact"/>
        <w:rPr>
          <w:rFonts w:ascii="Arial" w:cs="Arial" w:eastAsia="Arial" w:hAnsi="Arial"/>
          <w:sz w:val="18"/>
          <w:szCs w:val="18"/>
          <w:color w:val="auto"/>
        </w:rPr>
      </w:pPr>
    </w:p>
    <w:p>
      <w:pPr>
        <w:ind w:left="-8" w:firstLine="921"/>
        <w:spacing w:after="0" w:line="284" w:lineRule="auto"/>
        <w:tabs>
          <w:tab w:leader="none" w:pos="115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Upon notification by the Investment Manager of a proposed purchase of any security pursuant to this Agreement (accompanied by such information concerning the security to be purchased as may be necessary to make the calculations referred to below), the Collateral Agent shall calculate each criterion included in the Eligibility Criteria as a condition to such purchase in accordance with this Agreement, in all cases, based upon information contained in the Collateral database and information furnished by the Borrower and Investment Manager, and provide the results of such calculations to the Investment Manager so that the Investment Manager may determine whether such purchase is permitted by this Agreement. The Collateral Agent shall deliver a draft of such calculation to the Investment Manager reasonably promptly after the later of (i) notification of such proposed purchase by the Investment Manager and</w:t>
      </w:r>
    </w:p>
    <w:p>
      <w:pPr>
        <w:spacing w:after="0" w:line="4" w:lineRule="exact"/>
        <w:rPr>
          <w:rFonts w:ascii="Arial" w:cs="Arial" w:eastAsia="Arial" w:hAnsi="Arial"/>
          <w:sz w:val="16"/>
          <w:szCs w:val="16"/>
          <w:color w:val="auto"/>
        </w:rPr>
      </w:pPr>
    </w:p>
    <w:p>
      <w:pPr>
        <w:ind w:left="-8" w:right="40" w:firstLine="8"/>
        <w:spacing w:after="0" w:line="255" w:lineRule="auto"/>
        <w:tabs>
          <w:tab w:leader="none" w:pos="25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delivery of all information to the Collateral Agent necessary to complete such calculations. For the avoidance of doubt, the Collateral Agent shall have no obligation to determine (and the Investment Manager will timely advise the Collateral Agent) whether any item of Collateral meets the definition of “Collateral Obligation”, “Credit Risk Loan/Bond”, “Equity Security” or “Defaulted Loan/Bond”.</w:t>
      </w:r>
    </w:p>
    <w:p>
      <w:pPr>
        <w:spacing w:after="0" w:line="190" w:lineRule="exact"/>
        <w:rPr>
          <w:rFonts w:ascii="Arial" w:cs="Arial" w:eastAsia="Arial" w:hAnsi="Arial"/>
          <w:sz w:val="18"/>
          <w:szCs w:val="18"/>
          <w:color w:val="auto"/>
        </w:rPr>
      </w:pPr>
    </w:p>
    <w:p>
      <w:pPr>
        <w:ind w:left="-8" w:right="580" w:firstLine="921"/>
        <w:spacing w:after="0" w:line="308" w:lineRule="auto"/>
        <w:tabs>
          <w:tab w:leader="none" w:pos="116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 xml:space="preserve">Upon written notification by the Investment Manager of a proposed sale of any Collateral Obligation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of this Agreement, the Collateral Agent shall calculate each criterion set forth in the </w:t>
      </w:r>
      <w:r>
        <w:rPr>
          <w:rFonts w:ascii="Arial" w:cs="Arial" w:eastAsia="Arial" w:hAnsi="Arial"/>
          <w:sz w:val="17"/>
          <w:szCs w:val="17"/>
          <w:u w:val="single" w:color="auto"/>
          <w:color w:val="auto"/>
        </w:rPr>
        <w:t>Section 10.01</w:t>
      </w:r>
      <w:r>
        <w:rPr>
          <w:rFonts w:ascii="Arial" w:cs="Arial" w:eastAsia="Arial" w:hAnsi="Arial"/>
          <w:sz w:val="17"/>
          <w:szCs w:val="17"/>
          <w:color w:val="auto"/>
        </w:rPr>
        <w:t>, if any, as a condition to such disposition</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92"/>
          </w:cols>
          <w:pgMar w:left="248" w:top="274" w:right="259" w:bottom="1440" w:gutter="0" w:footer="0" w:header="0"/>
        </w:sectPr>
      </w:pPr>
    </w:p>
    <w:bookmarkStart w:id="238" w:name="page239"/>
    <w:bookmarkEnd w:id="238"/>
    <w:p>
      <w:pPr>
        <w:jc w:val="both"/>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provide the results of such calculations to the Investment Manager so that the Investment Manager may determine whether such sale is permitted by this Agreement. The Collateral Agent shall deliver a draft of such calculations to the Investment Manager reasonably promptly after the later of (i) notification of such proposed sale by the Investment Manager and (ii) delivery of all information to the Collateral Agent necessary to complete such calculations.</w:t>
      </w:r>
    </w:p>
    <w:p>
      <w:pPr>
        <w:spacing w:after="0" w:line="147" w:lineRule="exact"/>
        <w:rPr>
          <w:sz w:val="20"/>
          <w:szCs w:val="20"/>
          <w:color w:val="auto"/>
        </w:rPr>
      </w:pPr>
    </w:p>
    <w:p>
      <w:pPr>
        <w:ind w:firstLine="921"/>
        <w:spacing w:after="0" w:line="270" w:lineRule="auto"/>
        <w:tabs>
          <w:tab w:leader="none" w:pos="115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With respect to the calculations to be provided by the Collateral Agent set forth in </w:t>
      </w:r>
      <w:r>
        <w:rPr>
          <w:rFonts w:ascii="Arial" w:cs="Arial" w:eastAsia="Arial" w:hAnsi="Arial"/>
          <w:sz w:val="17"/>
          <w:szCs w:val="17"/>
          <w:u w:val="single" w:color="auto"/>
          <w:color w:val="auto"/>
        </w:rPr>
        <w:t>Sections 8.13(c)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in no event shall the Collateral Agent be required to deliver such calculations earlier than one Business Day following the receipt by the Collateral Agent of all information necessary to complete such calculations. In the event the Investment Manager does not provide the Collateral Agent the items necessary to complete the calculations required by </w:t>
      </w:r>
      <w:r>
        <w:rPr>
          <w:rFonts w:ascii="Arial" w:cs="Arial" w:eastAsia="Arial" w:hAnsi="Arial"/>
          <w:sz w:val="17"/>
          <w:szCs w:val="17"/>
          <w:u w:val="single" w:color="auto"/>
          <w:color w:val="auto"/>
        </w:rPr>
        <w:t>Sections 8.13(c)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and/or the Investment Manager proceeds with a sale or purchase of the applicable Collateral prior to the time the Collateral Agent delivers such calculations, the Collateral Agent shall not be responsible for determining whether the provisions of this Agreement have been satisfied (including compliance with the Eligibility Criteria) and the Collateral Agent shall be entitled to rely upon the instructions of the Investment Manager in all respects, including but not limited to instructions (which may be in the form of trade tickets) to release the applicable Collateral from the lien of this Agreement or to acquire the applicable Collateral. In the event the Investment Manager consummates a sale or purchase prior to receiving the calculations of the Collateral Agent, the Collateral Agent shall be under no duty, and shall incur no liability, to perform the calculations set forth in </w:t>
      </w:r>
      <w:r>
        <w:rPr>
          <w:rFonts w:ascii="Arial" w:cs="Arial" w:eastAsia="Arial" w:hAnsi="Arial"/>
          <w:sz w:val="17"/>
          <w:szCs w:val="17"/>
          <w:u w:val="single" w:color="auto"/>
          <w:color w:val="auto"/>
        </w:rPr>
        <w:t>Sections 8.13(c)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w:t>
      </w:r>
    </w:p>
    <w:p>
      <w:pPr>
        <w:spacing w:after="0" w:line="177" w:lineRule="exact"/>
        <w:rPr>
          <w:rFonts w:ascii="Arial" w:cs="Arial" w:eastAsia="Arial" w:hAnsi="Arial"/>
          <w:sz w:val="17"/>
          <w:szCs w:val="17"/>
          <w:color w:val="auto"/>
        </w:rPr>
      </w:pPr>
    </w:p>
    <w:p>
      <w:pPr>
        <w:ind w:right="160" w:firstLine="921"/>
        <w:spacing w:after="0" w:line="264" w:lineRule="auto"/>
        <w:tabs>
          <w:tab w:leader="none" w:pos="113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Subject to the mutual agreement of the parties hereto regarding reasonable compensation for the Collateral Agent, perform such other calculations and prepare such other reports as the Investment Manager may reasonably request in writing and that are required by this Agreement and as the Collateral Agent may agree to in writing, which agreement shall not be unreasonably withheld.</w:t>
      </w:r>
    </w:p>
    <w:p>
      <w:pPr>
        <w:spacing w:after="0" w:line="181"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Nothing herein shall prevent the Collateral Agent or any of its Affiliates from engaging in other businesses or from rendering services of any kind to any Person.</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Collateral Agent shall have no obligation to determine Market Value or price in connection with any actions or duties under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APPLICATION OF MONIES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Disbursements of Monies from Payment Account</w:t>
      </w:r>
      <w:r>
        <w:rPr>
          <w:rFonts w:ascii="Arial" w:cs="Arial" w:eastAsia="Arial" w:hAnsi="Arial"/>
          <w:sz w:val="18"/>
          <w:szCs w:val="18"/>
          <w:color w:val="auto"/>
        </w:rPr>
        <w:t>.</w:t>
      </w:r>
    </w:p>
    <w:p>
      <w:pPr>
        <w:spacing w:after="0" w:line="117" w:lineRule="exact"/>
        <w:rPr>
          <w:sz w:val="20"/>
          <w:szCs w:val="20"/>
          <w:color w:val="auto"/>
        </w:rPr>
      </w:pPr>
    </w:p>
    <w:p>
      <w:pPr>
        <w:ind w:right="180" w:firstLine="921"/>
        <w:spacing w:after="0" w:line="264" w:lineRule="auto"/>
        <w:tabs>
          <w:tab w:leader="none" w:pos="115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Agreement, but subject to the other subsections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on each Payment Date, the Collateral Agent shall disburse amounts transferred from the Collection Account to the Payment Account pursuant to Section 8.02 in accordance with the following priorities (the “</w:t>
      </w:r>
      <w:r>
        <w:rPr>
          <w:rFonts w:ascii="Arial" w:cs="Arial" w:eastAsia="Arial" w:hAnsi="Arial"/>
          <w:sz w:val="18"/>
          <w:szCs w:val="18"/>
          <w:u w:val="single" w:color="auto"/>
          <w:color w:val="auto"/>
        </w:rPr>
        <w:t>Priority of Payments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60" w:firstLine="881"/>
        <w:spacing w:after="0" w:line="277" w:lineRule="auto"/>
        <w:tabs>
          <w:tab w:leader="none" w:pos="1551" w:val="left"/>
        </w:tabs>
        <w:numPr>
          <w:ilvl w:val="1"/>
          <w:numId w:val="240"/>
        </w:numPr>
        <w:rPr>
          <w:rFonts w:ascii="Arial" w:cs="Arial" w:eastAsia="Arial" w:hAnsi="Arial"/>
          <w:sz w:val="18"/>
          <w:szCs w:val="18"/>
          <w:color w:val="auto"/>
        </w:rPr>
      </w:pPr>
      <w:r>
        <w:rPr>
          <w:rFonts w:ascii="Arial" w:cs="Arial" w:eastAsia="Arial" w:hAnsi="Arial"/>
          <w:sz w:val="18"/>
          <w:szCs w:val="18"/>
          <w:color w:val="auto"/>
        </w:rPr>
        <w:t>On each Payment Date, Interest Proceeds on deposit in the Interest Collection Subaccount, to the extent received by the Collateral Agent on or before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74" w:right="259" w:bottom="1440" w:gutter="0" w:footer="0" w:header="0"/>
        </w:sectPr>
      </w:pPr>
    </w:p>
    <w:bookmarkStart w:id="239" w:name="page240"/>
    <w:bookmarkEnd w:id="2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Determination Date (or, if such Determination Date is not a Business Day, the next succeeding Business Day) and that are transferred into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Payment Account, shall be applied in the following order of priority:</w:t>
      </w:r>
    </w:p>
    <w:p>
      <w:pPr>
        <w:spacing w:after="0" w:line="103" w:lineRule="exact"/>
        <w:rPr>
          <w:sz w:val="20"/>
          <w:szCs w:val="20"/>
          <w:color w:val="auto"/>
        </w:rPr>
      </w:pPr>
    </w:p>
    <w:p>
      <w:pPr>
        <w:ind w:left="460" w:firstLine="421"/>
        <w:spacing w:after="0" w:line="291" w:lineRule="auto"/>
        <w:tabs>
          <w:tab w:leader="none" w:pos="1175" w:val="left"/>
        </w:tabs>
        <w:numPr>
          <w:ilvl w:val="1"/>
          <w:numId w:val="241"/>
        </w:numPr>
        <w:rPr>
          <w:rFonts w:ascii="Arial" w:cs="Arial" w:eastAsia="Arial" w:hAnsi="Arial"/>
          <w:sz w:val="16"/>
          <w:szCs w:val="16"/>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pay taxes, registration and filing fees, if any, of the Borrower or any Blocker Subsidiary; (2)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pay all out-of-pocket costs and expenses of the Collateral Agent (in each case expressly excluding any amounts in respect of indemnities) payable under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ind w:left="460" w:right="320" w:firstLine="1"/>
        <w:spacing w:after="0" w:line="253" w:lineRule="auto"/>
        <w:tabs>
          <w:tab w:leader="none" w:pos="715"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 other Administrative Expenses payable to the Collateral Agent; and (4)</w:t>
      </w:r>
      <w:r>
        <w:rPr>
          <w:rFonts w:ascii="Arial" w:cs="Arial" w:eastAsia="Arial" w:hAnsi="Arial"/>
          <w:sz w:val="18"/>
          <w:szCs w:val="18"/>
          <w:i w:val="1"/>
          <w:iCs w:val="1"/>
          <w:color w:val="auto"/>
        </w:rPr>
        <w:t xml:space="preserve"> fourth</w:t>
      </w:r>
      <w:r>
        <w:rPr>
          <w:rFonts w:ascii="Arial" w:cs="Arial" w:eastAsia="Arial" w:hAnsi="Arial"/>
          <w:sz w:val="18"/>
          <w:szCs w:val="18"/>
          <w:color w:val="auto"/>
        </w:rPr>
        <w:t>, to pay all other Administrative Expenses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the priorities specified in the definition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applied under clauses (A)(3) and (4) for each Payment Date prior to the Commitments terminating and the principal of and the accrued interest on the Advances and the Notes and all other amounts whatsoever payable by the Borrower hereunder becoming due and payable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shall not exceed the Administrative Expense Cap for such Payment Date;</w:t>
      </w:r>
    </w:p>
    <w:p>
      <w:pPr>
        <w:spacing w:after="0" w:line="83" w:lineRule="exact"/>
        <w:rPr>
          <w:rFonts w:ascii="Arial" w:cs="Arial" w:eastAsia="Arial" w:hAnsi="Arial"/>
          <w:sz w:val="18"/>
          <w:szCs w:val="18"/>
          <w:color w:val="auto"/>
        </w:rPr>
      </w:pPr>
    </w:p>
    <w:p>
      <w:pPr>
        <w:ind w:left="1160" w:hanging="279"/>
        <w:spacing w:after="0"/>
        <w:tabs>
          <w:tab w:leader="none" w:pos="11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to the payment of amounts due and payable under each Eligible Hedge Agreement entered into by the Borrower;</w:t>
      </w:r>
    </w:p>
    <w:p>
      <w:pPr>
        <w:spacing w:after="0" w:line="117" w:lineRule="exact"/>
        <w:rPr>
          <w:rFonts w:ascii="Arial" w:cs="Arial" w:eastAsia="Arial" w:hAnsi="Arial"/>
          <w:sz w:val="18"/>
          <w:szCs w:val="18"/>
          <w:color w:val="auto"/>
        </w:rPr>
      </w:pPr>
    </w:p>
    <w:p>
      <w:pPr>
        <w:ind w:left="460" w:right="520" w:firstLine="421"/>
        <w:spacing w:after="0" w:line="342" w:lineRule="auto"/>
        <w:tabs>
          <w:tab w:leader="none" w:pos="1165" w:val="left"/>
        </w:tabs>
        <w:numPr>
          <w:ilvl w:val="1"/>
          <w:numId w:val="242"/>
        </w:numPr>
        <w:rPr>
          <w:rFonts w:ascii="Arial" w:cs="Arial" w:eastAsia="Arial" w:hAnsi="Arial"/>
          <w:sz w:val="16"/>
          <w:szCs w:val="16"/>
          <w:color w:val="auto"/>
        </w:rPr>
      </w:pPr>
      <w:r>
        <w:rPr>
          <w:rFonts w:ascii="Arial" w:cs="Arial" w:eastAsia="Arial" w:hAnsi="Arial"/>
          <w:sz w:val="16"/>
          <w:szCs w:val="16"/>
          <w:color w:val="auto"/>
        </w:rPr>
        <w:t>following the occurrence of an Event of Default specified in Section 6.01(j) or (o), to the Lenders in an amount not to exceed the accrued and unpaid Replacement Investment Management Fees (other than Deferred Replacement Investment Management Fees);</w:t>
      </w:r>
    </w:p>
    <w:p>
      <w:pPr>
        <w:spacing w:after="0" w:line="15" w:lineRule="exact"/>
        <w:rPr>
          <w:rFonts w:ascii="Arial" w:cs="Arial" w:eastAsia="Arial" w:hAnsi="Arial"/>
          <w:sz w:val="16"/>
          <w:szCs w:val="16"/>
          <w:color w:val="auto"/>
        </w:rPr>
      </w:pPr>
    </w:p>
    <w:p>
      <w:pPr>
        <w:ind w:left="1180" w:hanging="299"/>
        <w:spacing w:after="0"/>
        <w:tabs>
          <w:tab w:leader="none" w:pos="11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to the payment of Commitment Fees due to the Lenders;</w:t>
      </w:r>
    </w:p>
    <w:p>
      <w:pPr>
        <w:spacing w:after="0" w:line="117" w:lineRule="exact"/>
        <w:rPr>
          <w:rFonts w:ascii="Arial" w:cs="Arial" w:eastAsia="Arial" w:hAnsi="Arial"/>
          <w:sz w:val="18"/>
          <w:szCs w:val="18"/>
          <w:color w:val="auto"/>
        </w:rPr>
      </w:pPr>
    </w:p>
    <w:p>
      <w:pPr>
        <w:ind w:left="460" w:right="480" w:firstLine="421"/>
        <w:spacing w:after="0" w:line="277" w:lineRule="auto"/>
        <w:tabs>
          <w:tab w:leader="none" w:pos="1155" w:val="left"/>
        </w:tabs>
        <w:numPr>
          <w:ilvl w:val="1"/>
          <w:numId w:val="242"/>
        </w:numPr>
        <w:rPr>
          <w:rFonts w:ascii="Arial" w:cs="Arial" w:eastAsia="Arial" w:hAnsi="Arial"/>
          <w:sz w:val="18"/>
          <w:szCs w:val="18"/>
          <w:color w:val="auto"/>
        </w:rPr>
      </w:pPr>
      <w:r>
        <w:rPr>
          <w:rFonts w:ascii="Arial" w:cs="Arial" w:eastAsia="Arial" w:hAnsi="Arial"/>
          <w:sz w:val="18"/>
          <w:szCs w:val="18"/>
          <w:color w:val="auto"/>
        </w:rPr>
        <w:t xml:space="preserve">to the payment of accrued and unpaid interest on the Advances and amounts payable to the Lenders or any Affected Person under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20" w:firstLine="421"/>
        <w:spacing w:after="0" w:line="257" w:lineRule="auto"/>
        <w:tabs>
          <w:tab w:leader="none" w:pos="1145" w:val="left"/>
        </w:tabs>
        <w:numPr>
          <w:ilvl w:val="1"/>
          <w:numId w:val="242"/>
        </w:numPr>
        <w:rPr>
          <w:rFonts w:ascii="Arial" w:cs="Arial" w:eastAsia="Arial" w:hAnsi="Arial"/>
          <w:sz w:val="18"/>
          <w:szCs w:val="18"/>
          <w:color w:val="auto"/>
        </w:rPr>
      </w:pPr>
      <w:r>
        <w:rPr>
          <w:rFonts w:ascii="Arial" w:cs="Arial" w:eastAsia="Arial" w:hAnsi="Arial"/>
          <w:sz w:val="18"/>
          <w:szCs w:val="18"/>
          <w:color w:val="auto"/>
        </w:rPr>
        <w:t xml:space="preserve">if the Coverage Tests are not satisfied as of the related Determination Date, (1) to the repayment of principal in respect of the Advances, or (2) if, but only if, the outstanding principal amount of the Advances equals zero (both before and after giving effect to any payment made pursuant to clause (1)), to deposit in the Revolving Reserve Account, in each case in the amount necessary to result in the satisfaction of the Coverage Tests (on a pro forma basis as of such Determination Date), and in conjunction with such repayment or deposit, the corresponding Commitment shall be terminated in accordance with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60" w:right="40" w:firstLine="421"/>
        <w:spacing w:after="0" w:line="277" w:lineRule="auto"/>
        <w:tabs>
          <w:tab w:leader="none" w:pos="1175"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to the payment or application of amounts referred to in clauses (A) (3) and (4) above (in the same order of priority specified therein), to the extent not paid in full pursuant to applications under said clauses (A)(3) and (4);</w:t>
      </w:r>
    </w:p>
    <w:p>
      <w:pPr>
        <w:spacing w:after="0" w:line="62" w:lineRule="exact"/>
        <w:rPr>
          <w:rFonts w:ascii="Arial" w:cs="Arial" w:eastAsia="Arial" w:hAnsi="Arial"/>
          <w:sz w:val="18"/>
          <w:szCs w:val="18"/>
          <w:color w:val="auto"/>
        </w:rPr>
      </w:pPr>
    </w:p>
    <w:p>
      <w:pPr>
        <w:ind w:left="5120" w:right="60" w:hanging="4239"/>
        <w:spacing w:after="0" w:line="449" w:lineRule="auto"/>
        <w:tabs>
          <w:tab w:leader="none" w:pos="117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 xml:space="preserve">to pay accrued and unpaid amounts owing to the Secured Parties and any other Affected Person (if any)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12.03</w:t>
      </w:r>
      <w:r>
        <w:rPr>
          <w:rFonts w:ascii="Arial" w:cs="Arial" w:eastAsia="Arial" w:hAnsi="Arial"/>
          <w:sz w:val="18"/>
          <w:szCs w:val="18"/>
          <w:color w:val="auto"/>
        </w:rPr>
        <w:t>; 108</w:t>
      </w:r>
    </w:p>
    <w:p>
      <w:pPr>
        <w:sectPr>
          <w:pgSz w:w="11900" w:h="16838" w:orient="portrait"/>
          <w:cols w:equalWidth="0" w:num="1">
            <w:col w:w="10960"/>
          </w:cols>
          <w:pgMar w:left="700" w:top="274" w:right="239" w:bottom="1440" w:gutter="0" w:footer="0" w:header="0"/>
        </w:sectPr>
      </w:pPr>
    </w:p>
    <w:bookmarkStart w:id="240" w:name="page241"/>
    <w:bookmarkEnd w:id="240"/>
    <w:p>
      <w:pPr>
        <w:ind w:left="460" w:right="360" w:firstLine="421"/>
        <w:spacing w:after="0" w:line="264" w:lineRule="auto"/>
        <w:tabs>
          <w:tab w:leader="none" w:pos="1105" w:val="left"/>
        </w:tabs>
        <w:numPr>
          <w:ilvl w:val="1"/>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payment of any Replacement Investment Management Fees that the Lenders have elected in a written notice delivered to the Agents prior to the related Determination Date, to be paid on such Payment Date (such deferred fees, the “</w:t>
      </w:r>
      <w:r>
        <w:rPr>
          <w:rFonts w:ascii="Arial" w:cs="Arial" w:eastAsia="Arial" w:hAnsi="Arial"/>
          <w:sz w:val="18"/>
          <w:szCs w:val="18"/>
          <w:u w:val="single" w:color="auto"/>
          <w:color w:val="auto"/>
        </w:rPr>
        <w:t>Deferred Replacement Investment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Management Fees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60" w:right="60" w:firstLine="421"/>
        <w:spacing w:after="0" w:line="264" w:lineRule="auto"/>
        <w:tabs>
          <w:tab w:leader="none" w:pos="1115"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to the Currency Exchange Account, in an amount equal to the excess (if any) of the Currency Exchange Mark-to-Market Amount over the amount on deposit in the Currency Exchange Account prior to the application of payment under this clause (J), in each case on such Payment Date;</w:t>
      </w:r>
    </w:p>
    <w:p>
      <w:pPr>
        <w:spacing w:after="0" w:line="73" w:lineRule="exact"/>
        <w:rPr>
          <w:rFonts w:ascii="Arial" w:cs="Arial" w:eastAsia="Arial" w:hAnsi="Arial"/>
          <w:sz w:val="18"/>
          <w:szCs w:val="18"/>
          <w:color w:val="auto"/>
        </w:rPr>
      </w:pPr>
    </w:p>
    <w:p>
      <w:pPr>
        <w:ind w:left="460" w:right="60" w:firstLine="421"/>
        <w:spacing w:after="0" w:line="254" w:lineRule="auto"/>
        <w:tabs>
          <w:tab w:leader="none" w:pos="1175"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during the Reinvestment Period and so long as no Event of Default has occurred and is continuing, the remainder to be allocated at the Investment Manager’s option (as evidenced in a written notice delivered to the Agents delivered on or prior to the related Determination Date) to any one or more of the following payments: (i) to the Principal Collection Subaccount for the purchase of additional Collateral Obligations (including funding Revolving Collateral Loans and Delayed Drawdown Collateral Loans), and/or (ii) to prepay the Advances, and/or (iii) to the Borrower, free and clear of the lien of this Agreement, so long as in connection with any payment made pursuant to this clause (iii) each Coverage Test is satisfied as of the related Determination Date immediately prior to and immediately after the making of such payment to the Borrower, and/or (iv) for deposit into the Revolving Reserve Account up to an amount that would result in the Portfolio Exposure Amount equaling zero;</w:t>
      </w:r>
    </w:p>
    <w:p>
      <w:pPr>
        <w:spacing w:after="0" w:line="84" w:lineRule="exact"/>
        <w:rPr>
          <w:rFonts w:ascii="Arial" w:cs="Arial" w:eastAsia="Arial" w:hAnsi="Arial"/>
          <w:sz w:val="18"/>
          <w:szCs w:val="18"/>
          <w:color w:val="auto"/>
        </w:rPr>
      </w:pPr>
    </w:p>
    <w:p>
      <w:pPr>
        <w:ind w:left="1160" w:hanging="279"/>
        <w:spacing w:after="0"/>
        <w:tabs>
          <w:tab w:leader="none" w:pos="11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so long as an Event of Default has occurred and is continuing, to the repayment of the Advances until paid in full;</w:t>
      </w:r>
    </w:p>
    <w:p>
      <w:pPr>
        <w:spacing w:after="0" w:line="117" w:lineRule="exact"/>
        <w:rPr>
          <w:rFonts w:ascii="Arial" w:cs="Arial" w:eastAsia="Arial" w:hAnsi="Arial"/>
          <w:sz w:val="18"/>
          <w:szCs w:val="18"/>
          <w:color w:val="auto"/>
        </w:rPr>
      </w:pPr>
    </w:p>
    <w:p>
      <w:pPr>
        <w:ind w:left="460" w:right="140" w:firstLine="421"/>
        <w:spacing w:after="0" w:line="291" w:lineRule="auto"/>
        <w:tabs>
          <w:tab w:leader="none" w:pos="1205" w:val="left"/>
        </w:tabs>
        <w:numPr>
          <w:ilvl w:val="1"/>
          <w:numId w:val="243"/>
        </w:numPr>
        <w:rPr>
          <w:rFonts w:ascii="Arial" w:cs="Arial" w:eastAsia="Arial" w:hAnsi="Arial"/>
          <w:sz w:val="16"/>
          <w:szCs w:val="16"/>
          <w:color w:val="auto"/>
        </w:rPr>
      </w:pPr>
      <w:r>
        <w:rPr>
          <w:rFonts w:ascii="Arial" w:cs="Arial" w:eastAsia="Arial" w:hAnsi="Arial"/>
          <w:sz w:val="16"/>
          <w:szCs w:val="16"/>
          <w:color w:val="auto"/>
        </w:rPr>
        <w:t>after the Reinvestment Period, as of the related Determination Date, if (i) the Diversity Score of the Collateral Obligations, calculated as a single number in accordance with standard diversity scoring methodology using DBRS Industry Classifications, equals or exceeds 10, and</w:t>
      </w:r>
    </w:p>
    <w:p>
      <w:pPr>
        <w:jc w:val="both"/>
        <w:ind w:left="460" w:firstLine="1"/>
        <w:spacing w:after="0" w:line="255" w:lineRule="auto"/>
        <w:tabs>
          <w:tab w:leader="none" w:pos="72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either (I) the Overcollateralization Ratio at such time is at least equal to the ratio of (a) 1.20 over (b) the Row Advance Rate that is in effect as of the end of the Reinvestment Period or (II) the Cumulative Net Loss Amount is equal to or less than zero, to the Borrower, free and clear of the lien of this Agreement;</w:t>
      </w:r>
    </w:p>
    <w:p>
      <w:pPr>
        <w:spacing w:after="0" w:line="82" w:lineRule="exact"/>
        <w:rPr>
          <w:rFonts w:ascii="Arial" w:cs="Arial" w:eastAsia="Arial" w:hAnsi="Arial"/>
          <w:sz w:val="18"/>
          <w:szCs w:val="18"/>
          <w:color w:val="auto"/>
        </w:rPr>
      </w:pPr>
    </w:p>
    <w:p>
      <w:pPr>
        <w:ind w:left="1180" w:hanging="299"/>
        <w:spacing w:after="0"/>
        <w:tabs>
          <w:tab w:leader="none" w:pos="11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after the Reinvestment Period, to the repayment of the Advances until paid in full; and</w:t>
      </w:r>
    </w:p>
    <w:p>
      <w:pPr>
        <w:spacing w:after="0" w:line="117" w:lineRule="exact"/>
        <w:rPr>
          <w:rFonts w:ascii="Arial" w:cs="Arial" w:eastAsia="Arial" w:hAnsi="Arial"/>
          <w:sz w:val="18"/>
          <w:szCs w:val="18"/>
          <w:color w:val="auto"/>
        </w:rPr>
      </w:pPr>
    </w:p>
    <w:p>
      <w:pPr>
        <w:ind w:left="460" w:right="40" w:firstLine="421"/>
        <w:spacing w:after="0" w:line="277" w:lineRule="auto"/>
        <w:tabs>
          <w:tab w:leader="none" w:pos="117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after the Reinvestment Period, and after the repayment of the Advances in full, the remainder to the Borrower, free and clear of the lien of this Agreement.</w:t>
      </w:r>
    </w:p>
    <w:p>
      <w:pPr>
        <w:spacing w:after="0" w:line="62" w:lineRule="exact"/>
        <w:rPr>
          <w:sz w:val="20"/>
          <w:szCs w:val="20"/>
          <w:color w:val="auto"/>
        </w:rPr>
      </w:pPr>
    </w:p>
    <w:p>
      <w:pPr>
        <w:ind w:right="140" w:firstLine="881"/>
        <w:spacing w:after="0" w:line="264" w:lineRule="auto"/>
        <w:tabs>
          <w:tab w:leader="none" w:pos="114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On each Payment Date, Principal Proceeds on deposit in the Principal Collection Subaccount that are received by the Collateral Agent on or before the related Determination Date (or if such Determination Date is not a Business Day, the next succeeding Business Day) and that are transferred to the Payment Account and not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60"/>
          </w:cols>
          <w:pgMar w:left="700" w:top="274" w:right="239" w:bottom="1440" w:gutter="0" w:footer="0" w:header="0"/>
        </w:sectPr>
      </w:pPr>
    </w:p>
    <w:bookmarkStart w:id="241" w:name="page242"/>
    <w:bookmarkEnd w:id="241"/>
    <w:p>
      <w:pPr>
        <w:ind w:left="460" w:right="8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designated for reinvestment by the Investment Manager shall be applied, except for any Principal Proceeds that will be used to settle binding commitments (entered into prior to the Determination Date) for the purchase of Collateral Obligations, in the following order of priority:</w:t>
      </w:r>
    </w:p>
    <w:p>
      <w:pPr>
        <w:spacing w:after="0" w:line="16" w:lineRule="exact"/>
        <w:rPr>
          <w:sz w:val="20"/>
          <w:szCs w:val="20"/>
          <w:color w:val="auto"/>
        </w:rPr>
      </w:pPr>
    </w:p>
    <w:p>
      <w:pPr>
        <w:ind w:left="920" w:right="100" w:firstLine="421"/>
        <w:spacing w:after="0" w:line="277" w:lineRule="auto"/>
        <w:tabs>
          <w:tab w:leader="none" w:pos="163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to the payment of unpaid amounts under clauses (A) through (F) in clause (i) above (in the same order of priority specified therein), to the extent not paid in full thereunder;</w:t>
      </w:r>
    </w:p>
    <w:p>
      <w:pPr>
        <w:spacing w:after="0" w:line="62" w:lineRule="exact"/>
        <w:rPr>
          <w:rFonts w:ascii="Arial" w:cs="Arial" w:eastAsia="Arial" w:hAnsi="Arial"/>
          <w:sz w:val="18"/>
          <w:szCs w:val="18"/>
          <w:color w:val="auto"/>
        </w:rPr>
      </w:pPr>
    </w:p>
    <w:p>
      <w:pPr>
        <w:ind w:left="920" w:right="180" w:firstLine="421"/>
        <w:spacing w:after="0" w:line="291" w:lineRule="auto"/>
        <w:tabs>
          <w:tab w:leader="none" w:pos="1625" w:val="left"/>
        </w:tabs>
        <w:numPr>
          <w:ilvl w:val="1"/>
          <w:numId w:val="246"/>
        </w:numPr>
        <w:rPr>
          <w:rFonts w:ascii="Arial" w:cs="Arial" w:eastAsia="Arial" w:hAnsi="Arial"/>
          <w:sz w:val="16"/>
          <w:szCs w:val="16"/>
          <w:color w:val="auto"/>
        </w:rPr>
      </w:pPr>
      <w:r>
        <w:rPr>
          <w:rFonts w:ascii="Arial" w:cs="Arial" w:eastAsia="Arial" w:hAnsi="Arial"/>
          <w:sz w:val="16"/>
          <w:szCs w:val="16"/>
          <w:color w:val="auto"/>
        </w:rPr>
        <w:t>during the Reinvestment Period, at the discretion of the Investment Manager, (1) to the Principal Collection Subaccount for the purchase of additional Collateral Obligations (including funding Revolving Collateral Loans and Delayed Drawdown Collateral Loans), and/or</w:t>
      </w:r>
    </w:p>
    <w:p>
      <w:pPr>
        <w:ind w:left="920" w:right="660" w:firstLine="1"/>
        <w:spacing w:after="0" w:line="261" w:lineRule="auto"/>
        <w:tabs>
          <w:tab w:leader="none" w:pos="117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to prepay the Advances, and/or (3) for deposit into the Revolving Reserve Account up to an amount that would result in the Portfolio Exposure Amount equaling zero;</w:t>
      </w:r>
    </w:p>
    <w:p>
      <w:pPr>
        <w:spacing w:after="0" w:line="75" w:lineRule="exact"/>
        <w:rPr>
          <w:rFonts w:ascii="Arial" w:cs="Arial" w:eastAsia="Arial" w:hAnsi="Arial"/>
          <w:sz w:val="18"/>
          <w:szCs w:val="18"/>
          <w:color w:val="auto"/>
        </w:rPr>
      </w:pPr>
    </w:p>
    <w:p>
      <w:pPr>
        <w:ind w:left="1620" w:hanging="279"/>
        <w:spacing w:after="0"/>
        <w:tabs>
          <w:tab w:leader="none" w:pos="162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after the Reinvestment Period, to the repayment of the Advances until paid in full;</w:t>
      </w:r>
    </w:p>
    <w:p>
      <w:pPr>
        <w:spacing w:after="0" w:line="117" w:lineRule="exact"/>
        <w:rPr>
          <w:rFonts w:ascii="Arial" w:cs="Arial" w:eastAsia="Arial" w:hAnsi="Arial"/>
          <w:sz w:val="18"/>
          <w:szCs w:val="18"/>
          <w:color w:val="auto"/>
        </w:rPr>
      </w:pPr>
    </w:p>
    <w:p>
      <w:pPr>
        <w:ind w:left="920" w:right="100" w:firstLine="421"/>
        <w:spacing w:after="0" w:line="277" w:lineRule="auto"/>
        <w:tabs>
          <w:tab w:leader="none" w:pos="1635"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to the payment of amounts referred to in clauses (G), (H) and (I) of clause (i) above (in the same order of priority specified therein), to the extent not paid in full thereunder; and</w:t>
      </w:r>
    </w:p>
    <w:p>
      <w:pPr>
        <w:spacing w:after="0" w:line="62" w:lineRule="exact"/>
        <w:rPr>
          <w:rFonts w:ascii="Arial" w:cs="Arial" w:eastAsia="Arial" w:hAnsi="Arial"/>
          <w:sz w:val="18"/>
          <w:szCs w:val="18"/>
          <w:color w:val="auto"/>
        </w:rPr>
      </w:pPr>
    </w:p>
    <w:p>
      <w:pPr>
        <w:ind w:left="920" w:right="40" w:firstLine="421"/>
        <w:spacing w:after="0" w:line="277" w:lineRule="auto"/>
        <w:tabs>
          <w:tab w:leader="none" w:pos="1615"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after the Reinvestment Period, and after the repayment of the Advances in full, the remainder to the Borrower, free and clear of the lien of this Agreement.</w:t>
      </w:r>
    </w:p>
    <w:p>
      <w:pPr>
        <w:spacing w:after="0" w:line="62" w:lineRule="exact"/>
        <w:rPr>
          <w:sz w:val="20"/>
          <w:szCs w:val="20"/>
          <w:color w:val="auto"/>
        </w:rPr>
      </w:pPr>
    </w:p>
    <w:p>
      <w:pPr>
        <w:ind w:firstLine="921"/>
        <w:spacing w:after="0" w:line="291" w:lineRule="auto"/>
        <w:tabs>
          <w:tab w:leader="none" w:pos="116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If on any Payment Date the amount available in the Payment Account is insufficient to make the full amount of the disbursements required by the Payment Date Report, the Collateral Agent shall make the disbursements called for in the order and according to the priority set forth under</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to the extent funds are available therefor.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SALE OF COLLATERAL OBLIGATIONS;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PURCHASE OF ADDITIONAL COLLATERAL OBLIGATIONS</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Sales of Collateral Obligations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55" w:lineRule="auto"/>
        <w:tabs>
          <w:tab w:leader="none" w:pos="1157"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Investment Manager-Directed Sales</w:t>
      </w:r>
      <w:r>
        <w:rPr>
          <w:rFonts w:ascii="Arial" w:cs="Arial" w:eastAsia="Arial" w:hAnsi="Arial"/>
          <w:sz w:val="18"/>
          <w:szCs w:val="18"/>
          <w:color w:val="auto"/>
        </w:rPr>
        <w:t xml:space="preserve">. Subject to the satisfaction of the conditions specified in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 Default or Event of Default has occurred and is continuing or would result upon giving effect thereto (unless, in the case of such a Default, such Default will be cured upon giving effect to such sale and the application of the proceeds thereof), (y) upon giving effect thereto and the application of the proceeds thereof, each Coverage Test is satisfied and each Collateral Quality Test is satisfied, or, if any Collateral Quality Test is not satisfied, such Collateral Quality Test shall be maintained or improved, and (z) such sale is made for a purchase price at least equal to the Loan Amount of such Collateral Obligations (after adjustment for any borrowings or repayments and exclusive of accrued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74" w:right="259" w:bottom="1440" w:gutter="0" w:footer="0" w:header="0"/>
        </w:sectPr>
      </w:pPr>
    </w:p>
    <w:bookmarkStart w:id="242" w:name="page243"/>
    <w:bookmarkEnd w:id="24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the Investment Manager may, but will not be required to, direct the Collateral Agent to sell and the Collateral Agent shall sell in the manner directed by the Investment Manager any Collateral Obligation (or any portion thereof) if such sale meets the requirements set forth below provided that, the restrictions in clauses (y) and (z) above in this </w:t>
      </w:r>
      <w:r>
        <w:rPr>
          <w:rFonts w:ascii="Arial" w:cs="Arial" w:eastAsia="Arial" w:hAnsi="Arial"/>
          <w:sz w:val="18"/>
          <w:szCs w:val="18"/>
          <w:u w:val="single" w:color="auto"/>
          <w:color w:val="auto"/>
        </w:rPr>
        <w:t>Section 10.01(a)</w:t>
      </w:r>
      <w:r>
        <w:rPr>
          <w:rFonts w:ascii="Arial" w:cs="Arial" w:eastAsia="Arial" w:hAnsi="Arial"/>
          <w:sz w:val="18"/>
          <w:szCs w:val="18"/>
          <w:color w:val="auto"/>
        </w:rPr>
        <w:t xml:space="preserve"> shall not apply to sales of Credit Risk Loan/Bonds or Defaulted Loan/Bonds to such non-Affiliates:</w:t>
      </w:r>
    </w:p>
    <w:p>
      <w:pPr>
        <w:spacing w:after="0" w:line="79" w:lineRule="exact"/>
        <w:rPr>
          <w:sz w:val="20"/>
          <w:szCs w:val="20"/>
          <w:color w:val="auto"/>
        </w:rPr>
      </w:pPr>
    </w:p>
    <w:p>
      <w:pPr>
        <w:ind w:left="460" w:right="180" w:firstLine="881"/>
        <w:spacing w:after="0" w:line="264" w:lineRule="auto"/>
        <w:tabs>
          <w:tab w:leader="none" w:pos="1551"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Sales of Collateral Obligations to Non-Affiliates</w:t>
      </w:r>
      <w:r>
        <w:rPr>
          <w:rFonts w:ascii="Arial" w:cs="Arial" w:eastAsia="Arial" w:hAnsi="Arial"/>
          <w:sz w:val="18"/>
          <w:szCs w:val="18"/>
          <w:color w:val="auto"/>
        </w:rPr>
        <w:t>. One or more (or any portion of any) Collateral Obligations may be sold from time to time by the Borrower, or the Investment Manager, to Persons who are not Affiliates of the Borrower or the Investment Manager, on an arm’s length basis;</w:t>
      </w:r>
    </w:p>
    <w:p>
      <w:pPr>
        <w:spacing w:after="0" w:line="73" w:lineRule="exact"/>
        <w:rPr>
          <w:rFonts w:ascii="Arial" w:cs="Arial" w:eastAsia="Arial" w:hAnsi="Arial"/>
          <w:sz w:val="18"/>
          <w:szCs w:val="18"/>
          <w:color w:val="auto"/>
        </w:rPr>
      </w:pPr>
    </w:p>
    <w:p>
      <w:pPr>
        <w:ind w:left="460" w:right="80" w:firstLine="881"/>
        <w:spacing w:after="0" w:line="290" w:lineRule="auto"/>
        <w:tabs>
          <w:tab w:leader="none" w:pos="1601"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Sales of Collateral Obligations to Affiliates</w:t>
      </w:r>
      <w:r>
        <w:rPr>
          <w:rFonts w:ascii="Arial" w:cs="Arial" w:eastAsia="Arial" w:hAnsi="Arial"/>
          <w:sz w:val="16"/>
          <w:szCs w:val="16"/>
          <w:color w:val="auto"/>
        </w:rPr>
        <w:t>. One or more (or any portion of any) Collateral Obligations may be sold from time to time by the Borrower, or the Investment Manager, to the Investment Manager or any of its Affiliates only if (A) the terms and conditions thereof are no less favorable to the Borrower than the terms it would obtain in a comparable, timely sale with a non-Affiliate, (B) the transactions are effected in accordance with all Applicable Laws, (C) the Collateral Obligation is a Defaulted Loan/Bond or Credit Risk Loan/Bond, such sale shall be for an amount equal to the Appraised Value with respect to such Collateral Obligation, (D) the Collateral Obligation is not a Defaulted Loan/Bond or Credit Risk Loan/Bond, the prior written consent of the Facility Agent is obtained if such sale is for an amount less than the original purchase price paid by the Borrower (after adjustment for any borrowings or repayments and exclusive of interest) with respect to such Collateral Obligation and (E) the prior written consent of the Facility Agent is obtained if the Collateral Obligation is a Defaulted Loan/Bond or Credit Risk Loan/Bond.</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Notwithstanding the foregoing terms of this </w:t>
      </w:r>
      <w:r>
        <w:rPr>
          <w:rFonts w:ascii="Arial" w:cs="Arial" w:eastAsia="Arial" w:hAnsi="Arial"/>
          <w:sz w:val="17"/>
          <w:szCs w:val="17"/>
          <w:u w:val="single" w:color="auto"/>
          <w:color w:val="auto"/>
        </w:rPr>
        <w:t>Section 10.01(a)</w:t>
      </w:r>
      <w:r>
        <w:rPr>
          <w:rFonts w:ascii="Arial" w:cs="Arial" w:eastAsia="Arial" w:hAnsi="Arial"/>
          <w:sz w:val="17"/>
          <w:szCs w:val="17"/>
          <w:color w:val="auto"/>
        </w:rPr>
        <w:t>, in connection with the sale of any Credit Risk Loan/Bond, a Rating Confirmation must be obtained as a condition to the Borrower consummating such sale if (x) the cumulative amount of losses in respect of one or more sales of any Credit Risk Loan/Bond(s) that is sold for a purchase price that is less than 80.0% of its Loan Amount (after adjustment for any borrowings or repayments and exclusive of accrued interest) exceeds $35,000,000 and (y) the ratio as calculated pursuant to the Overcollateralization Ratio Test at such time (after giving effect to such sale on a pro forma basis) is less than the Row Minimum OC Level that is in use at such time.</w:t>
      </w:r>
    </w:p>
    <w:p>
      <w:pPr>
        <w:spacing w:after="0" w:line="173"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So long as no Default or Event of Default is continuing or would result upon giving effect thereto and the application of the proceeds thereof, the Borrower may sell any Equity Security or any asset held by any Blocker Subsidiary at any time without restriction, and shall effect the sale of any Equity Security, regardless of price, within 30 days of receipt if such Equity Security constitutes Margin Stock, unless such sale is prohibited by Applicable Law, in which case the Borrower shall notify the Facility Agent and such Equity Security shall be sold as soon as such sale is permitted by Applicable Law.</w:t>
      </w:r>
    </w:p>
    <w:p>
      <w:pPr>
        <w:spacing w:after="0" w:line="154" w:lineRule="exact"/>
        <w:rPr>
          <w:sz w:val="20"/>
          <w:szCs w:val="20"/>
          <w:color w:val="auto"/>
        </w:rPr>
      </w:pPr>
    </w:p>
    <w:p>
      <w:pPr>
        <w:ind w:right="40" w:firstLine="921"/>
        <w:spacing w:after="0" w:line="264" w:lineRule="auto"/>
        <w:tabs>
          <w:tab w:leader="none" w:pos="1168"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Terms of Sales</w:t>
      </w:r>
      <w:r>
        <w:rPr>
          <w:rFonts w:ascii="Arial" w:cs="Arial" w:eastAsia="Arial" w:hAnsi="Arial"/>
          <w:sz w:val="18"/>
          <w:szCs w:val="18"/>
          <w:color w:val="auto"/>
        </w:rPr>
        <w:t xml:space="preserve">. All sales of Collateral Obligations and other property of the Borrower under the provisions above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must be exclusively for Cash. So long as no Default or Event of Default is continuing or would result upon giving effect thereto and the application of the proceeds thereof, a sale of a Collateral Obligation that is otherwise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4" w:right="239" w:bottom="1440" w:gutter="0" w:footer="0" w:header="0"/>
        </w:sectPr>
      </w:pPr>
    </w:p>
    <w:bookmarkStart w:id="243" w:name="page244"/>
    <w:bookmarkEnd w:id="243"/>
    <w:p>
      <w:pPr>
        <w:ind w:right="5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permitted by the terms above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may be effected by the sale by the Borrower of participation interests in such Collateral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participations may be sold by the Borrower in any Revolving Collateral Loan or Delayed Drawdown Collateral Loan.</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Purchase of Additional Collateral Obligations</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 xml:space="preserve">On any date during the Reinvestment Period, if no Default or Event of Default has occurred and is continuing or would result therefrom, the Borrower, or the Investment Manager, may, if each of the conditions specified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is met, direct the Collateral Agent to invest Principal Proceeds (and accrued interest received with respect to any Collateral Obligation to the extent used to pay for accrued interest on additional Collateral Obligations) in additional Collateral Obligations, and the Collateral Agent shall invest such proceeds in accordance with such instructions. The Borrower shall ensure that all such investments in Collateral Obligations are settled during the Reinvestment Period such that no amounts are payable thereunder in respect of the purchase price thereof after the end of the Reinvestment Period.</w:t>
      </w:r>
    </w:p>
    <w:p>
      <w:pPr>
        <w:spacing w:after="0" w:line="178" w:lineRule="exact"/>
        <w:rPr>
          <w:sz w:val="20"/>
          <w:szCs w:val="20"/>
          <w:color w:val="auto"/>
        </w:rPr>
      </w:pPr>
    </w:p>
    <w:p>
      <w:pPr>
        <w:ind w:right="120" w:firstLine="921"/>
        <w:spacing w:after="0" w:line="264" w:lineRule="auto"/>
        <w:tabs>
          <w:tab w:leader="none" w:pos="1157"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Investment Criteria</w:t>
      </w:r>
      <w:r>
        <w:rPr>
          <w:rFonts w:ascii="Arial" w:cs="Arial" w:eastAsia="Arial" w:hAnsi="Arial"/>
          <w:sz w:val="18"/>
          <w:szCs w:val="18"/>
          <w:color w:val="auto"/>
        </w:rPr>
        <w:t>. No Collateral Obligation may be purchased unless such loan, debt obligation, or Participation Interest satisfies the Eligibility Criteria as of the date the Borrower, or the Investment Manager, commits to make such purchase, in each case after giving effect to such purchase and all other sales or purchases previously or simultaneously committed to.</w:t>
      </w:r>
    </w:p>
    <w:p>
      <w:pPr>
        <w:spacing w:after="0" w:line="181" w:lineRule="exact"/>
        <w:rPr>
          <w:rFonts w:ascii="Arial" w:cs="Arial" w:eastAsia="Arial" w:hAnsi="Arial"/>
          <w:sz w:val="18"/>
          <w:szCs w:val="18"/>
          <w:color w:val="auto"/>
        </w:rPr>
      </w:pPr>
    </w:p>
    <w:p>
      <w:pPr>
        <w:ind w:right="320" w:firstLine="921"/>
        <w:spacing w:after="0" w:line="264" w:lineRule="auto"/>
        <w:tabs>
          <w:tab w:leader="none" w:pos="1168"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Investment in Eligible Investments</w:t>
      </w:r>
      <w:r>
        <w:rPr>
          <w:rFonts w:ascii="Arial" w:cs="Arial" w:eastAsia="Arial" w:hAnsi="Arial"/>
          <w:sz w:val="18"/>
          <w:szCs w:val="18"/>
          <w:color w:val="auto"/>
        </w:rPr>
        <w:t xml:space="preserve">. Cash on deposit in any Covered Account may be invested at any time in Eligible Investments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the extent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does not provide for cash on deposit in a Covered Account to be invested in Eligible Investments, such cash will remain uninvested.</w:t>
      </w:r>
    </w:p>
    <w:p>
      <w:pPr>
        <w:spacing w:after="0" w:line="181" w:lineRule="exact"/>
        <w:rPr>
          <w:rFonts w:ascii="Arial" w:cs="Arial" w:eastAsia="Arial" w:hAnsi="Arial"/>
          <w:sz w:val="18"/>
          <w:szCs w:val="18"/>
          <w:color w:val="auto"/>
        </w:rPr>
      </w:pPr>
    </w:p>
    <w:p>
      <w:pPr>
        <w:ind w:right="40" w:firstLine="921"/>
        <w:spacing w:after="0" w:line="291" w:lineRule="auto"/>
        <w:tabs>
          <w:tab w:leader="none" w:pos="1157"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Purchase of Additional Collateral Obligations from Affiliates</w:t>
      </w:r>
      <w:r>
        <w:rPr>
          <w:rFonts w:ascii="Arial" w:cs="Arial" w:eastAsia="Arial" w:hAnsi="Arial"/>
          <w:sz w:val="16"/>
          <w:szCs w:val="16"/>
          <w:color w:val="auto"/>
        </w:rPr>
        <w:t>. Additional Collateral Obligations may be purchased from time to time by the Borrower from the Investment Manager or any of its Affiliates only if (v) such purchase or acquisition is effected pursuant to the Master Transfer Agreement,</w:t>
      </w:r>
    </w:p>
    <w:p>
      <w:pPr>
        <w:ind w:left="300" w:hanging="292"/>
        <w:spacing w:after="0"/>
        <w:tabs>
          <w:tab w:leader="none" w:pos="3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terms and conditions thereof are no less favorable to the Borrower than the terms it would obtain in a comparable, timely sale with a non-Affiliate,</w:t>
      </w:r>
    </w:p>
    <w:p>
      <w:pPr>
        <w:spacing w:after="0" w:line="32" w:lineRule="exact"/>
        <w:rPr>
          <w:rFonts w:ascii="Arial" w:cs="Arial" w:eastAsia="Arial" w:hAnsi="Arial"/>
          <w:sz w:val="16"/>
          <w:szCs w:val="16"/>
          <w:color w:val="auto"/>
        </w:rPr>
      </w:pPr>
    </w:p>
    <w:p>
      <w:pPr>
        <w:jc w:val="both"/>
        <w:ind w:right="120" w:firstLine="8"/>
        <w:spacing w:after="0" w:line="277" w:lineRule="auto"/>
        <w:tabs>
          <w:tab w:leader="none" w:pos="25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transactions are effected in accordance with all Applicable Laws, (y) the prior written consent of the Facility Agent is obtained if such purchase is for an amount greater than the original purchase price paid by the Investment Manager or such Affiliate (after adjustment for any borrowings or repayments and exclusive of interest) with respect to such Collateral Obligation and (z) written notice thereof is provided to DBRS.</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Conditions Applicable to All Sale and Purchase Transactions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Upon any acquisition of a Collateral Obligation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a security interest in all of the Borrower’s right, title and interest to the Collateral shall be granted to the Collateral Agent pursuant to this Agreement, such Collateral shall be Delivered to the Collateral Agent, and, if applicable, the Borrower shall receive the Collateral for which the Collateral was substituted, free and clear of the lien of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244" w:name="page245"/>
    <w:bookmarkEnd w:id="244"/>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10.04 </w:t>
      </w:r>
      <w:r>
        <w:rPr>
          <w:rFonts w:ascii="Arial" w:cs="Arial" w:eastAsia="Arial" w:hAnsi="Arial"/>
          <w:sz w:val="18"/>
          <w:szCs w:val="18"/>
          <w:u w:val="single" w:color="auto"/>
          <w:color w:val="auto"/>
        </w:rPr>
        <w:t>Additional Equity Contributions</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86"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the Investment Manager or an Affiliate thereof may, but shall have no obligation to, at any time or from time to time contribute additional equity to the Borrower, including without limitation for the purpose of curing any Default (but, for the avoidance of doubt, not any Event of Default), satisfying any Coverage Test or Collateral Quality Test, enabling the acquisition or sale of any Collateral Obligation or satisfying any conditions under </w:t>
      </w:r>
      <w:r>
        <w:rPr>
          <w:rFonts w:ascii="Arial" w:cs="Arial" w:eastAsia="Arial" w:hAnsi="Arial"/>
          <w:sz w:val="16"/>
          <w:szCs w:val="16"/>
          <w:u w:val="single" w:color="auto"/>
          <w:color w:val="auto"/>
        </w:rPr>
        <w:t>Section 3.02</w:t>
      </w:r>
      <w:r>
        <w:rPr>
          <w:rFonts w:ascii="Arial" w:cs="Arial" w:eastAsia="Arial" w:hAnsi="Arial"/>
          <w:sz w:val="16"/>
          <w:szCs w:val="16"/>
          <w:color w:val="auto"/>
        </w:rPr>
        <w:t>. Each equity contribution shall either be made (i) in Cash or (ii) by assignment and contribution of an Eligible Investment or</w:t>
      </w:r>
    </w:p>
    <w:p>
      <w:pPr>
        <w:spacing w:after="0" w:line="2" w:lineRule="exact"/>
        <w:rPr>
          <w:sz w:val="20"/>
          <w:szCs w:val="20"/>
          <w:color w:val="auto"/>
        </w:rPr>
      </w:pPr>
    </w:p>
    <w:p>
      <w:pPr>
        <w:ind w:firstLine="8"/>
        <w:spacing w:after="0" w:line="255" w:lineRule="auto"/>
        <w:tabs>
          <w:tab w:leader="none" w:pos="31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by assignment and contribution of a Collateral Obligation (in compliance with the Eligibility Criteria). Unless otherwise directed by the Borrower by prior written notice to the Agents, all Cash contributed to the Borrower shall be treated as Principal Proceeds except to the extent that such Cash is used to pay expenses incurred in connection with the occurrence of the Closing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AGENTS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Each Lender hereby irrevocably appoints and authorizes the Facility Agent and the Collateral 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4" w:right="239" w:bottom="1440" w:gutter="0" w:footer="0" w:header="0"/>
        </w:sectPr>
      </w:pPr>
    </w:p>
    <w:bookmarkStart w:id="245" w:name="page246"/>
    <w:bookmarkEnd w:id="245"/>
    <w:p>
      <w:pPr>
        <w:jc w:val="both"/>
        <w:ind w:right="1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Agent may execute any of its duties under this Agreement and each other Facility Document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8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Agents’ Reliance, Etc</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7" w:lineRule="auto"/>
        <w:tabs>
          <w:tab w:leader="none" w:pos="1158" w:val="left"/>
        </w:tabs>
        <w:numPr>
          <w:ilvl w:val="0"/>
          <w:numId w:val="255"/>
        </w:numPr>
        <w:rPr>
          <w:rFonts w:ascii="Arial" w:cs="Arial" w:eastAsia="Arial" w:hAnsi="Arial"/>
          <w:sz w:val="17"/>
          <w:szCs w:val="17"/>
          <w:color w:val="auto"/>
        </w:rPr>
      </w:pPr>
      <w:r>
        <w:rPr>
          <w:rFonts w:ascii="Arial" w:cs="Arial" w:eastAsia="Arial" w:hAnsi="Arial"/>
          <w:sz w:val="17"/>
          <w:szCs w:val="17"/>
          <w:color w:val="auto"/>
        </w:rPr>
        <w:t>Neither Agent nor any of its respective directors, officers, agents or employees shall be liable for any 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Investment Manager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ascertain or to inquire as to the performance or observance of any of the terms, covenants or conditions of this Agreement, the other Facility Documents or any Related Documents on the part of the Borrower or the Investment Manager or any other Person or to inspect the property (including the books and records) of the Borrower or the Investment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and (v) shall incur no liability under or in respect of this Agreement or any other Facility Document by relying on, acting upon (or by refraining from action in reliance on) any notice, consent,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or any Lender’s, as the case may be, performance of, or failure to perform, any of their respective obligations and duties under this Agreement or any other Facility Document.</w:t>
      </w:r>
    </w:p>
    <w:p>
      <w:pPr>
        <w:spacing w:after="0" w:line="192" w:lineRule="exact"/>
        <w:rPr>
          <w:rFonts w:ascii="Arial" w:cs="Arial" w:eastAsia="Arial" w:hAnsi="Arial"/>
          <w:sz w:val="17"/>
          <w:szCs w:val="17"/>
          <w:color w:val="auto"/>
        </w:rPr>
      </w:pPr>
    </w:p>
    <w:p>
      <w:pPr>
        <w:ind w:right="20" w:firstLine="921"/>
        <w:spacing w:after="0" w:line="254" w:lineRule="auto"/>
        <w:tabs>
          <w:tab w:leader="none" w:pos="116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 Agent shall be liable for the actions of omissions of any other Agent (including without limitation concerning the application of funds), or under any duty to monitor or investigate compliance on the part of any other Agent with the terms or requirements of this Agreement, any Facility Document or any Related Document,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any Lender to provide,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274" w:right="259" w:bottom="1440" w:gutter="0" w:footer="0" w:header="0"/>
        </w:sectPr>
      </w:pPr>
    </w:p>
    <w:bookmarkStart w:id="246" w:name="page247"/>
    <w:bookmarkEnd w:id="246"/>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written instruction to exercise such discretion or grant such consent from any such Lender, as applicable). No Agent shall be liable for any error of judgment made in good faith unless it shall be proven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Agents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responsible for the administration of this Agreement, or unless and to the extent written notice of such matter is received by such agent had its address in accordance with </w:t>
      </w:r>
      <w:r>
        <w:rPr>
          <w:rFonts w:ascii="Arial" w:cs="Arial" w:eastAsia="Arial" w:hAnsi="Arial"/>
          <w:sz w:val="17"/>
          <w:szCs w:val="17"/>
          <w:u w:val="single" w:color="auto"/>
          <w:color w:val="auto"/>
        </w:rPr>
        <w:t>Section 12.02</w:t>
      </w:r>
      <w:r>
        <w:rPr>
          <w:rFonts w:ascii="Arial" w:cs="Arial" w:eastAsia="Arial" w:hAnsi="Arial"/>
          <w:sz w:val="17"/>
          <w:szCs w:val="17"/>
          <w:color w:val="auto"/>
        </w:rPr>
        <w:t>. Any permissive grant of power to an Agent hereunder shall not be construed to be a duty to act. Before acting hereunder, an Agent shall be entitled to request, receive and rely upon such certificates and opinions as it may reasonably determine appropriate with respect to the satisfaction of any specified circumstances or conditions precedent to such action.</w:t>
      </w:r>
    </w:p>
    <w:p>
      <w:pPr>
        <w:spacing w:after="0" w:line="178" w:lineRule="exact"/>
        <w:rPr>
          <w:sz w:val="20"/>
          <w:szCs w:val="20"/>
          <w:color w:val="auto"/>
        </w:rPr>
      </w:pPr>
    </w:p>
    <w:p>
      <w:pPr>
        <w:ind w:firstLine="921"/>
        <w:spacing w:after="0" w:line="264" w:lineRule="auto"/>
        <w:tabs>
          <w:tab w:leader="none" w:pos="115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Agent shall be responsible or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w:t>
      </w:r>
    </w:p>
    <w:p>
      <w:pPr>
        <w:spacing w:after="0" w:line="18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Subject to the terms of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with respect to any CP Conduit, each of the Lenders agrees to indemnify and hold the Agents harmless (to the extent not reimbursed by or on behalf of the Borrower pursuant to </w:t>
      </w:r>
      <w:r>
        <w:rPr>
          <w:rFonts w:ascii="Arial" w:cs="Arial" w:eastAsia="Arial" w:hAnsi="Arial"/>
          <w:sz w:val="18"/>
          <w:szCs w:val="18"/>
          <w:u w:val="single" w:color="auto"/>
          <w:color w:val="auto"/>
        </w:rPr>
        <w:t>Section 12.04</w:t>
      </w:r>
      <w:r>
        <w:rPr>
          <w:rFonts w:ascii="Arial" w:cs="Arial" w:eastAsia="Arial" w:hAnsi="Arial"/>
          <w:sz w:val="18"/>
          <w:szCs w:val="18"/>
          <w:color w:val="auto"/>
        </w:rPr>
        <w:t xml:space="preserve">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5" w:lineRule="exact"/>
        <w:rPr>
          <w:sz w:val="20"/>
          <w:szCs w:val="20"/>
          <w:color w:val="auto"/>
        </w:rPr>
      </w:pPr>
    </w:p>
    <w:p>
      <w:pPr>
        <w:ind w:left="460" w:right="340" w:firstLine="881"/>
        <w:spacing w:after="0" w:line="277" w:lineRule="auto"/>
        <w:tabs>
          <w:tab w:leader="none" w:pos="155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Lender shall be liable to any Agent for any portion of such liabilities, obligations, losses, damages, penalties, actions, judgments, suits, costs, expenses or disbursements resulting from such Agent’s gross negligence, willful misconduct; and</w:t>
      </w:r>
    </w:p>
    <w:p>
      <w:pPr>
        <w:spacing w:after="0" w:line="62" w:lineRule="exact"/>
        <w:rPr>
          <w:rFonts w:ascii="Arial" w:cs="Arial" w:eastAsia="Arial" w:hAnsi="Arial"/>
          <w:sz w:val="18"/>
          <w:szCs w:val="18"/>
          <w:color w:val="auto"/>
        </w:rPr>
      </w:pPr>
    </w:p>
    <w:p>
      <w:pPr>
        <w:ind w:left="460" w:right="80" w:firstLine="881"/>
        <w:spacing w:after="0" w:line="257" w:lineRule="auto"/>
        <w:tabs>
          <w:tab w:leader="none" w:pos="160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Lender or Lenders shall be liable to the Collateral Agent for any portion of such liabilities, obligations, losses, damages, penalties, actions, judgments, suits, costs, expenses or disbursements (for purposes hereof, “</w:t>
      </w:r>
      <w:r>
        <w:rPr>
          <w:rFonts w:ascii="Arial" w:cs="Arial" w:eastAsia="Arial" w:hAnsi="Arial"/>
          <w:sz w:val="18"/>
          <w:szCs w:val="18"/>
          <w:u w:val="single" w:color="auto"/>
          <w:color w:val="auto"/>
        </w:rPr>
        <w:t>Liabilities</w:t>
      </w:r>
      <w:r>
        <w:rPr>
          <w:rFonts w:ascii="Arial" w:cs="Arial" w:eastAsia="Arial" w:hAnsi="Arial"/>
          <w:sz w:val="18"/>
          <w:szCs w:val="18"/>
          <w:color w:val="auto"/>
        </w:rPr>
        <w:t>”) unless such Liabilities are imposed on, incurred by, or asserted against the Collateral Agent as a result of any action taken, or not taken, by the Collateral Agent at the direction of such Lender or Lenders, as the case may be, in accordance with the terms and conditions set forth in this Agreement (it being understood that the Collateral Agent shall be under no obligation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274" w:right="259" w:bottom="1440" w:gutter="0" w:footer="0" w:header="0"/>
        </w:sectPr>
      </w:pPr>
    </w:p>
    <w:bookmarkStart w:id="247" w:name="page248"/>
    <w:bookmarkEnd w:id="247"/>
    <w:p>
      <w:pPr>
        <w:ind w:left="460"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or otherwise).</w:t>
      </w:r>
    </w:p>
    <w:p>
      <w:pPr>
        <w:spacing w:after="0" w:line="173"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The rights of the Agents and obligations of the Lenders under or pursuant to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survive the termination of this Agreement, and the earlier removal or resignation of any Agent hereunder.</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Successor Agents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5" w:lineRule="auto"/>
        <w:tabs>
          <w:tab w:leader="none" w:pos="115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Subject to the terms of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each Agent may, upon thirty days’ notice to the Lenders and the Borrower, resign as Facility Agent or Collateral Agent, as applicable. If the Collateral Agent shall be in material breach of its obligations hereunder, the Required Lenders may, following a period of fifteen days during which the Collateral Agent may cure such breach, remove the Collateral Agent upon notice to the Borrower, the Investment Manager, the Lenders and the Agents. If the Collateral Agent shall resign or be removed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then the Facility Agent (at the direction of the Required Lenders), during such thirty- or ten-day period (as applicable), shall appoint a successor agent. If the Facility Agent shall resign or be removed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then the Required Lenders, during such thirty- or ten-day period (as applicable), shall appoint a successor agent. If for any reason a successor agent is not so appointed and does not accept such appointment during such thirty- or ten-day period (as applicable) (the last day of such period, the “</w:t>
      </w:r>
      <w:r>
        <w:rPr>
          <w:rFonts w:ascii="Arial" w:cs="Arial" w:eastAsia="Arial" w:hAnsi="Arial"/>
          <w:sz w:val="16"/>
          <w:szCs w:val="16"/>
          <w:u w:val="single" w:color="auto"/>
          <w:color w:val="auto"/>
        </w:rPr>
        <w:t>Appointment Cut-off Date</w:t>
      </w:r>
      <w:r>
        <w:rPr>
          <w:rFonts w:ascii="Arial" w:cs="Arial" w:eastAsia="Arial" w:hAnsi="Arial"/>
          <w:sz w:val="16"/>
          <w:szCs w:val="16"/>
          <w:color w:val="auto"/>
        </w:rPr>
        <w:t xml:space="preserve">”), such Agent may appoint a successor Agent. The appointment of any successor Agent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shall be subject to the prior written consent of the Borrower (which consent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the Borrower to any such appointment shall not be required if (i) an Event of Default shall have occurred and be continuing, (ii) if such assignee is a Lender or an Affiliate of such Agent or any Lender; or (iii) for any reason no successor has been appointed within 30 days after the relevant Appointment Cut-off Date and the Borrower has theretofore not entered into an agreement in principle with a potential successor that would be qualified to act as such Agent hereunder. Any resignation or removal of an Agent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shall be effective upon the appointment of a successor Agent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and the acceptance of such appointment by such successor. The Investment Manager shall provide DBRS notice of the acceptance of such appointment by such successor. After the effectiveness of any retiring Agent’s resignation hereunder as Agent, the retiring Agent shall be discharged from its duties and obligations hereunder and under the other Facility Documents (but not in its capacity as a Lender, if applicable) and the provisions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shall continue in effect for its benefit with respect to any actions taken or omitted to be taken by it while it was Agent under this Agreement and under the other Facility Documents.</w:t>
      </w:r>
    </w:p>
    <w:p>
      <w:pPr>
        <w:spacing w:after="0" w:line="64" w:lineRule="exact"/>
        <w:rPr>
          <w:rFonts w:ascii="Arial" w:cs="Arial" w:eastAsia="Arial" w:hAnsi="Arial"/>
          <w:sz w:val="16"/>
          <w:szCs w:val="16"/>
          <w:color w:val="auto"/>
        </w:rPr>
      </w:pPr>
    </w:p>
    <w:p>
      <w:pPr>
        <w:ind w:right="140" w:firstLine="921"/>
        <w:spacing w:after="0" w:line="277" w:lineRule="auto"/>
        <w:tabs>
          <w:tab w:leader="none" w:pos="116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Subject to the terms of this </w:t>
      </w:r>
      <w:r>
        <w:rPr>
          <w:rFonts w:ascii="Arial" w:cs="Arial" w:eastAsia="Arial" w:hAnsi="Arial"/>
          <w:sz w:val="18"/>
          <w:szCs w:val="18"/>
          <w:u w:val="single" w:color="auto"/>
          <w:color w:val="auto"/>
        </w:rPr>
        <w:t>Section 11.05(b)</w:t>
      </w:r>
      <w:r>
        <w:rPr>
          <w:rFonts w:ascii="Arial" w:cs="Arial" w:eastAsia="Arial" w:hAnsi="Arial"/>
          <w:sz w:val="18"/>
          <w:szCs w:val="18"/>
          <w:color w:val="auto"/>
        </w:rPr>
        <w:t>, the Investment Manager may, upon thirty days’ notice to the Collateral Agent, the Lenders and the Borrower, remove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274" w:right="259" w:bottom="1440" w:gutter="0" w:footer="0" w:header="0"/>
        </w:sectPr>
      </w:pPr>
    </w:p>
    <w:bookmarkStart w:id="248" w:name="page249"/>
    <w:bookmarkEnd w:id="248"/>
    <w:p>
      <w:pPr>
        <w:ind w:right="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discharge the Collateral Agent from the performance of its obligations under this Agreement and under the other Facility Documents without cause at any time. If the Collateral Agent shall be removed pursuant to this </w:t>
      </w:r>
      <w:r>
        <w:rPr>
          <w:rFonts w:ascii="Arial" w:cs="Arial" w:eastAsia="Arial" w:hAnsi="Arial"/>
          <w:sz w:val="17"/>
          <w:szCs w:val="17"/>
          <w:u w:val="single" w:color="auto"/>
          <w:color w:val="auto"/>
        </w:rPr>
        <w:t>Section 11.05(b)</w:t>
      </w:r>
      <w:r>
        <w:rPr>
          <w:rFonts w:ascii="Arial" w:cs="Arial" w:eastAsia="Arial" w:hAnsi="Arial"/>
          <w:sz w:val="17"/>
          <w:szCs w:val="17"/>
          <w:color w:val="auto"/>
        </w:rPr>
        <w:t xml:space="preserve">, then the Investment Manager during such thirty-day period shall appoint a successor Collateral Agent. The appointment of any successor Collateral Agent pursuant to this </w:t>
      </w:r>
      <w:r>
        <w:rPr>
          <w:rFonts w:ascii="Arial" w:cs="Arial" w:eastAsia="Arial" w:hAnsi="Arial"/>
          <w:sz w:val="17"/>
          <w:szCs w:val="17"/>
          <w:u w:val="single" w:color="auto"/>
          <w:color w:val="auto"/>
        </w:rPr>
        <w:t>Section 11.05(b)</w:t>
      </w:r>
      <w:r>
        <w:rPr>
          <w:rFonts w:ascii="Arial" w:cs="Arial" w:eastAsia="Arial" w:hAnsi="Arial"/>
          <w:sz w:val="17"/>
          <w:szCs w:val="17"/>
          <w:color w:val="auto"/>
        </w:rPr>
        <w:t xml:space="preserve"> shall be subject to the prior written consent of the Facility Agent (which consent shall not be unreasonably withheld or delayed). If the Collateral Agent is removed pursuant to this </w:t>
      </w:r>
      <w:r>
        <w:rPr>
          <w:rFonts w:ascii="Arial" w:cs="Arial" w:eastAsia="Arial" w:hAnsi="Arial"/>
          <w:sz w:val="17"/>
          <w:szCs w:val="17"/>
          <w:u w:val="single" w:color="auto"/>
          <w:color w:val="auto"/>
        </w:rPr>
        <w:t>Section 11.05(b)</w:t>
      </w:r>
      <w:r>
        <w:rPr>
          <w:rFonts w:ascii="Arial" w:cs="Arial" w:eastAsia="Arial" w:hAnsi="Arial"/>
          <w:sz w:val="17"/>
          <w:szCs w:val="17"/>
          <w:color w:val="auto"/>
        </w:rPr>
        <w:t xml:space="preserve">, the Collateral Agent shall be removed in all other capacities in which it serves under this Agreement and under any of the other Facility Documents (including, without limitation, in its capacity as Calculation Agent and Custodian). Any removal of the Collateral Agent pursuant to this </w:t>
      </w:r>
      <w:r>
        <w:rPr>
          <w:rFonts w:ascii="Arial" w:cs="Arial" w:eastAsia="Arial" w:hAnsi="Arial"/>
          <w:sz w:val="17"/>
          <w:szCs w:val="17"/>
          <w:u w:val="single" w:color="auto"/>
          <w:color w:val="auto"/>
        </w:rPr>
        <w:t>Section 11.05(b)</w:t>
      </w:r>
      <w:r>
        <w:rPr>
          <w:rFonts w:ascii="Arial" w:cs="Arial" w:eastAsia="Arial" w:hAnsi="Arial"/>
          <w:sz w:val="17"/>
          <w:szCs w:val="17"/>
          <w:color w:val="auto"/>
        </w:rPr>
        <w:t xml:space="preserve"> shall be effective upon the appointment of a successor Collateral Agent pursuant to this </w:t>
      </w:r>
      <w:r>
        <w:rPr>
          <w:rFonts w:ascii="Arial" w:cs="Arial" w:eastAsia="Arial" w:hAnsi="Arial"/>
          <w:sz w:val="17"/>
          <w:szCs w:val="17"/>
          <w:u w:val="single" w:color="auto"/>
          <w:color w:val="auto"/>
        </w:rPr>
        <w:t>Section 11.05(b)</w:t>
      </w:r>
      <w:r>
        <w:rPr>
          <w:rFonts w:ascii="Arial" w:cs="Arial" w:eastAsia="Arial" w:hAnsi="Arial"/>
          <w:sz w:val="17"/>
          <w:szCs w:val="17"/>
          <w:color w:val="auto"/>
        </w:rPr>
        <w:t xml:space="preserve"> and the acceptance of such appointment by such successor. The Investment Manager shall provide DBRS notice of the acceptance of such appointment by such successor. After the effectiveness of any removal of the Collateral Agent pursuant to this </w:t>
      </w:r>
      <w:r>
        <w:rPr>
          <w:rFonts w:ascii="Arial" w:cs="Arial" w:eastAsia="Arial" w:hAnsi="Arial"/>
          <w:sz w:val="17"/>
          <w:szCs w:val="17"/>
          <w:u w:val="single" w:color="auto"/>
          <w:color w:val="auto"/>
        </w:rPr>
        <w:t>Section 11.05(b)</w:t>
      </w:r>
      <w:r>
        <w:rPr>
          <w:rFonts w:ascii="Arial" w:cs="Arial" w:eastAsia="Arial" w:hAnsi="Arial"/>
          <w:sz w:val="17"/>
          <w:szCs w:val="17"/>
          <w:color w:val="auto"/>
        </w:rPr>
        <w:t xml:space="preserve">, the Collateral Agent shall be discharged from its duties and obligations hereunder and under the other Facility Documents (but not in its capacity as Lender, if applicable) and the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11.05(b)</w:t>
      </w:r>
      <w:r>
        <w:rPr>
          <w:rFonts w:ascii="Arial" w:cs="Arial" w:eastAsia="Arial" w:hAnsi="Arial"/>
          <w:sz w:val="17"/>
          <w:szCs w:val="17"/>
          <w:color w:val="auto"/>
        </w:rPr>
        <w:t xml:space="preserve"> shall continue in effect for its benefit with respect to any actions taken or omitted to be taken by it while it was Collateral Agent under this Agreement and under the other Facility Documents. In the event that the Collateral Agent is removed pursuant to this </w:t>
      </w:r>
      <w:r>
        <w:rPr>
          <w:rFonts w:ascii="Arial" w:cs="Arial" w:eastAsia="Arial" w:hAnsi="Arial"/>
          <w:sz w:val="17"/>
          <w:szCs w:val="17"/>
          <w:u w:val="single" w:color="auto"/>
          <w:color w:val="auto"/>
        </w:rPr>
        <w:t>Section 11.05(b)</w:t>
      </w:r>
      <w:r>
        <w:rPr>
          <w:rFonts w:ascii="Arial" w:cs="Arial" w:eastAsia="Arial" w:hAnsi="Arial"/>
          <w:sz w:val="17"/>
          <w:szCs w:val="17"/>
          <w:color w:val="auto"/>
        </w:rPr>
        <w:t>, the Investment Manager shall bear any costs related to such removal and appointment of a successor Collateral Agent.</w:t>
      </w:r>
    </w:p>
    <w:p>
      <w:pPr>
        <w:spacing w:after="0" w:line="18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Regarding the Collateral Agent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4" w:lineRule="auto"/>
        <w:tabs>
          <w:tab w:leader="none" w:pos="115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Collateral Agent shall have no liability for losses arising from (i) any cause beyond its control, (ii) any delay, error, omission or default of any mail, telegraph, cable or wireless agency or operator, or (iii) the acts or edicts of any government or governmental agency or other group or entity exercising governmental powers.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Collateral Agent shall not be responsible for any special, exemplary, punitive or consequential damages.</w:t>
      </w:r>
    </w:p>
    <w:p>
      <w:pPr>
        <w:spacing w:after="0" w:line="225" w:lineRule="exact"/>
        <w:rPr>
          <w:rFonts w:ascii="Arial" w:cs="Arial" w:eastAsia="Arial" w:hAnsi="Arial"/>
          <w:sz w:val="18"/>
          <w:szCs w:val="18"/>
          <w:color w:val="auto"/>
        </w:rPr>
      </w:pPr>
    </w:p>
    <w:p>
      <w:pPr>
        <w:ind w:right="160" w:firstLine="921"/>
        <w:spacing w:after="0" w:line="342" w:lineRule="auto"/>
        <w:tabs>
          <w:tab w:leader="none" w:pos="115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Collateral Agent shall not be responsible for the preparation or filing of any UCC financing statements or the correctness of any financing statements filed in connection with this Agreement or the validity or perfection of any lien or security interest created pursuant to this Agreement.</w:t>
      </w:r>
    </w:p>
    <w:p>
      <w:pPr>
        <w:spacing w:after="0" w:line="123" w:lineRule="exact"/>
        <w:rPr>
          <w:rFonts w:ascii="Arial" w:cs="Arial" w:eastAsia="Arial" w:hAnsi="Arial"/>
          <w:sz w:val="16"/>
          <w:szCs w:val="16"/>
          <w:color w:val="auto"/>
        </w:rPr>
      </w:pPr>
    </w:p>
    <w:p>
      <w:pPr>
        <w:ind w:left="1180" w:hanging="259"/>
        <w:spacing w:after="0"/>
        <w:tabs>
          <w:tab w:leader="none" w:pos="11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Collateral Agent shall not be liable for interest on any money received by it except as the Collateral Agent may agree in writing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Waiver; Modifications in Writing</w:t>
      </w:r>
      <w:r>
        <w:rPr>
          <w:rFonts w:ascii="Arial" w:cs="Arial" w:eastAsia="Arial" w:hAnsi="Arial"/>
          <w:sz w:val="18"/>
          <w:szCs w:val="18"/>
          <w:color w:val="auto"/>
        </w:rPr>
        <w:t>.</w:t>
      </w:r>
    </w:p>
    <w:p>
      <w:pPr>
        <w:spacing w:after="0" w:line="117" w:lineRule="exact"/>
        <w:rPr>
          <w:sz w:val="20"/>
          <w:szCs w:val="20"/>
          <w:color w:val="auto"/>
        </w:rPr>
      </w:pPr>
    </w:p>
    <w:p>
      <w:pPr>
        <w:ind w:right="240" w:firstLine="921"/>
        <w:spacing w:after="0" w:line="277" w:lineRule="auto"/>
        <w:tabs>
          <w:tab w:leader="none" w:pos="115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 failure or delay on the part of any Secured Party exercising any right, power or remedy hereunder or with respect to the Advances shall operate as a waiver thereof, nor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274" w:right="259" w:bottom="1440" w:gutter="0" w:footer="0" w:header="0"/>
        </w:sectPr>
      </w:pPr>
    </w:p>
    <w:bookmarkStart w:id="249" w:name="page250"/>
    <w:bookmarkEnd w:id="24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171" w:lineRule="exact"/>
        <w:rPr>
          <w:sz w:val="20"/>
          <w:szCs w:val="20"/>
          <w:color w:val="auto"/>
        </w:rPr>
      </w:pPr>
    </w:p>
    <w:p>
      <w:pPr>
        <w:ind w:right="40" w:firstLine="921"/>
        <w:spacing w:after="0" w:line="277" w:lineRule="auto"/>
        <w:tabs>
          <w:tab w:leader="none" w:pos="116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No amendment, modification, supplement or waiver of this Agreement shall be effective unless it is signed by the Borrower and the Required Lenders (or the Facility Agent on behalf of the Required Lenders) and a Rating Confirmation is obtained,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460" w:firstLine="881"/>
        <w:spacing w:after="0" w:line="255" w:lineRule="auto"/>
        <w:tabs>
          <w:tab w:leader="none" w:pos="1551"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no such amendment, modification, supplement or waiver shall, unless by an instrument signed by all of the Lenders (or the Facility Agent on behalf of all of the Lenders), (A) increase or extend the term of the Commitments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all or substantially all of the Collateral, except in connection with dispositions permitted hereunder, (F) alter the terms of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12.01(b)</w:t>
      </w:r>
      <w:r>
        <w:rPr>
          <w:rFonts w:ascii="Arial" w:cs="Arial" w:eastAsia="Arial" w:hAnsi="Arial"/>
          <w:sz w:val="18"/>
          <w:szCs w:val="18"/>
          <w:color w:val="auto"/>
        </w:rPr>
        <w:t>, (G) modify in any manner the number or percentage of the Lenders required to make any determinations or waive any rights hereunder or to modify any provision hereof or (H) extend the Reinvestment Period;</w:t>
      </w:r>
    </w:p>
    <w:p>
      <w:pPr>
        <w:spacing w:after="0" w:line="81" w:lineRule="exact"/>
        <w:rPr>
          <w:rFonts w:ascii="Arial" w:cs="Arial" w:eastAsia="Arial" w:hAnsi="Arial"/>
          <w:sz w:val="18"/>
          <w:szCs w:val="18"/>
          <w:color w:val="auto"/>
        </w:rPr>
      </w:pPr>
    </w:p>
    <w:p>
      <w:pPr>
        <w:ind w:left="460" w:right="220" w:firstLine="881"/>
        <w:spacing w:after="0" w:line="277" w:lineRule="auto"/>
        <w:tabs>
          <w:tab w:leader="none" w:pos="1601"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any amendment, modification, supplement or waiver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or of any of the other rights or duties of either Agent (including the Collateral Agent in its role as Custodian) hereunder, shall require the consent of such Agent; and</w:t>
      </w:r>
    </w:p>
    <w:p>
      <w:pPr>
        <w:spacing w:after="0" w:line="62" w:lineRule="exact"/>
        <w:rPr>
          <w:rFonts w:ascii="Arial" w:cs="Arial" w:eastAsia="Arial" w:hAnsi="Arial"/>
          <w:sz w:val="18"/>
          <w:szCs w:val="18"/>
          <w:color w:val="auto"/>
        </w:rPr>
      </w:pPr>
    </w:p>
    <w:p>
      <w:pPr>
        <w:ind w:left="460" w:right="220" w:firstLine="881"/>
        <w:spacing w:after="0" w:line="259" w:lineRule="auto"/>
        <w:tabs>
          <w:tab w:leader="none" w:pos="1651"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no such amendment, modification, supplement or waiver of any provision under this Agreement or any other Facility Document that governs the rights and obligations of CP Lenders or their Conduit Support Providers (including this </w:t>
      </w:r>
      <w:r>
        <w:rPr>
          <w:rFonts w:ascii="Arial" w:cs="Arial" w:eastAsia="Arial" w:hAnsi="Arial"/>
          <w:sz w:val="18"/>
          <w:szCs w:val="18"/>
          <w:u w:val="single" w:color="auto"/>
          <w:color w:val="auto"/>
        </w:rPr>
        <w:t>Section 12.01(b)(iii)</w:t>
      </w:r>
      <w:r>
        <w:rPr>
          <w:rFonts w:ascii="Arial" w:cs="Arial" w:eastAsia="Arial" w:hAnsi="Arial"/>
          <w:sz w:val="18"/>
          <w:szCs w:val="18"/>
          <w:color w:val="auto"/>
        </w:rPr>
        <w:t>) (other than amendments, modifications, supplements and waivers that apply generally to Lenders) or that specifically relates to CP Conduits shall be effective without the written consent of each CP Lender.</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Notices, Etc</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Except where telephonic instructions are authorized herein to be given, all notices, demands, instructions and other 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and shall be deemed to be given for purposes of this Agreement on the day that such writing is received by the intended recipient thereof in accordance with the provisions of this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Unless otherwise specified in a notice sent or delivered in accordance with the foregoing provisions of this </w:t>
      </w:r>
      <w:r>
        <w:rPr>
          <w:rFonts w:ascii="Arial" w:cs="Arial" w:eastAsia="Arial" w:hAnsi="Arial"/>
          <w:sz w:val="17"/>
          <w:szCs w:val="17"/>
          <w:u w:val="single" w:color="auto"/>
          <w:color w:val="auto"/>
        </w:rPr>
        <w:t>Section 12.02</w:t>
      </w:r>
      <w:r>
        <w:rPr>
          <w:rFonts w:ascii="Arial" w:cs="Arial" w:eastAsia="Arial" w:hAnsi="Arial"/>
          <w:sz w:val="17"/>
          <w:szCs w:val="17"/>
          <w:color w:val="auto"/>
        </w:rPr>
        <w:t>, notices, demands, instructions and other communications in writing shall be given to or made upon the respective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74" w:right="239" w:bottom="1440" w:gutter="0" w:footer="0" w:header="0"/>
        </w:sectPr>
      </w:pPr>
    </w:p>
    <w:bookmarkStart w:id="250" w:name="page251"/>
    <w:bookmarkEnd w:id="25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hereto at their respective addresses (or to their respective facsimile numbers) indicated below, and, in the case of telephonic instructions or notices, by calling the telephone number or numbers indicated for such party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If to the Facility Agent:</w:t>
            </w: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Natixis, New York Branch</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1251 Avenue of the Americas</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New York, New York 10020</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Attention: Yazmin Vasconez</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Telephone No.: 212-891-6176</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Facsimile No.: 646-282-2361</w:t>
            </w:r>
          </w:p>
        </w:tc>
      </w:tr>
      <w:tr>
        <w:trPr>
          <w:trHeight w:val="190"/>
        </w:trPr>
        <w:tc>
          <w:tcPr>
            <w:tcW w:w="2140" w:type="dxa"/>
            <w:vAlign w:val="bottom"/>
          </w:tcPr>
          <w:p>
            <w:pPr>
              <w:spacing w:after="0"/>
              <w:rPr>
                <w:sz w:val="16"/>
                <w:szCs w:val="16"/>
                <w:color w:val="auto"/>
              </w:rPr>
            </w:pPr>
          </w:p>
        </w:tc>
        <w:tc>
          <w:tcPr>
            <w:tcW w:w="3700" w:type="dxa"/>
            <w:vAlign w:val="bottom"/>
            <w:gridSpan w:val="8"/>
          </w:tcPr>
          <w:p>
            <w:pPr>
              <w:ind w:left="280"/>
              <w:spacing w:after="0" w:line="190" w:lineRule="exact"/>
              <w:rPr>
                <w:sz w:val="20"/>
                <w:szCs w:val="20"/>
                <w:color w:val="auto"/>
              </w:rPr>
            </w:pPr>
            <w:r>
              <w:rPr>
                <w:rFonts w:ascii="Arial" w:cs="Arial" w:eastAsia="Arial" w:hAnsi="Arial"/>
                <w:sz w:val="18"/>
                <w:szCs w:val="18"/>
                <w:color w:val="auto"/>
                <w:w w:val="96"/>
              </w:rPr>
              <w:t>Email: Versaillestransaction@us.natixis.com</w:t>
            </w:r>
          </w:p>
        </w:tc>
      </w:tr>
      <w:tr>
        <w:trPr>
          <w:trHeight w:val="196"/>
        </w:trPr>
        <w:tc>
          <w:tcPr>
            <w:tcW w:w="2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fiona.chan@db.com</w:t>
            </w:r>
          </w:p>
        </w:tc>
        <w:tc>
          <w:tcPr>
            <w:tcW w:w="1140" w:type="dxa"/>
            <w:vAlign w:val="bottom"/>
            <w:tcBorders>
              <w:top w:val="single" w:sz="8" w:color="auto"/>
            </w:tcBorders>
            <w:gridSpan w:val="4"/>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7"/>
              </w:rPr>
              <w:t>rajesh.rampersaud@db.com</w:t>
            </w:r>
          </w:p>
        </w:tc>
        <w:tc>
          <w:tcPr>
            <w:tcW w:w="780" w:type="dxa"/>
            <w:vAlign w:val="bottom"/>
            <w:gridSpan w:val="2"/>
          </w:tcPr>
          <w:p>
            <w:pPr>
              <w:spacing w:after="0"/>
              <w:rPr>
                <w:sz w:val="17"/>
                <w:szCs w:val="17"/>
                <w:color w:val="auto"/>
              </w:rPr>
            </w:pPr>
          </w:p>
        </w:tc>
      </w:tr>
      <w:tr>
        <w:trPr>
          <w:trHeight w:val="330"/>
        </w:trPr>
        <w:tc>
          <w:tcPr>
            <w:tcW w:w="2140" w:type="dxa"/>
            <w:vAlign w:val="bottom"/>
          </w:tcPr>
          <w:p>
            <w:pPr>
              <w:spacing w:after="0"/>
              <w:rPr>
                <w:sz w:val="20"/>
                <w:szCs w:val="20"/>
                <w:color w:val="auto"/>
              </w:rPr>
            </w:pPr>
            <w:r>
              <w:rPr>
                <w:rFonts w:ascii="Arial" w:cs="Arial" w:eastAsia="Arial" w:hAnsi="Arial"/>
                <w:sz w:val="18"/>
                <w:szCs w:val="18"/>
                <w:color w:val="auto"/>
              </w:rPr>
              <w:t>If to the Collateral Agent:</w:t>
            </w: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State Street Bank and Trust Company</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One Lincoln Street</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Boston, MA 02110</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w w:val="95"/>
              </w:rPr>
              <w:t>Attention: Carol Lowd, Senior Vice President</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Telephone: (617) 937-6265</w:t>
            </w:r>
          </w:p>
        </w:tc>
      </w:tr>
      <w:tr>
        <w:trPr>
          <w:trHeight w:val="230"/>
        </w:trPr>
        <w:tc>
          <w:tcPr>
            <w:tcW w:w="2140" w:type="dxa"/>
            <w:vAlign w:val="bottom"/>
          </w:tcPr>
          <w:p>
            <w:pPr>
              <w:spacing w:after="0"/>
              <w:rPr>
                <w:sz w:val="20"/>
                <w:szCs w:val="20"/>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Telecopy: (617) 937-6033</w:t>
            </w:r>
          </w:p>
        </w:tc>
      </w:tr>
      <w:tr>
        <w:trPr>
          <w:trHeight w:val="310"/>
        </w:trPr>
        <w:tc>
          <w:tcPr>
            <w:tcW w:w="2140" w:type="dxa"/>
            <w:vAlign w:val="bottom"/>
          </w:tcPr>
          <w:p>
            <w:pPr>
              <w:spacing w:after="0"/>
              <w:rPr>
                <w:sz w:val="20"/>
                <w:szCs w:val="20"/>
                <w:color w:val="auto"/>
              </w:rPr>
            </w:pPr>
            <w:r>
              <w:rPr>
                <w:rFonts w:ascii="Arial" w:cs="Arial" w:eastAsia="Arial" w:hAnsi="Arial"/>
                <w:sz w:val="18"/>
                <w:szCs w:val="18"/>
                <w:color w:val="auto"/>
              </w:rPr>
              <w:t>If to the Borrower:</w:t>
            </w: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TPG SL SPV, LLC</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850 Library Avenue, Suite 204-F</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Newark, Delaware 19711</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Attention: Don Puglisi</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Tel: 302-738-6680</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Fax: 302-738-7210</w:t>
            </w:r>
          </w:p>
        </w:tc>
      </w:tr>
      <w:tr>
        <w:trPr>
          <w:trHeight w:val="190"/>
        </w:trPr>
        <w:tc>
          <w:tcPr>
            <w:tcW w:w="2140" w:type="dxa"/>
            <w:vAlign w:val="bottom"/>
          </w:tcPr>
          <w:p>
            <w:pPr>
              <w:spacing w:after="0"/>
              <w:rPr>
                <w:sz w:val="16"/>
                <w:szCs w:val="16"/>
                <w:color w:val="auto"/>
              </w:rPr>
            </w:pPr>
          </w:p>
        </w:tc>
        <w:tc>
          <w:tcPr>
            <w:tcW w:w="3700" w:type="dxa"/>
            <w:vAlign w:val="bottom"/>
            <w:gridSpan w:val="8"/>
          </w:tcPr>
          <w:p>
            <w:pPr>
              <w:ind w:left="280"/>
              <w:spacing w:after="0" w:line="190" w:lineRule="exact"/>
              <w:rPr>
                <w:sz w:val="20"/>
                <w:szCs w:val="20"/>
                <w:color w:val="auto"/>
              </w:rPr>
            </w:pPr>
            <w:r>
              <w:rPr>
                <w:rFonts w:ascii="Arial" w:cs="Arial" w:eastAsia="Arial" w:hAnsi="Arial"/>
                <w:sz w:val="18"/>
                <w:szCs w:val="18"/>
                <w:color w:val="auto"/>
              </w:rPr>
              <w:t>Email: dpuglisi@puglisiassoc.com</w:t>
            </w:r>
          </w:p>
        </w:tc>
      </w:tr>
      <w:tr>
        <w:trPr>
          <w:trHeight w:val="20"/>
        </w:trPr>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345"/>
        </w:trPr>
        <w:tc>
          <w:tcPr>
            <w:tcW w:w="2140" w:type="dxa"/>
            <w:vAlign w:val="bottom"/>
          </w:tcPr>
          <w:p>
            <w:pPr>
              <w:spacing w:after="0"/>
              <w:rPr>
                <w:sz w:val="24"/>
                <w:szCs w:val="24"/>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With a copy to:</w:t>
            </w:r>
          </w:p>
        </w:tc>
      </w:tr>
      <w:tr>
        <w:trPr>
          <w:trHeight w:val="310"/>
        </w:trPr>
        <w:tc>
          <w:tcPr>
            <w:tcW w:w="2140" w:type="dxa"/>
            <w:vAlign w:val="bottom"/>
          </w:tcPr>
          <w:p>
            <w:pPr>
              <w:spacing w:after="0"/>
              <w:rPr>
                <w:sz w:val="24"/>
                <w:szCs w:val="24"/>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TPG Specialty Lending, Inc.</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301 Commerce Street</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Suite 3300</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Fort Worth, TX 76102</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Attention: Alan Kirshenbaum</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Tel: 817-871-4095</w:t>
            </w:r>
          </w:p>
        </w:tc>
      </w:tr>
      <w:tr>
        <w:trPr>
          <w:trHeight w:val="190"/>
        </w:trPr>
        <w:tc>
          <w:tcPr>
            <w:tcW w:w="2140" w:type="dxa"/>
            <w:vAlign w:val="bottom"/>
          </w:tcPr>
          <w:p>
            <w:pPr>
              <w:spacing w:after="0"/>
              <w:rPr>
                <w:sz w:val="16"/>
                <w:szCs w:val="16"/>
                <w:color w:val="auto"/>
              </w:rPr>
            </w:pPr>
          </w:p>
        </w:tc>
        <w:tc>
          <w:tcPr>
            <w:tcW w:w="3700" w:type="dxa"/>
            <w:vAlign w:val="bottom"/>
            <w:gridSpan w:val="8"/>
          </w:tcPr>
          <w:p>
            <w:pPr>
              <w:ind w:left="280"/>
              <w:spacing w:after="0" w:line="190" w:lineRule="exact"/>
              <w:rPr>
                <w:sz w:val="20"/>
                <w:szCs w:val="20"/>
                <w:color w:val="auto"/>
              </w:rPr>
            </w:pPr>
            <w:r>
              <w:rPr>
                <w:rFonts w:ascii="Arial" w:cs="Arial" w:eastAsia="Arial" w:hAnsi="Arial"/>
                <w:sz w:val="18"/>
                <w:szCs w:val="18"/>
                <w:color w:val="auto"/>
              </w:rPr>
              <w:t>Email: AKirshenbaum@tpg.com</w:t>
            </w:r>
          </w:p>
        </w:tc>
      </w:tr>
      <w:tr>
        <w:trPr>
          <w:trHeight w:val="20"/>
        </w:trPr>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3"/>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r>
      <w:tr>
        <w:trPr>
          <w:trHeight w:val="345"/>
        </w:trPr>
        <w:tc>
          <w:tcPr>
            <w:tcW w:w="2140" w:type="dxa"/>
            <w:vAlign w:val="bottom"/>
          </w:tcPr>
          <w:p>
            <w:pPr>
              <w:spacing w:after="0"/>
              <w:rPr>
                <w:sz w:val="24"/>
                <w:szCs w:val="24"/>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With a copy to:</w:t>
            </w:r>
          </w:p>
        </w:tc>
      </w:tr>
      <w:tr>
        <w:trPr>
          <w:trHeight w:val="310"/>
        </w:trPr>
        <w:tc>
          <w:tcPr>
            <w:tcW w:w="2140" w:type="dxa"/>
            <w:vAlign w:val="bottom"/>
          </w:tcPr>
          <w:p>
            <w:pPr>
              <w:spacing w:after="0"/>
              <w:rPr>
                <w:sz w:val="24"/>
                <w:szCs w:val="24"/>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TSL Advisers, LLC</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301 Commerce Street</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Suite 3300</w:t>
            </w:r>
          </w:p>
        </w:tc>
      </w:tr>
      <w:tr>
        <w:trPr>
          <w:trHeight w:val="216"/>
        </w:trPr>
        <w:tc>
          <w:tcPr>
            <w:tcW w:w="2140" w:type="dxa"/>
            <w:vAlign w:val="bottom"/>
          </w:tcPr>
          <w:p>
            <w:pPr>
              <w:spacing w:after="0"/>
              <w:rPr>
                <w:sz w:val="18"/>
                <w:szCs w:val="18"/>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Fort Worth, Texas 76102</w:t>
            </w:r>
          </w:p>
        </w:tc>
      </w:tr>
      <w:tr>
        <w:trPr>
          <w:trHeight w:val="230"/>
        </w:trPr>
        <w:tc>
          <w:tcPr>
            <w:tcW w:w="2140" w:type="dxa"/>
            <w:vAlign w:val="bottom"/>
          </w:tcPr>
          <w:p>
            <w:pPr>
              <w:spacing w:after="0"/>
              <w:rPr>
                <w:sz w:val="20"/>
                <w:szCs w:val="20"/>
                <w:color w:val="auto"/>
              </w:rPr>
            </w:pPr>
          </w:p>
        </w:tc>
        <w:tc>
          <w:tcPr>
            <w:tcW w:w="3700" w:type="dxa"/>
            <w:vAlign w:val="bottom"/>
            <w:gridSpan w:val="8"/>
          </w:tcPr>
          <w:p>
            <w:pPr>
              <w:ind w:left="280"/>
              <w:spacing w:after="0"/>
              <w:rPr>
                <w:sz w:val="20"/>
                <w:szCs w:val="20"/>
                <w:color w:val="auto"/>
              </w:rPr>
            </w:pPr>
            <w:r>
              <w:rPr>
                <w:rFonts w:ascii="Arial" w:cs="Arial" w:eastAsia="Arial" w:hAnsi="Arial"/>
                <w:sz w:val="18"/>
                <w:szCs w:val="18"/>
                <w:color w:val="auto"/>
              </w:rPr>
              <w:t>Attention: David Reintjes</w:t>
            </w:r>
          </w:p>
        </w:tc>
      </w:tr>
      <w:tr>
        <w:trPr>
          <w:trHeight w:val="365"/>
        </w:trPr>
        <w:tc>
          <w:tcPr>
            <w:tcW w:w="2140" w:type="dxa"/>
            <w:vAlign w:val="bottom"/>
          </w:tcPr>
          <w:p>
            <w:pPr>
              <w:spacing w:after="0"/>
              <w:rPr>
                <w:sz w:val="24"/>
                <w:szCs w:val="24"/>
                <w:color w:val="auto"/>
              </w:rPr>
            </w:pPr>
          </w:p>
        </w:tc>
        <w:tc>
          <w:tcPr>
            <w:tcW w:w="3700" w:type="dxa"/>
            <w:vAlign w:val="bottom"/>
            <w:gridSpan w:val="8"/>
          </w:tcPr>
          <w:p>
            <w:pPr>
              <w:ind w:left="3440"/>
              <w:spacing w:after="0"/>
              <w:rPr>
                <w:sz w:val="20"/>
                <w:szCs w:val="20"/>
                <w:color w:val="auto"/>
              </w:rPr>
            </w:pPr>
            <w:r>
              <w:rPr>
                <w:rFonts w:ascii="Arial" w:cs="Arial" w:eastAsia="Arial" w:hAnsi="Arial"/>
                <w:sz w:val="18"/>
                <w:szCs w:val="18"/>
                <w:color w:val="auto"/>
                <w:w w:val="79"/>
              </w:rPr>
              <w:t>119</w:t>
            </w:r>
          </w:p>
        </w:tc>
      </w:tr>
    </w:tbl>
    <w:p>
      <w:pPr>
        <w:sectPr>
          <w:pgSz w:w="11900" w:h="16838" w:orient="portrait"/>
          <w:cols w:equalWidth="0" w:num="1">
            <w:col w:w="11340"/>
          </w:cols>
          <w:pgMar w:left="240" w:top="274" w:right="319" w:bottom="1440" w:gutter="0" w:footer="0" w:header="0"/>
        </w:sectPr>
      </w:pPr>
    </w:p>
    <w:bookmarkStart w:id="251" w:name="page252"/>
    <w:bookmarkEnd w:id="2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Telephone: 817-871-4000</w:t>
            </w:r>
          </w:p>
        </w:tc>
      </w:tr>
      <w:tr>
        <w:trPr>
          <w:trHeight w:val="190"/>
        </w:trPr>
        <w:tc>
          <w:tcPr>
            <w:tcW w:w="2020" w:type="dxa"/>
            <w:vAlign w:val="bottom"/>
          </w:tcPr>
          <w:p>
            <w:pPr>
              <w:spacing w:after="0"/>
              <w:rPr>
                <w:sz w:val="16"/>
                <w:szCs w:val="16"/>
                <w:color w:val="auto"/>
              </w:rPr>
            </w:pPr>
          </w:p>
        </w:tc>
        <w:tc>
          <w:tcPr>
            <w:tcW w:w="8660" w:type="dxa"/>
            <w:vAlign w:val="bottom"/>
            <w:gridSpan w:val="7"/>
          </w:tcPr>
          <w:p>
            <w:pPr>
              <w:ind w:left="400"/>
              <w:spacing w:after="0" w:line="190" w:lineRule="exact"/>
              <w:rPr>
                <w:sz w:val="20"/>
                <w:szCs w:val="20"/>
                <w:color w:val="auto"/>
              </w:rPr>
            </w:pPr>
            <w:r>
              <w:rPr>
                <w:rFonts w:ascii="Arial" w:cs="Arial" w:eastAsia="Arial" w:hAnsi="Arial"/>
                <w:sz w:val="18"/>
                <w:szCs w:val="18"/>
                <w:color w:val="auto"/>
              </w:rPr>
              <w:t>Email: DReintjes@tpg.com</w:t>
            </w:r>
          </w:p>
        </w:tc>
      </w:tr>
      <w:tr>
        <w:trPr>
          <w:trHeight w:val="20"/>
        </w:trPr>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30"/>
        </w:trPr>
        <w:tc>
          <w:tcPr>
            <w:tcW w:w="2020" w:type="dxa"/>
            <w:vAlign w:val="bottom"/>
          </w:tcPr>
          <w:p>
            <w:pPr>
              <w:spacing w:after="0"/>
              <w:rPr>
                <w:sz w:val="20"/>
                <w:szCs w:val="20"/>
                <w:color w:val="auto"/>
              </w:rPr>
            </w:pPr>
            <w:r>
              <w:rPr>
                <w:rFonts w:ascii="Arial" w:cs="Arial" w:eastAsia="Arial" w:hAnsi="Arial"/>
                <w:sz w:val="18"/>
                <w:szCs w:val="18"/>
                <w:color w:val="auto"/>
              </w:rPr>
              <w:t>If to the Lender:</w:t>
            </w: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Versailles Assets LLC</w:t>
            </w:r>
          </w:p>
        </w:tc>
      </w:t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c/o Global Securitization Services, LLC</w:t>
            </w:r>
          </w:p>
        </w:tc>
      </w:t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68 South Service Road, Suite 120</w:t>
            </w:r>
          </w:p>
        </w:tc>
      </w:t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Melville, NY 11747</w:t>
            </w:r>
          </w:p>
        </w:tc>
      </w:t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Attention: Bernard J. Angelo</w:t>
            </w:r>
          </w:p>
        </w:tc>
      </w:t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Telephone No.: (631) 930-7203</w:t>
            </w:r>
          </w:p>
        </w:tc>
      </w:t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Facsimile No.: (212) 302-8267</w:t>
            </w:r>
          </w:p>
        </w:tc>
      </w:tr>
      <w:tr>
        <w:trPr>
          <w:trHeight w:val="190"/>
        </w:trPr>
        <w:tc>
          <w:tcPr>
            <w:tcW w:w="2020" w:type="dxa"/>
            <w:vAlign w:val="bottom"/>
          </w:tcPr>
          <w:p>
            <w:pPr>
              <w:spacing w:after="0"/>
              <w:rPr>
                <w:sz w:val="16"/>
                <w:szCs w:val="16"/>
                <w:color w:val="auto"/>
              </w:rPr>
            </w:pPr>
          </w:p>
        </w:tc>
        <w:tc>
          <w:tcPr>
            <w:tcW w:w="8660" w:type="dxa"/>
            <w:vAlign w:val="bottom"/>
            <w:gridSpan w:val="7"/>
          </w:tcPr>
          <w:p>
            <w:pPr>
              <w:ind w:left="400"/>
              <w:spacing w:after="0" w:line="190" w:lineRule="exact"/>
              <w:rPr>
                <w:sz w:val="20"/>
                <w:szCs w:val="20"/>
                <w:color w:val="auto"/>
              </w:rPr>
            </w:pPr>
            <w:r>
              <w:rPr>
                <w:rFonts w:ascii="Arial" w:cs="Arial" w:eastAsia="Arial" w:hAnsi="Arial"/>
                <w:sz w:val="18"/>
                <w:szCs w:val="18"/>
                <w:color w:val="auto"/>
              </w:rPr>
              <w:t>Email: jrangelo@gssnyc.com and dveidt@gssnyc.com</w:t>
            </w:r>
          </w:p>
        </w:tc>
      </w:tr>
      <w:tr>
        <w:trPr>
          <w:trHeight w:val="20"/>
        </w:trPr>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58"/>
        </w:trPr>
        <w:tc>
          <w:tcPr>
            <w:tcW w:w="2020" w:type="dxa"/>
            <w:vAlign w:val="bottom"/>
          </w:tcPr>
          <w:p>
            <w:pPr>
              <w:spacing w:after="0"/>
              <w:rPr>
                <w:sz w:val="20"/>
                <w:szCs w:val="20"/>
                <w:color w:val="auto"/>
              </w:rPr>
            </w:pPr>
            <w:r>
              <w:rPr>
                <w:rFonts w:ascii="Arial" w:cs="Arial" w:eastAsia="Arial" w:hAnsi="Arial"/>
                <w:sz w:val="18"/>
                <w:szCs w:val="18"/>
                <w:color w:val="auto"/>
              </w:rPr>
              <w:t>If to any other Lender:</w:t>
            </w: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w w:val="89"/>
              </w:rPr>
              <w:t>As provided in the Assignment and Acceptance pursuant to which such other Lender becomes a Lender hereunder.</w:t>
            </w:r>
          </w:p>
        </w:tc>
      </w:tr>
      <w:tr>
        <w:trPr>
          <w:trHeight w:val="323"/>
        </w:trPr>
        <w:tc>
          <w:tcPr>
            <w:tcW w:w="2020" w:type="dxa"/>
            <w:vAlign w:val="bottom"/>
          </w:tcPr>
          <w:p>
            <w:pPr>
              <w:spacing w:after="0"/>
              <w:rPr>
                <w:sz w:val="20"/>
                <w:szCs w:val="20"/>
                <w:color w:val="auto"/>
              </w:rPr>
            </w:pPr>
            <w:r>
              <w:rPr>
                <w:rFonts w:ascii="Arial" w:cs="Arial" w:eastAsia="Arial" w:hAnsi="Arial"/>
                <w:sz w:val="18"/>
                <w:szCs w:val="18"/>
                <w:color w:val="auto"/>
              </w:rPr>
              <w:t>If to DBRS:</w:t>
            </w: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DBRS, Inc.</w:t>
            </w:r>
          </w:p>
        </w:tc>
      </w:t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Structured Credit Surveillance</w:t>
            </w:r>
          </w:p>
        </w:tc>
      </w:t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140 Broadway, 35th Floor</w:t>
            </w:r>
          </w:p>
        </w:tc>
      </w:t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New York, NY 10005 United States</w:t>
            </w:r>
          </w:p>
        </w:tc>
      </w:t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Phone: +1 (212) 806-3277 (main reception)</w:t>
            </w:r>
          </w:p>
        </w:tc>
      </w:tr>
      <w:tr>
        <w:trPr>
          <w:trHeight w:val="216"/>
        </w:trPr>
        <w:tc>
          <w:tcPr>
            <w:tcW w:w="2020" w:type="dxa"/>
            <w:vAlign w:val="bottom"/>
          </w:tcPr>
          <w:p>
            <w:pPr>
              <w:spacing w:after="0"/>
              <w:rPr>
                <w:sz w:val="18"/>
                <w:szCs w:val="18"/>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Fax: +l (212) 806-3201</w:t>
            </w:r>
          </w:p>
        </w:tc>
      </w:tr>
      <w:tr>
        <w:trPr>
          <w:trHeight w:val="230"/>
        </w:trPr>
        <w:tc>
          <w:tcPr>
            <w:tcW w:w="2020" w:type="dxa"/>
            <w:vAlign w:val="bottom"/>
          </w:tcPr>
          <w:p>
            <w:pPr>
              <w:spacing w:after="0"/>
              <w:rPr>
                <w:sz w:val="20"/>
                <w:szCs w:val="20"/>
                <w:color w:val="auto"/>
              </w:rPr>
            </w:pPr>
          </w:p>
        </w:tc>
        <w:tc>
          <w:tcPr>
            <w:tcW w:w="8660" w:type="dxa"/>
            <w:vAlign w:val="bottom"/>
            <w:gridSpan w:val="7"/>
          </w:tcPr>
          <w:p>
            <w:pPr>
              <w:ind w:left="400"/>
              <w:spacing w:after="0"/>
              <w:rPr>
                <w:sz w:val="20"/>
                <w:szCs w:val="20"/>
                <w:color w:val="auto"/>
              </w:rPr>
            </w:pPr>
            <w:r>
              <w:rPr>
                <w:rFonts w:ascii="Arial" w:cs="Arial" w:eastAsia="Arial" w:hAnsi="Arial"/>
                <w:sz w:val="18"/>
                <w:szCs w:val="18"/>
                <w:color w:val="auto"/>
              </w:rPr>
              <w:t>SC_Surveillance@dbrs.com</w:t>
            </w:r>
          </w:p>
        </w:tc>
      </w:tr>
    </w:tbl>
    <w:p>
      <w:pPr>
        <w:spacing w:after="0" w:line="2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1" w:lineRule="auto"/>
        <w:tabs>
          <w:tab w:leader="none" w:pos="1158"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Any and all payments by or on behalf of the Borrower under this Agreement and the Notes shall be made, in accordance with this Agreement, free and clear of and without deduction or withholding for Taxes unless such deduction or withholding is required by Applicable Law. If the Borrower shall be required by Applicable Law to deduct or withhold any Taxes from or in respect of any sum payable by it hereunder, under any Note or under any other Facility Document to any Secured Party, (i) if any such deductions are in respect of Indemnified Taxes, the sum payable by the Borrower shall be increased as may be necessary so that after making all required deductions or withholdings (including deductions applicable to additional sums payable under this </w:t>
      </w:r>
      <w:r>
        <w:rPr>
          <w:rFonts w:ascii="Arial" w:cs="Arial" w:eastAsia="Arial" w:hAnsi="Arial"/>
          <w:sz w:val="17"/>
          <w:szCs w:val="17"/>
          <w:u w:val="single" w:color="auto"/>
          <w:color w:val="auto"/>
        </w:rPr>
        <w:t>Section 12.03</w:t>
      </w:r>
      <w:r>
        <w:rPr>
          <w:rFonts w:ascii="Arial" w:cs="Arial" w:eastAsia="Arial" w:hAnsi="Arial"/>
          <w:sz w:val="17"/>
          <w:szCs w:val="17"/>
          <w:color w:val="auto"/>
        </w:rPr>
        <w:t>) such Secured Party receives an amount equal to the sum it would have received had no deductions or withholdings in respect of Indemnified Taxes been made, (ii) the Borrower shall make such deductions or withholdings, and (iii) the Borrower shall timely pay the full amount deducted or withheld to the relevant Authority in accordance with Applicable Law.</w:t>
      </w:r>
    </w:p>
    <w:p>
      <w:pPr>
        <w:spacing w:after="0" w:line="178" w:lineRule="exact"/>
        <w:rPr>
          <w:rFonts w:ascii="Arial" w:cs="Arial" w:eastAsia="Arial" w:hAnsi="Arial"/>
          <w:sz w:val="17"/>
          <w:szCs w:val="17"/>
          <w:color w:val="auto"/>
        </w:rPr>
      </w:pPr>
    </w:p>
    <w:p>
      <w:pPr>
        <w:ind w:right="340" w:firstLine="921"/>
        <w:spacing w:after="0" w:line="257" w:lineRule="auto"/>
        <w:tabs>
          <w:tab w:leader="none" w:pos="116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addition, the Borrower agrees to timely pay to the relevant Governmental Authority in accordance with Applicable Law any present or future stamp or documentary taxes or any other excise or property taxes, charges or similar levies which arise from any payment made by the Borrower hereunder, under the Notes or under any other Facility Document or from the execution, delivery or registration of, or otherwise with respect to, this Agreement, the Notes or under any other Facility Document except any such Taxes that are Other Connection Taxes (hereinafter referred to as “</w:t>
      </w:r>
      <w:r>
        <w:rPr>
          <w:rFonts w:ascii="Arial" w:cs="Arial" w:eastAsia="Arial" w:hAnsi="Arial"/>
          <w:sz w:val="18"/>
          <w:szCs w:val="18"/>
          <w:u w:val="single" w:color="auto"/>
          <w:color w:val="auto"/>
        </w:rPr>
        <w:t>Other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274" w:right="259" w:bottom="1440" w:gutter="0" w:footer="0" w:header="0"/>
        </w:sectPr>
      </w:pPr>
    </w:p>
    <w:bookmarkStart w:id="252" w:name="page253"/>
    <w:bookmarkEnd w:id="252"/>
    <w:p>
      <w:pPr>
        <w:ind w:right="120" w:firstLine="921"/>
        <w:spacing w:after="0" w:line="255" w:lineRule="auto"/>
        <w:tabs>
          <w:tab w:leader="none" w:pos="1158"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Borrower agrees to indemnify each of the Secured Parties for the full amount of Indemnified Taxes or Other Taxes (including any Indemnified Taxes or Other Taxes imposed or asserted by any jurisdiction on amounts payable under this </w:t>
      </w:r>
      <w:r>
        <w:rPr>
          <w:rFonts w:ascii="Arial" w:cs="Arial" w:eastAsia="Arial" w:hAnsi="Arial"/>
          <w:sz w:val="18"/>
          <w:szCs w:val="18"/>
          <w:u w:val="single" w:color="auto"/>
          <w:color w:val="auto"/>
        </w:rPr>
        <w:t>Section 12.03</w:t>
      </w:r>
      <w:r>
        <w:rPr>
          <w:rFonts w:ascii="Arial" w:cs="Arial" w:eastAsia="Arial" w:hAnsi="Arial"/>
          <w:sz w:val="18"/>
          <w:szCs w:val="18"/>
          <w:color w:val="auto"/>
        </w:rPr>
        <w:t>), together with all interest, penalties, reasonable costs and expenses arising therefrom, paid by any Secured Party in respect of the Borrower, whether or not such Taxes or Other Taxes were correctly or legally imposed or asserted. Payments by the Borrower pursuant to this indemnification shall be made promptly following the date the Secured Party makes written demand therefor, which demand shall be accompanied by a certificate describing in reasonable detail the basis thereof. Such certificate shall be conclusive absent manifest error.</w:t>
      </w:r>
    </w:p>
    <w:p>
      <w:pPr>
        <w:spacing w:after="0" w:line="193" w:lineRule="exact"/>
        <w:rPr>
          <w:rFonts w:ascii="Arial" w:cs="Arial" w:eastAsia="Arial" w:hAnsi="Arial"/>
          <w:sz w:val="18"/>
          <w:szCs w:val="18"/>
          <w:color w:val="auto"/>
        </w:rPr>
      </w:pPr>
    </w:p>
    <w:p>
      <w:pPr>
        <w:jc w:val="both"/>
        <w:ind w:right="20" w:firstLine="921"/>
        <w:spacing w:after="0" w:line="264" w:lineRule="auto"/>
        <w:tabs>
          <w:tab w:leader="none" w:pos="116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Borrower shall not be required to indemnify any Secured Party, or pay any additional amounts to any Secured Party, in respect of United States federal withholding tax or United States federal backup withholding tax to the extent that the obligation to pay such additional amounts would not have arisen but for a failure by such Secured Party to comply with paragraphs (g) or (h) below.</w:t>
      </w:r>
    </w:p>
    <w:p>
      <w:pPr>
        <w:spacing w:after="0" w:line="181" w:lineRule="exact"/>
        <w:rPr>
          <w:rFonts w:ascii="Arial" w:cs="Arial" w:eastAsia="Arial" w:hAnsi="Arial"/>
          <w:sz w:val="18"/>
          <w:szCs w:val="18"/>
          <w:color w:val="auto"/>
        </w:rPr>
      </w:pPr>
    </w:p>
    <w:p>
      <w:pPr>
        <w:ind w:right="120" w:firstLine="921"/>
        <w:spacing w:after="0" w:line="342" w:lineRule="auto"/>
        <w:tabs>
          <w:tab w:leader="none" w:pos="115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Promptly after the date of any payment of Taxes or Other Taxes, the Borrower will furnish to each Agent the original or a certified copy of a receipt issued by the relevant Authority evidencing payment thereof (or other evidence of payment as may be reasonably satisfactory to such Agent).</w:t>
      </w:r>
    </w:p>
    <w:p>
      <w:pPr>
        <w:spacing w:after="0" w:line="123" w:lineRule="exact"/>
        <w:rPr>
          <w:rFonts w:ascii="Arial" w:cs="Arial" w:eastAsia="Arial" w:hAnsi="Arial"/>
          <w:sz w:val="16"/>
          <w:szCs w:val="16"/>
          <w:color w:val="auto"/>
        </w:rPr>
      </w:pPr>
    </w:p>
    <w:p>
      <w:pPr>
        <w:ind w:right="140" w:firstLine="921"/>
        <w:spacing w:after="0" w:line="273" w:lineRule="auto"/>
        <w:tabs>
          <w:tab w:leader="none" w:pos="1138"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If any payment is made by or on behalf of the Borrower to or for the account of any Secured Party after deduction or withholding for or on account of any Taxes or Other Taxes, and an indemnity payment or additional amounts are paid by the Borrower pursuant to this </w:t>
      </w:r>
      <w:r>
        <w:rPr>
          <w:rFonts w:ascii="Arial" w:cs="Arial" w:eastAsia="Arial" w:hAnsi="Arial"/>
          <w:sz w:val="17"/>
          <w:szCs w:val="17"/>
          <w:u w:val="single" w:color="auto"/>
          <w:color w:val="auto"/>
        </w:rPr>
        <w:t>Section 12.03</w:t>
      </w:r>
      <w:r>
        <w:rPr>
          <w:rFonts w:ascii="Arial" w:cs="Arial" w:eastAsia="Arial" w:hAnsi="Arial"/>
          <w:sz w:val="17"/>
          <w:szCs w:val="17"/>
          <w:color w:val="auto"/>
        </w:rPr>
        <w:t xml:space="preserve">, then, if such Secured Party has received a refund of any such Taxes or Other Taxes (including by the payment of additional amounts pursuant to this </w:t>
      </w:r>
      <w:r>
        <w:rPr>
          <w:rFonts w:ascii="Arial" w:cs="Arial" w:eastAsia="Arial" w:hAnsi="Arial"/>
          <w:sz w:val="17"/>
          <w:szCs w:val="17"/>
          <w:u w:val="single" w:color="auto"/>
          <w:color w:val="auto"/>
        </w:rPr>
        <w:t>Section 12.03</w:t>
      </w:r>
      <w:r>
        <w:rPr>
          <w:rFonts w:ascii="Arial" w:cs="Arial" w:eastAsia="Arial" w:hAnsi="Arial"/>
          <w:sz w:val="17"/>
          <w:szCs w:val="17"/>
          <w:color w:val="auto"/>
        </w:rPr>
        <w:t xml:space="preserve">), such Secured Party shall reimburse to the Borrower such amount equal to any such refund received as such Secured Party shall determine in its reasonable discretion to be attributable to the relevant Taxes or Other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such Secured Party is required to repay such refund to the relevant taxing Authority, the Borrower agrees to return the refund to such Secured Party.</w:t>
      </w:r>
    </w:p>
    <w:p>
      <w:pPr>
        <w:spacing w:after="0" w:line="178" w:lineRule="exact"/>
        <w:rPr>
          <w:rFonts w:ascii="Arial" w:cs="Arial" w:eastAsia="Arial" w:hAnsi="Arial"/>
          <w:sz w:val="17"/>
          <w:szCs w:val="17"/>
          <w:color w:val="auto"/>
        </w:rPr>
      </w:pPr>
    </w:p>
    <w:p>
      <w:pPr>
        <w:ind w:right="140" w:firstLine="921"/>
        <w:spacing w:after="0" w:line="288" w:lineRule="auto"/>
        <w:tabs>
          <w:tab w:leader="none" w:pos="116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Each Secured Party that is a U.S. person as that term is defined in Section 7701(a)(30) of the Code (a “</w:t>
      </w:r>
      <w:r>
        <w:rPr>
          <w:rFonts w:ascii="Arial" w:cs="Arial" w:eastAsia="Arial" w:hAnsi="Arial"/>
          <w:sz w:val="16"/>
          <w:szCs w:val="16"/>
          <w:u w:val="single" w:color="auto"/>
          <w:color w:val="auto"/>
        </w:rPr>
        <w:t>U.S. Person</w:t>
      </w:r>
      <w:r>
        <w:rPr>
          <w:rFonts w:ascii="Arial" w:cs="Arial" w:eastAsia="Arial" w:hAnsi="Arial"/>
          <w:sz w:val="16"/>
          <w:szCs w:val="16"/>
          <w:color w:val="auto"/>
        </w:rPr>
        <w:t xml:space="preserve">”) hereby agrees that it shall, no later than the Original Closing Date or, in the case of a Secured Party which becomes a party hereto pursuant to </w:t>
      </w:r>
      <w:r>
        <w:rPr>
          <w:rFonts w:ascii="Arial" w:cs="Arial" w:eastAsia="Arial" w:hAnsi="Arial"/>
          <w:sz w:val="16"/>
          <w:szCs w:val="16"/>
          <w:u w:val="single" w:color="auto"/>
          <w:color w:val="auto"/>
        </w:rPr>
        <w:t>Section 12.06</w:t>
      </w:r>
      <w:r>
        <w:rPr>
          <w:rFonts w:ascii="Arial" w:cs="Arial" w:eastAsia="Arial" w:hAnsi="Arial"/>
          <w:sz w:val="16"/>
          <w:szCs w:val="16"/>
          <w:color w:val="auto"/>
        </w:rPr>
        <w:t>, the date upon which such Secured Party becomes a party hereto, deliver to each Agent and the Borrower, if applicable, two accurate, complete and signed originals of</w:t>
      </w:r>
    </w:p>
    <w:p>
      <w:pPr>
        <w:spacing w:after="0" w:line="252" w:lineRule="auto"/>
        <w:rPr>
          <w:rFonts w:ascii="Arial" w:cs="Arial" w:eastAsia="Arial" w:hAnsi="Arial"/>
          <w:sz w:val="16"/>
          <w:szCs w:val="16"/>
          <w:color w:val="auto"/>
        </w:rPr>
      </w:pPr>
      <w:r>
        <w:rPr>
          <w:rFonts w:ascii="Arial" w:cs="Arial" w:eastAsia="Arial" w:hAnsi="Arial"/>
          <w:sz w:val="18"/>
          <w:szCs w:val="18"/>
          <w:color w:val="auto"/>
        </w:rPr>
        <w:t>U.S. Internal Revenue Service Form W-9 or successor form certifying that such Secured Party is exempt from U.S. federal backup withholding tax. Each Secured Party that is not a U.S. Person (a “</w:t>
      </w:r>
      <w:r>
        <w:rPr>
          <w:rFonts w:ascii="Arial" w:cs="Arial" w:eastAsia="Arial" w:hAnsi="Arial"/>
          <w:sz w:val="18"/>
          <w:szCs w:val="18"/>
          <w:u w:val="single" w:color="auto"/>
          <w:color w:val="auto"/>
        </w:rPr>
        <w:t>Non-U.S. Lender</w:t>
      </w:r>
      <w:r>
        <w:rPr>
          <w:rFonts w:ascii="Arial" w:cs="Arial" w:eastAsia="Arial" w:hAnsi="Arial"/>
          <w:sz w:val="18"/>
          <w:szCs w:val="18"/>
          <w:color w:val="auto"/>
        </w:rPr>
        <w:t xml:space="preserve">”), other than an assignee pursuant to </w:t>
      </w:r>
      <w:r>
        <w:rPr>
          <w:rFonts w:ascii="Arial" w:cs="Arial" w:eastAsia="Arial" w:hAnsi="Arial"/>
          <w:sz w:val="18"/>
          <w:szCs w:val="18"/>
          <w:u w:val="single" w:color="auto"/>
          <w:color w:val="auto"/>
        </w:rPr>
        <w:t>Section 12.06</w:t>
      </w:r>
      <w:r>
        <w:rPr>
          <w:rFonts w:ascii="Arial" w:cs="Arial" w:eastAsia="Arial" w:hAnsi="Arial"/>
          <w:sz w:val="18"/>
          <w:szCs w:val="18"/>
          <w:color w:val="auto"/>
        </w:rPr>
        <w:t xml:space="preserve">, on or prior to the Original Closing Date, shall deliver to each Agent and the Borrower two properly completed and duly executed originals of either U.S. Internal Revenue Service Form W-8BEN, W-8ECI or W-8IMY or any subsequent versions thereof or successors thereto, in each case, establishing a complete exemption from U.S. federal withholding tax (other than in the case of a change of law occurring subsequent to the Original Closing Date). Each Non-U.S. Lender that is an assignee pursuant to </w:t>
      </w:r>
      <w:r>
        <w:rPr>
          <w:rFonts w:ascii="Arial" w:cs="Arial" w:eastAsia="Arial" w:hAnsi="Arial"/>
          <w:sz w:val="18"/>
          <w:szCs w:val="18"/>
          <w:u w:val="single" w:color="auto"/>
          <w:color w:val="auto"/>
        </w:rPr>
        <w:t>Section 12.06</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Non-U.S. Assignee Lender</w:t>
      </w:r>
      <w:r>
        <w:rPr>
          <w:rFonts w:ascii="Arial" w:cs="Arial" w:eastAsia="Arial" w:hAnsi="Arial"/>
          <w:sz w:val="18"/>
          <w:szCs w:val="18"/>
          <w:color w:val="auto"/>
        </w:rPr>
        <w:t>”) shall, other than in the case of a change in law occurring subsequent to the Original Closing Date, on or prior to the date that it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274" w:right="259" w:bottom="1440" w:gutter="0" w:footer="0" w:header="0"/>
        </w:sectPr>
      </w:pPr>
    </w:p>
    <w:bookmarkStart w:id="253" w:name="page254"/>
    <w:bookmarkEnd w:id="253"/>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becomes a Lender hereunder, deliver to each Agent and the Borrower two properly completed and duly executed originals of either U.S. Internal Revenue Service Form W-8BEN, W-8ECI or W-8IMY or any subsequent versions thereof or successors thereto, in each case, establishing a complete exemption from U.S. federal withholding tax. In addition, in the case of a Non-U.S. Lender claiming exemption from U.S. federal withholding tax under Section 871(h) or 881(c) of the Code, such Non-U.S. Lender hereby represents that such Non-U.S. Lender is not a bank for purposes of Section 881(c) of the Code, is not</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“10 percent shareholder” (within the meaning of Section 871(h)(3)(B) of the Code) of the Borrower and is not a controlled foreign corporation related to the Borrower (within the meaning of Section 864(d)(4) of the Code), and such Non-U.S. Lender agrees that it shall promptly notify each Agent and the Borrower in the event any such representation is no longer accurate. In addition, each Non-U.S. Lender shall deliver such forms as promptly as practicable if any such previously delivered from becomes obsolete or incorrect and otherwise from time to time after receipt of a written request therefor from an Agent or the Borrower. Each Secured Party shall deliver to the Borrower and each Agent such documentation reasonably requested by the Borrower or such Agent sufficient for the Borrower and each Agent to comply with their withholding, reporting and other obligations under FATCA. Solely for purposes of this clause (g), “FATCA” shall include any amendment made to FATCA after the date of this Agreement.</w:t>
      </w:r>
    </w:p>
    <w:p>
      <w:pPr>
        <w:spacing w:after="0" w:line="181" w:lineRule="exact"/>
        <w:rPr>
          <w:sz w:val="20"/>
          <w:szCs w:val="20"/>
          <w:color w:val="auto"/>
        </w:rPr>
      </w:pPr>
    </w:p>
    <w:p>
      <w:pPr>
        <w:ind w:firstLine="921"/>
        <w:spacing w:after="0" w:line="255" w:lineRule="auto"/>
        <w:tabs>
          <w:tab w:leader="none" w:pos="116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If any Lender requires the Borrower to pay any additional amount to any Secured Party or any taxing Authority for the account of any Lender or to indemnify a Secured Party pursuant to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exercised in good faith, that such designation or assignment (i) would eliminate or reduce amounts payable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12.03</w:t>
      </w:r>
      <w:r>
        <w:rPr>
          <w:rFonts w:ascii="Arial" w:cs="Arial" w:eastAsia="Arial" w:hAnsi="Arial"/>
          <w:sz w:val="18"/>
          <w:szCs w:val="18"/>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9" w:lineRule="exact"/>
        <w:rPr>
          <w:rFonts w:ascii="Arial" w:cs="Arial" w:eastAsia="Arial" w:hAnsi="Arial"/>
          <w:sz w:val="18"/>
          <w:szCs w:val="18"/>
          <w:color w:val="auto"/>
        </w:rPr>
      </w:pPr>
    </w:p>
    <w:p>
      <w:pPr>
        <w:ind w:right="520" w:firstLine="921"/>
        <w:spacing w:after="0" w:line="277" w:lineRule="auto"/>
        <w:tabs>
          <w:tab w:leader="none" w:pos="11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shall be construed to require the Secured Party to make available its tax returns (or any other information relating to its taxes that it deems confidential) to the Borrower or any other Person.</w:t>
      </w:r>
    </w:p>
    <w:p>
      <w:pPr>
        <w:spacing w:after="0" w:line="170" w:lineRule="exact"/>
        <w:rPr>
          <w:rFonts w:ascii="Arial" w:cs="Arial" w:eastAsia="Arial" w:hAnsi="Arial"/>
          <w:sz w:val="18"/>
          <w:szCs w:val="18"/>
          <w:color w:val="auto"/>
        </w:rPr>
      </w:pPr>
    </w:p>
    <w:p>
      <w:pPr>
        <w:ind w:firstLine="921"/>
        <w:spacing w:after="0" w:line="277" w:lineRule="auto"/>
        <w:tabs>
          <w:tab w:leader="none" w:pos="11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shall survive any assignment of rights by, or the replacement of, a Lender, the termination of the Commitments and the repayment, satisfaction or discharge of all obligations under this Agreement or the Notes.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Costs and Expenses; Indemnification</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59" w:lineRule="auto"/>
        <w:tabs>
          <w:tab w:leader="none" w:pos="115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Borrower agrees to promptly pay on demand all reasonable and documented out-of-pocket costs and expenses of the Agents in connection with the administration and any waiver, consent, modification, amendment or similar agreement in respect of this Agreement, the Notes or any other Facility Document and advising the Agents as to their respective rights, remedies and responsibilities. The Borrower agrees to promptly pay on demand all costs and expenses of each of the Secured Parties in connection with the enforcement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274" w:right="279" w:bottom="1440" w:gutter="0" w:footer="0" w:header="0"/>
        </w:sectPr>
      </w:pPr>
    </w:p>
    <w:bookmarkStart w:id="254" w:name="page255"/>
    <w:bookmarkEnd w:id="254"/>
    <w:p>
      <w:pPr>
        <w:ind w:right="2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this Agreement, the Notes or any other Facility Document, including the reasonable and documented fees and disbursements of one outside counsel and one local counsel in each relevant jurisdiction for each of the Facility Agent and the Collateral Agent in connection therewith.</w:t>
      </w:r>
    </w:p>
    <w:p>
      <w:pPr>
        <w:spacing w:after="0" w:line="147" w:lineRule="exact"/>
        <w:rPr>
          <w:sz w:val="20"/>
          <w:szCs w:val="20"/>
          <w:color w:val="auto"/>
        </w:rPr>
      </w:pPr>
    </w:p>
    <w:p>
      <w:pPr>
        <w:ind w:firstLine="921"/>
        <w:spacing w:after="0" w:line="285" w:lineRule="auto"/>
        <w:tabs>
          <w:tab w:leader="none" w:pos="116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Borrower agrees to indemnify and hold harmless each Secured Party and each of their Affiliates and the respective officers, directors, employees, agents, managers of, and any Person controlling any of, the foregoing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(collectively, the “</w:t>
      </w:r>
      <w:r>
        <w:rPr>
          <w:rFonts w:ascii="Arial" w:cs="Arial" w:eastAsia="Arial" w:hAnsi="Arial"/>
          <w:sz w:val="16"/>
          <w:szCs w:val="16"/>
          <w:u w:val="single" w:color="auto"/>
          <w:color w:val="auto"/>
        </w:rPr>
        <w:t>Liabilities</w:t>
      </w:r>
      <w:r>
        <w:rPr>
          <w:rFonts w:ascii="Arial" w:cs="Arial" w:eastAsia="Arial" w:hAnsi="Arial"/>
          <w:sz w:val="16"/>
          <w:szCs w:val="16"/>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 thereby; (ii) any breach or alleged breach of any covenant by the Borrower contained in any Facility Document; (iii) any representation or warranty made or deemed made by the Borrower contained in any Facility Document or in any certificate, statement or report delivered in connection therewith is, or is alleged to be, false or misleading; (iv) any failure by the Borrower to comply with any Applicable Law or contractual obligation binding upon it; (v) any failure to vest, or delay in vesting, in the Secured Parties a first-priority perfected security interest in all of the Collateral free and clear of all Liens, other than Permitted Liens; (vi) any action or omission, not expressly authorized by the Facility Documents, by the Borrower or any Affiliate of the Borrower which has the effect of reducing or impairing the Collateral or the rights of the Agents or the Secured Parties with respect thereto; and (vii) any Default or Event of Default; except to the extent any such Liability is found in a final, non-appealable judgment by a court of competent jurisdiction to have resulted from such Indemnified Party’s gross negligence or willful misconduct.</w:t>
      </w:r>
    </w:p>
    <w:p>
      <w:pPr>
        <w:spacing w:after="0" w:line="39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Assignability; Participation; Register</w:t>
      </w:r>
      <w:r>
        <w:rPr>
          <w:rFonts w:ascii="Arial" w:cs="Arial" w:eastAsia="Arial" w:hAnsi="Arial"/>
          <w:sz w:val="18"/>
          <w:szCs w:val="18"/>
          <w:color w:val="auto"/>
        </w:rPr>
        <w:t>.</w:t>
      </w:r>
    </w:p>
    <w:p>
      <w:pPr>
        <w:spacing w:after="0" w:line="117" w:lineRule="exact"/>
        <w:rPr>
          <w:sz w:val="20"/>
          <w:szCs w:val="20"/>
          <w:color w:val="auto"/>
        </w:rPr>
      </w:pPr>
    </w:p>
    <w:p>
      <w:pPr>
        <w:ind w:right="360" w:firstLine="921"/>
        <w:spacing w:after="0" w:line="277" w:lineRule="auto"/>
        <w:tabs>
          <w:tab w:leader="none" w:pos="115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Each Lender may assign to an assignee all or a portion of its rights and obligations under this Agreement (including all or a portion of its outstanding Advances or interests therein owned by it, together with ratable portions of its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274" w:right="279" w:bottom="1440" w:gutter="0" w:footer="0" w:header="0"/>
        </w:sectPr>
      </w:pPr>
    </w:p>
    <w:bookmarkStart w:id="255" w:name="page256"/>
    <w:bookmarkEnd w:id="255"/>
    <w:p>
      <w:pPr>
        <w:ind w:left="1560" w:hanging="219"/>
        <w:spacing w:after="0"/>
        <w:tabs>
          <w:tab w:leader="none" w:pos="15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Facility Agent has consented thereto; and</w:t>
      </w:r>
    </w:p>
    <w:p>
      <w:pPr>
        <w:spacing w:after="0" w:line="117" w:lineRule="exact"/>
        <w:rPr>
          <w:rFonts w:ascii="Arial" w:cs="Arial" w:eastAsia="Arial" w:hAnsi="Arial"/>
          <w:sz w:val="18"/>
          <w:szCs w:val="18"/>
          <w:color w:val="auto"/>
        </w:rPr>
      </w:pPr>
    </w:p>
    <w:p>
      <w:pPr>
        <w:ind w:left="460" w:right="20" w:firstLine="881"/>
        <w:spacing w:after="0" w:line="259" w:lineRule="auto"/>
        <w:tabs>
          <w:tab w:leader="none" w:pos="160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Borrower has consented thereto (such consent not to be unreasonably withheld, delayed or conditioned), unless (A) the assignee is a Permitted Assignee with respect to such assignor, (B) the assignee is Natixis, an Affiliate of Natixis, or any commercial paper program or vehicle established or administered by Natixis or an Affiliate of Natixis or for which Natixis or an Affiliate of Natixis provides liquidity support, or (C) an Event of Default has occurred and is continuing.</w:t>
      </w:r>
    </w:p>
    <w:p>
      <w:pPr>
        <w:spacing w:after="0" w:line="18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 xml:space="preserve">The parties to each such assignment shall execute and deliver to the Facility Agent an Assignment and Acceptance and the assignee shall deliver to each Agent and the Borrower the information required to be delivered by each Secured Party pursuant to </w:t>
      </w:r>
      <w:r>
        <w:rPr>
          <w:rFonts w:ascii="Arial" w:cs="Arial" w:eastAsia="Arial" w:hAnsi="Arial"/>
          <w:sz w:val="17"/>
          <w:szCs w:val="17"/>
          <w:u w:val="single" w:color="auto"/>
          <w:color w:val="auto"/>
        </w:rPr>
        <w:t>Section 12.03(g)</w:t>
      </w:r>
      <w:r>
        <w:rPr>
          <w:rFonts w:ascii="Arial" w:cs="Arial" w:eastAsia="Arial" w:hAnsi="Arial"/>
          <w:sz w:val="17"/>
          <w:szCs w:val="17"/>
          <w:color w:val="auto"/>
        </w:rPr>
        <w:t xml:space="preserve">. No assignee shall be entitled to any amount under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12.03</w:t>
      </w:r>
      <w:r>
        <w:rPr>
          <w:rFonts w:ascii="Arial" w:cs="Arial" w:eastAsia="Arial" w:hAnsi="Arial"/>
          <w:sz w:val="17"/>
          <w:szCs w:val="17"/>
          <w:color w:val="auto"/>
        </w:rPr>
        <w:t xml:space="preserve"> which is greater than the amount the related Lender would have been entitled to under any such Sections or provisions if the applicable assignment had not occurred. Notwithstanding any other provision of this </w:t>
      </w:r>
      <w:r>
        <w:rPr>
          <w:rFonts w:ascii="Arial" w:cs="Arial" w:eastAsia="Arial" w:hAnsi="Arial"/>
          <w:sz w:val="17"/>
          <w:szCs w:val="17"/>
          <w:u w:val="single" w:color="auto"/>
          <w:color w:val="auto"/>
        </w:rPr>
        <w:t>Section 12.06</w:t>
      </w:r>
      <w:r>
        <w:rPr>
          <w:rFonts w:ascii="Arial" w:cs="Arial" w:eastAsia="Arial" w:hAnsi="Arial"/>
          <w:sz w:val="17"/>
          <w:szCs w:val="17"/>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Facility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grant of a security interest shall release such Lender from any of its obligations hereunder or substitute any such pledgee or grantee for such Lender as a party hereto. Any purported assignment to an assignee that does not comply with the requirements of this </w:t>
      </w:r>
      <w:r>
        <w:rPr>
          <w:rFonts w:ascii="Arial" w:cs="Arial" w:eastAsia="Arial" w:hAnsi="Arial"/>
          <w:sz w:val="17"/>
          <w:szCs w:val="17"/>
          <w:u w:val="single" w:color="auto"/>
          <w:color w:val="auto"/>
        </w:rPr>
        <w:t>Section 12.06</w:t>
      </w:r>
      <w:r>
        <w:rPr>
          <w:rFonts w:ascii="Arial" w:cs="Arial" w:eastAsia="Arial" w:hAnsi="Arial"/>
          <w:sz w:val="17"/>
          <w:szCs w:val="17"/>
          <w:color w:val="auto"/>
        </w:rPr>
        <w:t xml:space="preserve"> will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w:t>
      </w:r>
    </w:p>
    <w:p>
      <w:pPr>
        <w:spacing w:after="0" w:line="182" w:lineRule="exact"/>
        <w:rPr>
          <w:sz w:val="20"/>
          <w:szCs w:val="20"/>
          <w:color w:val="auto"/>
        </w:rPr>
      </w:pPr>
    </w:p>
    <w:p>
      <w:pPr>
        <w:ind w:right="160" w:firstLine="921"/>
        <w:spacing w:after="0" w:line="277" w:lineRule="auto"/>
        <w:tabs>
          <w:tab w:leader="none" w:pos="116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Borrower may not assign any of its rights hereunder or any interest herein or delegate any of its obligations hereunder without the prior written consent of the Agents and the Lenders.</w:t>
      </w:r>
    </w:p>
    <w:p>
      <w:pPr>
        <w:spacing w:after="0" w:line="170" w:lineRule="exact"/>
        <w:rPr>
          <w:rFonts w:ascii="Arial" w:cs="Arial" w:eastAsia="Arial" w:hAnsi="Arial"/>
          <w:sz w:val="18"/>
          <w:szCs w:val="18"/>
          <w:color w:val="auto"/>
        </w:rPr>
      </w:pPr>
    </w:p>
    <w:p>
      <w:pPr>
        <w:ind w:firstLine="921"/>
        <w:spacing w:after="0" w:line="255" w:lineRule="auto"/>
        <w:tabs>
          <w:tab w:leader="none" w:pos="115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Lender may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(C) the Borrower, the Agents and the other Lenders shall continue to deal solely and directly with such Lender in connection with such Lender’s rights and obligations under this Agreement and (D) each Participant shall have agreed to be bound by this </w:t>
      </w:r>
      <w:r>
        <w:rPr>
          <w:rFonts w:ascii="Arial" w:cs="Arial" w:eastAsia="Arial" w:hAnsi="Arial"/>
          <w:sz w:val="18"/>
          <w:szCs w:val="18"/>
          <w:u w:val="single" w:color="auto"/>
          <w:color w:val="auto"/>
        </w:rPr>
        <w:t>Section 12.06(c)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12.06(e)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12.09(b)</w:t>
      </w:r>
      <w:r>
        <w:rPr>
          <w:rFonts w:ascii="Arial" w:cs="Arial" w:eastAsia="Arial" w:hAnsi="Arial"/>
          <w:sz w:val="18"/>
          <w:szCs w:val="18"/>
          <w:color w:val="auto"/>
        </w:rPr>
        <w:t>. In the event that any Lender sells participations in any portion of its rights and obligations hereunder:</w:t>
      </w:r>
    </w:p>
    <w:p>
      <w:pPr>
        <w:spacing w:after="0" w:line="85" w:lineRule="exact"/>
        <w:rPr>
          <w:rFonts w:ascii="Arial" w:cs="Arial" w:eastAsia="Arial" w:hAnsi="Arial"/>
          <w:sz w:val="18"/>
          <w:szCs w:val="18"/>
          <w:color w:val="auto"/>
        </w:rPr>
      </w:pPr>
    </w:p>
    <w:p>
      <w:pPr>
        <w:ind w:left="460" w:right="40" w:firstLine="881"/>
        <w:spacing w:after="0" w:line="255" w:lineRule="auto"/>
        <w:tabs>
          <w:tab w:leader="none" w:pos="1551" w:val="left"/>
        </w:tabs>
        <w:numPr>
          <w:ilvl w:val="1"/>
          <w:numId w:val="269"/>
        </w:numPr>
        <w:rPr>
          <w:rFonts w:ascii="Arial" w:cs="Arial" w:eastAsia="Arial" w:hAnsi="Arial"/>
          <w:sz w:val="18"/>
          <w:szCs w:val="18"/>
          <w:color w:val="auto"/>
        </w:rPr>
      </w:pPr>
      <w:r>
        <w:rPr>
          <w:rFonts w:ascii="Arial" w:cs="Arial" w:eastAsia="Arial" w:hAnsi="Arial"/>
          <w:sz w:val="18"/>
          <w:szCs w:val="18"/>
          <w:color w:val="auto"/>
        </w:rPr>
        <w:t xml:space="preserve">the agreement pursuant to which such Lender sells such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may provide that such Lender will not, without the consent of the Participant, agree to any amendment, modification, supplement or waiver that requires the consent of all of the Lenders.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12.03</w:t>
      </w:r>
      <w:r>
        <w:rPr>
          <w:rFonts w:ascii="Arial" w:cs="Arial" w:eastAsia="Arial" w:hAnsi="Arial"/>
          <w:sz w:val="18"/>
          <w:szCs w:val="18"/>
          <w:color w:val="auto"/>
        </w:rPr>
        <w:t xml:space="preserve"> shall apply to each Participant as if it were a Lender and had acquired its interest by assignment pursuant to paragraph (a) of this Section; provided that no Participant shall be entitled to any amount under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12.03</w:t>
      </w:r>
      <w:r>
        <w:rPr>
          <w:rFonts w:ascii="Arial" w:cs="Arial" w:eastAsia="Arial" w:hAnsi="Arial"/>
          <w:sz w:val="18"/>
          <w:szCs w:val="18"/>
          <w:color w:val="auto"/>
        </w:rPr>
        <w:t xml:space="preserve"> which is greater than the amount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274" w:right="259" w:bottom="1440" w:gutter="0" w:footer="0" w:header="0"/>
        </w:sectPr>
      </w:pPr>
    </w:p>
    <w:bookmarkStart w:id="256" w:name="page257"/>
    <w:bookmarkEnd w:id="2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related Lender would have been entitled to under any such Sections or provisions if the applicable participation had not occurred; and</w:t>
      </w:r>
    </w:p>
    <w:p>
      <w:pPr>
        <w:spacing w:after="0" w:line="117" w:lineRule="exact"/>
        <w:rPr>
          <w:sz w:val="20"/>
          <w:szCs w:val="20"/>
          <w:color w:val="auto"/>
        </w:rPr>
      </w:pPr>
    </w:p>
    <w:p>
      <w:pPr>
        <w:ind w:left="440" w:right="180" w:firstLine="881"/>
        <w:spacing w:after="0" w:line="255" w:lineRule="auto"/>
        <w:tabs>
          <w:tab w:leader="none" w:pos="158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An Advance may be participated in whole or in part only by registration of such participation on the Participant Register (and each Note, if any, shall expressly so provide). Any participation of such Advance may be effected only by the registration of such participation on the Participant Register. The Participant Register shall be available for inspection by the Borrower at any reasonable time and from time to time upon reasonable prior notice.</w:t>
      </w:r>
    </w:p>
    <w:p>
      <w:pPr>
        <w:spacing w:after="0" w:line="193" w:lineRule="exact"/>
        <w:rPr>
          <w:rFonts w:ascii="Arial" w:cs="Arial" w:eastAsia="Arial" w:hAnsi="Arial"/>
          <w:sz w:val="18"/>
          <w:szCs w:val="18"/>
          <w:color w:val="auto"/>
        </w:rPr>
      </w:pPr>
    </w:p>
    <w:p>
      <w:pPr>
        <w:ind w:left="-20" w:firstLine="921"/>
        <w:spacing w:after="0" w:line="268" w:lineRule="auto"/>
        <w:tabs>
          <w:tab w:leader="none" w:pos="114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The Facility Agent, on behalf of and acting solely for this purpose as the nonfiduciary agent of the Borrower, shall maintain at its address specified in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or such other address as the Facility Agent shall designate in writing to the Lenders, a copy of this Agreement and each signature page hereto and each Assignment and Acceptance delivered to and accepted by it and a register (the “</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for the recordation of (i) the names and addresses of the Lenders (ii) the amount of each Advance made hereunder by each Lender to the Borrower, (iii) the amount of any principal due and payable or to become due and payable from the Borrower to each Lender hereunder, (iv) the amount of any principal sum paid by the Borrower hereunder and each Lender’s share thereof and (v) the aggregate outstanding principal amount of the outstanding Advances maintained by each Lender under this Agreement (and any stated interest thereon) after giving effect to any assignment hereunder. The entries in the Register shall be conclusive and binding for all purposes, absent manifest error, and the Borrower, the Agents and the Lenders shall treat each Person whose name is recorded in the Register as a Lender hereunder for all purposes of this Agreement. The entries maintained in the accounts and Register maintained pursuant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12.06(d)</w:t>
      </w:r>
      <w:r>
        <w:rPr>
          <w:rFonts w:ascii="Arial" w:cs="Arial" w:eastAsia="Arial" w:hAnsi="Arial"/>
          <w:sz w:val="17"/>
          <w:szCs w:val="17"/>
          <w:color w:val="auto"/>
        </w:rPr>
        <w:t xml:space="preserve"> shall be </w:t>
      </w:r>
      <w:r>
        <w:rPr>
          <w:rFonts w:ascii="Arial" w:cs="Arial" w:eastAsia="Arial" w:hAnsi="Arial"/>
          <w:sz w:val="17"/>
          <w:szCs w:val="17"/>
          <w:u w:val="single" w:color="auto"/>
          <w:color w:val="auto"/>
        </w:rPr>
        <w:t>prima</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facie</w:t>
      </w:r>
      <w:r>
        <w:rPr>
          <w:rFonts w:ascii="Arial" w:cs="Arial" w:eastAsia="Arial" w:hAnsi="Arial"/>
          <w:sz w:val="17"/>
          <w:szCs w:val="17"/>
          <w:color w:val="auto"/>
        </w:rPr>
        <w:t xml:space="preserve"> evidence of the existence and amounts of the Advances therein recorded; provided that the failure of the Facility Agent or any Lender to maintain such accounts or any error therein shall not in any manner affect the obligation of the Borrower to repay the Advances in accordance with the terms of this Agreement. The Register shall be available for inspection by the Borrower or any Lender at any reasonable time and from time to time upon reasonable prior notice. An Advance (and a Note, if any, evidencing the same) may be assigned or sold in whole or in part only by registration of such assignment or sale on the Register (and each Note, if any, shall expressly so provide). The Facility Agent shall update and furnish to the Collateral Agent and the Borrower from time to time at the request of the Collateral Agent or the Borrower an updated version of Schedule 1 reflecting the then-current allocation of the Commitments.</w:t>
      </w:r>
    </w:p>
    <w:p>
      <w:pPr>
        <w:spacing w:after="0" w:line="180" w:lineRule="exact"/>
        <w:rPr>
          <w:rFonts w:ascii="Arial" w:cs="Arial" w:eastAsia="Arial" w:hAnsi="Arial"/>
          <w:sz w:val="17"/>
          <w:szCs w:val="17"/>
          <w:color w:val="auto"/>
        </w:rPr>
      </w:pPr>
    </w:p>
    <w:p>
      <w:pPr>
        <w:ind w:left="-20" w:right="340" w:firstLine="921"/>
        <w:spacing w:after="0" w:line="308" w:lineRule="auto"/>
        <w:tabs>
          <w:tab w:leader="none" w:pos="113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or in any other Facility Document, each Lender hereunder, and each Participant, must at all times be a “</w:t>
      </w:r>
      <w:r>
        <w:rPr>
          <w:rFonts w:ascii="Arial" w:cs="Arial" w:eastAsia="Arial" w:hAnsi="Arial"/>
          <w:sz w:val="17"/>
          <w:szCs w:val="17"/>
          <w:u w:val="single" w:color="auto"/>
          <w:color w:val="auto"/>
        </w:rPr>
        <w:t>qualified purchaser</w:t>
      </w:r>
      <w:r>
        <w:rPr>
          <w:rFonts w:ascii="Arial" w:cs="Arial" w:eastAsia="Arial" w:hAnsi="Arial"/>
          <w:sz w:val="17"/>
          <w:szCs w:val="17"/>
          <w:color w:val="auto"/>
        </w:rPr>
        <w:t>” as defined in the Investment Company Act (a “</w:t>
      </w:r>
      <w:r>
        <w:rPr>
          <w:rFonts w:ascii="Arial" w:cs="Arial" w:eastAsia="Arial" w:hAnsi="Arial"/>
          <w:sz w:val="17"/>
          <w:szCs w:val="17"/>
          <w:u w:val="single" w:color="auto"/>
          <w:color w:val="auto"/>
        </w:rPr>
        <w:t>Qualified Purchaser</w:t>
      </w:r>
      <w:r>
        <w:rPr>
          <w:rFonts w:ascii="Arial" w:cs="Arial" w:eastAsia="Arial" w:hAnsi="Arial"/>
          <w:sz w:val="17"/>
          <w:szCs w:val="17"/>
          <w:color w:val="auto"/>
        </w:rPr>
        <w:t>”). Accordingly:</w:t>
      </w:r>
    </w:p>
    <w:p>
      <w:pPr>
        <w:spacing w:after="0" w:line="38" w:lineRule="exact"/>
        <w:rPr>
          <w:rFonts w:ascii="Arial" w:cs="Arial" w:eastAsia="Arial" w:hAnsi="Arial"/>
          <w:sz w:val="17"/>
          <w:szCs w:val="17"/>
          <w:color w:val="auto"/>
        </w:rPr>
      </w:pPr>
    </w:p>
    <w:p>
      <w:pPr>
        <w:ind w:left="440" w:right="160" w:firstLine="881"/>
        <w:spacing w:after="0" w:line="342" w:lineRule="auto"/>
        <w:tabs>
          <w:tab w:leader="none" w:pos="1531" w:val="left"/>
        </w:tabs>
        <w:numPr>
          <w:ilvl w:val="1"/>
          <w:numId w:val="271"/>
        </w:numPr>
        <w:rPr>
          <w:rFonts w:ascii="Arial" w:cs="Arial" w:eastAsia="Arial" w:hAnsi="Arial"/>
          <w:sz w:val="16"/>
          <w:szCs w:val="16"/>
          <w:color w:val="auto"/>
        </w:rPr>
      </w:pPr>
      <w:r>
        <w:rPr>
          <w:rFonts w:ascii="Arial" w:cs="Arial" w:eastAsia="Arial" w:hAnsi="Arial"/>
          <w:sz w:val="16"/>
          <w:szCs w:val="16"/>
          <w:color w:val="auto"/>
        </w:rPr>
        <w:t>each Lender represents to the Borrower, (A) on the date that it becomes a party to this Agreement (whether by being a signatory hereto or by entering into an Assignment and Acceptance) and (B) on each date on which it makes an Advance hereunder, that it is a Qualified Purchaser;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60" w:top="274" w:right="239" w:bottom="1440" w:gutter="0" w:footer="0" w:header="0"/>
        </w:sectPr>
      </w:pPr>
    </w:p>
    <w:bookmarkStart w:id="257" w:name="page258"/>
    <w:bookmarkEnd w:id="257"/>
    <w:p>
      <w:pPr>
        <w:ind w:left="460" w:right="180" w:firstLine="881"/>
        <w:spacing w:after="0" w:line="277" w:lineRule="auto"/>
        <w:tabs>
          <w:tab w:leader="none" w:pos="1601"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Lender agrees that it shall not assign, or grant any participations in, any of its Advances or its Commitment to any Person unless such Person is a Qualified Purchaser; and</w:t>
      </w:r>
    </w:p>
    <w:p>
      <w:pPr>
        <w:spacing w:after="0" w:line="62" w:lineRule="exact"/>
        <w:rPr>
          <w:rFonts w:ascii="Arial" w:cs="Arial" w:eastAsia="Arial" w:hAnsi="Arial"/>
          <w:sz w:val="18"/>
          <w:szCs w:val="18"/>
          <w:color w:val="auto"/>
        </w:rPr>
      </w:pPr>
    </w:p>
    <w:p>
      <w:pPr>
        <w:ind w:left="460" w:right="60" w:firstLine="881"/>
        <w:spacing w:after="0" w:line="259" w:lineRule="auto"/>
        <w:tabs>
          <w:tab w:leader="none" w:pos="165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Borrower agrees that, to the extent it has the right to consent to any assignment or participation herein, it shall not consent to such assignment or participation hereunder unless it reasonably believes that the assignee or participant is a Qualified Purchaser and that such assignment or participation will not cause the Borrower or the pool of Collateral to be required to register as an investment company under the Investment Company Act.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THIS AGREEMENT AND THE RIGHTS AND OBLIGATIONS OF THE PARTIES UNDER THIS AGREEMENT SHALL BE GOVERNED BY AND CONSTRUED IN ACCORDANCE WITH THE LAW OF THE STATE OF NEW YORK.</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Each Secured Party agrees to keep confidential all information provided to it by the Borrower or the Investment Manager with respect to the Borrower, its Affiliates, the Collateral, the Related Documents, the Obligors or any other information furnished to any other Secured Party pursuant to this Agreement or any other Facility Document (collectively, the “</w:t>
      </w:r>
      <w:r>
        <w:rPr>
          <w:rFonts w:ascii="Arial" w:cs="Arial" w:eastAsia="Arial" w:hAnsi="Arial"/>
          <w:sz w:val="16"/>
          <w:szCs w:val="16"/>
          <w:u w:val="single" w:color="auto"/>
          <w:color w:val="auto"/>
        </w:rPr>
        <w:t>Borrower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prevent any Secured Party from disclosing any Borrower Information (a) to any Secured Party or any Affiliate of a Secured Party, any of their respective Affiliates, employees, directors, agents, attorneys, accountants and other professional advisors (collectively, the “</w:t>
      </w:r>
      <w:r>
        <w:rPr>
          <w:rFonts w:ascii="Arial" w:cs="Arial" w:eastAsia="Arial" w:hAnsi="Arial"/>
          <w:sz w:val="16"/>
          <w:szCs w:val="16"/>
          <w:u w:val="single" w:color="auto"/>
          <w:color w:val="auto"/>
        </w:rPr>
        <w:t>Secured Party Representatives</w:t>
      </w:r>
      <w:r>
        <w:rPr>
          <w:rFonts w:ascii="Arial" w:cs="Arial" w:eastAsia="Arial" w:hAnsi="Arial"/>
          <w:sz w:val="16"/>
          <w:szCs w:val="16"/>
          <w:color w:val="auto"/>
        </w:rPr>
        <w:t>”), it being understood that the Persons to whom such disclosure is made will be informed prior to such disclosure of the confidential nature of such Borrower Information and instructed to keep such Borrower Information confidential, (b) subject to an agreement to comply with the provisions of this Section and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(c) upon the request or demand of any Authority with jurisdiction over any Secured Party or any of its Affiliates or any Secured Party Representative, (d) in response to any order of any court or other Authority or as may otherwise be required to be disclosed pursuant to any Applicable Law, (e) that is a matter of general public knowledge or that has heretofore been made available to the public by any Person other than any Secured Party or any Secured Party Representative, (f) any nationally recognized rating agency that requires access to information about a Secured Party’s investment portfolio in connection with ratings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274" w:right="259" w:bottom="1440" w:gutter="0" w:footer="0" w:header="0"/>
        </w:sectPr>
      </w:pPr>
    </w:p>
    <w:bookmarkStart w:id="258" w:name="page259"/>
    <w:bookmarkEnd w:id="258"/>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issued with respect to such Secured Party, it being understood that the Persons to whom such disclosure is made will be informed of the confidential nature of such Borrower Information and instructed to keep such Borrower Information confidential, (g) in connection with the exercise of any remedy hereunder or under any other Facility Document (including, without limitation, under </w:t>
      </w:r>
      <w:r>
        <w:rPr>
          <w:rFonts w:ascii="Arial" w:cs="Arial" w:eastAsia="Arial" w:hAnsi="Arial"/>
          <w:sz w:val="18"/>
          <w:szCs w:val="18"/>
          <w:u w:val="single" w:color="auto"/>
          <w:color w:val="auto"/>
        </w:rPr>
        <w:t>Article VII</w:t>
      </w:r>
      <w:r>
        <w:rPr>
          <w:rFonts w:ascii="Arial" w:cs="Arial" w:eastAsia="Arial" w:hAnsi="Arial"/>
          <w:sz w:val="18"/>
          <w:szCs w:val="18"/>
          <w:color w:val="auto"/>
        </w:rPr>
        <w:t>) or (h) to any Program Manager or Conduit Support Provider of a CP Lender or Affiliate, it being understood that the Persons to whom such disclosure is made will be informed of the confidential nature of such Borrower Information and instructed to keep such Borrower Information confidential.</w:t>
      </w:r>
    </w:p>
    <w:p>
      <w:pPr>
        <w:spacing w:after="0" w:line="18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Notwithstanding anything to the contrary contained herein or in any of the other Facility Documents, each of the parties hereto acknowledges and agrees that each CP Lender (or its Program Manager or Conduit Support Provider, as applicable) may post to a secured password-protected internet website maintained by such CP Lender (or its Program Manager or Conduit Support Provider, as applicable) and required by any rating agency that rates the Commercial Paper Notes of any CP Conduit in connection with Rule 17g-5 of the Exchange Act, the following information: (i) its Conduit Support Facility,</w:t>
      </w:r>
    </w:p>
    <w:p>
      <w:pPr>
        <w:spacing w:after="0" w:line="2" w:lineRule="exact"/>
        <w:rPr>
          <w:sz w:val="20"/>
          <w:szCs w:val="20"/>
          <w:color w:val="auto"/>
        </w:rPr>
      </w:pPr>
    </w:p>
    <w:p>
      <w:pPr>
        <w:ind w:right="160" w:firstLine="8"/>
        <w:spacing w:after="0" w:line="292" w:lineRule="auto"/>
        <w:tabs>
          <w:tab w:leader="none" w:pos="26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a copy of this Agreement (including any amendments hereto, but excluding the Schedules and Exhibits hereto), (iii) its monthly transaction surveillance reports (substantially in the form provided to the Borrower on or before the Original Closing Date), and (iv) such other information as may be requested by such rating agency;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being permitted to access to such website, each prospective user will be informed of the confidential nature of information posted therein and will be permitted to access such website only subject to customary undertakings to keep such information confidential and to use such information solely for the purposes of rating the Commercial Paper Notes of the CP Lender or CP Lenders providing such information.</w:t>
      </w:r>
    </w:p>
    <w:p>
      <w:pPr>
        <w:spacing w:after="0" w:line="16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1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This Agreement, the Notes and the other Facility Documents executed by the Borrower, the Investment Manager, the Agents or the Lenders taken as a whole incorporate the entire agreement between the parties thereto concerning the subject matter thereof and such Facility Documents supersede any prior agreements among the parties relating to the subject matter thereof.</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279" w:lineRule="auto"/>
        <w:rPr>
          <w:sz w:val="20"/>
          <w:szCs w:val="20"/>
          <w:color w:val="auto"/>
        </w:rPr>
      </w:pPr>
      <w:r>
        <w:rPr>
          <w:rFonts w:ascii="Arial" w:cs="Arial" w:eastAsia="Arial" w:hAnsi="Arial"/>
          <w:sz w:val="17"/>
          <w:szCs w:val="17"/>
          <w:color w:val="auto"/>
        </w:rPr>
        <w:t xml:space="preserve">All representations and warranties made hereunder, in the other Facility Documents and in any certificate delivered pursuant hereto or thereto or in connection herewith or therewith shall survive the execution and delivery of this Agreement and the making of the Advances hereunder. The agreements in </w:t>
      </w:r>
      <w:r>
        <w:rPr>
          <w:rFonts w:ascii="Arial" w:cs="Arial" w:eastAsia="Arial" w:hAnsi="Arial"/>
          <w:sz w:val="17"/>
          <w:szCs w:val="17"/>
          <w:u w:val="single" w:color="auto"/>
          <w:color w:val="auto"/>
        </w:rPr>
        <w:t>Sections 2.04(f)</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the penultimate paragraph of </w:t>
      </w:r>
      <w:r>
        <w:rPr>
          <w:rFonts w:ascii="Arial" w:cs="Arial" w:eastAsia="Arial" w:hAnsi="Arial"/>
          <w:sz w:val="17"/>
          <w:szCs w:val="17"/>
          <w:u w:val="single" w:color="auto"/>
          <w:color w:val="auto"/>
        </w:rPr>
        <w:t>7.03</w:t>
      </w:r>
      <w:r>
        <w:rPr>
          <w:rFonts w:ascii="Arial" w:cs="Arial" w:eastAsia="Arial" w:hAnsi="Arial"/>
          <w:sz w:val="17"/>
          <w:szCs w:val="17"/>
          <w:color w:val="auto"/>
        </w:rPr>
        <w:t xml:space="preserve">, </w:t>
      </w:r>
      <w:r>
        <w:rPr>
          <w:rFonts w:ascii="Arial" w:cs="Arial" w:eastAsia="Arial" w:hAnsi="Arial"/>
          <w:sz w:val="17"/>
          <w:szCs w:val="17"/>
          <w:u w:val="single" w:color="auto"/>
          <w:color w:val="auto"/>
        </w:rPr>
        <w:t>7.06(b)</w:t>
      </w:r>
      <w:r>
        <w:rPr>
          <w:rFonts w:ascii="Arial" w:cs="Arial" w:eastAsia="Arial" w:hAnsi="Arial"/>
          <w:sz w:val="17"/>
          <w:szCs w:val="17"/>
          <w:color w:val="auto"/>
        </w:rPr>
        <w:t xml:space="preserve">,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t>
      </w:r>
      <w:r>
        <w:rPr>
          <w:rFonts w:ascii="Arial" w:cs="Arial" w:eastAsia="Arial" w:hAnsi="Arial"/>
          <w:sz w:val="17"/>
          <w:szCs w:val="17"/>
          <w:u w:val="single" w:color="auto"/>
          <w:color w:val="auto"/>
        </w:rPr>
        <w:t>12.03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12.04</w:t>
      </w:r>
      <w:r>
        <w:rPr>
          <w:rFonts w:ascii="Arial" w:cs="Arial" w:eastAsia="Arial" w:hAnsi="Arial"/>
          <w:sz w:val="17"/>
          <w:szCs w:val="17"/>
          <w:color w:val="auto"/>
        </w:rPr>
        <w:t xml:space="preserve">, </w:t>
      </w:r>
      <w:r>
        <w:rPr>
          <w:rFonts w:ascii="Arial" w:cs="Arial" w:eastAsia="Arial" w:hAnsi="Arial"/>
          <w:sz w:val="17"/>
          <w:szCs w:val="17"/>
          <w:u w:val="single" w:color="auto"/>
          <w:color w:val="auto"/>
        </w:rPr>
        <w:t>12.09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12.16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12.19</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12.11</w:t>
      </w:r>
      <w:r>
        <w:rPr>
          <w:rFonts w:ascii="Arial" w:cs="Arial" w:eastAsia="Arial" w:hAnsi="Arial"/>
          <w:sz w:val="17"/>
          <w:szCs w:val="17"/>
          <w:color w:val="auto"/>
        </w:rPr>
        <w:t xml:space="preserve"> shall survive the termination of this Agreement in whole or in part and the payment in full of the principal of and interest on the Advances.</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Submission to Jurisdiction; Waivers; Etc</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party hereto hereby irrevocably and unconditionally: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74" w:right="239" w:bottom="1440" w:gutter="0" w:footer="0" w:header="0"/>
        </w:sectPr>
      </w:pPr>
    </w:p>
    <w:bookmarkStart w:id="259" w:name="page260"/>
    <w:bookmarkEnd w:id="259"/>
    <w:p>
      <w:pPr>
        <w:jc w:val="both"/>
        <w:ind w:right="20" w:firstLine="921"/>
        <w:spacing w:after="0" w:line="286" w:lineRule="auto"/>
        <w:tabs>
          <w:tab w:leader="none" w:pos="1158" w:val="left"/>
        </w:tabs>
        <w:numPr>
          <w:ilvl w:val="0"/>
          <w:numId w:val="2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submits for itself and its property in any legal action or proceeding relating to this Agreement or the other Facility Documents to which it is a party, or for recognition and enforcement of any judgment in respect thereof, to the non-exclusive general jurisdiction of the courts of the State of New York sitting in New York County, the courts of the United States for the Southern District of New York and the appellate courts of any of them;</w:t>
      </w:r>
    </w:p>
    <w:p>
      <w:pPr>
        <w:spacing w:after="0" w:line="165" w:lineRule="exact"/>
        <w:rPr>
          <w:rFonts w:ascii="Arial" w:cs="Arial" w:eastAsia="Arial" w:hAnsi="Arial"/>
          <w:sz w:val="17"/>
          <w:szCs w:val="17"/>
          <w:color w:val="auto"/>
        </w:rPr>
      </w:pPr>
    </w:p>
    <w:p>
      <w:pPr>
        <w:ind w:right="280" w:firstLine="921"/>
        <w:spacing w:after="0" w:line="264" w:lineRule="auto"/>
        <w:tabs>
          <w:tab w:leader="none" w:pos="116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consents that any such action or proceeding may be brought in any court described in </w:t>
      </w:r>
      <w:r>
        <w:rPr>
          <w:rFonts w:ascii="Arial" w:cs="Arial" w:eastAsia="Arial" w:hAnsi="Arial"/>
          <w:sz w:val="18"/>
          <w:szCs w:val="18"/>
          <w:u w:val="single" w:color="auto"/>
          <w:color w:val="auto"/>
        </w:rPr>
        <w:t>Section 12.12(a)</w:t>
      </w:r>
      <w:r>
        <w:rPr>
          <w:rFonts w:ascii="Arial" w:cs="Arial" w:eastAsia="Arial" w:hAnsi="Arial"/>
          <w:sz w:val="18"/>
          <w:szCs w:val="18"/>
          <w:color w:val="auto"/>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right="160" w:firstLine="921"/>
        <w:spacing w:after="0" w:line="264" w:lineRule="auto"/>
        <w:tabs>
          <w:tab w:leader="none" w:pos="115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or at such other address as may be permitted thereunder;</w:t>
      </w:r>
    </w:p>
    <w:p>
      <w:pPr>
        <w:spacing w:after="0" w:line="181" w:lineRule="exact"/>
        <w:rPr>
          <w:rFonts w:ascii="Arial" w:cs="Arial" w:eastAsia="Arial" w:hAnsi="Arial"/>
          <w:sz w:val="18"/>
          <w:szCs w:val="18"/>
          <w:color w:val="auto"/>
        </w:rPr>
      </w:pPr>
    </w:p>
    <w:p>
      <w:pPr>
        <w:ind w:firstLine="921"/>
        <w:spacing w:after="0" w:line="277" w:lineRule="auto"/>
        <w:tabs>
          <w:tab w:leader="none" w:pos="116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or court; and</w:t>
      </w:r>
    </w:p>
    <w:p>
      <w:pPr>
        <w:spacing w:after="0" w:line="170" w:lineRule="exact"/>
        <w:rPr>
          <w:rFonts w:ascii="Arial" w:cs="Arial" w:eastAsia="Arial" w:hAnsi="Arial"/>
          <w:sz w:val="18"/>
          <w:szCs w:val="18"/>
          <w:color w:val="auto"/>
        </w:rPr>
      </w:pPr>
    </w:p>
    <w:p>
      <w:pPr>
        <w:ind w:right="40" w:firstLine="921"/>
        <w:spacing w:after="0" w:line="342" w:lineRule="auto"/>
        <w:tabs>
          <w:tab w:leader="none" w:pos="115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waives, to the maximum extent not prohibited by law, any right it may have to claim or recover in any legal action or proceeding against any Secured Party arising out of or relating to this Agreement or any other Facility Document any special, exemplary, punitive or consequential damages.</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113" w:lineRule="exact"/>
        <w:rPr>
          <w:sz w:val="20"/>
          <w:szCs w:val="20"/>
          <w:color w:val="auto"/>
        </w:rPr>
      </w:pPr>
    </w:p>
    <w:p>
      <w:pPr>
        <w:ind w:right="240" w:firstLine="913"/>
        <w:spacing w:after="0" w:line="266" w:lineRule="auto"/>
        <w:rPr>
          <w:sz w:val="20"/>
          <w:szCs w:val="20"/>
          <w:color w:val="auto"/>
        </w:rPr>
      </w:pPr>
      <w:r>
        <w:rPr>
          <w:rFonts w:ascii="Arial" w:cs="Arial" w:eastAsia="Arial" w:hAnsi="Arial"/>
          <w:sz w:val="18"/>
          <w:szCs w:val="18"/>
          <w:b w:val="1"/>
          <w:bCs w:val="1"/>
          <w:color w:val="auto"/>
        </w:rPr>
        <w:t>EACH OF THE PARTIES HERETO HEREBY IRREVOCABLY AND UNCONDITIONALLY WAIVES TRIAL BY JURY IN ANY LEGAL ACTION OR PROCEEDING RELATING TO THIS AGREEMENT OR ANY OTHER FACILITY DOCUMENT OR FOR ANY COUNTERCLAIM THEREIN OR RELATING THERETO.</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u w:val="single" w:color="auto"/>
          <w:color w:val="auto"/>
        </w:rPr>
        <w:t>Service of Process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Borrower hereby irrevocably designates, appoints and empowers CT Corporation System, (the “</w:t>
      </w:r>
      <w:r>
        <w:rPr>
          <w:rFonts w:ascii="Arial" w:cs="Arial" w:eastAsia="Arial" w:hAnsi="Arial"/>
          <w:sz w:val="16"/>
          <w:szCs w:val="16"/>
          <w:u w:val="single" w:color="auto"/>
          <w:color w:val="auto"/>
        </w:rPr>
        <w:t>Process Agent</w:t>
      </w:r>
      <w:r>
        <w:rPr>
          <w:rFonts w:ascii="Arial" w:cs="Arial" w:eastAsia="Arial" w:hAnsi="Arial"/>
          <w:sz w:val="16"/>
          <w:szCs w:val="16"/>
          <w:color w:val="auto"/>
        </w:rPr>
        <w:t xml:space="preserve">”), with an office on the date hereof at 111 Eighth Avenue, New York, NY 10011, as its designee, appointee and agent to receive, accept and acknowledge for and on its behalf, and its properties, assets and revenues, service for any and all legal process, summons, notices and documents which may be served in any action, suit or proceeding brought in the courts listed in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in connection with or arising out of this Agreement or any other Facility Document. If for any reason the Process Agent shall cease to act as such, the Borrower agrees to promptly designate new designees, appointees and agents in New York, New York on the terms and for the purposes of this </w:t>
      </w:r>
      <w:r>
        <w:rPr>
          <w:rFonts w:ascii="Arial" w:cs="Arial" w:eastAsia="Arial" w:hAnsi="Arial"/>
          <w:sz w:val="16"/>
          <w:szCs w:val="16"/>
          <w:u w:val="single" w:color="auto"/>
          <w:color w:val="auto"/>
        </w:rPr>
        <w:t>Section 12.14</w:t>
      </w:r>
      <w:r>
        <w:rPr>
          <w:rFonts w:ascii="Arial" w:cs="Arial" w:eastAsia="Arial" w:hAnsi="Arial"/>
          <w:sz w:val="16"/>
          <w:szCs w:val="16"/>
          <w:color w:val="auto"/>
        </w:rPr>
        <w:t xml:space="preserve"> satisfactory to the Facility Agent, which new designees, appointees and agents shall thereafter be deemed to be the Process Agent for all purposes of this Agreement and the other Facility Documents. The Borrower further hereby irrevocably consents and agrees to the service of any and all legal process, summonses, notices and documents out of any of the aforesaid courts in any such action,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40"/>
          </w:cols>
          <w:pgMar w:left="240" w:top="274" w:right="319" w:bottom="1440" w:gutter="0" w:footer="0" w:header="0"/>
        </w:sectPr>
      </w:pPr>
    </w:p>
    <w:bookmarkStart w:id="260" w:name="page261"/>
    <w:bookmarkEnd w:id="26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w:t>
      </w:r>
      <w:r>
        <w:rPr>
          <w:rFonts w:ascii="Arial" w:cs="Arial" w:eastAsia="Arial" w:hAnsi="Arial"/>
          <w:sz w:val="17"/>
          <w:szCs w:val="17"/>
          <w:u w:val="single" w:color="auto"/>
          <w:color w:val="auto"/>
        </w:rPr>
        <w:t>Section 12.14</w:t>
      </w:r>
      <w:r>
        <w:rPr>
          <w:rFonts w:ascii="Arial" w:cs="Arial" w:eastAsia="Arial" w:hAnsi="Arial"/>
          <w:sz w:val="17"/>
          <w:szCs w:val="17"/>
          <w:color w:val="auto"/>
        </w:rPr>
        <w:t>. The Borrower agrees that the failure of the Process Agent to give any notice of 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 may be permitted by Applicable Law.</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12.15 </w:t>
      </w:r>
      <w:r>
        <w:rPr>
          <w:rFonts w:ascii="Arial" w:cs="Arial" w:eastAsia="Arial" w:hAnsi="Arial"/>
          <w:sz w:val="18"/>
          <w:szCs w:val="18"/>
          <w:u w:val="single" w:color="auto"/>
          <w:color w:val="auto"/>
        </w:rPr>
        <w:t>Waiver of Immunity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To the extent that the Borrower or any of its properties, assets or revenues may have or may hereafter become entitled to, or have attributed to it, any right of immunity, on the grounds of sovereignty or other similar grounds, from any legal action, suit or proceeding in connection with or arising out of this Agreement or any other Facility Document, from the giving of any relief in any thereof, from setoff or counterclaim, from the jurisdiction of any court, from service of process, from attachment upon or prior to judgment, from attachment in aid of execution of judgment, or from execution of judgment, or other legal process or proceeding for the giving of any relief or for the enforcement of any judgment, in any jurisdiction in which proceeding may at any time be commenced, with respect to its obligations, liabilities or any other matter under or arising out of or in connection with this Agreement or any other Facility Document, the Borrower hereby irrevocably and unconditionally waives to the fullest extent permitted by Applicable Law, and agrees for the benefit of each of the Secured Parties not to plead or claim, any such immunity, and consents to such relief and enforcement.</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12.16 </w:t>
      </w:r>
      <w:r>
        <w:rPr>
          <w:rFonts w:ascii="Arial" w:cs="Arial" w:eastAsia="Arial" w:hAnsi="Arial"/>
          <w:sz w:val="18"/>
          <w:szCs w:val="18"/>
          <w:u w:val="single" w:color="auto"/>
          <w:color w:val="auto"/>
        </w:rPr>
        <w:t>Judgment in Foreign Currency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Borrower agrees to indemnify each of the Secured Parties against any loss incurred by any such payee as a result of any judgment or order being given or made for any amount due hereunder and such judgment or order being expressed and paid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Dollars and as a result of any variation as between (i) the rate of exchange at which the Dollar amount is converted into the Judgment Currency for the purpose of such judgment or order, and (ii) the rate of exchange at which such payee upon receipt of the Judgment Currency could have purchased Dollars with the amount of Judgment Currency actually received by such payee. The foregoing indemnity shall constitute a separate and independent obligation of the Borrower and shall continue in full force and effect notwithstanding any such judgment or order as aforesaid. The term “</w:t>
      </w:r>
      <w:r>
        <w:rPr>
          <w:rFonts w:ascii="Arial" w:cs="Arial" w:eastAsia="Arial" w:hAnsi="Arial"/>
          <w:sz w:val="16"/>
          <w:szCs w:val="16"/>
          <w:u w:val="single" w:color="auto"/>
          <w:color w:val="auto"/>
        </w:rPr>
        <w:t>rate of exchange</w:t>
      </w:r>
      <w:r>
        <w:rPr>
          <w:rFonts w:ascii="Arial" w:cs="Arial" w:eastAsia="Arial" w:hAnsi="Arial"/>
          <w:sz w:val="16"/>
          <w:szCs w:val="16"/>
          <w:color w:val="auto"/>
        </w:rPr>
        <w:t>” shall include any premiums and costs of exchange payable in connection with the purchase of, or conversion into, the relevant currency.</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12.17 </w:t>
      </w:r>
      <w:r>
        <w:rPr>
          <w:rFonts w:ascii="Arial" w:cs="Arial" w:eastAsia="Arial" w:hAnsi="Arial"/>
          <w:sz w:val="18"/>
          <w:szCs w:val="18"/>
          <w:u w:val="single" w:color="auto"/>
          <w:color w:val="auto"/>
        </w:rPr>
        <w:t>PATRIOT Act Notice</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Each Lender and the Collateral Agent hereby notify the Borrower that pursuant to the requirements of the USA PATRIOT Act (Title III of Pub. L. 107-56 (signed into law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274" w:right="259" w:bottom="1440" w:gutter="0" w:footer="0" w:header="0"/>
        </w:sectPr>
      </w:pPr>
    </w:p>
    <w:bookmarkStart w:id="261" w:name="page262"/>
    <w:bookmarkEnd w:id="26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or the Collateral Agent in order to assist such Person in maintaining compliance with the PATRIOT Act.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12.18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302" w:lineRule="auto"/>
        <w:rPr>
          <w:sz w:val="20"/>
          <w:szCs w:val="20"/>
          <w:color w:val="auto"/>
        </w:rPr>
      </w:pPr>
      <w:r>
        <w:rPr>
          <w:rFonts w:ascii="Arial" w:cs="Arial" w:eastAsia="Arial" w:hAnsi="Arial"/>
          <w:sz w:val="16"/>
          <w:szCs w:val="16"/>
          <w:color w:val="auto"/>
        </w:rPr>
        <w:t>In the event that the date of any Payment Date, date of prepayment or Final Maturity Date shall not be a Business 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12.19 </w:t>
      </w:r>
      <w:r>
        <w:rPr>
          <w:rFonts w:ascii="Arial" w:cs="Arial" w:eastAsia="Arial" w:hAnsi="Arial"/>
          <w:sz w:val="18"/>
          <w:szCs w:val="18"/>
          <w:u w:val="single" w:color="auto"/>
          <w:color w:val="auto"/>
        </w:rPr>
        <w:t>Non-Petition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Each of the Agents, each Lender and each Secured Party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two years and one day, or if longer, the applicable preference period then in effect plus one day, after the payment in full of the Advances and the termination of all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12.19</w:t>
      </w:r>
      <w:r>
        <w:rPr>
          <w:rFonts w:ascii="Arial" w:cs="Arial" w:eastAsia="Arial" w:hAnsi="Arial"/>
          <w:sz w:val="16"/>
          <w:szCs w:val="16"/>
          <w:color w:val="auto"/>
        </w:rPr>
        <w:t xml:space="preserve"> shall preclude, or be deemed to stop, each Agent and each Lender (i) from taking any action prior to the expiration of the aforementioned two years and one day period, or if longer the applicable preference period then in effect plus one day, in (a) any case or proceeding voluntarily filed or commenced by the Borrower or (b) any involuntary insolvency proceeding filed or commenced against the Borrower by a Person other than any Agent, Lender or Secured Party, or</w:t>
      </w:r>
    </w:p>
    <w:p>
      <w:pPr>
        <w:spacing w:after="0" w:line="3" w:lineRule="exact"/>
        <w:rPr>
          <w:sz w:val="20"/>
          <w:szCs w:val="20"/>
          <w:color w:val="auto"/>
        </w:rPr>
      </w:pPr>
    </w:p>
    <w:p>
      <w:pPr>
        <w:ind w:right="160" w:firstLine="8"/>
        <w:spacing w:after="0" w:line="255" w:lineRule="auto"/>
        <w:tabs>
          <w:tab w:leader="none" w:pos="26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from commencing against the Borrower or any properties of the Borrower any legal action which is not a bankruptcy, reorganization, receivership, arrangement, insolvency, moratorium or liquidation proceeding or other proceeding under federal or state bankruptcy or similar laws. The provisions of this </w:t>
      </w:r>
      <w:r>
        <w:rPr>
          <w:rFonts w:ascii="Arial" w:cs="Arial" w:eastAsia="Arial" w:hAnsi="Arial"/>
          <w:sz w:val="18"/>
          <w:szCs w:val="18"/>
          <w:u w:val="single" w:color="auto"/>
          <w:color w:val="auto"/>
        </w:rPr>
        <w:t>Section 12.19</w:t>
      </w:r>
      <w:r>
        <w:rPr>
          <w:rFonts w:ascii="Arial" w:cs="Arial" w:eastAsia="Arial" w:hAnsi="Arial"/>
          <w:sz w:val="18"/>
          <w:szCs w:val="18"/>
          <w:color w:val="auto"/>
        </w:rPr>
        <w:t xml:space="preserve"> shall survive the termination of this Agreement.</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12.20 </w:t>
      </w:r>
      <w:r>
        <w:rPr>
          <w:rFonts w:ascii="Arial" w:cs="Arial" w:eastAsia="Arial" w:hAnsi="Arial"/>
          <w:sz w:val="18"/>
          <w:szCs w:val="18"/>
          <w:u w:val="single" w:color="auto"/>
          <w:color w:val="auto"/>
        </w:rPr>
        <w:t>Custodianship; Delivery of Collateral Obligations and Eligible Investments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Investment Manager shall deliver or cause to be delivered to State Street Bank and Trust Company, as custodian (in such capacity,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Custodian</w:t>
      </w:r>
      <w:r>
        <w:rPr>
          <w:rFonts w:ascii="Arial" w:cs="Arial" w:eastAsia="Arial" w:hAnsi="Arial"/>
          <w:sz w:val="16"/>
          <w:szCs w:val="16"/>
          <w:color w:val="auto"/>
        </w:rPr>
        <w:t>”) and which is so appointed hereby by the Borrower, all Collateral in accordance with the definition of the term “</w:t>
      </w:r>
      <w:r>
        <w:rPr>
          <w:rFonts w:ascii="Arial" w:cs="Arial" w:eastAsia="Arial" w:hAnsi="Arial"/>
          <w:sz w:val="16"/>
          <w:szCs w:val="16"/>
          <w:u w:val="single" w:color="auto"/>
          <w:color w:val="auto"/>
        </w:rPr>
        <w:t>Deliver</w:t>
      </w:r>
      <w:r>
        <w:rPr>
          <w:rFonts w:ascii="Arial" w:cs="Arial" w:eastAsia="Arial" w:hAnsi="Arial"/>
          <w:sz w:val="16"/>
          <w:szCs w:val="16"/>
          <w:color w:val="auto"/>
        </w:rPr>
        <w:t>”. The Custodian shall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times be a Securities Intermediary. Any successor custodian shall be a state or national bank or trust company that has capital and surplus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$200,000,000, has DBRS Ratings of at least “</w:t>
      </w:r>
      <w:r>
        <w:rPr>
          <w:rFonts w:ascii="Arial" w:cs="Arial" w:eastAsia="Arial" w:hAnsi="Arial"/>
          <w:sz w:val="17"/>
          <w:szCs w:val="17"/>
          <w:u w:val="single" w:color="auto"/>
          <w:color w:val="auto"/>
        </w:rPr>
        <w:t>A (high)</w:t>
      </w:r>
      <w:r>
        <w:rPr>
          <w:rFonts w:ascii="Arial" w:cs="Arial" w:eastAsia="Arial" w:hAnsi="Arial"/>
          <w:sz w:val="17"/>
          <w:szCs w:val="17"/>
          <w:color w:val="auto"/>
        </w:rPr>
        <w:t>” and “</w:t>
      </w:r>
      <w:r>
        <w:rPr>
          <w:rFonts w:ascii="Arial" w:cs="Arial" w:eastAsia="Arial" w:hAnsi="Arial"/>
          <w:sz w:val="17"/>
          <w:szCs w:val="17"/>
          <w:u w:val="single" w:color="auto"/>
          <w:color w:val="auto"/>
        </w:rPr>
        <w:t>R-1 (middle)</w:t>
      </w:r>
      <w:r>
        <w:rPr>
          <w:rFonts w:ascii="Arial" w:cs="Arial" w:eastAsia="Arial" w:hAnsi="Arial"/>
          <w:sz w:val="17"/>
          <w:szCs w:val="17"/>
          <w:color w:val="auto"/>
        </w:rPr>
        <w:t>” and is a Securities Intermediary. The Collateral Agent or the Custodian,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applicable, shall hold (i) all Collateral Obligations, Eligible Investments, Cash and other investments purchased in accordance with this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274" w:right="279" w:bottom="1440" w:gutter="0" w:footer="0" w:header="0"/>
        </w:sectPr>
      </w:pPr>
    </w:p>
    <w:bookmarkStart w:id="262" w:name="page263"/>
    <w:bookmarkEnd w:id="262"/>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Agreement and (ii) any other property of the Borrower otherwise Delivered to the Collateral Agent or the Custodian, as applicable, by or on behalf of the Borrower, in the relevant Covered Account established and maintained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as to which in each case the Collateral Agent shall have entered into an agreement with the Custodian substantially in the form of the Account Control Agreement, inter alia, that the establishment and maintenance of such Covered Account will be governed by a law of a jurisdiction satisfactory to the Borrower, the Collateral Agent and the Facility Agent.</w:t>
      </w:r>
    </w:p>
    <w:p>
      <w:pPr>
        <w:spacing w:after="0" w:line="154" w:lineRule="exact"/>
        <w:rPr>
          <w:sz w:val="20"/>
          <w:szCs w:val="20"/>
          <w:color w:val="auto"/>
        </w:rPr>
      </w:pPr>
    </w:p>
    <w:p>
      <w:pPr>
        <w:ind w:right="20" w:firstLine="921"/>
        <w:spacing w:after="0" w:line="270" w:lineRule="auto"/>
        <w:tabs>
          <w:tab w:leader="none" w:pos="116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Each time that the Investment Manager directs or causes the acquisition of any Collateral Obligation, Eligible Investment, or other investment, the Borrower shall, if the Collateral Obligation, Eligible Investment, or other investment is required to be, but has not already been, transferred to the relevant Covered Account, cause the Collateral Obligation, Eligible Investment, or other investment to be Delivered to the Custodian to be held in the Custodial Account (or, in the case of any such investment that is not a Collateral Obligation, in the Covered Account in which the funds used to purchase the investment are held in accordance with </w:t>
      </w:r>
      <w:r>
        <w:rPr>
          <w:rFonts w:ascii="Arial" w:cs="Arial" w:eastAsia="Arial" w:hAnsi="Arial"/>
          <w:sz w:val="17"/>
          <w:szCs w:val="17"/>
          <w:u w:val="single" w:color="auto"/>
          <w:color w:val="auto"/>
        </w:rPr>
        <w:t>Article X</w:t>
      </w:r>
      <w:r>
        <w:rPr>
          <w:rFonts w:ascii="Arial" w:cs="Arial" w:eastAsia="Arial" w:hAnsi="Arial"/>
          <w:sz w:val="17"/>
          <w:szCs w:val="17"/>
          <w:color w:val="auto"/>
        </w:rPr>
        <w:t>) for the benefit of the Collateral Agent in accordance with this Agreement. The security interest of the Collateral Agent in the funds or other property used in connection with the acquisition shall, immediately and without further action on the part of the Collateral Agent, be released. The security interest of the Collateral Agent shall nevertheless come into existence and continue in the Collateral Obligation, Eligible Investment, or other investment so acquired, including all interests of the Borrower in any contracts related to and proceeds of such Collateral Obligation, Eligible Investment, or other investment.</w:t>
      </w:r>
    </w:p>
    <w:p>
      <w:pPr>
        <w:spacing w:after="0" w:line="181" w:lineRule="exact"/>
        <w:rPr>
          <w:rFonts w:ascii="Arial" w:cs="Arial" w:eastAsia="Arial" w:hAnsi="Arial"/>
          <w:sz w:val="17"/>
          <w:szCs w:val="17"/>
          <w:color w:val="auto"/>
        </w:rPr>
      </w:pPr>
    </w:p>
    <w:p>
      <w:pPr>
        <w:ind w:firstLine="921"/>
        <w:spacing w:after="0" w:line="255" w:lineRule="auto"/>
        <w:tabs>
          <w:tab w:leader="none" w:pos="115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The Custodian hereby agrees to accept the Collateral Delivered to it as set forth in </w:t>
      </w:r>
      <w:r>
        <w:rPr>
          <w:rFonts w:ascii="Arial" w:cs="Arial" w:eastAsia="Arial" w:hAnsi="Arial"/>
          <w:sz w:val="18"/>
          <w:szCs w:val="18"/>
          <w:u w:val="single" w:color="auto"/>
          <w:color w:val="auto"/>
        </w:rPr>
        <w:t>Sections 12.20(a)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 hold the Collateral in safekeeping in the applicable Account or Accounts and to invest, release and transfer the same only in accordance with the written instructions of the Investment Manager (prior to the occurrence of an Event of Default) or the Collateral Agent (after the occurrence and continuation of an Event of Default) or as otherwise provided herein or in the Account Control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any conflict, the provisions of the Account Control Agreement shall control. Interest, dividends and any other proceeds received by the Custodian with respect to the Collateral shall be distributed pursuant to the Payment Date Report;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Custodian may from time to time deduct from the Custodial Account amounts owed to it by the Borrower pursuant to the Account Control Agreement.</w:t>
      </w:r>
    </w:p>
    <w:p>
      <w:pPr>
        <w:spacing w:after="0" w:line="189" w:lineRule="exact"/>
        <w:rPr>
          <w:rFonts w:ascii="Arial" w:cs="Arial" w:eastAsia="Arial" w:hAnsi="Arial"/>
          <w:sz w:val="18"/>
          <w:szCs w:val="18"/>
          <w:color w:val="auto"/>
        </w:rPr>
      </w:pPr>
    </w:p>
    <w:p>
      <w:pPr>
        <w:jc w:val="both"/>
        <w:ind w:firstLine="921"/>
        <w:spacing w:after="0" w:line="272" w:lineRule="auto"/>
        <w:tabs>
          <w:tab w:leader="none" w:pos="116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Custodian shall be obligated only for the performance of such duties as are specifically set forth in this Agreement and the Account Control Agreement and may rely and shall be protected in acting or refraining from acting on any written notice, request, waiver, consent or instrument believed by it to be genuine and to have been signed or presented by the proper party or parties. The Custodian shall have no duty to determine or inquire into the happening or occurrence of any event or contingency, and it is agreed that its duties hereunder are purely ministerial in nature. The Custodian may consult with and obtain advice from legal counsel as to any provision hereof or its duties hereunder. The Custodian shall not be liable for any action taken or omitted by it in good faith and believed by it to be authorized hereby or taken or omitted by it in accordance with the advice of its counsel, except, in each case, to the extent such action or omission constitutes gross negligence or willful misconduct by the Custodian.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274" w:right="27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Custodian shall have all of the rights and protections afforded to the Collateral Agent pursuant to this Agreement.</w:t>
      </w:r>
    </w:p>
    <w:p>
      <w:pPr>
        <w:spacing w:after="0" w:line="225" w:lineRule="exact"/>
        <w:rPr>
          <w:sz w:val="20"/>
          <w:szCs w:val="20"/>
          <w:color w:val="auto"/>
        </w:rPr>
      </w:pPr>
    </w:p>
    <w:p>
      <w:pPr>
        <w:ind w:right="40" w:firstLine="921"/>
        <w:spacing w:after="0" w:line="342" w:lineRule="auto"/>
        <w:tabs>
          <w:tab w:leader="none" w:pos="115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Should any controversy arise between the undersigned with respect to the Collateral held by the Custodian, the Custodian shall have the right to consult with counsel and/or follow the instructions of the Collateral Agent acting at the direction of the Facility Agent on behalf of the Secured Parties.</w:t>
      </w:r>
    </w:p>
    <w:p>
      <w:pPr>
        <w:spacing w:after="0" w:line="123" w:lineRule="exact"/>
        <w:rPr>
          <w:rFonts w:ascii="Arial" w:cs="Arial" w:eastAsia="Arial" w:hAnsi="Arial"/>
          <w:sz w:val="16"/>
          <w:szCs w:val="16"/>
          <w:color w:val="auto"/>
        </w:rPr>
      </w:pPr>
    </w:p>
    <w:p>
      <w:pPr>
        <w:ind w:firstLine="921"/>
        <w:spacing w:after="0" w:line="291" w:lineRule="auto"/>
        <w:tabs>
          <w:tab w:leader="none" w:pos="113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Custodian may at any time resign hereunder by giving written notice of its resignation to the Borrower and the Facility Agent at least ninety days prior to the date specified for such resignation to take effect, and, upon the effective date of such resignation, the Collateral held by the Custodian shall be delivered by it to such Person as may be designated in writing by the Collateral Agent acting at the direction of the Facility Agent on behalf of the Secured Parties, whereupon all the Custodian’s obligations hereunder shall cease and terminate. If no such Person shall have been designated by such date, all obligations of the Custodian hereunder shall nevertheless cease and terminate. The Custodian’s sole responsibility thereafter shall be to keep safely all Collateral then held by it and to deliver the same to a Person designated by the Collateral Agent acting at the direction of the Facility Agent on behalf of the Secured Parties or in accordance with the direction of a final order or judgment of a court of competent jurisdiction.</w:t>
      </w:r>
    </w:p>
    <w:p>
      <w:pPr>
        <w:spacing w:after="0" w:line="167" w:lineRule="exact"/>
        <w:rPr>
          <w:rFonts w:ascii="Arial" w:cs="Arial" w:eastAsia="Arial" w:hAnsi="Arial"/>
          <w:sz w:val="16"/>
          <w:szCs w:val="16"/>
          <w:color w:val="auto"/>
        </w:rPr>
      </w:pPr>
    </w:p>
    <w:p>
      <w:pPr>
        <w:ind w:firstLine="921"/>
        <w:spacing w:after="0" w:line="270" w:lineRule="auto"/>
        <w:tabs>
          <w:tab w:leader="none" w:pos="116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Custodian shall have no responsibility under this Agreement other than to render the services called for hereunder in good faith and without willful misfeasance, gross negligence or reckless disregard of its duties hereunder. The Custodian shall incur no liability to anyone in acting upon any signature, instrument, statement, notice, resolution, request, direction, consent, order, certificate, report, opinion, bond or other document or paper reasonably believed by it to be genuine and reasonably believed by it to be signed by the proper party or parties. Neither the Custodian nor any of its affiliates, directors, officers, shareholders, agents or employees shall be liable to any other party hereto, except by reason of acts or omission constituting bad faith, willful misfeasance, gross negligence or reckless disregard of the Custodian’s duties hereunder. Anything in this Agreement notwithstanding, in no event shall the Custodian be liable for special, indirect or consequential loss or damage of any kind whatsoever (including lost profits), even if the Custodian has been advised of such loss or damage and regardless of the form of action, except in the case of bad faith, willful misfeasance, gross negligence or reckless disregard of the Custodian’s duties hereunder.</w:t>
      </w:r>
    </w:p>
    <w:p>
      <w:pPr>
        <w:spacing w:after="0" w:line="181" w:lineRule="exact"/>
        <w:rPr>
          <w:rFonts w:ascii="Arial" w:cs="Arial" w:eastAsia="Arial" w:hAnsi="Arial"/>
          <w:sz w:val="17"/>
          <w:szCs w:val="17"/>
          <w:color w:val="auto"/>
        </w:rPr>
      </w:pPr>
    </w:p>
    <w:p>
      <w:pPr>
        <w:ind w:right="100" w:firstLine="921"/>
        <w:spacing w:after="0" w:line="259" w:lineRule="auto"/>
        <w:tabs>
          <w:tab w:leader="none" w:pos="116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Custodian shall have no liability for losses arising from (i) any cause beyond its control, including, but not limited to, the act, failure or neglect of any agent or correspondent selected with due care by the Custodian for the remittance of funds, (ii) any delay, error, omission or default of any mail, telegraph, cable or wireless agency or operator, or (iii) the acts or edicts of any government or governmental agency or other group or entity exercising governmental powers.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12.21 </w:t>
      </w:r>
      <w:r>
        <w:rPr>
          <w:rFonts w:ascii="Arial" w:cs="Arial" w:eastAsia="Arial" w:hAnsi="Arial"/>
          <w:sz w:val="18"/>
          <w:szCs w:val="18"/>
          <w:u w:val="single" w:color="auto"/>
          <w:color w:val="auto"/>
        </w:rPr>
        <w:t>Special Provisions Applicable to CP Lenders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of the parties hereby covenants and agrees that: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274" w:right="279" w:bottom="1440" w:gutter="0" w:footer="0" w:header="0"/>
        </w:sectPr>
      </w:pPr>
    </w:p>
    <w:bookmarkStart w:id="264" w:name="page265"/>
    <w:bookmarkEnd w:id="264"/>
    <w:p>
      <w:pPr>
        <w:ind w:left="-80" w:firstLine="921"/>
        <w:spacing w:after="0" w:line="270" w:lineRule="auto"/>
        <w:tabs>
          <w:tab w:leader="none" w:pos="1078" w:val="left"/>
        </w:tabs>
        <w:numPr>
          <w:ilvl w:val="0"/>
          <w:numId w:val="2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 shall not institute against, or encourage, cooperate with or join any other Person in instituting against, any CP Lender any bankruptcy, examination, reorganization, arrangement, insolvency or liquidation proceeding, or other proceeding under bankruptcy or similar law until at least two years and one day after the latest maturing Commercial Paper Notes or other rated indebtedness issued by (x) any limited purpose entity providing funding to any CP Lender or (y) such CP Lender, is paid in full;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12.21</w:t>
      </w:r>
      <w:r>
        <w:rPr>
          <w:rFonts w:ascii="Arial" w:cs="Arial" w:eastAsia="Arial" w:hAnsi="Arial"/>
          <w:sz w:val="17"/>
          <w:szCs w:val="17"/>
          <w:color w:val="auto"/>
        </w:rPr>
        <w:t xml:space="preserve"> shall preclude, or be deemed to stop, (i) from taking any action prior to the expiration of the aforementioned two years and one day period, or if longer the applicable preference period then in effect plus one day, in (a) any case or proceeding voluntarily filed or commenced by such CP Lender or (b) provided that such party has complied with its obligations set forth in this Section 12.21(a), any involuntary insolvency proceeding filed or commenced against such CP Lender by a Person other than it, or (ii) from commencing against such CP Lender or any properties of the CP Lender any legal action which is not a bankruptcy, reorganization, receivership, arrangement, insolvency, moratorium or liquidation proceeding or other proceeding under federal or state bankruptcy or similar laws.</w:t>
      </w:r>
    </w:p>
    <w:p>
      <w:pPr>
        <w:spacing w:after="0" w:line="181" w:lineRule="exact"/>
        <w:rPr>
          <w:rFonts w:ascii="Arial" w:cs="Arial" w:eastAsia="Arial" w:hAnsi="Arial"/>
          <w:sz w:val="17"/>
          <w:szCs w:val="17"/>
          <w:color w:val="auto"/>
        </w:rPr>
      </w:pPr>
    </w:p>
    <w:p>
      <w:pPr>
        <w:ind w:left="-80" w:right="80" w:firstLine="921"/>
        <w:spacing w:after="0" w:line="264" w:lineRule="auto"/>
        <w:tabs>
          <w:tab w:leader="none" w:pos="108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It waives any right to set-off and to appropriate and apply any and all deposits and any other indebtedness at any time held or owing thereby to or for the credit or the account of any CP Lender against and on account of the obligations and liabilities of such CP Lender to such party under this Agreement.</w:t>
      </w:r>
    </w:p>
    <w:p>
      <w:pPr>
        <w:spacing w:after="0" w:line="181" w:lineRule="exact"/>
        <w:rPr>
          <w:rFonts w:ascii="Arial" w:cs="Arial" w:eastAsia="Arial" w:hAnsi="Arial"/>
          <w:sz w:val="18"/>
          <w:szCs w:val="18"/>
          <w:color w:val="auto"/>
        </w:rPr>
      </w:pPr>
    </w:p>
    <w:p>
      <w:pPr>
        <w:ind w:left="-80" w:right="180" w:firstLine="921"/>
        <w:spacing w:after="0" w:line="312" w:lineRule="auto"/>
        <w:tabs>
          <w:tab w:leader="none" w:pos="107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Notwithstanding any provisions contained in this Agreement or the other Facility Documents to the contrary, the Commitment of any CP Lender and any other amounts payable by such CP Lender under this Agreement and the other Facility Documents shall be without recourse to any officer, director, employee, stockholder, member, agent or manager of such CP Lender and shall be solely the corporate obligations of such CP Lender.</w:t>
      </w:r>
    </w:p>
    <w:p>
      <w:pPr>
        <w:spacing w:after="0" w:line="146" w:lineRule="exact"/>
        <w:rPr>
          <w:rFonts w:ascii="Arial" w:cs="Arial" w:eastAsia="Arial" w:hAnsi="Arial"/>
          <w:sz w:val="16"/>
          <w:szCs w:val="16"/>
          <w:color w:val="auto"/>
        </w:rPr>
      </w:pPr>
    </w:p>
    <w:p>
      <w:pPr>
        <w:ind w:left="-80" w:right="20" w:firstLine="921"/>
        <w:spacing w:after="0" w:line="289" w:lineRule="auto"/>
        <w:tabs>
          <w:tab w:leader="none" w:pos="108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Notwithstanding any provisions contained in this Agreement or the other Facility Documents to the contrary, no CP Lender shall, or shall be obligated to, fund or pay any amount pursuant to its Commitment or any other obligation under this Agreement unless such CP Lender has received funds which may be used to make such funding or other payment and which funds are not required to repay Commercial Paper Notes or other short term funding backing its Commercial Paper Notes issued by a conduit providing funding to such CP Lender, or finance activities of, such CP Lender when due, and after giving effect to such payment, either (i) such CP Lender (or, if applicable, the limited purpose entity which finances the CP Lender) could issue commercial paper to refinance all of such CP Lender’s outstanding commercial paper (assuming such outstanding commercial paper matured at such time) in accordance with the program documents governing its commercial paper program or (ii) all of the commercial paper of such CP Lender (or, if applicable, the limited purpose entity which finances such CP Lender) is paid in full. Any amount which such CP Lender does not advance pursuant to the operation of this paragraph shall not constitute a claim (as defined in Section 101 of the Bankruptcy Code) against or obligation of such CP Lender for any such insufficiency.</w:t>
      </w:r>
    </w:p>
    <w:p>
      <w:pPr>
        <w:spacing w:after="0" w:line="166" w:lineRule="exact"/>
        <w:rPr>
          <w:rFonts w:ascii="Arial" w:cs="Arial" w:eastAsia="Arial" w:hAnsi="Arial"/>
          <w:sz w:val="16"/>
          <w:szCs w:val="16"/>
          <w:color w:val="auto"/>
        </w:rPr>
      </w:pPr>
    </w:p>
    <w:p>
      <w:pPr>
        <w:ind w:left="-80" w:right="220" w:firstLine="921"/>
        <w:spacing w:after="0" w:line="264" w:lineRule="auto"/>
        <w:tabs>
          <w:tab w:leader="none" w:pos="107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Notwithstanding any provisions contained in this Agreement or the other Facility Documents to the contrary, but subject in all respects to </w:t>
      </w:r>
      <w:r>
        <w:rPr>
          <w:rFonts w:ascii="Arial" w:cs="Arial" w:eastAsia="Arial" w:hAnsi="Arial"/>
          <w:sz w:val="18"/>
          <w:szCs w:val="18"/>
          <w:u w:val="single" w:color="auto"/>
          <w:color w:val="auto"/>
        </w:rPr>
        <w:t>Section 12.09</w:t>
      </w:r>
      <w:r>
        <w:rPr>
          <w:rFonts w:ascii="Arial" w:cs="Arial" w:eastAsia="Arial" w:hAnsi="Arial"/>
          <w:sz w:val="18"/>
          <w:szCs w:val="18"/>
          <w:color w:val="auto"/>
        </w:rPr>
        <w:t xml:space="preserve"> hereof, each CP Lender may disclose to its respective support providers, any Affiliates of any such party and Authorities having jurisdiction over such CP Lender, such support provider, any Affiliate of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60"/>
          </w:cols>
          <w:pgMar w:left="320" w:top="274" w:right="319" w:bottom="1440" w:gutter="0" w:footer="0" w:header="0"/>
        </w:sectPr>
      </w:pPr>
    </w:p>
    <w:bookmarkStart w:id="265" w:name="page266"/>
    <w:bookmarkEnd w:id="265"/>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and any rating agency that issues a rating on such CP Lender’s commercial paper notes, the identities of (and other material information regarding) the Borrower, any other obligor on, or in respect of, an Advance made by such CP Lender, collateral for such an Advance and any of the terms and provisions of the Facility Documents that it may deem necessary or advisable.</w:t>
      </w:r>
    </w:p>
    <w:p>
      <w:pPr>
        <w:spacing w:after="0" w:line="181" w:lineRule="exact"/>
        <w:rPr>
          <w:sz w:val="20"/>
          <w:szCs w:val="20"/>
          <w:color w:val="auto"/>
        </w:rPr>
      </w:pPr>
    </w:p>
    <w:p>
      <w:pPr>
        <w:ind w:left="1140" w:hanging="219"/>
        <w:spacing w:after="0"/>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Sections 12.21(a)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shall survive the termination of this Agreement.</w:t>
      </w:r>
    </w:p>
    <w:p>
      <w:pPr>
        <w:spacing w:after="0" w:line="225" w:lineRule="exact"/>
        <w:rPr>
          <w:rFonts w:ascii="Arial" w:cs="Arial" w:eastAsia="Arial" w:hAnsi="Arial"/>
          <w:sz w:val="18"/>
          <w:szCs w:val="18"/>
          <w:color w:val="auto"/>
        </w:rPr>
      </w:pPr>
    </w:p>
    <w:p>
      <w:pPr>
        <w:ind w:right="280" w:firstLine="921"/>
        <w:spacing w:after="0" w:line="264" w:lineRule="auto"/>
        <w:tabs>
          <w:tab w:leader="none" w:pos="116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 amendment or waiver under this Agreement or any other Facility Document that would affect a CP Lender, a support provider of a CP Lender or an Advance made by such CP Lender in a manner that is disproportionate and adverse relative to other Lenders shall be effective without the consent of such CP Lender.</w:t>
      </w:r>
    </w:p>
    <w:p>
      <w:pPr>
        <w:spacing w:after="0" w:line="181" w:lineRule="exact"/>
        <w:rPr>
          <w:rFonts w:ascii="Arial" w:cs="Arial" w:eastAsia="Arial" w:hAnsi="Arial"/>
          <w:sz w:val="18"/>
          <w:szCs w:val="18"/>
          <w:color w:val="auto"/>
        </w:rPr>
      </w:pPr>
    </w:p>
    <w:p>
      <w:pPr>
        <w:ind w:firstLine="921"/>
        <w:spacing w:after="0" w:line="276" w:lineRule="auto"/>
        <w:tabs>
          <w:tab w:leader="none" w:pos="116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No pledge and/or collateral assignment by any CP Lender to a support provider under a support facility of an interest in the rights of such CP Lender in any Advance made by such CP Lender and the Obligations shall constitute an assignment and/or assumption of such CP Lender’s obligation under this Agreement, such obligations in all cases remaining with such CP Lender. Moreover, any such pledge and/or collateral assignment of the rights of such CP Lender shall be permitted hereunder without further action or consent and any such pledgee may foreclose on any such pledge and perfect an assignment of such interest and enforce such CP Lender’s right hereunder notwithstanding anything to the contrary in this Agreement.</w:t>
      </w:r>
    </w:p>
    <w:p>
      <w:pPr>
        <w:spacing w:after="0" w:line="172" w:lineRule="exact"/>
        <w:rPr>
          <w:rFonts w:ascii="Arial" w:cs="Arial" w:eastAsia="Arial" w:hAnsi="Arial"/>
          <w:sz w:val="17"/>
          <w:szCs w:val="17"/>
          <w:color w:val="auto"/>
        </w:rPr>
      </w:pPr>
    </w:p>
    <w:p>
      <w:pPr>
        <w:ind w:left="1140" w:hanging="219"/>
        <w:spacing w:after="0"/>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Each CP Lender may act hereunder by and through its Program Manager.</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shall not be amended or waived without the written consent of each CP Lender.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COMMENCE ON THE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274" w:right="259" w:bottom="1440" w:gutter="0" w:footer="0" w:header="0"/>
        </w:sectPr>
      </w:pPr>
    </w:p>
    <w:bookmarkStart w:id="266" w:name="page267"/>
    <w:bookmarkEnd w:id="266"/>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SL SPV,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420"/>
          </w:cols>
          <w:pgMar w:left="240" w:top="274" w:right="239" w:bottom="1440" w:gutter="0" w:footer="0" w:header="0"/>
        </w:sectPr>
      </w:pPr>
    </w:p>
    <w:bookmarkStart w:id="267" w:name="page268"/>
    <w:bookmarkEnd w:id="267"/>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STATE STREET BANK AND TRUST COMPANY,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Collateral Agent, Custodian and Calculation Agent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Scott Berry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420"/>
          </w:cols>
          <w:pgMar w:left="240" w:top="274" w:right="239" w:bottom="1440" w:gutter="0" w:footer="0" w:header="0"/>
        </w:sectPr>
      </w:pPr>
    </w:p>
    <w:bookmarkStart w:id="268" w:name="page269"/>
    <w:bookmarkEnd w:id="268"/>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NATIXIS, NEW YORK BRANCH,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Facility Agent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Henry J. Sandlass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Henry J. Sandlass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David Duncan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1420"/>
          </w:cols>
          <w:pgMar w:left="240" w:top="274" w:right="239" w:bottom="1440" w:gutter="0" w:footer="0" w:header="0"/>
        </w:sectPr>
      </w:pPr>
    </w:p>
    <w:bookmarkStart w:id="269" w:name="page270"/>
    <w:bookmarkEnd w:id="269"/>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VERSAILLES ASSETS LLC</w:t>
      </w:r>
      <w:r>
        <w:rPr>
          <w:rFonts w:ascii="Arial" w:cs="Arial" w:eastAsia="Arial" w:hAnsi="Arial"/>
          <w:sz w:val="18"/>
          <w:szCs w:val="18"/>
          <w:b w:val="1"/>
          <w:bCs w:val="1"/>
          <w:color w:val="auto"/>
        </w:rPr>
        <w: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Bernard J. 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Bernard J. Angelo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L. Fridlington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John L. Fridlington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420"/>
          </w:cols>
          <w:pgMar w:left="240" w:top="274" w:right="2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SCHEDULE 1</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8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w w:val="90"/>
              </w:rPr>
              <w:t>Initial Commitments And Percentages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 of Lender</w:t>
            </w:r>
          </w:p>
        </w:tc>
        <w:tc>
          <w:tcPr>
            <w:tcW w:w="620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Commitment</w:t>
            </w:r>
          </w:p>
        </w:tc>
        <w:tc>
          <w:tcPr>
            <w:tcW w:w="3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Versailles Assets LLC</w:t>
            </w:r>
          </w:p>
        </w:tc>
        <w:tc>
          <w:tcPr>
            <w:tcW w:w="62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175,000,000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2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20" w:type="dxa"/>
            <w:vAlign w:val="bottom"/>
            <w:gridSpan w:val="2"/>
            <w:vMerge w:val="continue"/>
          </w:tcPr>
          <w:p>
            <w:pPr>
              <w:spacing w:after="0"/>
              <w:rPr>
                <w:sz w:val="19"/>
                <w:szCs w:val="19"/>
                <w:color w:val="auto"/>
              </w:rPr>
            </w:pPr>
          </w:p>
        </w:tc>
        <w:tc>
          <w:tcPr>
            <w:tcW w:w="6200" w:type="dxa"/>
            <w:vAlign w:val="bottom"/>
            <w:vMerge w:val="continue"/>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$175,000,000</w:t>
            </w:r>
          </w:p>
        </w:tc>
        <w:tc>
          <w:tcPr>
            <w:tcW w:w="1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364"/>
        </w:trPr>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80" w:type="dxa"/>
            <w:vAlign w:val="bottom"/>
            <w:gridSpan w:val="3"/>
          </w:tcPr>
          <w:p>
            <w:pPr>
              <w:jc w:val="center"/>
              <w:ind w:right="1700"/>
              <w:spacing w:after="0"/>
              <w:rPr>
                <w:sz w:val="20"/>
                <w:szCs w:val="20"/>
                <w:color w:val="auto"/>
              </w:rPr>
            </w:pPr>
            <w:r>
              <w:rPr>
                <w:rFonts w:ascii="Arial" w:cs="Arial" w:eastAsia="Arial" w:hAnsi="Arial"/>
                <w:sz w:val="18"/>
                <w:szCs w:val="18"/>
                <w:color w:val="auto"/>
                <w:w w:val="88"/>
              </w:rPr>
              <w:t>Schedule 1-1</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Monthly Report and Payment Date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1: Monthly Reporting Scope</w:t>
      </w:r>
    </w:p>
    <w:p>
      <w:pPr>
        <w:spacing w:after="0" w:line="131" w:lineRule="exact"/>
        <w:rPr>
          <w:sz w:val="20"/>
          <w:szCs w:val="20"/>
          <w:color w:val="auto"/>
        </w:rPr>
      </w:pPr>
    </w:p>
    <w:p>
      <w:pPr>
        <w:ind w:left="900" w:hanging="446"/>
        <w:spacing w:after="0"/>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Aggregate Principal Balance of all Collateral Obligations and Equity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balance of all Eligible Investments and cash in each of:</w:t>
      </w:r>
    </w:p>
    <w:p>
      <w:pPr>
        <w:spacing w:after="0" w:line="130" w:lineRule="exact"/>
        <w:rPr>
          <w:rFonts w:ascii="Arial" w:cs="Arial" w:eastAsia="Arial" w:hAnsi="Arial"/>
          <w:sz w:val="18"/>
          <w:szCs w:val="18"/>
          <w:color w:val="auto"/>
        </w:rPr>
      </w:pPr>
    </w:p>
    <w:p>
      <w:pPr>
        <w:ind w:left="1920" w:right="420" w:hanging="440"/>
        <w:spacing w:after="0" w:line="277" w:lineRule="auto"/>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Collection Account (including the Interest Collection Subaccount, the Principal Collection Subaccount, and the Canadian Dollar Subaccount)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Payment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Revolving Reserve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Lender Funding Account (including each Lender Funding Subaccount therein)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Currency Exchange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Custodial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Funded Draw Collection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Closing Expense Account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Commitment and aggregate outstanding principal amount of all Advances</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nature, source and amount of any proceeds in the Collection Account (including Principal Proceeds and Interest Proceeds received since the Monthly Report Determination Date or Determination Date relating to the last Monthly Report or Payment Date Report, respectively) and the Revolving Reserve Account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Compliance level of Coverage Tests vs. test level</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Calculation of Minimum Overcollateralization Ratio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Calculation of Interest Coverage Ratio Test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Compliance with Collateral Quality Tests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Minimum Diversity Score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Minimum Average Recovery Rate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Minimum Weighted Average Spread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Minimum Weighted Average Fixed Rate Coupon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Weighted Average Maturity Date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Maximum DBRS Risk Score Test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Compliance with Concentration Limitations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Fixed Rate Obligations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Obligor concentrations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Revolving Collateral Loans or Delayed Drawdown Collateral Loans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Canadian Dollar Obligations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Eligible Senior Secured Loans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Eligible Senior Secured Bonds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Eligible Mezzanine Loans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Current Pay Obligations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DBRS Industry Classification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Participation Interests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DIP Loans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Collateral Obligations that permit payment of interest less frequently than quarterly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Collateral Obligation with DBRS Rating below “</w:t>
      </w:r>
      <w:r>
        <w:rPr>
          <w:rFonts w:ascii="Arial" w:cs="Arial" w:eastAsia="Arial" w:hAnsi="Arial"/>
          <w:sz w:val="18"/>
          <w:szCs w:val="18"/>
          <w:u w:val="single" w:color="auto"/>
          <w:color w:val="auto"/>
        </w:rPr>
        <w:t>B</w:t>
      </w:r>
      <w:r>
        <w:rPr>
          <w:rFonts w:ascii="Arial" w:cs="Arial" w:eastAsia="Arial" w:hAnsi="Arial"/>
          <w:sz w:val="18"/>
          <w:szCs w:val="18"/>
          <w:color w:val="auto"/>
        </w:rPr>
        <w:t>” / Credit Estimate and trailing 12 month EBITDA</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Covenant Lite Loans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Listing of all Collateral Obligations with attributes including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Obligor name and identifying number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2-2</w:t>
      </w:r>
    </w:p>
    <w:p>
      <w:pPr>
        <w:sectPr>
          <w:pgSz w:w="11900" w:h="16838" w:orient="portrait"/>
          <w:cols w:equalWidth="0" w:num="1">
            <w:col w:w="11420"/>
          </w:cols>
          <w:pgMar w:left="240" w:top="270" w:right="239" w:bottom="748" w:gutter="0" w:footer="0" w:header="0"/>
        </w:sectPr>
      </w:pPr>
    </w:p>
    <w:bookmarkStart w:id="272" w:name="page273"/>
    <w:bookmarkEnd w:id="272"/>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Balance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DBRS rating (if public) and the last date of the Credit Estimate (if a Credit Estimate)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Fitch rating (if public)</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Moody’s rating (if public)</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S&amp;P rating (if public)</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DBRS Industry Classification</w:t>
      </w:r>
    </w:p>
    <w:p>
      <w:pPr>
        <w:spacing w:after="0" w:line="130" w:lineRule="exact"/>
        <w:rPr>
          <w:rFonts w:ascii="Arial" w:cs="Arial" w:eastAsia="Arial" w:hAnsi="Arial"/>
          <w:sz w:val="18"/>
          <w:szCs w:val="18"/>
          <w:color w:val="auto"/>
        </w:rPr>
      </w:pPr>
    </w:p>
    <w:p>
      <w:pPr>
        <w:ind w:left="1466" w:hanging="440"/>
        <w:spacing w:after="0" w:line="277" w:lineRule="auto"/>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lien position (Eligible Senior Secured Loan, First Lien/Last Out Loan, Eligible Second Lien Loan, Eligible Mezzanine Loan, or Eligible Senior Secured Bond)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Whether the Collateral Obligation is fixed or floating</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For floating rate obligations, the index over which interest is calculated (e.g., LIBOR, prime or other)</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Cash-pay coupon (for Fixed Rate Obligations)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Cash-pay spread (for floating rate obligations)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Maturity date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Whether the Collateral Obligation is a Credit Risk Loan/Bond, Defaulted Loan/Bond, or Current Pay Obligation</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Country of domicile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Frequency of interest payment</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Whether such Collateral Obligation is a Revolving Collateral Loan or a Delayed Drawdown Collateral Loan</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unfunded amount, if any, in respect of a Revolving Collateral Loan or a Delayed Drawdown Collateral Loan</w:t>
      </w:r>
    </w:p>
    <w:p>
      <w:pPr>
        <w:spacing w:after="0" w:line="130" w:lineRule="exact"/>
        <w:rPr>
          <w:rFonts w:ascii="Arial" w:cs="Arial" w:eastAsia="Arial" w:hAnsi="Arial"/>
          <w:sz w:val="18"/>
          <w:szCs w:val="18"/>
          <w:color w:val="auto"/>
        </w:rPr>
      </w:pPr>
    </w:p>
    <w:p>
      <w:pPr>
        <w:ind w:left="1466" w:right="400" w:hanging="440"/>
        <w:spacing w:after="0" w:line="277" w:lineRule="auto"/>
        <w:tabs>
          <w:tab w:leader="none" w:pos="14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For each Canadian Dollar Obligation, the Settlement Date Rate for such Canadian Dollar Obligation and the Spot Foreign Exchange Rate as of the applicable Monthly Report Determination Date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For Defaulted Loan/Bonds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Default Date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Days in default</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Principal Balance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If an appraisal has been received in last 3 months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Appraised Value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Principal Collateralization Amount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Participations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All obligations owned via participation</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Revolving Collateral Loans and Delayed Drawdown Collateral Loans sold via participation</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Participation counterparty for each participation</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DBRS Rating for each participation counterparty</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Calculation of Overcollateralization Ratio</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Calculation of the Diversity Score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Assets purchased or sold within the Collection Period including</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Facility name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Trade/settlement dates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Reason for sale / Transaction motivation (e.g. Discretionary, Credit Risk, Credit Improved.)</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Purchaser or seller is an affiliate of the Borrower?</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Par amount</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Price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Proceeds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Accrued interest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Interest rate for the Advances for the Interest Accrual Period preceding the next Payment Date</w:t>
      </w:r>
    </w:p>
    <w:p>
      <w:pPr>
        <w:spacing w:after="0" w:line="158" w:lineRule="exact"/>
        <w:rPr>
          <w:sz w:val="20"/>
          <w:szCs w:val="20"/>
          <w:color w:val="auto"/>
        </w:rPr>
      </w:pPr>
    </w:p>
    <w:p>
      <w:pPr>
        <w:jc w:val="center"/>
        <w:ind w:right="114"/>
        <w:spacing w:after="0"/>
        <w:rPr>
          <w:sz w:val="20"/>
          <w:szCs w:val="20"/>
          <w:color w:val="auto"/>
        </w:rPr>
      </w:pPr>
      <w:r>
        <w:rPr>
          <w:rFonts w:ascii="Arial" w:cs="Arial" w:eastAsia="Arial" w:hAnsi="Arial"/>
          <w:sz w:val="18"/>
          <w:szCs w:val="18"/>
          <w:color w:val="auto"/>
        </w:rPr>
        <w:t>Schedule 2-3</w:t>
      </w:r>
    </w:p>
    <w:p>
      <w:pPr>
        <w:sectPr>
          <w:pgSz w:w="11900" w:h="16838" w:orient="portrait"/>
          <w:cols w:equalWidth="0" w:num="1">
            <w:col w:w="10646"/>
          </w:cols>
          <w:pgMar w:left="694" w:top="274" w:right="559" w:bottom="1153" w:gutter="0" w:footer="0" w:header="0"/>
        </w:sectPr>
      </w:pPr>
    </w:p>
    <w:bookmarkStart w:id="273" w:name="page274"/>
    <w:bookmarkEnd w:id="27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2: Payment Date Reporting Scope</w:t>
      </w:r>
    </w:p>
    <w:p>
      <w:pPr>
        <w:spacing w:after="0" w:line="131" w:lineRule="exact"/>
        <w:rPr>
          <w:sz w:val="20"/>
          <w:szCs w:val="20"/>
          <w:color w:val="auto"/>
        </w:rPr>
      </w:pPr>
    </w:p>
    <w:p>
      <w:pPr>
        <w:ind w:left="900" w:hanging="446"/>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information included in a Monthly Report under Part 1 above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Payment Date waterfall list application of all Interest Proceeds and Principal Proceeds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Beginning and ending aggregate outstanding principal amount of all Advances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Beginning and ending balance of all Covered Accounts</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Schedule 2-4</w:t>
      </w:r>
    </w:p>
    <w:p>
      <w:pPr>
        <w:sectPr>
          <w:pgSz w:w="11900" w:h="16838" w:orient="portrait"/>
          <w:cols w:equalWidth="0" w:num="1">
            <w:col w:w="10219"/>
          </w:cols>
          <w:pgMar w:left="240" w:top="274" w:right="1440"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w w:val="96"/>
              </w:rPr>
              <w:t>SCHEDULE 3</w:t>
            </w:r>
          </w:p>
        </w:tc>
      </w:tr>
      <w:tr>
        <w:trPr>
          <w:trHeight w:val="432"/>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4"/>
          </w:tcPr>
          <w:p>
            <w:pPr>
              <w:ind w:left="260"/>
              <w:spacing w:after="0"/>
              <w:rPr>
                <w:sz w:val="20"/>
                <w:szCs w:val="20"/>
                <w:color w:val="auto"/>
              </w:rPr>
            </w:pPr>
            <w:r>
              <w:rPr>
                <w:rFonts w:ascii="Arial" w:cs="Arial" w:eastAsia="Arial" w:hAnsi="Arial"/>
                <w:sz w:val="18"/>
                <w:szCs w:val="18"/>
                <w:b w:val="1"/>
                <w:bCs w:val="1"/>
                <w:color w:val="auto"/>
              </w:rPr>
              <w:t>Industry Diversity Score Table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3"/>
        </w:trPr>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Aggregate</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49"/>
        </w:trPr>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Industry/</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Aggregate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Aggregate</w:t>
            </w:r>
          </w:p>
        </w:tc>
        <w:tc>
          <w:tcPr>
            <w:tcW w:w="1240" w:type="dxa"/>
            <w:vAlign w:val="bottom"/>
          </w:tcPr>
          <w:p>
            <w:pPr>
              <w:spacing w:after="0"/>
              <w:rPr>
                <w:sz w:val="12"/>
                <w:szCs w:val="12"/>
                <w:color w:val="auto"/>
              </w:rPr>
            </w:pPr>
          </w:p>
        </w:tc>
      </w:tr>
      <w:tr>
        <w:trPr>
          <w:trHeight w:val="149"/>
        </w:trPr>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Regional</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Industry/ Regional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Industry/ Regional</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Industry/ Regional</w:t>
            </w:r>
          </w:p>
        </w:tc>
        <w:tc>
          <w:tcPr>
            <w:tcW w:w="1240" w:type="dxa"/>
            <w:vAlign w:val="bottom"/>
          </w:tcPr>
          <w:p>
            <w:pPr>
              <w:spacing w:after="0"/>
              <w:rPr>
                <w:sz w:val="12"/>
                <w:szCs w:val="12"/>
                <w:color w:val="auto"/>
              </w:rPr>
            </w:pPr>
          </w:p>
        </w:tc>
      </w:tr>
      <w:tr>
        <w:trPr>
          <w:trHeight w:val="149"/>
        </w:trPr>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Equivalent</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Industry</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Equivalent Unit</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Industry</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Equivalent Unit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Industry</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Equivalent Unit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6"/>
              </w:rPr>
              <w:t>Industry</w:t>
            </w:r>
          </w:p>
        </w:tc>
      </w:tr>
      <w:tr>
        <w:trPr>
          <w:trHeight w:val="181"/>
        </w:trPr>
        <w:tc>
          <w:tcPr>
            <w:tcW w:w="14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Unit Score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Diversity Score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Score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Diversity Score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Score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Diversity Score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Score</w:t>
            </w: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Diversity Score</w:t>
            </w:r>
          </w:p>
        </w:tc>
      </w:tr>
      <w:tr>
        <w:trPr>
          <w:trHeight w:val="210"/>
        </w:trPr>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0.0000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0.0000</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5.0500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2.7000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10.1500</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4.0200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15.2500</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4.5300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0.0500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0.1000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5.1500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2.7333</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10.2500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4.0300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15.3500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4.5400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2.7667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4.0400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15.4500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4.5500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0.2500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0.3000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5.3500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2.8000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10.4500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4.0500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15.5500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4.5600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5.4500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2.8333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10.5500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4.0600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15.6500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4.5700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0.4500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0.5000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5.5500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2.8667</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10.6500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4.0700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4.5800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10.7500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4.0800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15.8500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4.5900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0.6500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0.7000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5.7500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2.9333</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10.8500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4.0900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15.9500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4.6000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5.8500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2.9667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10.9500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16.0500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4.6100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0.8500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0.9000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5.9500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3.0000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11.0500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4.1100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16.1500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4.6200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3.0250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4.1200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16.2500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4.6300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1.0500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1.0500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6.1500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3.0500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11.2500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4.1300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16.3500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4.6400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3.0750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11.3500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4.1400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16.4500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4.6500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1.2500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1.1500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6.3500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3.1000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11.4500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4.1500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16.5500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4.6600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6.4500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3.1250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11.5500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4.6700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1.4500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1.2500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6.5500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3.1500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11.6500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4.1700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16.7500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4.6800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6.6500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3.1750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4.1800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16.8500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4.6900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1.6500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1.3500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6.7500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3.2000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11.8500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4.1900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16.9500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4.7000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3.2250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17.0500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4.7100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1.8500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1.4500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6.9500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3.2500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12.0500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4.2100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17.1500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4.7200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3.2750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4.2200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17.2500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4.7300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2.0500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1.5500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7.1500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3.3000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12.2500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4.2300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17.3500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4.7400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7.2500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3.3250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4.2400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17.4500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4.7500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2.2500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1.6500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7.3500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3.3500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12.4500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4.2500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17.5500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4.7600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7.4500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3.3750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4.2600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4.7700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2.4500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1.7500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7.5500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3.4000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12.6500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4.2700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17.7500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4.7800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7.6500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3.4250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4.2800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17.8500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4.7900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2.6500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1.8500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7.7500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3.4500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12.8500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4.2900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17.9500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4.8000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3.4750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12.9500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4.8100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2.8500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1.9500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7.9500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3.5000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13.0500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4.3100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18.1500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4.8200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3.5250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13.1500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4.3200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18.2500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4.8300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3.0500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2.0333</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8.1500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3.5500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13.2500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4.3300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18.3500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4.8400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2.0667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8.2500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3.5750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13.3500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4.3400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4.8500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3.2500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2.1000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8.3500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3.6000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13.4500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4.3500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18.5500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4.8600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2.1333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8.4500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3.6250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13.5500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4.3600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18.6500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4.8700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3-1</w:t>
      </w:r>
    </w:p>
    <w:p>
      <w:pPr>
        <w:sectPr>
          <w:pgSz w:w="11900" w:h="16838" w:orient="portrait"/>
          <w:cols w:equalWidth="0" w:num="1">
            <w:col w:w="11420"/>
          </w:cols>
          <w:pgMar w:left="240" w:top="270" w:right="23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Aggregate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49"/>
        </w:trPr>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Industry/</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Aggregate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Aggregate</w:t>
            </w:r>
          </w:p>
        </w:tc>
        <w:tc>
          <w:tcPr>
            <w:tcW w:w="1240" w:type="dxa"/>
            <w:vAlign w:val="bottom"/>
          </w:tcPr>
          <w:p>
            <w:pPr>
              <w:spacing w:after="0"/>
              <w:rPr>
                <w:sz w:val="12"/>
                <w:szCs w:val="12"/>
                <w:color w:val="auto"/>
              </w:rPr>
            </w:pPr>
          </w:p>
        </w:tc>
      </w:tr>
      <w:tr>
        <w:trPr>
          <w:trHeight w:val="149"/>
        </w:trPr>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Regional</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Industry/ Regional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Industry/ Regional</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Industry/ Regional</w:t>
            </w:r>
          </w:p>
        </w:tc>
        <w:tc>
          <w:tcPr>
            <w:tcW w:w="1240" w:type="dxa"/>
            <w:vAlign w:val="bottom"/>
          </w:tcPr>
          <w:p>
            <w:pPr>
              <w:spacing w:after="0"/>
              <w:rPr>
                <w:sz w:val="12"/>
                <w:szCs w:val="12"/>
                <w:color w:val="auto"/>
              </w:rPr>
            </w:pPr>
          </w:p>
        </w:tc>
      </w:tr>
      <w:tr>
        <w:trPr>
          <w:trHeight w:val="149"/>
        </w:trPr>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Equivalent</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Industry</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Equivalent Unit</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Industry</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Equivalent Unit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Industry</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Equivalent Unit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6"/>
              </w:rPr>
              <w:t>Industry</w:t>
            </w:r>
          </w:p>
        </w:tc>
      </w:tr>
      <w:tr>
        <w:trPr>
          <w:trHeight w:val="181"/>
        </w:trPr>
        <w:tc>
          <w:tcPr>
            <w:tcW w:w="14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Unit Score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Diversity Score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Score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Diversity Score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Score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Diversity Score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Score</w:t>
            </w: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Diversity Score</w:t>
            </w:r>
          </w:p>
        </w:tc>
      </w:tr>
      <w:tr>
        <w:trPr>
          <w:trHeight w:val="210"/>
        </w:trPr>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3.4500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2.1667</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8.5500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3.6500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13.6500</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4.3700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18.7500</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4.8800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3.5500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2.2000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8.6500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3.6750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13.7500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4.3800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18.8500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4.8900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2.2333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8.7500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13.8500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4.3900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18.9500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4.9000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3.7500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2.2667</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8.8500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3.7250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13.9500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4.4000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19.0500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4.9100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8.9500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14.0500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4.4100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19.1500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4.9200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3.9500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2.3333</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9.0500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3.7750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14.1500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4.4200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19.2500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4.9300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2.3667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14.2500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4.4300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4.9400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4.1500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2.4000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9.2500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3.8250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14.3500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4.4400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19.4500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4.9500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2.4333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9.3500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3.8500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14.4500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4.4500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19.5500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4.9600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4.3500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2.4667</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9.4500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3.8750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14.5500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4.4600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19.6500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4.9700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9.5500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14.6500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4.4700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19.7500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4.9800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4.5500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2.5333</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9.6500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3.9250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14.7500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4.4800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19.8500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4.9900</w:t>
            </w: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2.5667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9.7500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3.9500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14.8500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4.4900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5.0000</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0"/>
              </w:rPr>
              <w:t>4.7500</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2.6000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9.8500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3.9750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14.9500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4.5000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2.6333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9.9500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4.5100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90"/>
              </w:rPr>
              <w:t>4.9500</w:t>
            </w:r>
          </w:p>
        </w:tc>
        <w:tc>
          <w:tcPr>
            <w:tcW w:w="2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2.6667</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10.0500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4.0100</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15.1500</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4.5200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3-2</w:t>
      </w:r>
    </w:p>
    <w:p>
      <w:pPr>
        <w:sectPr>
          <w:pgSz w:w="11900" w:h="16838" w:orient="portrait"/>
          <w:cols w:equalWidth="0" w:num="1">
            <w:col w:w="11420"/>
          </w:cols>
          <w:pgMar w:left="240" w:top="257"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DBRS Risk Scores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Risk Score</w:t>
      </w:r>
      <w:r>
        <w:rPr>
          <w:rFonts w:ascii="Arial" w:cs="Arial" w:eastAsia="Arial" w:hAnsi="Arial"/>
          <w:sz w:val="18"/>
          <w:szCs w:val="18"/>
          <w:color w:val="auto"/>
        </w:rPr>
        <w:t>” relating to any Collateral Obligation at any time is the percentage set forth in the table below opposite the DBRS Long Term Rating of such Collateral Obligation at such time: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DBRS Long Term Rating</w:t>
            </w:r>
          </w:p>
        </w:tc>
        <w:tc>
          <w:tcPr>
            <w:tcW w:w="5540" w:type="dxa"/>
            <w:vAlign w:val="bottom"/>
          </w:tcPr>
          <w:p>
            <w:pPr>
              <w:ind w:left="2240"/>
              <w:spacing w:after="0"/>
              <w:rPr>
                <w:sz w:val="20"/>
                <w:szCs w:val="20"/>
                <w:color w:val="auto"/>
              </w:rPr>
            </w:pPr>
            <w:r>
              <w:rPr>
                <w:rFonts w:ascii="Arial" w:cs="Arial" w:eastAsia="Arial" w:hAnsi="Arial"/>
                <w:sz w:val="14"/>
                <w:szCs w:val="14"/>
                <w:b w:val="1"/>
                <w:bCs w:val="1"/>
                <w:color w:val="auto"/>
              </w:rPr>
              <w:t>DBRS Risk Score</w:t>
            </w:r>
          </w:p>
        </w:tc>
      </w:tr>
      <w:tr>
        <w:trPr>
          <w:trHeight w:val="210"/>
        </w:trPr>
        <w:tc>
          <w:tcPr>
            <w:tcW w:w="5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AAA</w:t>
            </w:r>
          </w:p>
        </w:tc>
        <w:tc>
          <w:tcPr>
            <w:tcW w:w="100" w:type="dxa"/>
            <w:vAlign w:val="bottom"/>
            <w:tcBorders>
              <w:top w:val="single" w:sz="8" w:color="CCEEFF"/>
            </w:tcBorders>
            <w:shd w:val="clear" w:color="auto" w:fill="CCEEFF"/>
          </w:tcPr>
          <w:p>
            <w:pPr>
              <w:spacing w:after="0"/>
              <w:rPr>
                <w:sz w:val="18"/>
                <w:szCs w:val="18"/>
                <w:color w:val="auto"/>
              </w:rPr>
            </w:pPr>
          </w:p>
        </w:tc>
        <w:tc>
          <w:tcPr>
            <w:tcW w:w="5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0.1771</w:t>
            </w:r>
          </w:p>
        </w:tc>
      </w:tr>
      <w:tr>
        <w:trPr>
          <w:trHeight w:val="216"/>
        </w:trPr>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AA (high)</w:t>
            </w:r>
          </w:p>
        </w:tc>
        <w:tc>
          <w:tcPr>
            <w:tcW w:w="5540" w:type="dxa"/>
            <w:vAlign w:val="bottom"/>
          </w:tcPr>
          <w:p>
            <w:pPr>
              <w:jc w:val="center"/>
              <w:spacing w:after="0"/>
              <w:rPr>
                <w:sz w:val="20"/>
                <w:szCs w:val="20"/>
                <w:color w:val="auto"/>
              </w:rPr>
            </w:pPr>
            <w:r>
              <w:rPr>
                <w:rFonts w:ascii="Arial" w:cs="Arial" w:eastAsia="Arial" w:hAnsi="Arial"/>
                <w:sz w:val="18"/>
                <w:szCs w:val="18"/>
                <w:color w:val="auto"/>
                <w:w w:val="90"/>
              </w:rPr>
              <w:t>0.2705</w:t>
            </w:r>
          </w:p>
        </w:tc>
      </w:tr>
      <w:tr>
        <w:trPr>
          <w:trHeight w:val="216"/>
        </w:trPr>
        <w:tc>
          <w:tcPr>
            <w:tcW w:w="5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AA</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0.3729</w:t>
            </w:r>
          </w:p>
        </w:tc>
      </w:tr>
      <w:tr>
        <w:trPr>
          <w:trHeight w:val="216"/>
        </w:trPr>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rPr>
              <w:t>AA (low)</w:t>
            </w:r>
          </w:p>
        </w:tc>
        <w:tc>
          <w:tcPr>
            <w:tcW w:w="5540" w:type="dxa"/>
            <w:vAlign w:val="bottom"/>
          </w:tcPr>
          <w:p>
            <w:pPr>
              <w:jc w:val="center"/>
              <w:spacing w:after="0"/>
              <w:rPr>
                <w:sz w:val="20"/>
                <w:szCs w:val="20"/>
                <w:color w:val="auto"/>
              </w:rPr>
            </w:pPr>
            <w:r>
              <w:rPr>
                <w:rFonts w:ascii="Arial" w:cs="Arial" w:eastAsia="Arial" w:hAnsi="Arial"/>
                <w:sz w:val="18"/>
                <w:szCs w:val="18"/>
                <w:color w:val="auto"/>
                <w:w w:val="90"/>
              </w:rPr>
              <w:t>0.4351</w:t>
            </w:r>
          </w:p>
        </w:tc>
      </w:tr>
      <w:tr>
        <w:trPr>
          <w:trHeight w:val="216"/>
        </w:trPr>
        <w:tc>
          <w:tcPr>
            <w:tcW w:w="5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 (high)</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0.5023</w:t>
            </w:r>
          </w:p>
        </w:tc>
      </w:tr>
      <w:tr>
        <w:trPr>
          <w:trHeight w:val="216"/>
        </w:trPr>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rPr>
              <w:t>A</w:t>
            </w:r>
          </w:p>
        </w:tc>
        <w:tc>
          <w:tcPr>
            <w:tcW w:w="5540" w:type="dxa"/>
            <w:vAlign w:val="bottom"/>
          </w:tcPr>
          <w:p>
            <w:pPr>
              <w:jc w:val="center"/>
              <w:spacing w:after="0"/>
              <w:rPr>
                <w:sz w:val="20"/>
                <w:szCs w:val="20"/>
                <w:color w:val="auto"/>
              </w:rPr>
            </w:pPr>
            <w:r>
              <w:rPr>
                <w:rFonts w:ascii="Arial" w:cs="Arial" w:eastAsia="Arial" w:hAnsi="Arial"/>
                <w:sz w:val="18"/>
                <w:szCs w:val="18"/>
                <w:color w:val="auto"/>
                <w:w w:val="90"/>
              </w:rPr>
              <w:t>0.6066</w:t>
            </w:r>
          </w:p>
        </w:tc>
      </w:tr>
      <w:tr>
        <w:trPr>
          <w:trHeight w:val="216"/>
        </w:trPr>
        <w:tc>
          <w:tcPr>
            <w:tcW w:w="5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 (low)</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0.8085</w:t>
            </w:r>
          </w:p>
        </w:tc>
      </w:tr>
      <w:tr>
        <w:trPr>
          <w:trHeight w:val="216"/>
        </w:trPr>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BBB (high)</w:t>
            </w:r>
          </w:p>
        </w:tc>
        <w:tc>
          <w:tcPr>
            <w:tcW w:w="5540" w:type="dxa"/>
            <w:vAlign w:val="bottom"/>
          </w:tcPr>
          <w:p>
            <w:pPr>
              <w:jc w:val="center"/>
              <w:spacing w:after="0"/>
              <w:rPr>
                <w:sz w:val="20"/>
                <w:szCs w:val="20"/>
                <w:color w:val="auto"/>
              </w:rPr>
            </w:pPr>
            <w:r>
              <w:rPr>
                <w:rFonts w:ascii="Arial" w:cs="Arial" w:eastAsia="Arial" w:hAnsi="Arial"/>
                <w:sz w:val="18"/>
                <w:szCs w:val="18"/>
                <w:color w:val="auto"/>
                <w:w w:val="90"/>
              </w:rPr>
              <w:t>1.3445</w:t>
            </w:r>
          </w:p>
        </w:tc>
      </w:tr>
      <w:tr>
        <w:trPr>
          <w:trHeight w:val="216"/>
        </w:trPr>
        <w:tc>
          <w:tcPr>
            <w:tcW w:w="5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BBB</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2.1542</w:t>
            </w:r>
          </w:p>
        </w:tc>
      </w:tr>
      <w:tr>
        <w:trPr>
          <w:trHeight w:val="216"/>
        </w:trPr>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BBB (low)</w:t>
            </w:r>
          </w:p>
        </w:tc>
        <w:tc>
          <w:tcPr>
            <w:tcW w:w="5540" w:type="dxa"/>
            <w:vAlign w:val="bottom"/>
          </w:tcPr>
          <w:p>
            <w:pPr>
              <w:jc w:val="center"/>
              <w:spacing w:after="0"/>
              <w:rPr>
                <w:sz w:val="20"/>
                <w:szCs w:val="20"/>
                <w:color w:val="auto"/>
              </w:rPr>
            </w:pPr>
            <w:r>
              <w:rPr>
                <w:rFonts w:ascii="Arial" w:cs="Arial" w:eastAsia="Arial" w:hAnsi="Arial"/>
                <w:sz w:val="18"/>
                <w:szCs w:val="18"/>
                <w:color w:val="auto"/>
                <w:w w:val="90"/>
              </w:rPr>
              <w:t>3.6344</w:t>
            </w:r>
          </w:p>
        </w:tc>
      </w:tr>
      <w:tr>
        <w:trPr>
          <w:trHeight w:val="216"/>
        </w:trPr>
        <w:tc>
          <w:tcPr>
            <w:tcW w:w="5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BB (high)</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7.2478</w:t>
            </w:r>
          </w:p>
        </w:tc>
      </w:tr>
      <w:tr>
        <w:trPr>
          <w:trHeight w:val="216"/>
        </w:trPr>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BB</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10.0962</w:t>
            </w:r>
          </w:p>
        </w:tc>
      </w:tr>
      <w:tr>
        <w:trPr>
          <w:trHeight w:val="216"/>
        </w:trPr>
        <w:tc>
          <w:tcPr>
            <w:tcW w:w="5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BB (low)</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13.4563</w:t>
            </w:r>
          </w:p>
        </w:tc>
      </w:tr>
      <w:tr>
        <w:trPr>
          <w:trHeight w:val="216"/>
        </w:trPr>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B (high)</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17.7695</w:t>
            </w:r>
          </w:p>
        </w:tc>
      </w:tr>
      <w:tr>
        <w:trPr>
          <w:trHeight w:val="216"/>
        </w:trPr>
        <w:tc>
          <w:tcPr>
            <w:tcW w:w="5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22.5401</w:t>
            </w:r>
          </w:p>
        </w:tc>
      </w:tr>
      <w:tr>
        <w:trPr>
          <w:trHeight w:val="216"/>
        </w:trPr>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B (low)</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31.2211</w:t>
            </w:r>
          </w:p>
        </w:tc>
      </w:tr>
      <w:tr>
        <w:trPr>
          <w:trHeight w:val="216"/>
        </w:trPr>
        <w:tc>
          <w:tcPr>
            <w:tcW w:w="5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CCC (high)</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49.7747</w:t>
            </w:r>
          </w:p>
        </w:tc>
      </w:tr>
      <w:tr>
        <w:trPr>
          <w:trHeight w:val="216"/>
        </w:trPr>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CCC</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70.5414</w:t>
            </w:r>
          </w:p>
        </w:tc>
      </w:tr>
      <w:tr>
        <w:trPr>
          <w:trHeight w:val="216"/>
        </w:trPr>
        <w:tc>
          <w:tcPr>
            <w:tcW w:w="5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CCC (low)</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90.6642</w:t>
            </w:r>
          </w:p>
        </w:tc>
      </w:tr>
      <w:tr>
        <w:trPr>
          <w:trHeight w:val="230"/>
        </w:trPr>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w:t>
            </w:r>
          </w:p>
        </w:tc>
        <w:tc>
          <w:tcPr>
            <w:tcW w:w="5540" w:type="dxa"/>
            <w:vAlign w:val="bottom"/>
          </w:tcPr>
          <w:p>
            <w:pPr>
              <w:jc w:val="center"/>
              <w:spacing w:after="0"/>
              <w:rPr>
                <w:sz w:val="20"/>
                <w:szCs w:val="20"/>
                <w:color w:val="auto"/>
              </w:rPr>
            </w:pPr>
            <w:r>
              <w:rPr>
                <w:rFonts w:ascii="Arial" w:cs="Arial" w:eastAsia="Arial" w:hAnsi="Arial"/>
                <w:sz w:val="18"/>
                <w:szCs w:val="18"/>
                <w:color w:val="auto"/>
                <w:w w:val="87"/>
              </w:rPr>
              <w:t>100.0000</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4-1</w:t>
      </w:r>
    </w:p>
    <w:p>
      <w:pPr>
        <w:sectPr>
          <w:pgSz w:w="11900" w:h="16838" w:orient="portrait"/>
          <w:cols w:equalWidth="0" w:num="1">
            <w:col w:w="11420"/>
          </w:cols>
          <w:pgMar w:left="240" w:top="270"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DBRS Industry Classifications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Name</w:t>
      </w:r>
    </w:p>
    <w:p>
      <w:pPr>
        <w:spacing w:after="0" w:line="135" w:lineRule="exact"/>
        <w:rPr>
          <w:sz w:val="20"/>
          <w:szCs w:val="20"/>
          <w:color w:val="auto"/>
        </w:rPr>
      </w:pPr>
    </w:p>
    <w:p>
      <w:pPr>
        <w:ind w:left="460" w:hanging="452"/>
        <w:spacing w:after="0"/>
        <w:tabs>
          <w:tab w:leader="none" w:pos="4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Aerospace &amp; Defense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Air transport</w:t>
      </w:r>
    </w:p>
    <w:p>
      <w:pPr>
        <w:spacing w:after="0" w:line="9" w:lineRule="exact"/>
        <w:rPr>
          <w:sz w:val="20"/>
          <w:szCs w:val="20"/>
          <w:color w:val="auto"/>
        </w:rPr>
      </w:pPr>
    </w:p>
    <w:p>
      <w:pPr>
        <w:ind w:left="460" w:hanging="452"/>
        <w:spacing w:after="0"/>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Automotive</w:t>
      </w:r>
    </w:p>
    <w:p>
      <w:pPr>
        <w:spacing w:after="0" w:line="9" w:lineRule="exact"/>
        <w:rPr>
          <w:sz w:val="20"/>
          <w:szCs w:val="20"/>
          <w:color w:val="auto"/>
        </w:rPr>
      </w:pPr>
    </w:p>
    <w:p>
      <w:pPr>
        <w:ind w:left="460" w:hanging="452"/>
        <w:spacing w:after="0"/>
        <w:tabs>
          <w:tab w:leader="none" w:pos="4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Beverage &amp; Tobacco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Radio &amp; Television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6"/>
          <w:szCs w:val="16"/>
          <w:color w:val="auto"/>
        </w:rPr>
        <w:t>Brokers, Dealers &amp; Investment houses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Building &amp; Development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6"/>
          <w:szCs w:val="16"/>
          <w:color w:val="auto"/>
        </w:rPr>
        <w:t>Business equipment &amp; services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6"/>
          <w:szCs w:val="16"/>
          <w:color w:val="auto"/>
        </w:rPr>
        <w:t>Cable &amp; satellite television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   Chemicals &amp; plastics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   Clothing/textiles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   Conglomerates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   Containers &amp; glass products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14   Cosmetics/toiletries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   Drugs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16   Ecological services &amp; equipment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17   Electronics/electrical</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18   Equipment leasing</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19   Farming/agriculture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   Financial intermediaries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21   Food/drug retailers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22   Food products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   Food service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24   Forest products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25   Health care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26   Home furnishings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27   Lodging &amp; casinos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28   Industrial equipment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29   Insurance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   Leisure goods/activities/movies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   Nonferrous metals/minerals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   Oil &amp; gas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33   Publishing</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   Rail industries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35   Retailers (except food &amp; drug)</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36   Steel</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37   Surface transport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38   Telecommunications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39   Utilities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40   Miscs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41   Sovereign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5-1</w:t>
      </w:r>
    </w:p>
    <w:p>
      <w:pPr>
        <w:sectPr>
          <w:pgSz w:w="11900" w:h="16838" w:orient="portrait"/>
          <w:cols w:equalWidth="0" w:num="1">
            <w:col w:w="11420"/>
          </w:cols>
          <w:pgMar w:left="240" w:top="270" w:right="2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LIBOR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each Interest Accrual Period, LIBOR will be determined by the Calculation Agent in accordance with the following provisions:</w:t>
      </w:r>
    </w:p>
    <w:p>
      <w:pPr>
        <w:spacing w:after="0" w:line="140" w:lineRule="exact"/>
        <w:rPr>
          <w:sz w:val="20"/>
          <w:szCs w:val="20"/>
          <w:color w:val="auto"/>
        </w:rPr>
      </w:pPr>
    </w:p>
    <w:p>
      <w:pPr>
        <w:ind w:right="40" w:firstLine="881"/>
        <w:spacing w:after="0" w:line="273" w:lineRule="auto"/>
        <w:tabs>
          <w:tab w:leader="none" w:pos="1091" w:val="left"/>
        </w:tabs>
        <w:numPr>
          <w:ilvl w:val="0"/>
          <w:numId w:val="287"/>
        </w:numPr>
        <w:rPr>
          <w:rFonts w:ascii="Arial" w:cs="Arial" w:eastAsia="Arial" w:hAnsi="Arial"/>
          <w:sz w:val="17"/>
          <w:szCs w:val="17"/>
          <w:color w:val="auto"/>
        </w:rPr>
      </w:pPr>
      <w:r>
        <w:rPr>
          <w:rFonts w:ascii="Arial" w:cs="Arial" w:eastAsia="Arial" w:hAnsi="Arial"/>
          <w:sz w:val="17"/>
          <w:szCs w:val="17"/>
          <w:color w:val="auto"/>
        </w:rPr>
        <w:t>LIBOR for such Interest Accrual Period shall equal the offered rate, as determined by the Calculation Agent, for Dollar deposits in Europe of the Designated Maturity which appears on Reuters Screen LIBOR01 Page (or such other page as may replace such Reuters Screen LIBOR01 Page for the purpose of displaying comparable rates) as reported by Bloomberg Financial Markets Commodities News (or, in the event that Bloomberg Financial Markets Commodities News ceases to report LIBOR for Dollar deposits, by another recognized financial reporting service) (the “</w:t>
      </w:r>
      <w:r>
        <w:rPr>
          <w:rFonts w:ascii="Arial" w:cs="Arial" w:eastAsia="Arial" w:hAnsi="Arial"/>
          <w:sz w:val="17"/>
          <w:szCs w:val="17"/>
          <w:u w:val="single" w:color="auto"/>
          <w:color w:val="auto"/>
        </w:rPr>
        <w:t>Screen</w:t>
      </w:r>
      <w:r>
        <w:rPr>
          <w:rFonts w:ascii="Arial" w:cs="Arial" w:eastAsia="Arial" w:hAnsi="Arial"/>
          <w:sz w:val="17"/>
          <w:szCs w:val="17"/>
          <w:color w:val="auto"/>
        </w:rPr>
        <w:t xml:space="preserve"> </w:t>
      </w:r>
      <w:r>
        <w:rPr>
          <w:rFonts w:ascii="Arial" w:cs="Arial" w:eastAsia="Arial" w:hAnsi="Arial"/>
          <w:sz w:val="17"/>
          <w:szCs w:val="17"/>
          <w:u w:val="single" w:color="auto"/>
          <w:color w:val="auto"/>
        </w:rPr>
        <w:t>Page</w:t>
      </w:r>
      <w:r>
        <w:rPr>
          <w:rFonts w:ascii="Arial" w:cs="Arial" w:eastAsia="Arial" w:hAnsi="Arial"/>
          <w:sz w:val="17"/>
          <w:szCs w:val="17"/>
          <w:color w:val="auto"/>
        </w:rPr>
        <w:t>”) as of 11:00 a.m. (London time) on the applicable LIBOR Determination Date. “</w:t>
      </w:r>
      <w:r>
        <w:rPr>
          <w:rFonts w:ascii="Arial" w:cs="Arial" w:eastAsia="Arial" w:hAnsi="Arial"/>
          <w:sz w:val="17"/>
          <w:szCs w:val="17"/>
          <w:u w:val="single" w:color="auto"/>
          <w:color w:val="auto"/>
        </w:rPr>
        <w:t>LIBOR Determination Date</w:t>
      </w:r>
      <w:r>
        <w:rPr>
          <w:rFonts w:ascii="Arial" w:cs="Arial" w:eastAsia="Arial" w:hAnsi="Arial"/>
          <w:sz w:val="17"/>
          <w:szCs w:val="17"/>
          <w:color w:val="auto"/>
        </w:rPr>
        <w:t>” means, with respect to any Interest Accrual Period, the second London Banking Day prior to the first day of such Interest Accrual Period.</w:t>
      </w:r>
    </w:p>
    <w:p>
      <w:pPr>
        <w:spacing w:after="0" w:line="70" w:lineRule="exact"/>
        <w:rPr>
          <w:rFonts w:ascii="Arial" w:cs="Arial" w:eastAsia="Arial" w:hAnsi="Arial"/>
          <w:sz w:val="17"/>
          <w:szCs w:val="17"/>
          <w:color w:val="auto"/>
        </w:rPr>
      </w:pPr>
    </w:p>
    <w:p>
      <w:pPr>
        <w:ind w:right="100" w:firstLine="881"/>
        <w:spacing w:after="0" w:line="287" w:lineRule="auto"/>
        <w:tabs>
          <w:tab w:leader="none" w:pos="114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on any LIBOR Determination Date, such rate does not appear on the Screen Page, the Calculation Agent shall determine the arithmetic mean of the offered quotations of the Reference Banks to prime banks in the London interbank market for U.S. Dollar deposits in Europe of the Designated Maturity (except that in the case where such Interest Accrual Period shall commence on a day that is not a LIBOR Business Day, for a term of the Designated Maturity commencing on the next following LIBOR Business Day), by reference to requests for quotations as of approximately 11:00 a.m. (London time) on such LIBOR Determination Date made by the Calculation Agent to the Reference Banks. If, on any LIBOR Determination Date, at least two of the Reference Banks provide such quotations, LIBOR shall equal such arithmetic mean of such quotations. If, on any LIBOR Determination Date, fewer than two Reference Banks provide such quotations, LIBOR shall be deemed to be the arithmetic mean of the offered quotations that leading banks in New York City selected by the Calculation Agent (after consultation with the Borrower) are quoting on the relevant LIBOR Determination Date for Dollar deposits in Europe for the term of such Interest Accrual Period (except that in the case where such Interest Accrual Period shall commence on a day that is not a LIBOR Business Day, for a term of the Designated Maturity commencing on the next following LIBOR Business Day), to the principal London offices of leading banks in the London interbank market.</w:t>
      </w:r>
    </w:p>
    <w:p>
      <w:pPr>
        <w:spacing w:after="0" w:line="64" w:lineRule="exact"/>
        <w:rPr>
          <w:rFonts w:ascii="Arial" w:cs="Arial" w:eastAsia="Arial" w:hAnsi="Arial"/>
          <w:sz w:val="16"/>
          <w:szCs w:val="16"/>
          <w:color w:val="auto"/>
        </w:rPr>
      </w:pPr>
    </w:p>
    <w:p>
      <w:pPr>
        <w:ind w:right="80" w:firstLine="881"/>
        <w:spacing w:after="0" w:line="255" w:lineRule="auto"/>
        <w:tabs>
          <w:tab w:leader="none" w:pos="119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In respect of any Interest Accrual Period having a Designated Maturity other than three months, LIBOR shall be determined through the use of straight line interpolation by reference to two rates calculated in accordance with clauses (i) and (ii) above, one of which shall be determined as if the maturity of the Dollar deposits referred to therein were the period of time for which rates are available next shorter than the Interest Accrual Period and the other of which shall be determined as if such maturity were the period of time for which rates are available next longer than the Interest Accrual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Interest Accrual Period is less than or equal to seven days, then LIBOR shall be determined by reference to a rate calculated in accordance with</w:t>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Schedule 6-1</w:t>
      </w:r>
    </w:p>
    <w:p>
      <w:pPr>
        <w:sectPr>
          <w:pgSz w:w="11900" w:h="16838" w:orient="portrait"/>
          <w:cols w:equalWidth="0" w:num="1">
            <w:col w:w="10960"/>
          </w:cols>
          <w:pgMar w:left="700" w:top="270" w:right="239" w:bottom="1440" w:gutter="0" w:footer="0" w:header="0"/>
        </w:sectPr>
      </w:pPr>
    </w:p>
    <w:bookmarkStart w:id="279" w:name="page280"/>
    <w:bookmarkEnd w:id="27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clauses (i) and (ii) above as if the maturity of the Dollar deposits referred to therein were a period of time equal to seven days.</w:t>
      </w:r>
    </w:p>
    <w:p>
      <w:pPr>
        <w:spacing w:after="0" w:line="117" w:lineRule="exact"/>
        <w:rPr>
          <w:sz w:val="20"/>
          <w:szCs w:val="20"/>
          <w:color w:val="auto"/>
        </w:rPr>
      </w:pPr>
    </w:p>
    <w:p>
      <w:pPr>
        <w:ind w:left="460" w:right="180" w:firstLine="881"/>
        <w:spacing w:after="0" w:line="342" w:lineRule="auto"/>
        <w:tabs>
          <w:tab w:leader="none" w:pos="164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If the Calculation Agent is unable to determine a rate in accordance with at least one of the procedures described above, LIBOR with respect to such Interest Accrual Period shall be the arithmetic mean of the Base Rate for each day during such Interest Accrual Period.</w:t>
      </w:r>
    </w:p>
    <w:p>
      <w:pPr>
        <w:spacing w:after="0" w:line="124"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For purposes of clauses (i), (iii) and (iv) above, all percentages resulting from such calculations shall be rounded, if necessary, to the nearest one hundred thousandth of a percentage point. For the purposes of clause (ii) above, all percentages resulting from such calculations shall be rounded, if necessary, to the nearest one thirty second of a percentage point.</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Notwithstanding the foregoing or anything in this Agreement to the contrary, the relevant CP Lender (or its Conduit Support Provider or Program Manager, as applicable) shall determine and announce to the Calculation Agent the Cost of Funds Rate for each Cost of Funds Rate Advance, such determination to be conclusive absent manifest error.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Maturity</w:t>
      </w:r>
      <w:r>
        <w:rPr>
          <w:rFonts w:ascii="Arial" w:cs="Arial" w:eastAsia="Arial" w:hAnsi="Arial"/>
          <w:sz w:val="18"/>
          <w:szCs w:val="18"/>
          <w:color w:val="auto"/>
        </w:rPr>
        <w:t>” means, in respect of any Interest Accrual Period, the length of such Interest Accrual Period.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Business Day</w:t>
      </w:r>
      <w:r>
        <w:rPr>
          <w:rFonts w:ascii="Arial" w:cs="Arial" w:eastAsia="Arial" w:hAnsi="Arial"/>
          <w:sz w:val="16"/>
          <w:szCs w:val="16"/>
          <w:color w:val="auto"/>
        </w:rPr>
        <w:t>” means a day on which commercial banks and foreign exchange markets settle payments in Dollars in New York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four major banks in the London interbank market selected by the Calculation Agent.</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Schedule 6-2</w:t>
      </w:r>
    </w:p>
    <w:p>
      <w:pPr>
        <w:sectPr>
          <w:pgSz w:w="11900" w:h="16838" w:orient="portrait"/>
          <w:cols w:equalWidth="0" w:num="1">
            <w:col w:w="11400"/>
          </w:cols>
          <w:pgMar w:left="240" w:top="274" w:right="25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DBRS Rating Procedure</w:t>
      </w:r>
    </w:p>
    <w:p>
      <w:pPr>
        <w:spacing w:after="0" w:line="229"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Rating</w:t>
      </w:r>
      <w:r>
        <w:rPr>
          <w:rFonts w:ascii="Arial" w:cs="Arial" w:eastAsia="Arial" w:hAnsi="Arial"/>
          <w:sz w:val="18"/>
          <w:szCs w:val="18"/>
          <w:color w:val="auto"/>
        </w:rPr>
        <w:t>” for an Obligor, Lender, Selling Institution or other Person (collectively referred to as the “</w:t>
      </w:r>
      <w:r>
        <w:rPr>
          <w:rFonts w:ascii="Arial" w:cs="Arial" w:eastAsia="Arial" w:hAnsi="Arial"/>
          <w:sz w:val="18"/>
          <w:szCs w:val="18"/>
          <w:u w:val="single" w:color="auto"/>
          <w:color w:val="auto"/>
        </w:rPr>
        <w:t>Obligor</w:t>
      </w:r>
      <w:r>
        <w:rPr>
          <w:rFonts w:ascii="Arial" w:cs="Arial" w:eastAsia="Arial" w:hAnsi="Arial"/>
          <w:sz w:val="18"/>
          <w:szCs w:val="18"/>
          <w:color w:val="auto"/>
        </w:rPr>
        <w:t>” for purposes of this Schedule) means the DBRS Long Term Rating for such Obligor determined in accordance with Part A of this Schedule or the DBRS Short Term Rating for such Obligor determined in accordance with Part B of this Schedule, in each case as the context requires. The DBRS Rating of the Obligors shall be updated at least annually.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A</w:t>
      </w:r>
      <w:r>
        <w:rPr>
          <w:rFonts w:ascii="Arial" w:cs="Arial" w:eastAsia="Arial" w:hAnsi="Arial"/>
          <w:sz w:val="18"/>
          <w:szCs w:val="18"/>
          <w:color w:val="auto"/>
        </w:rPr>
        <w:t xml:space="preserve">: </w:t>
      </w:r>
      <w:r>
        <w:rPr>
          <w:rFonts w:ascii="Arial" w:cs="Arial" w:eastAsia="Arial" w:hAnsi="Arial"/>
          <w:sz w:val="18"/>
          <w:szCs w:val="18"/>
          <w:b w:val="1"/>
          <w:bCs w:val="1"/>
          <w:color w:val="auto"/>
        </w:rPr>
        <w:t>Long Term Ratings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Long Term Rating</w:t>
      </w:r>
      <w:r>
        <w:rPr>
          <w:rFonts w:ascii="Arial" w:cs="Arial" w:eastAsia="Arial" w:hAnsi="Arial"/>
          <w:sz w:val="18"/>
          <w:szCs w:val="18"/>
          <w:color w:val="auto"/>
        </w:rPr>
        <w:t>” for an Obligor will, on any date, be the rating of such Obligor determined as provided below:</w:t>
      </w:r>
    </w:p>
    <w:p>
      <w:pPr>
        <w:spacing w:after="0" w:line="131"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there is a DBRS public long term rating of such Obligor at such date, such DBRS public long term rating;</w:t>
      </w:r>
    </w:p>
    <w:p>
      <w:pPr>
        <w:spacing w:after="0" w:line="130"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a DBRS Long Term Rating for such Obligor cannot be determined under clause (1) above, but a Moody’s Rating, S&amp;P Rating and Fitch Rating (each, a “</w:t>
      </w:r>
      <w:r>
        <w:rPr>
          <w:rFonts w:ascii="Arial" w:cs="Arial" w:eastAsia="Arial" w:hAnsi="Arial"/>
          <w:sz w:val="18"/>
          <w:szCs w:val="18"/>
          <w:u w:val="single" w:color="auto"/>
          <w:color w:val="auto"/>
        </w:rPr>
        <w:t>public long term rating</w:t>
      </w:r>
      <w:r>
        <w:rPr>
          <w:rFonts w:ascii="Arial" w:cs="Arial" w:eastAsia="Arial" w:hAnsi="Arial"/>
          <w:sz w:val="18"/>
          <w:szCs w:val="18"/>
          <w:color w:val="auto"/>
        </w:rPr>
        <w:t>”) are all available at such date, the DBRS Long Term Rating will be the DBRS Equivalent of such public long term rating remaining after disregarding the highest and lowest such public long term ratings from such Rating Agencies. For this purpose, if more than one public long term rating has the same highest DBRS Equivalent or the same lowest DBRS Equivalent, then in each case one of such public long term ratings shall be so disregarded;</w:t>
      </w:r>
    </w:p>
    <w:p>
      <w:pPr>
        <w:spacing w:after="0" w:line="93" w:lineRule="exact"/>
        <w:rPr>
          <w:rFonts w:ascii="Arial" w:cs="Arial" w:eastAsia="Arial" w:hAnsi="Arial"/>
          <w:sz w:val="18"/>
          <w:szCs w:val="18"/>
          <w:color w:val="auto"/>
        </w:rPr>
      </w:pPr>
    </w:p>
    <w:p>
      <w:pPr>
        <w:ind w:left="460" w:right="140" w:hanging="452"/>
        <w:spacing w:after="0" w:line="308" w:lineRule="auto"/>
        <w:tabs>
          <w:tab w:leader="none" w:pos="4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if a DBRS Long Term Rating for such Obligor cannot be determined under clauses (1) through (2) above, but public long term ratings of such Obligor by any two of Moody’s, Fitch and S&amp;P are available at such date, the DBRS Equivalent of the lower such public long term rating;</w:t>
      </w:r>
    </w:p>
    <w:p>
      <w:pPr>
        <w:spacing w:after="0" w:line="51" w:lineRule="exact"/>
        <w:rPr>
          <w:rFonts w:ascii="Arial" w:cs="Arial" w:eastAsia="Arial" w:hAnsi="Arial"/>
          <w:sz w:val="17"/>
          <w:szCs w:val="17"/>
          <w:color w:val="auto"/>
        </w:rPr>
      </w:pPr>
    </w:p>
    <w:p>
      <w:pPr>
        <w:ind w:left="460" w:right="80" w:hanging="452"/>
        <w:spacing w:after="0" w:line="308" w:lineRule="auto"/>
        <w:tabs>
          <w:tab w:leader="none" w:pos="4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if a DBRS Long Term Rating for such Obligor cannot be determined under clauses (1) through (3) above, but a public long term rating of such Obligor by only one of Moody’s, Fitch or S&amp;P is available at such date, the DBRS Equivalent of such available public long term rating; and</w:t>
      </w:r>
    </w:p>
    <w:p>
      <w:pPr>
        <w:spacing w:after="0" w:line="51" w:lineRule="exact"/>
        <w:rPr>
          <w:rFonts w:ascii="Arial" w:cs="Arial" w:eastAsia="Arial" w:hAnsi="Arial"/>
          <w:sz w:val="17"/>
          <w:szCs w:val="17"/>
          <w:color w:val="auto"/>
        </w:rPr>
      </w:pPr>
    </w:p>
    <w:p>
      <w:pPr>
        <w:ind w:left="460" w:right="200" w:hanging="452"/>
        <w:spacing w:after="0" w:line="342" w:lineRule="auto"/>
        <w:tabs>
          <w:tab w:leader="none" w:pos="4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if at any time a DBRS Long Term Rating for an Obligor cannot be determined under clauses (1) through (4) above, then such Obligor will be deemed not to have a DBRS Long Term Rating at such time and the Borrower shall be required to comply with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in respect of such Obligor.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B</w:t>
      </w:r>
      <w:r>
        <w:rPr>
          <w:rFonts w:ascii="Arial" w:cs="Arial" w:eastAsia="Arial" w:hAnsi="Arial"/>
          <w:sz w:val="18"/>
          <w:szCs w:val="18"/>
          <w:color w:val="auto"/>
        </w:rPr>
        <w:t xml:space="preserve">: </w:t>
      </w:r>
      <w:r>
        <w:rPr>
          <w:rFonts w:ascii="Arial" w:cs="Arial" w:eastAsia="Arial" w:hAnsi="Arial"/>
          <w:sz w:val="18"/>
          <w:szCs w:val="18"/>
          <w:b w:val="1"/>
          <w:bCs w:val="1"/>
          <w:color w:val="auto"/>
        </w:rPr>
        <w:t>Short Term Ratings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7-1</w:t>
      </w:r>
    </w:p>
    <w:p>
      <w:pPr>
        <w:sectPr>
          <w:pgSz w:w="11900" w:h="16838" w:orient="portrait"/>
          <w:cols w:equalWidth="0" w:num="1">
            <w:col w:w="11420"/>
          </w:cols>
          <w:pgMar w:left="240" w:top="270" w:right="239" w:bottom="1440" w:gutter="0" w:footer="0" w:header="0"/>
        </w:sectPr>
      </w:pPr>
    </w:p>
    <w:bookmarkStart w:id="281" w:name="page282"/>
    <w:bookmarkEnd w:id="281"/>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8"/>
          <w:szCs w:val="18"/>
          <w:u w:val="single" w:color="auto"/>
          <w:color w:val="auto"/>
        </w:rPr>
        <w:t>DBRS Short Term Rating</w:t>
      </w:r>
      <w:r>
        <w:rPr>
          <w:rFonts w:ascii="Arial" w:cs="Arial" w:eastAsia="Arial" w:hAnsi="Arial"/>
          <w:sz w:val="18"/>
          <w:szCs w:val="18"/>
          <w:color w:val="auto"/>
        </w:rPr>
        <w:t>” for a Lender, Selling Institution or other Person (collectively referred to as the “</w:t>
      </w:r>
      <w:r>
        <w:rPr>
          <w:rFonts w:ascii="Arial" w:cs="Arial" w:eastAsia="Arial" w:hAnsi="Arial"/>
          <w:sz w:val="18"/>
          <w:szCs w:val="18"/>
          <w:u w:val="single" w:color="auto"/>
          <w:color w:val="auto"/>
        </w:rPr>
        <w:t>Obligor</w:t>
      </w:r>
      <w:r>
        <w:rPr>
          <w:rFonts w:ascii="Arial" w:cs="Arial" w:eastAsia="Arial" w:hAnsi="Arial"/>
          <w:sz w:val="18"/>
          <w:szCs w:val="18"/>
          <w:color w:val="auto"/>
        </w:rPr>
        <w:t>” for purposes of this definition) will, on any date, be the rating of such Obligor determined as provided below:</w:t>
      </w:r>
    </w:p>
    <w:p>
      <w:pPr>
        <w:spacing w:after="0" w:line="76"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there is a DBRS public short term rating of such Obligor at such date, such DBRS public short term rating;</w:t>
      </w:r>
    </w:p>
    <w:p>
      <w:pPr>
        <w:spacing w:after="0" w:line="130" w:lineRule="exact"/>
        <w:rPr>
          <w:rFonts w:ascii="Arial" w:cs="Arial" w:eastAsia="Arial" w:hAnsi="Arial"/>
          <w:sz w:val="18"/>
          <w:szCs w:val="18"/>
          <w:color w:val="auto"/>
        </w:rPr>
      </w:pPr>
    </w:p>
    <w:p>
      <w:pPr>
        <w:ind w:left="460" w:right="20" w:hanging="452"/>
        <w:spacing w:after="0" w:line="257"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a DBRS Short Term Rating for such Obligor cannot be determined under clause (1) above, but public short term ratings of such Obligor by each of Moody’s, Fitch and S&amp;P are all available at such date, the DBRS Short Term Rating will be the DBRS Equivalent of the public short term rating remaining after disregarding the highest and lowest public short term ratings from such Rating Agencies. For this purpose, if more than one public short term rating has the same highest DBRS Equivalent or the same lowest DBRS Equivalent, then in each case one of such public short term ratings shall be so disregarded;</w:t>
      </w:r>
    </w:p>
    <w:p>
      <w:pPr>
        <w:spacing w:after="0" w:line="93"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a DBRS Short Term Rating for such Obligor cannot be determined under clauses (1) through (2) above, but public short term ratings of such Obligor by any two of Moody’s, Fitch and S&amp;P are available at such date, the DBRS Equivalent of the lower such short term rating;</w:t>
      </w:r>
    </w:p>
    <w:p>
      <w:pPr>
        <w:spacing w:after="0" w:line="75" w:lineRule="exact"/>
        <w:rPr>
          <w:rFonts w:ascii="Arial" w:cs="Arial" w:eastAsia="Arial" w:hAnsi="Arial"/>
          <w:sz w:val="18"/>
          <w:szCs w:val="18"/>
          <w:color w:val="auto"/>
        </w:rPr>
      </w:pPr>
    </w:p>
    <w:p>
      <w:pPr>
        <w:ind w:left="460" w:right="40" w:hanging="452"/>
        <w:spacing w:after="0" w:line="308" w:lineRule="auto"/>
        <w:tabs>
          <w:tab w:leader="none" w:pos="4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if a DBRS Short Term Rating for such Obligor cannot be determined under clauses (1) through (3) above, but a public short term rating of such Obligor by only one of Moody’s, Fitch or S&amp;P is available at such date, the DBRS Equivalent of such available short term rating; and</w:t>
      </w:r>
    </w:p>
    <w:p>
      <w:pPr>
        <w:spacing w:after="0" w:line="51" w:lineRule="exact"/>
        <w:rPr>
          <w:rFonts w:ascii="Arial" w:cs="Arial" w:eastAsia="Arial" w:hAnsi="Arial"/>
          <w:sz w:val="17"/>
          <w:szCs w:val="17"/>
          <w:color w:val="auto"/>
        </w:rPr>
      </w:pPr>
    </w:p>
    <w:p>
      <w:pPr>
        <w:ind w:left="460" w:right="300" w:hanging="452"/>
        <w:spacing w:after="0" w:line="277"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a DBRS Short Term Rating for such Obligor cannot be determined under clauses (1) through (4) above, then for purposes of this Agreement there shall be no DBRS Short Term Rating for such Obligor as at such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C</w:t>
      </w:r>
      <w:r>
        <w:rPr>
          <w:rFonts w:ascii="Arial" w:cs="Arial" w:eastAsia="Arial" w:hAnsi="Arial"/>
          <w:sz w:val="18"/>
          <w:szCs w:val="18"/>
          <w:color w:val="auto"/>
        </w:rPr>
        <w:t xml:space="preserve">: </w:t>
      </w:r>
      <w:r>
        <w:rPr>
          <w:rFonts w:ascii="Arial" w:cs="Arial" w:eastAsia="Arial" w:hAnsi="Arial"/>
          <w:sz w:val="18"/>
          <w:szCs w:val="18"/>
          <w:b w:val="1"/>
          <w:bCs w:val="1"/>
          <w:color w:val="auto"/>
        </w:rPr>
        <w:t>Other Definitions</w:t>
      </w:r>
    </w:p>
    <w:p>
      <w:pPr>
        <w:spacing w:after="0" w:line="12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Equivalent</w:t>
      </w:r>
      <w:r>
        <w:rPr>
          <w:rFonts w:ascii="Arial" w:cs="Arial" w:eastAsia="Arial" w:hAnsi="Arial"/>
          <w:sz w:val="18"/>
          <w:szCs w:val="18"/>
          <w:color w:val="auto"/>
        </w:rPr>
        <w:t>” of any rating by Moody’s, Fitch or S&amp;P will be the rating set forth below under the heading “</w:t>
      </w:r>
      <w:r>
        <w:rPr>
          <w:rFonts w:ascii="Arial" w:cs="Arial" w:eastAsia="Arial" w:hAnsi="Arial"/>
          <w:sz w:val="18"/>
          <w:szCs w:val="18"/>
          <w:u w:val="single" w:color="auto"/>
          <w:color w:val="auto"/>
        </w:rPr>
        <w:t>DBRS Rating</w:t>
      </w:r>
      <w:r>
        <w:rPr>
          <w:rFonts w:ascii="Arial" w:cs="Arial" w:eastAsia="Arial" w:hAnsi="Arial"/>
          <w:sz w:val="18"/>
          <w:szCs w:val="18"/>
          <w:color w:val="auto"/>
        </w:rPr>
        <w:t>” opposite the applicable rating by Moody’s, Fitch or S&amp;P: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Long Term Rating Equivalents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DBRS Rating</w:t>
            </w:r>
          </w:p>
        </w:tc>
        <w:tc>
          <w:tcPr>
            <w:tcW w:w="1880" w:type="dxa"/>
            <w:vAlign w:val="bottom"/>
          </w:tcPr>
          <w:p>
            <w:pPr>
              <w:jc w:val="center"/>
              <w:ind w:left="772"/>
              <w:spacing w:after="0"/>
              <w:rPr>
                <w:sz w:val="20"/>
                <w:szCs w:val="20"/>
                <w:color w:val="auto"/>
              </w:rPr>
            </w:pPr>
            <w:r>
              <w:rPr>
                <w:rFonts w:ascii="Arial" w:cs="Arial" w:eastAsia="Arial" w:hAnsi="Arial"/>
                <w:sz w:val="14"/>
                <w:szCs w:val="14"/>
                <w:b w:val="1"/>
                <w:bCs w:val="1"/>
                <w:color w:val="auto"/>
                <w:w w:val="95"/>
              </w:rPr>
              <w:t>Moody’s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S&amp;P</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9"/>
              </w:rPr>
              <w:t>Fitch</w:t>
            </w:r>
          </w:p>
        </w:tc>
      </w:tr>
      <w:tr>
        <w:trPr>
          <w:trHeight w:val="210"/>
        </w:trPr>
        <w:tc>
          <w:tcPr>
            <w:tcW w:w="2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AAA</w:t>
            </w:r>
          </w:p>
        </w:tc>
        <w:tc>
          <w:tcPr>
            <w:tcW w:w="1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93"/>
              </w:rPr>
              <w:t>Aaa</w:t>
            </w: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AAA</w:t>
            </w:r>
          </w:p>
        </w:tc>
        <w:tc>
          <w:tcPr>
            <w:tcW w:w="1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AAA</w:t>
            </w:r>
          </w:p>
        </w:tc>
      </w:tr>
      <w:tr>
        <w:trPr>
          <w:trHeight w:val="216"/>
        </w:trPr>
        <w:tc>
          <w:tcPr>
            <w:tcW w:w="31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AA (high)</w:t>
            </w:r>
          </w:p>
        </w:tc>
        <w:tc>
          <w:tcPr>
            <w:tcW w:w="1880" w:type="dxa"/>
            <w:vAlign w:val="bottom"/>
          </w:tcPr>
          <w:p>
            <w:pPr>
              <w:jc w:val="center"/>
              <w:ind w:left="772"/>
              <w:spacing w:after="0"/>
              <w:rPr>
                <w:sz w:val="20"/>
                <w:szCs w:val="20"/>
                <w:color w:val="auto"/>
              </w:rPr>
            </w:pPr>
            <w:r>
              <w:rPr>
                <w:rFonts w:ascii="Arial" w:cs="Arial" w:eastAsia="Arial" w:hAnsi="Arial"/>
                <w:sz w:val="18"/>
                <w:szCs w:val="18"/>
                <w:color w:val="auto"/>
                <w:w w:val="93"/>
              </w:rPr>
              <w:t>Aa1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rPr>
              <w:t>AA+</w:t>
            </w:r>
          </w:p>
        </w:tc>
        <w:tc>
          <w:tcPr>
            <w:tcW w:w="2620" w:type="dxa"/>
            <w:vAlign w:val="bottom"/>
          </w:tcPr>
          <w:p>
            <w:pPr>
              <w:jc w:val="center"/>
              <w:spacing w:after="0"/>
              <w:rPr>
                <w:sz w:val="20"/>
                <w:szCs w:val="20"/>
                <w:color w:val="auto"/>
              </w:rPr>
            </w:pPr>
            <w:r>
              <w:rPr>
                <w:rFonts w:ascii="Arial" w:cs="Arial" w:eastAsia="Arial" w:hAnsi="Arial"/>
                <w:sz w:val="18"/>
                <w:szCs w:val="18"/>
                <w:color w:val="auto"/>
              </w:rPr>
              <w:t>AA+</w:t>
            </w:r>
          </w:p>
        </w:tc>
      </w:tr>
      <w:tr>
        <w:trPr>
          <w:trHeight w:val="216"/>
        </w:trPr>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AA</w:t>
            </w:r>
          </w:p>
        </w:tc>
        <w:tc>
          <w:tcPr>
            <w:tcW w:w="188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3"/>
              </w:rPr>
              <w:t>Aa2</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AA</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r>
      <w:tr>
        <w:trPr>
          <w:trHeight w:val="216"/>
        </w:trPr>
        <w:tc>
          <w:tcPr>
            <w:tcW w:w="3100" w:type="dxa"/>
            <w:vAlign w:val="bottom"/>
            <w:gridSpan w:val="2"/>
          </w:tcPr>
          <w:p>
            <w:pPr>
              <w:jc w:val="center"/>
              <w:ind w:right="120"/>
              <w:spacing w:after="0"/>
              <w:rPr>
                <w:sz w:val="20"/>
                <w:szCs w:val="20"/>
                <w:color w:val="auto"/>
              </w:rPr>
            </w:pPr>
            <w:r>
              <w:rPr>
                <w:rFonts w:ascii="Arial" w:cs="Arial" w:eastAsia="Arial" w:hAnsi="Arial"/>
                <w:sz w:val="18"/>
                <w:szCs w:val="18"/>
                <w:color w:val="auto"/>
              </w:rPr>
              <w:t>AA (low)</w:t>
            </w:r>
          </w:p>
        </w:tc>
        <w:tc>
          <w:tcPr>
            <w:tcW w:w="1880" w:type="dxa"/>
            <w:vAlign w:val="bottom"/>
          </w:tcPr>
          <w:p>
            <w:pPr>
              <w:jc w:val="center"/>
              <w:ind w:left="772"/>
              <w:spacing w:after="0"/>
              <w:rPr>
                <w:sz w:val="20"/>
                <w:szCs w:val="20"/>
                <w:color w:val="auto"/>
              </w:rPr>
            </w:pPr>
            <w:r>
              <w:rPr>
                <w:rFonts w:ascii="Arial" w:cs="Arial" w:eastAsia="Arial" w:hAnsi="Arial"/>
                <w:sz w:val="18"/>
                <w:szCs w:val="18"/>
                <w:color w:val="auto"/>
                <w:w w:val="93"/>
              </w:rPr>
              <w:t>Aa3</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rPr>
              <w:t>AA-</w:t>
            </w:r>
          </w:p>
        </w:tc>
        <w:tc>
          <w:tcPr>
            <w:tcW w:w="2620" w:type="dxa"/>
            <w:vAlign w:val="bottom"/>
          </w:tcPr>
          <w:p>
            <w:pPr>
              <w:jc w:val="center"/>
              <w:spacing w:after="0"/>
              <w:rPr>
                <w:sz w:val="20"/>
                <w:szCs w:val="20"/>
                <w:color w:val="auto"/>
              </w:rPr>
            </w:pPr>
            <w:r>
              <w:rPr>
                <w:rFonts w:ascii="Arial" w:cs="Arial" w:eastAsia="Arial" w:hAnsi="Arial"/>
                <w:sz w:val="18"/>
                <w:szCs w:val="18"/>
                <w:color w:val="auto"/>
              </w:rPr>
              <w:t>AA-</w:t>
            </w:r>
          </w:p>
        </w:tc>
      </w:tr>
      <w:tr>
        <w:trPr>
          <w:trHeight w:val="216"/>
        </w:trPr>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 (high)</w:t>
            </w:r>
          </w:p>
        </w:tc>
        <w:tc>
          <w:tcPr>
            <w:tcW w:w="188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A1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A+</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r>
      <w:tr>
        <w:trPr>
          <w:trHeight w:val="216"/>
        </w:trPr>
        <w:tc>
          <w:tcPr>
            <w:tcW w:w="310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1880" w:type="dxa"/>
            <w:vAlign w:val="bottom"/>
          </w:tcPr>
          <w:p>
            <w:pPr>
              <w:jc w:val="center"/>
              <w:ind w:left="772"/>
              <w:spacing w:after="0"/>
              <w:rPr>
                <w:sz w:val="20"/>
                <w:szCs w:val="20"/>
                <w:color w:val="auto"/>
              </w:rPr>
            </w:pPr>
            <w:r>
              <w:rPr>
                <w:rFonts w:ascii="Arial" w:cs="Arial" w:eastAsia="Arial" w:hAnsi="Arial"/>
                <w:sz w:val="18"/>
                <w:szCs w:val="18"/>
                <w:color w:val="auto"/>
                <w:w w:val="99"/>
              </w:rPr>
              <w:t>A2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rPr>
              <w:t>A</w:t>
            </w:r>
          </w:p>
        </w:tc>
        <w:tc>
          <w:tcPr>
            <w:tcW w:w="2620" w:type="dxa"/>
            <w:vAlign w:val="bottom"/>
          </w:tcPr>
          <w:p>
            <w:pPr>
              <w:jc w:val="center"/>
              <w:spacing w:after="0"/>
              <w:rPr>
                <w:sz w:val="20"/>
                <w:szCs w:val="20"/>
                <w:color w:val="auto"/>
              </w:rPr>
            </w:pPr>
            <w:r>
              <w:rPr>
                <w:rFonts w:ascii="Arial" w:cs="Arial" w:eastAsia="Arial" w:hAnsi="Arial"/>
                <w:sz w:val="18"/>
                <w:szCs w:val="18"/>
                <w:color w:val="auto"/>
              </w:rPr>
              <w:t>A</w:t>
            </w:r>
          </w:p>
        </w:tc>
      </w:tr>
      <w:tr>
        <w:trPr>
          <w:trHeight w:val="216"/>
        </w:trPr>
        <w:tc>
          <w:tcPr>
            <w:tcW w:w="3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 (low)</w:t>
            </w:r>
          </w:p>
        </w:tc>
        <w:tc>
          <w:tcPr>
            <w:tcW w:w="188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A3</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16"/>
        </w:trPr>
        <w:tc>
          <w:tcPr>
            <w:tcW w:w="31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BBB (high)</w:t>
            </w:r>
          </w:p>
        </w:tc>
        <w:tc>
          <w:tcPr>
            <w:tcW w:w="1880" w:type="dxa"/>
            <w:vAlign w:val="bottom"/>
          </w:tcPr>
          <w:p>
            <w:pPr>
              <w:jc w:val="center"/>
              <w:ind w:left="772"/>
              <w:spacing w:after="0"/>
              <w:rPr>
                <w:sz w:val="20"/>
                <w:szCs w:val="20"/>
                <w:color w:val="auto"/>
              </w:rPr>
            </w:pPr>
            <w:r>
              <w:rPr>
                <w:rFonts w:ascii="Arial" w:cs="Arial" w:eastAsia="Arial" w:hAnsi="Arial"/>
                <w:sz w:val="18"/>
                <w:szCs w:val="18"/>
                <w:color w:val="auto"/>
                <w:w w:val="90"/>
              </w:rPr>
              <w:t>Baa1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BBB+</w:t>
            </w:r>
          </w:p>
        </w:tc>
        <w:tc>
          <w:tcPr>
            <w:tcW w:w="2620" w:type="dxa"/>
            <w:vAlign w:val="bottom"/>
          </w:tcPr>
          <w:p>
            <w:pPr>
              <w:jc w:val="center"/>
              <w:spacing w:after="0"/>
              <w:rPr>
                <w:sz w:val="20"/>
                <w:szCs w:val="20"/>
                <w:color w:val="auto"/>
              </w:rPr>
            </w:pPr>
            <w:r>
              <w:rPr>
                <w:rFonts w:ascii="Arial" w:cs="Arial" w:eastAsia="Arial" w:hAnsi="Arial"/>
                <w:sz w:val="18"/>
                <w:szCs w:val="18"/>
                <w:color w:val="auto"/>
                <w:w w:val="98"/>
              </w:rPr>
              <w:t>BBB+</w:t>
            </w:r>
          </w:p>
        </w:tc>
      </w:tr>
      <w:tr>
        <w:trPr>
          <w:trHeight w:val="216"/>
        </w:trPr>
        <w:tc>
          <w:tcPr>
            <w:tcW w:w="3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BBB</w:t>
            </w:r>
          </w:p>
        </w:tc>
        <w:tc>
          <w:tcPr>
            <w:tcW w:w="188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0"/>
              </w:rPr>
              <w:t>Baa2</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BBB</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BBB</w:t>
            </w:r>
          </w:p>
        </w:tc>
      </w:tr>
      <w:tr>
        <w:trPr>
          <w:trHeight w:val="230"/>
        </w:trPr>
        <w:tc>
          <w:tcPr>
            <w:tcW w:w="3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 (low)</w:t>
            </w:r>
          </w:p>
        </w:tc>
        <w:tc>
          <w:tcPr>
            <w:tcW w:w="1880" w:type="dxa"/>
            <w:vAlign w:val="bottom"/>
          </w:tcPr>
          <w:p>
            <w:pPr>
              <w:jc w:val="center"/>
              <w:ind w:left="772"/>
              <w:spacing w:after="0"/>
              <w:rPr>
                <w:sz w:val="20"/>
                <w:szCs w:val="20"/>
                <w:color w:val="auto"/>
              </w:rPr>
            </w:pPr>
            <w:r>
              <w:rPr>
                <w:rFonts w:ascii="Arial" w:cs="Arial" w:eastAsia="Arial" w:hAnsi="Arial"/>
                <w:sz w:val="18"/>
                <w:szCs w:val="18"/>
                <w:color w:val="auto"/>
                <w:w w:val="90"/>
              </w:rPr>
              <w:t>Baa3</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350"/>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20" w:type="dxa"/>
            <w:vAlign w:val="bottom"/>
            <w:gridSpan w:val="4"/>
          </w:tcPr>
          <w:p>
            <w:pPr>
              <w:ind w:left="260"/>
              <w:spacing w:after="0"/>
              <w:rPr>
                <w:sz w:val="20"/>
                <w:szCs w:val="20"/>
                <w:color w:val="auto"/>
              </w:rPr>
            </w:pPr>
            <w:r>
              <w:rPr>
                <w:rFonts w:ascii="Arial" w:cs="Arial" w:eastAsia="Arial" w:hAnsi="Arial"/>
                <w:sz w:val="18"/>
                <w:szCs w:val="18"/>
                <w:color w:val="auto"/>
              </w:rPr>
              <w:t>Schedule 7-2</w:t>
            </w:r>
          </w:p>
        </w:tc>
        <w:tc>
          <w:tcPr>
            <w:tcW w:w="26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82" w:name="page283"/>
    <w:bookmarkEnd w:id="2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9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5"/>
              </w:rPr>
              <w:t>BB (high)</w:t>
            </w:r>
          </w:p>
        </w:tc>
        <w:tc>
          <w:tcPr>
            <w:tcW w:w="4020" w:type="dxa"/>
            <w:vAlign w:val="bottom"/>
            <w:gridSpan w:val="5"/>
            <w:shd w:val="clear" w:color="auto" w:fill="CCEEFF"/>
          </w:tcPr>
          <w:p>
            <w:pPr>
              <w:jc w:val="center"/>
              <w:ind w:right="880"/>
              <w:spacing w:after="0"/>
              <w:rPr>
                <w:sz w:val="20"/>
                <w:szCs w:val="20"/>
                <w:color w:val="auto"/>
              </w:rPr>
            </w:pPr>
            <w:r>
              <w:rPr>
                <w:rFonts w:ascii="Arial" w:cs="Arial" w:eastAsia="Arial" w:hAnsi="Arial"/>
                <w:sz w:val="18"/>
                <w:szCs w:val="18"/>
                <w:color w:val="auto"/>
                <w:w w:val="93"/>
              </w:rPr>
              <w:t>Ba1</w:t>
            </w:r>
          </w:p>
        </w:tc>
        <w:tc>
          <w:tcPr>
            <w:tcW w:w="178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98"/>
              </w:rPr>
              <w:t>BB+</w:t>
            </w:r>
          </w:p>
        </w:tc>
        <w:tc>
          <w:tcPr>
            <w:tcW w:w="2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8"/>
              </w:rPr>
              <w:t>BB+</w:t>
            </w:r>
          </w:p>
        </w:tc>
      </w:tr>
      <w:tr>
        <w:trPr>
          <w:trHeight w:val="216"/>
        </w:trPr>
        <w:tc>
          <w:tcPr>
            <w:tcW w:w="290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BB</w:t>
            </w:r>
          </w:p>
        </w:tc>
        <w:tc>
          <w:tcPr>
            <w:tcW w:w="4020" w:type="dxa"/>
            <w:vAlign w:val="bottom"/>
            <w:gridSpan w:val="5"/>
          </w:tcPr>
          <w:p>
            <w:pPr>
              <w:jc w:val="center"/>
              <w:ind w:right="880"/>
              <w:spacing w:after="0"/>
              <w:rPr>
                <w:sz w:val="20"/>
                <w:szCs w:val="20"/>
                <w:color w:val="auto"/>
              </w:rPr>
            </w:pPr>
            <w:r>
              <w:rPr>
                <w:rFonts w:ascii="Arial" w:cs="Arial" w:eastAsia="Arial" w:hAnsi="Arial"/>
                <w:sz w:val="18"/>
                <w:szCs w:val="18"/>
                <w:color w:val="auto"/>
                <w:w w:val="93"/>
              </w:rPr>
              <w:t>Ba2</w:t>
            </w:r>
          </w:p>
        </w:tc>
        <w:tc>
          <w:tcPr>
            <w:tcW w:w="1780" w:type="dxa"/>
            <w:vAlign w:val="bottom"/>
            <w:gridSpan w:val="2"/>
          </w:tcPr>
          <w:p>
            <w:pPr>
              <w:jc w:val="center"/>
              <w:ind w:right="980"/>
              <w:spacing w:after="0"/>
              <w:rPr>
                <w:sz w:val="20"/>
                <w:szCs w:val="20"/>
                <w:color w:val="auto"/>
              </w:rPr>
            </w:pPr>
            <w:r>
              <w:rPr>
                <w:rFonts w:ascii="Arial" w:cs="Arial" w:eastAsia="Arial" w:hAnsi="Arial"/>
                <w:sz w:val="18"/>
                <w:szCs w:val="18"/>
                <w:color w:val="auto"/>
                <w:w w:val="99"/>
              </w:rPr>
              <w:t>BB</w:t>
            </w:r>
          </w:p>
        </w:tc>
        <w:tc>
          <w:tcPr>
            <w:tcW w:w="2720" w:type="dxa"/>
            <w:vAlign w:val="bottom"/>
          </w:tcPr>
          <w:p>
            <w:pPr>
              <w:ind w:left="1280"/>
              <w:spacing w:after="0"/>
              <w:rPr>
                <w:sz w:val="20"/>
                <w:szCs w:val="20"/>
                <w:color w:val="auto"/>
              </w:rPr>
            </w:pPr>
            <w:r>
              <w:rPr>
                <w:rFonts w:ascii="Arial" w:cs="Arial" w:eastAsia="Arial" w:hAnsi="Arial"/>
                <w:sz w:val="18"/>
                <w:szCs w:val="18"/>
                <w:color w:val="auto"/>
              </w:rPr>
              <w:t>BB</w:t>
            </w:r>
          </w:p>
        </w:tc>
      </w:tr>
      <w:tr>
        <w:trPr>
          <w:trHeight w:val="216"/>
        </w:trPr>
        <w:tc>
          <w:tcPr>
            <w:tcW w:w="29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9"/>
              </w:rPr>
              <w:t>BB (low)</w:t>
            </w:r>
          </w:p>
        </w:tc>
        <w:tc>
          <w:tcPr>
            <w:tcW w:w="4020" w:type="dxa"/>
            <w:vAlign w:val="bottom"/>
            <w:gridSpan w:val="5"/>
            <w:shd w:val="clear" w:color="auto" w:fill="CCEEFF"/>
          </w:tcPr>
          <w:p>
            <w:pPr>
              <w:jc w:val="center"/>
              <w:ind w:right="880"/>
              <w:spacing w:after="0"/>
              <w:rPr>
                <w:sz w:val="20"/>
                <w:szCs w:val="20"/>
                <w:color w:val="auto"/>
              </w:rPr>
            </w:pPr>
            <w:r>
              <w:rPr>
                <w:rFonts w:ascii="Arial" w:cs="Arial" w:eastAsia="Arial" w:hAnsi="Arial"/>
                <w:sz w:val="18"/>
                <w:szCs w:val="18"/>
                <w:color w:val="auto"/>
                <w:w w:val="93"/>
              </w:rPr>
              <w:t>Ba3</w:t>
            </w:r>
          </w:p>
        </w:tc>
        <w:tc>
          <w:tcPr>
            <w:tcW w:w="178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99"/>
              </w:rPr>
              <w:t>BB-</w:t>
            </w:r>
          </w:p>
        </w:tc>
        <w:tc>
          <w:tcPr>
            <w:tcW w:w="27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BB-</w:t>
            </w:r>
          </w:p>
        </w:tc>
      </w:tr>
      <w:tr>
        <w:trPr>
          <w:trHeight w:val="216"/>
        </w:trPr>
        <w:tc>
          <w:tcPr>
            <w:tcW w:w="2900" w:type="dxa"/>
            <w:vAlign w:val="bottom"/>
            <w:gridSpan w:val="2"/>
          </w:tcPr>
          <w:p>
            <w:pPr>
              <w:jc w:val="center"/>
              <w:ind w:left="11"/>
              <w:spacing w:after="0"/>
              <w:rPr>
                <w:sz w:val="20"/>
                <w:szCs w:val="20"/>
                <w:color w:val="auto"/>
              </w:rPr>
            </w:pPr>
            <w:r>
              <w:rPr>
                <w:rFonts w:ascii="Arial" w:cs="Arial" w:eastAsia="Arial" w:hAnsi="Arial"/>
                <w:sz w:val="18"/>
                <w:szCs w:val="18"/>
                <w:color w:val="auto"/>
                <w:w w:val="95"/>
              </w:rPr>
              <w:t>B (high)</w:t>
            </w:r>
          </w:p>
        </w:tc>
        <w:tc>
          <w:tcPr>
            <w:tcW w:w="4020" w:type="dxa"/>
            <w:vAlign w:val="bottom"/>
            <w:gridSpan w:val="5"/>
          </w:tcPr>
          <w:p>
            <w:pPr>
              <w:jc w:val="center"/>
              <w:ind w:right="880"/>
              <w:spacing w:after="0"/>
              <w:rPr>
                <w:sz w:val="20"/>
                <w:szCs w:val="20"/>
                <w:color w:val="auto"/>
              </w:rPr>
            </w:pPr>
            <w:r>
              <w:rPr>
                <w:rFonts w:ascii="Arial" w:cs="Arial" w:eastAsia="Arial" w:hAnsi="Arial"/>
                <w:sz w:val="18"/>
                <w:szCs w:val="18"/>
                <w:color w:val="auto"/>
                <w:w w:val="99"/>
              </w:rPr>
              <w:t>B1</w:t>
            </w:r>
          </w:p>
        </w:tc>
        <w:tc>
          <w:tcPr>
            <w:tcW w:w="1780" w:type="dxa"/>
            <w:vAlign w:val="bottom"/>
            <w:gridSpan w:val="2"/>
          </w:tcPr>
          <w:p>
            <w:pPr>
              <w:jc w:val="center"/>
              <w:ind w:right="960"/>
              <w:spacing w:after="0"/>
              <w:rPr>
                <w:sz w:val="20"/>
                <w:szCs w:val="20"/>
                <w:color w:val="auto"/>
              </w:rPr>
            </w:pPr>
            <w:r>
              <w:rPr>
                <w:rFonts w:ascii="Arial" w:cs="Arial" w:eastAsia="Arial" w:hAnsi="Arial"/>
                <w:sz w:val="18"/>
                <w:szCs w:val="18"/>
                <w:color w:val="auto"/>
                <w:w w:val="97"/>
              </w:rPr>
              <w:t>B+</w:t>
            </w:r>
          </w:p>
        </w:tc>
        <w:tc>
          <w:tcPr>
            <w:tcW w:w="2720" w:type="dxa"/>
            <w:vAlign w:val="bottom"/>
          </w:tcPr>
          <w:p>
            <w:pPr>
              <w:ind w:left="1300"/>
              <w:spacing w:after="0"/>
              <w:rPr>
                <w:sz w:val="20"/>
                <w:szCs w:val="20"/>
                <w:color w:val="auto"/>
              </w:rPr>
            </w:pPr>
            <w:r>
              <w:rPr>
                <w:rFonts w:ascii="Arial" w:cs="Arial" w:eastAsia="Arial" w:hAnsi="Arial"/>
                <w:sz w:val="18"/>
                <w:szCs w:val="18"/>
                <w:color w:val="auto"/>
              </w:rPr>
              <w:t>B+</w:t>
            </w:r>
          </w:p>
        </w:tc>
      </w:tr>
      <w:tr>
        <w:trPr>
          <w:trHeight w:val="216"/>
        </w:trPr>
        <w:tc>
          <w:tcPr>
            <w:tcW w:w="29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9"/>
              </w:rPr>
              <w:t>B</w:t>
            </w:r>
          </w:p>
        </w:tc>
        <w:tc>
          <w:tcPr>
            <w:tcW w:w="4020" w:type="dxa"/>
            <w:vAlign w:val="bottom"/>
            <w:gridSpan w:val="5"/>
            <w:shd w:val="clear" w:color="auto" w:fill="CCEEFF"/>
          </w:tcPr>
          <w:p>
            <w:pPr>
              <w:jc w:val="center"/>
              <w:ind w:right="880"/>
              <w:spacing w:after="0"/>
              <w:rPr>
                <w:sz w:val="20"/>
                <w:szCs w:val="20"/>
                <w:color w:val="auto"/>
              </w:rPr>
            </w:pPr>
            <w:r>
              <w:rPr>
                <w:rFonts w:ascii="Arial" w:cs="Arial" w:eastAsia="Arial" w:hAnsi="Arial"/>
                <w:sz w:val="18"/>
                <w:szCs w:val="18"/>
                <w:color w:val="auto"/>
                <w:w w:val="99"/>
              </w:rPr>
              <w:t>B2</w:t>
            </w:r>
          </w:p>
        </w:tc>
        <w:tc>
          <w:tcPr>
            <w:tcW w:w="1780" w:type="dxa"/>
            <w:vAlign w:val="bottom"/>
            <w:gridSpan w:val="2"/>
            <w:shd w:val="clear" w:color="auto" w:fill="CCEEFF"/>
          </w:tcPr>
          <w:p>
            <w:pPr>
              <w:jc w:val="center"/>
              <w:ind w:right="980"/>
              <w:spacing w:after="0"/>
              <w:rPr>
                <w:sz w:val="20"/>
                <w:szCs w:val="20"/>
                <w:color w:val="auto"/>
              </w:rPr>
            </w:pPr>
            <w:r>
              <w:rPr>
                <w:rFonts w:ascii="Arial" w:cs="Arial" w:eastAsia="Arial" w:hAnsi="Arial"/>
                <w:sz w:val="18"/>
                <w:szCs w:val="18"/>
                <w:color w:val="auto"/>
                <w:w w:val="99"/>
              </w:rPr>
              <w:t>B</w:t>
            </w:r>
          </w:p>
        </w:tc>
        <w:tc>
          <w:tcPr>
            <w:tcW w:w="27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B</w:t>
            </w:r>
          </w:p>
        </w:tc>
      </w:tr>
      <w:tr>
        <w:trPr>
          <w:trHeight w:val="216"/>
        </w:trPr>
        <w:tc>
          <w:tcPr>
            <w:tcW w:w="2900" w:type="dxa"/>
            <w:vAlign w:val="bottom"/>
            <w:gridSpan w:val="2"/>
          </w:tcPr>
          <w:p>
            <w:pPr>
              <w:ind w:left="1300"/>
              <w:spacing w:after="0"/>
              <w:rPr>
                <w:sz w:val="20"/>
                <w:szCs w:val="20"/>
                <w:color w:val="auto"/>
              </w:rPr>
            </w:pPr>
            <w:r>
              <w:rPr>
                <w:rFonts w:ascii="Arial" w:cs="Arial" w:eastAsia="Arial" w:hAnsi="Arial"/>
                <w:sz w:val="18"/>
                <w:szCs w:val="18"/>
                <w:color w:val="auto"/>
              </w:rPr>
              <w:t>B (low)</w:t>
            </w:r>
          </w:p>
        </w:tc>
        <w:tc>
          <w:tcPr>
            <w:tcW w:w="4020" w:type="dxa"/>
            <w:vAlign w:val="bottom"/>
            <w:gridSpan w:val="5"/>
          </w:tcPr>
          <w:p>
            <w:pPr>
              <w:jc w:val="center"/>
              <w:ind w:right="880"/>
              <w:spacing w:after="0"/>
              <w:rPr>
                <w:sz w:val="20"/>
                <w:szCs w:val="20"/>
                <w:color w:val="auto"/>
              </w:rPr>
            </w:pPr>
            <w:r>
              <w:rPr>
                <w:rFonts w:ascii="Arial" w:cs="Arial" w:eastAsia="Arial" w:hAnsi="Arial"/>
                <w:sz w:val="18"/>
                <w:szCs w:val="18"/>
                <w:color w:val="auto"/>
                <w:w w:val="99"/>
              </w:rPr>
              <w:t>B3</w:t>
            </w:r>
          </w:p>
        </w:tc>
        <w:tc>
          <w:tcPr>
            <w:tcW w:w="1780" w:type="dxa"/>
            <w:vAlign w:val="bottom"/>
            <w:gridSpan w:val="2"/>
          </w:tcPr>
          <w:p>
            <w:pPr>
              <w:jc w:val="center"/>
              <w:ind w:right="960"/>
              <w:spacing w:after="0"/>
              <w:rPr>
                <w:sz w:val="20"/>
                <w:szCs w:val="20"/>
                <w:color w:val="auto"/>
              </w:rPr>
            </w:pPr>
            <w:r>
              <w:rPr>
                <w:rFonts w:ascii="Arial" w:cs="Arial" w:eastAsia="Arial" w:hAnsi="Arial"/>
                <w:sz w:val="18"/>
                <w:szCs w:val="18"/>
                <w:color w:val="auto"/>
                <w:w w:val="99"/>
              </w:rPr>
              <w:t>B-</w:t>
            </w:r>
          </w:p>
        </w:tc>
        <w:tc>
          <w:tcPr>
            <w:tcW w:w="2720" w:type="dxa"/>
            <w:vAlign w:val="bottom"/>
          </w:tcPr>
          <w:p>
            <w:pPr>
              <w:ind w:left="1320"/>
              <w:spacing w:after="0"/>
              <w:rPr>
                <w:sz w:val="20"/>
                <w:szCs w:val="20"/>
                <w:color w:val="auto"/>
              </w:rPr>
            </w:pPr>
            <w:r>
              <w:rPr>
                <w:rFonts w:ascii="Arial" w:cs="Arial" w:eastAsia="Arial" w:hAnsi="Arial"/>
                <w:sz w:val="18"/>
                <w:szCs w:val="18"/>
                <w:color w:val="auto"/>
              </w:rPr>
              <w:t>B-</w:t>
            </w:r>
          </w:p>
        </w:tc>
      </w:tr>
      <w:tr>
        <w:trPr>
          <w:trHeight w:val="216"/>
        </w:trPr>
        <w:tc>
          <w:tcPr>
            <w:tcW w:w="29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3"/>
              </w:rPr>
              <w:t>CCC (high)</w:t>
            </w:r>
          </w:p>
        </w:tc>
        <w:tc>
          <w:tcPr>
            <w:tcW w:w="4020" w:type="dxa"/>
            <w:vAlign w:val="bottom"/>
            <w:gridSpan w:val="5"/>
            <w:shd w:val="clear" w:color="auto" w:fill="CCEEFF"/>
          </w:tcPr>
          <w:p>
            <w:pPr>
              <w:jc w:val="center"/>
              <w:ind w:right="880"/>
              <w:spacing w:after="0"/>
              <w:rPr>
                <w:sz w:val="20"/>
                <w:szCs w:val="20"/>
                <w:color w:val="auto"/>
              </w:rPr>
            </w:pPr>
            <w:r>
              <w:rPr>
                <w:rFonts w:ascii="Arial" w:cs="Arial" w:eastAsia="Arial" w:hAnsi="Arial"/>
                <w:sz w:val="18"/>
                <w:szCs w:val="18"/>
                <w:color w:val="auto"/>
                <w:w w:val="88"/>
              </w:rPr>
              <w:t>Caa1</w:t>
            </w:r>
          </w:p>
        </w:tc>
        <w:tc>
          <w:tcPr>
            <w:tcW w:w="178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92"/>
              </w:rPr>
              <w:t>CCC+</w:t>
            </w:r>
          </w:p>
        </w:tc>
        <w:tc>
          <w:tcPr>
            <w:tcW w:w="2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2"/>
              </w:rPr>
              <w:t>CCC+</w:t>
            </w:r>
          </w:p>
        </w:tc>
      </w:tr>
      <w:tr>
        <w:trPr>
          <w:trHeight w:val="216"/>
        </w:trPr>
        <w:tc>
          <w:tcPr>
            <w:tcW w:w="2900" w:type="dxa"/>
            <w:vAlign w:val="bottom"/>
            <w:gridSpan w:val="2"/>
          </w:tcPr>
          <w:p>
            <w:pPr>
              <w:jc w:val="center"/>
              <w:ind w:left="11"/>
              <w:spacing w:after="0"/>
              <w:rPr>
                <w:sz w:val="20"/>
                <w:szCs w:val="20"/>
                <w:color w:val="auto"/>
              </w:rPr>
            </w:pPr>
            <w:r>
              <w:rPr>
                <w:rFonts w:ascii="Arial" w:cs="Arial" w:eastAsia="Arial" w:hAnsi="Arial"/>
                <w:sz w:val="18"/>
                <w:szCs w:val="18"/>
                <w:color w:val="auto"/>
                <w:w w:val="92"/>
              </w:rPr>
              <w:t>CCC</w:t>
            </w:r>
          </w:p>
        </w:tc>
        <w:tc>
          <w:tcPr>
            <w:tcW w:w="4020" w:type="dxa"/>
            <w:vAlign w:val="bottom"/>
            <w:gridSpan w:val="5"/>
          </w:tcPr>
          <w:p>
            <w:pPr>
              <w:jc w:val="center"/>
              <w:ind w:right="880"/>
              <w:spacing w:after="0"/>
              <w:rPr>
                <w:sz w:val="20"/>
                <w:szCs w:val="20"/>
                <w:color w:val="auto"/>
              </w:rPr>
            </w:pPr>
            <w:r>
              <w:rPr>
                <w:rFonts w:ascii="Arial" w:cs="Arial" w:eastAsia="Arial" w:hAnsi="Arial"/>
                <w:sz w:val="18"/>
                <w:szCs w:val="18"/>
                <w:color w:val="auto"/>
                <w:w w:val="88"/>
              </w:rPr>
              <w:t>Caa2</w:t>
            </w:r>
          </w:p>
        </w:tc>
        <w:tc>
          <w:tcPr>
            <w:tcW w:w="178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CCC</w:t>
            </w:r>
          </w:p>
        </w:tc>
        <w:tc>
          <w:tcPr>
            <w:tcW w:w="2720" w:type="dxa"/>
            <w:vAlign w:val="bottom"/>
          </w:tcPr>
          <w:p>
            <w:pPr>
              <w:jc w:val="center"/>
              <w:ind w:left="31"/>
              <w:spacing w:after="0"/>
              <w:rPr>
                <w:sz w:val="20"/>
                <w:szCs w:val="20"/>
                <w:color w:val="auto"/>
              </w:rPr>
            </w:pPr>
            <w:r>
              <w:rPr>
                <w:rFonts w:ascii="Arial" w:cs="Arial" w:eastAsia="Arial" w:hAnsi="Arial"/>
                <w:sz w:val="18"/>
                <w:szCs w:val="18"/>
                <w:color w:val="auto"/>
                <w:w w:val="92"/>
              </w:rPr>
              <w:t>CCC</w:t>
            </w:r>
          </w:p>
        </w:tc>
      </w:tr>
      <w:tr>
        <w:trPr>
          <w:trHeight w:val="216"/>
        </w:trPr>
        <w:tc>
          <w:tcPr>
            <w:tcW w:w="29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6"/>
              </w:rPr>
              <w:t>CCC (low)</w:t>
            </w:r>
          </w:p>
        </w:tc>
        <w:tc>
          <w:tcPr>
            <w:tcW w:w="4020" w:type="dxa"/>
            <w:vAlign w:val="bottom"/>
            <w:gridSpan w:val="5"/>
            <w:shd w:val="clear" w:color="auto" w:fill="CCEEFF"/>
          </w:tcPr>
          <w:p>
            <w:pPr>
              <w:jc w:val="center"/>
              <w:ind w:right="880"/>
              <w:spacing w:after="0"/>
              <w:rPr>
                <w:sz w:val="20"/>
                <w:szCs w:val="20"/>
                <w:color w:val="auto"/>
              </w:rPr>
            </w:pPr>
            <w:r>
              <w:rPr>
                <w:rFonts w:ascii="Arial" w:cs="Arial" w:eastAsia="Arial" w:hAnsi="Arial"/>
                <w:sz w:val="18"/>
                <w:szCs w:val="18"/>
                <w:color w:val="auto"/>
                <w:w w:val="88"/>
              </w:rPr>
              <w:t>Caa3</w:t>
            </w:r>
          </w:p>
        </w:tc>
        <w:tc>
          <w:tcPr>
            <w:tcW w:w="178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93"/>
              </w:rPr>
              <w:t>CCC-</w:t>
            </w:r>
          </w:p>
        </w:tc>
        <w:tc>
          <w:tcPr>
            <w:tcW w:w="2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3"/>
              </w:rPr>
              <w:t>CCC-</w:t>
            </w:r>
          </w:p>
        </w:tc>
      </w:tr>
      <w:tr>
        <w:trPr>
          <w:trHeight w:val="216"/>
        </w:trPr>
        <w:tc>
          <w:tcPr>
            <w:tcW w:w="2900" w:type="dxa"/>
            <w:vAlign w:val="bottom"/>
            <w:gridSpan w:val="2"/>
          </w:tcPr>
          <w:p>
            <w:pPr>
              <w:jc w:val="center"/>
              <w:ind w:left="11"/>
              <w:spacing w:after="0"/>
              <w:rPr>
                <w:sz w:val="20"/>
                <w:szCs w:val="20"/>
                <w:color w:val="auto"/>
              </w:rPr>
            </w:pPr>
            <w:r>
              <w:rPr>
                <w:rFonts w:ascii="Arial" w:cs="Arial" w:eastAsia="Arial" w:hAnsi="Arial"/>
                <w:sz w:val="18"/>
                <w:szCs w:val="18"/>
                <w:color w:val="auto"/>
                <w:w w:val="92"/>
              </w:rPr>
              <w:t>CC</w:t>
            </w:r>
          </w:p>
        </w:tc>
        <w:tc>
          <w:tcPr>
            <w:tcW w:w="4020" w:type="dxa"/>
            <w:vAlign w:val="bottom"/>
            <w:gridSpan w:val="5"/>
          </w:tcPr>
          <w:p>
            <w:pPr>
              <w:jc w:val="center"/>
              <w:ind w:right="860"/>
              <w:spacing w:after="0"/>
              <w:rPr>
                <w:sz w:val="20"/>
                <w:szCs w:val="20"/>
                <w:color w:val="auto"/>
              </w:rPr>
            </w:pPr>
            <w:r>
              <w:rPr>
                <w:rFonts w:ascii="Arial" w:cs="Arial" w:eastAsia="Arial" w:hAnsi="Arial"/>
                <w:sz w:val="18"/>
                <w:szCs w:val="18"/>
                <w:color w:val="auto"/>
                <w:w w:val="86"/>
              </w:rPr>
              <w:t>Ca</w:t>
            </w:r>
          </w:p>
        </w:tc>
        <w:tc>
          <w:tcPr>
            <w:tcW w:w="178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CC</w:t>
            </w:r>
          </w:p>
        </w:tc>
        <w:tc>
          <w:tcPr>
            <w:tcW w:w="2720" w:type="dxa"/>
            <w:vAlign w:val="bottom"/>
          </w:tcPr>
          <w:p>
            <w:pPr>
              <w:ind w:left="1280"/>
              <w:spacing w:after="0"/>
              <w:rPr>
                <w:sz w:val="20"/>
                <w:szCs w:val="20"/>
                <w:color w:val="auto"/>
              </w:rPr>
            </w:pPr>
            <w:r>
              <w:rPr>
                <w:rFonts w:ascii="Arial" w:cs="Arial" w:eastAsia="Arial" w:hAnsi="Arial"/>
                <w:sz w:val="18"/>
                <w:szCs w:val="18"/>
                <w:color w:val="auto"/>
              </w:rPr>
              <w:t>CC</w:t>
            </w:r>
          </w:p>
        </w:tc>
      </w:tr>
      <w:tr>
        <w:trPr>
          <w:trHeight w:val="216"/>
        </w:trPr>
        <w:tc>
          <w:tcPr>
            <w:tcW w:w="2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D</w:t>
            </w:r>
          </w:p>
        </w:tc>
        <w:tc>
          <w:tcPr>
            <w:tcW w:w="4020" w:type="dxa"/>
            <w:vAlign w:val="bottom"/>
            <w:gridSpan w:val="5"/>
            <w:shd w:val="clear" w:color="auto" w:fill="CCEEFF"/>
          </w:tcPr>
          <w:p>
            <w:pPr>
              <w:jc w:val="center"/>
              <w:ind w:right="880"/>
              <w:spacing w:after="0"/>
              <w:rPr>
                <w:sz w:val="20"/>
                <w:szCs w:val="20"/>
                <w:color w:val="auto"/>
              </w:rPr>
            </w:pPr>
            <w:r>
              <w:rPr>
                <w:rFonts w:ascii="Arial" w:cs="Arial" w:eastAsia="Arial" w:hAnsi="Arial"/>
                <w:sz w:val="18"/>
                <w:szCs w:val="18"/>
                <w:color w:val="auto"/>
              </w:rPr>
              <w:t>D</w:t>
            </w:r>
          </w:p>
        </w:tc>
        <w:tc>
          <w:tcPr>
            <w:tcW w:w="178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rPr>
              <w:t>D</w:t>
            </w:r>
          </w:p>
        </w:tc>
        <w:tc>
          <w:tcPr>
            <w:tcW w:w="27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rPr>
              <w:t>D</w:t>
            </w:r>
          </w:p>
        </w:tc>
      </w:tr>
      <w:tr>
        <w:trPr>
          <w:trHeight w:val="392"/>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Arial" w:cs="Arial" w:eastAsia="Arial" w:hAnsi="Arial"/>
                <w:sz w:val="18"/>
                <w:szCs w:val="18"/>
                <w:color w:val="auto"/>
                <w:w w:val="93"/>
              </w:rPr>
              <w:t>Short Term Rating Equivalents</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26"/>
        </w:trPr>
        <w:tc>
          <w:tcPr>
            <w:tcW w:w="2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DBRS Rating</w:t>
            </w:r>
          </w:p>
        </w:tc>
        <w:tc>
          <w:tcPr>
            <w:tcW w:w="1700" w:type="dxa"/>
            <w:vAlign w:val="bottom"/>
          </w:tcPr>
          <w:p>
            <w:pPr>
              <w:jc w:val="center"/>
              <w:ind w:left="931"/>
              <w:spacing w:after="0"/>
              <w:rPr>
                <w:sz w:val="20"/>
                <w:szCs w:val="20"/>
                <w:color w:val="auto"/>
              </w:rPr>
            </w:pPr>
            <w:r>
              <w:rPr>
                <w:rFonts w:ascii="Arial" w:cs="Arial" w:eastAsia="Arial" w:hAnsi="Arial"/>
                <w:sz w:val="14"/>
                <w:szCs w:val="14"/>
                <w:b w:val="1"/>
                <w:bCs w:val="1"/>
                <w:color w:val="auto"/>
                <w:w w:val="91"/>
              </w:rPr>
              <w:t>Moody’s</w:t>
            </w:r>
          </w:p>
        </w:tc>
        <w:tc>
          <w:tcPr>
            <w:tcW w:w="2220" w:type="dxa"/>
            <w:vAlign w:val="bottom"/>
            <w:tcBorders>
              <w:top w:val="single" w:sz="8" w:color="auto"/>
            </w:tcBorders>
            <w:gridSpan w:val="3"/>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7"/>
              </w:rPr>
              <w:t>S&amp;P</w:t>
            </w:r>
          </w:p>
        </w:tc>
        <w:tc>
          <w:tcPr>
            <w:tcW w:w="2720" w:type="dxa"/>
            <w:vAlign w:val="bottom"/>
          </w:tcPr>
          <w:p>
            <w:pPr>
              <w:ind w:left="1200"/>
              <w:spacing w:after="0"/>
              <w:rPr>
                <w:sz w:val="20"/>
                <w:szCs w:val="20"/>
                <w:color w:val="auto"/>
              </w:rPr>
            </w:pPr>
            <w:r>
              <w:rPr>
                <w:rFonts w:ascii="Arial" w:cs="Arial" w:eastAsia="Arial" w:hAnsi="Arial"/>
                <w:sz w:val="14"/>
                <w:szCs w:val="14"/>
                <w:b w:val="1"/>
                <w:bCs w:val="1"/>
                <w:color w:val="auto"/>
              </w:rPr>
              <w:t>Fitch</w:t>
            </w:r>
          </w:p>
        </w:tc>
      </w:tr>
      <w:tr>
        <w:trPr>
          <w:trHeight w:val="210"/>
        </w:trPr>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R-1 (high)A-1+</w:t>
            </w:r>
          </w:p>
        </w:tc>
        <w:tc>
          <w:tcPr>
            <w:tcW w:w="16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F1+</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r>
      <w:tr>
        <w:trPr>
          <w:trHeight w:val="216"/>
        </w:trPr>
        <w:tc>
          <w:tcPr>
            <w:tcW w:w="29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R-1 (middle)</w:t>
            </w:r>
          </w:p>
        </w:tc>
        <w:tc>
          <w:tcPr>
            <w:tcW w:w="4020" w:type="dxa"/>
            <w:vAlign w:val="bottom"/>
            <w:gridSpan w:val="5"/>
          </w:tcPr>
          <w:p>
            <w:pPr>
              <w:jc w:val="center"/>
              <w:ind w:right="1300"/>
              <w:spacing w:after="0"/>
              <w:rPr>
                <w:sz w:val="20"/>
                <w:szCs w:val="20"/>
                <w:color w:val="auto"/>
              </w:rPr>
            </w:pPr>
            <w:r>
              <w:rPr>
                <w:rFonts w:ascii="Arial" w:cs="Arial" w:eastAsia="Arial" w:hAnsi="Arial"/>
                <w:sz w:val="18"/>
                <w:szCs w:val="18"/>
                <w:color w:val="auto"/>
                <w:w w:val="85"/>
              </w:rPr>
              <w:t>P-1</w:t>
            </w:r>
          </w:p>
        </w:tc>
        <w:tc>
          <w:tcPr>
            <w:tcW w:w="1780" w:type="dxa"/>
            <w:vAlign w:val="bottom"/>
            <w:gridSpan w:val="2"/>
          </w:tcPr>
          <w:p>
            <w:pPr>
              <w:jc w:val="center"/>
              <w:ind w:right="1300"/>
              <w:spacing w:after="0"/>
              <w:rPr>
                <w:sz w:val="20"/>
                <w:szCs w:val="20"/>
                <w:color w:val="auto"/>
              </w:rPr>
            </w:pPr>
            <w:r>
              <w:rPr>
                <w:rFonts w:ascii="Arial" w:cs="Arial" w:eastAsia="Arial" w:hAnsi="Arial"/>
                <w:sz w:val="18"/>
                <w:szCs w:val="18"/>
                <w:color w:val="auto"/>
                <w:w w:val="99"/>
              </w:rPr>
              <w:t>A-1</w:t>
            </w:r>
          </w:p>
        </w:tc>
        <w:tc>
          <w:tcPr>
            <w:tcW w:w="2720" w:type="dxa"/>
            <w:vAlign w:val="bottom"/>
          </w:tcPr>
          <w:p>
            <w:pPr>
              <w:ind w:left="1260"/>
              <w:spacing w:after="0"/>
              <w:rPr>
                <w:sz w:val="20"/>
                <w:szCs w:val="20"/>
                <w:color w:val="auto"/>
              </w:rPr>
            </w:pPr>
            <w:r>
              <w:rPr>
                <w:rFonts w:ascii="Arial" w:cs="Arial" w:eastAsia="Arial" w:hAnsi="Arial"/>
                <w:sz w:val="18"/>
                <w:szCs w:val="18"/>
                <w:color w:val="auto"/>
              </w:rPr>
              <w:t>F1</w:t>
            </w:r>
          </w:p>
        </w:tc>
      </w:tr>
      <w:tr>
        <w:trPr>
          <w:trHeight w:val="216"/>
        </w:trPr>
        <w:tc>
          <w:tcPr>
            <w:tcW w:w="2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R-1 (low)</w:t>
            </w:r>
          </w:p>
        </w:tc>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R-2 (high)</w:t>
            </w: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R-2 (middle)</w:t>
            </w:r>
          </w:p>
        </w:tc>
        <w:tc>
          <w:tcPr>
            <w:tcW w:w="4020" w:type="dxa"/>
            <w:vAlign w:val="bottom"/>
            <w:gridSpan w:val="5"/>
            <w:shd w:val="clear" w:color="auto" w:fill="CCEEFF"/>
          </w:tcPr>
          <w:p>
            <w:pPr>
              <w:jc w:val="center"/>
              <w:ind w:right="1300"/>
              <w:spacing w:after="0"/>
              <w:rPr>
                <w:sz w:val="20"/>
                <w:szCs w:val="20"/>
                <w:color w:val="auto"/>
              </w:rPr>
            </w:pPr>
            <w:r>
              <w:rPr>
                <w:rFonts w:ascii="Arial" w:cs="Arial" w:eastAsia="Arial" w:hAnsi="Arial"/>
                <w:sz w:val="18"/>
                <w:szCs w:val="18"/>
                <w:color w:val="auto"/>
                <w:w w:val="85"/>
              </w:rPr>
              <w:t>P-2</w:t>
            </w:r>
          </w:p>
        </w:tc>
        <w:tc>
          <w:tcPr>
            <w:tcW w:w="1780" w:type="dxa"/>
            <w:vAlign w:val="bottom"/>
            <w:gridSpan w:val="2"/>
            <w:shd w:val="clear" w:color="auto" w:fill="CCEEFF"/>
          </w:tcPr>
          <w:p>
            <w:pPr>
              <w:jc w:val="center"/>
              <w:ind w:right="1300"/>
              <w:spacing w:after="0"/>
              <w:rPr>
                <w:sz w:val="20"/>
                <w:szCs w:val="20"/>
                <w:color w:val="auto"/>
              </w:rPr>
            </w:pPr>
            <w:r>
              <w:rPr>
                <w:rFonts w:ascii="Arial" w:cs="Arial" w:eastAsia="Arial" w:hAnsi="Arial"/>
                <w:sz w:val="18"/>
                <w:szCs w:val="18"/>
                <w:color w:val="auto"/>
                <w:w w:val="99"/>
              </w:rPr>
              <w:t>A-2</w:t>
            </w:r>
          </w:p>
        </w:tc>
        <w:tc>
          <w:tcPr>
            <w:tcW w:w="27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F2</w:t>
            </w:r>
          </w:p>
        </w:tc>
      </w:tr>
      <w:tr>
        <w:trPr>
          <w:trHeight w:val="216"/>
        </w:trPr>
        <w:tc>
          <w:tcPr>
            <w:tcW w:w="29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R-2 (low)</w:t>
            </w: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R-3 (high)</w:t>
            </w:r>
          </w:p>
        </w:tc>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R-3 (middle)</w:t>
            </w:r>
          </w:p>
        </w:tc>
        <w:tc>
          <w:tcPr>
            <w:tcW w:w="4020" w:type="dxa"/>
            <w:vAlign w:val="bottom"/>
            <w:gridSpan w:val="5"/>
          </w:tcPr>
          <w:p>
            <w:pPr>
              <w:jc w:val="center"/>
              <w:ind w:right="1300"/>
              <w:spacing w:after="0"/>
              <w:rPr>
                <w:sz w:val="20"/>
                <w:szCs w:val="20"/>
                <w:color w:val="auto"/>
              </w:rPr>
            </w:pPr>
            <w:r>
              <w:rPr>
                <w:rFonts w:ascii="Arial" w:cs="Arial" w:eastAsia="Arial" w:hAnsi="Arial"/>
                <w:sz w:val="18"/>
                <w:szCs w:val="18"/>
                <w:color w:val="auto"/>
                <w:w w:val="85"/>
              </w:rPr>
              <w:t>P-3</w:t>
            </w:r>
          </w:p>
        </w:tc>
        <w:tc>
          <w:tcPr>
            <w:tcW w:w="1780" w:type="dxa"/>
            <w:vAlign w:val="bottom"/>
            <w:gridSpan w:val="2"/>
          </w:tcPr>
          <w:p>
            <w:pPr>
              <w:jc w:val="center"/>
              <w:ind w:right="1300"/>
              <w:spacing w:after="0"/>
              <w:rPr>
                <w:sz w:val="20"/>
                <w:szCs w:val="20"/>
                <w:color w:val="auto"/>
              </w:rPr>
            </w:pPr>
            <w:r>
              <w:rPr>
                <w:rFonts w:ascii="Arial" w:cs="Arial" w:eastAsia="Arial" w:hAnsi="Arial"/>
                <w:sz w:val="18"/>
                <w:szCs w:val="18"/>
                <w:color w:val="auto"/>
                <w:w w:val="99"/>
              </w:rPr>
              <w:t>A-3</w:t>
            </w:r>
          </w:p>
        </w:tc>
        <w:tc>
          <w:tcPr>
            <w:tcW w:w="2720" w:type="dxa"/>
            <w:vAlign w:val="bottom"/>
          </w:tcPr>
          <w:p>
            <w:pPr>
              <w:ind w:left="1260"/>
              <w:spacing w:after="0"/>
              <w:rPr>
                <w:sz w:val="20"/>
                <w:szCs w:val="20"/>
                <w:color w:val="auto"/>
              </w:rPr>
            </w:pPr>
            <w:r>
              <w:rPr>
                <w:rFonts w:ascii="Arial" w:cs="Arial" w:eastAsia="Arial" w:hAnsi="Arial"/>
                <w:sz w:val="18"/>
                <w:szCs w:val="18"/>
                <w:color w:val="auto"/>
              </w:rPr>
              <w:t>F3</w:t>
            </w:r>
          </w:p>
        </w:tc>
      </w:tr>
      <w:tr>
        <w:trPr>
          <w:trHeight w:val="216"/>
        </w:trPr>
        <w:tc>
          <w:tcPr>
            <w:tcW w:w="2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R-3 (low)</w:t>
            </w:r>
          </w:p>
        </w:tc>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9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—B</w:t>
            </w:r>
          </w:p>
        </w:tc>
        <w:tc>
          <w:tcPr>
            <w:tcW w:w="4020" w:type="dxa"/>
            <w:vAlign w:val="bottom"/>
            <w:gridSpan w:val="5"/>
          </w:tcPr>
          <w:p>
            <w:pPr>
              <w:jc w:val="center"/>
              <w:ind w:right="1300"/>
              <w:spacing w:after="0"/>
              <w:rPr>
                <w:sz w:val="20"/>
                <w:szCs w:val="20"/>
                <w:color w:val="auto"/>
              </w:rPr>
            </w:pPr>
            <w:r>
              <w:rPr>
                <w:rFonts w:ascii="Arial" w:cs="Arial" w:eastAsia="Arial" w:hAnsi="Arial"/>
                <w:sz w:val="18"/>
                <w:szCs w:val="18"/>
                <w:color w:val="auto"/>
                <w:w w:val="99"/>
              </w:rPr>
              <w:t>B</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6"/>
              </w:rPr>
              <w:t>—C</w:t>
            </w:r>
          </w:p>
        </w:tc>
        <w:tc>
          <w:tcPr>
            <w:tcW w:w="4020" w:type="dxa"/>
            <w:vAlign w:val="bottom"/>
            <w:gridSpan w:val="5"/>
            <w:shd w:val="clear" w:color="auto" w:fill="CCEEFF"/>
          </w:tcPr>
          <w:p>
            <w:pPr>
              <w:jc w:val="center"/>
              <w:ind w:right="1300"/>
              <w:spacing w:after="0"/>
              <w:rPr>
                <w:sz w:val="20"/>
                <w:szCs w:val="20"/>
                <w:color w:val="auto"/>
              </w:rPr>
            </w:pPr>
            <w:r>
              <w:rPr>
                <w:rFonts w:ascii="Arial" w:cs="Arial" w:eastAsia="Arial" w:hAnsi="Arial"/>
                <w:sz w:val="18"/>
                <w:szCs w:val="18"/>
                <w:color w:val="auto"/>
                <w:w w:val="91"/>
              </w:rPr>
              <w:t>C</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30"/>
        </w:trPr>
        <w:tc>
          <w:tcPr>
            <w:tcW w:w="2900" w:type="dxa"/>
            <w:vAlign w:val="bottom"/>
            <w:gridSpan w:val="2"/>
          </w:tcPr>
          <w:p>
            <w:pPr>
              <w:jc w:val="center"/>
              <w:ind w:right="160"/>
              <w:spacing w:after="0"/>
              <w:rPr>
                <w:sz w:val="20"/>
                <w:szCs w:val="20"/>
                <w:color w:val="auto"/>
              </w:rPr>
            </w:pPr>
            <w:r>
              <w:rPr>
                <w:rFonts w:ascii="Arial" w:cs="Arial" w:eastAsia="Arial" w:hAnsi="Arial"/>
                <w:sz w:val="18"/>
                <w:szCs w:val="18"/>
                <w:color w:val="auto"/>
              </w:rPr>
              <w:t>D</w:t>
            </w:r>
          </w:p>
        </w:tc>
        <w:tc>
          <w:tcPr>
            <w:tcW w:w="4020" w:type="dxa"/>
            <w:vAlign w:val="bottom"/>
            <w:gridSpan w:val="5"/>
          </w:tcPr>
          <w:p>
            <w:pPr>
              <w:jc w:val="center"/>
              <w:ind w:right="1300"/>
              <w:spacing w:after="0"/>
              <w:rPr>
                <w:sz w:val="20"/>
                <w:szCs w:val="20"/>
                <w:color w:val="auto"/>
              </w:rPr>
            </w:pPr>
            <w:r>
              <w:rPr>
                <w:rFonts w:ascii="Arial" w:cs="Arial" w:eastAsia="Arial" w:hAnsi="Arial"/>
                <w:sz w:val="18"/>
                <w:szCs w:val="18"/>
                <w:color w:val="auto"/>
                <w:w w:val="95"/>
              </w:rPr>
              <w:t>NP</w:t>
            </w:r>
          </w:p>
        </w:tc>
        <w:tc>
          <w:tcPr>
            <w:tcW w:w="178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D</w:t>
            </w:r>
          </w:p>
        </w:tc>
        <w:tc>
          <w:tcPr>
            <w:tcW w:w="2720" w:type="dxa"/>
            <w:vAlign w:val="bottom"/>
          </w:tcPr>
          <w:p>
            <w:pPr>
              <w:ind w:left="1300"/>
              <w:spacing w:after="0"/>
              <w:rPr>
                <w:sz w:val="20"/>
                <w:szCs w:val="20"/>
                <w:color w:val="auto"/>
              </w:rPr>
            </w:pPr>
            <w:r>
              <w:rPr>
                <w:rFonts w:ascii="Arial" w:cs="Arial" w:eastAsia="Arial" w:hAnsi="Arial"/>
                <w:sz w:val="18"/>
                <w:szCs w:val="18"/>
                <w:color w:val="auto"/>
              </w:rPr>
              <w:t>D</w:t>
            </w: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 Rating</w:t>
      </w:r>
      <w:r>
        <w:rPr>
          <w:rFonts w:ascii="Arial" w:cs="Arial" w:eastAsia="Arial" w:hAnsi="Arial"/>
          <w:sz w:val="18"/>
          <w:szCs w:val="18"/>
          <w:color w:val="auto"/>
        </w:rPr>
        <w:t>” means, for any Obligor at any time, the rating determined as follows:</w:t>
      </w:r>
    </w:p>
    <w:p>
      <w:pPr>
        <w:spacing w:after="0" w:line="131" w:lineRule="exact"/>
        <w:rPr>
          <w:sz w:val="20"/>
          <w:szCs w:val="20"/>
          <w:color w:val="auto"/>
        </w:rPr>
      </w:pPr>
    </w:p>
    <w:p>
      <w:pPr>
        <w:ind w:left="460" w:right="680" w:hanging="452"/>
        <w:spacing w:after="0" w:line="277" w:lineRule="auto"/>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there is a publicly available issuer rating or senior unsecured rating by Fitch, such issuer rating, if no issuer rating is available then the senior unsecured rating; and</w:t>
      </w:r>
    </w:p>
    <w:p>
      <w:pPr>
        <w:spacing w:after="0" w:line="75"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the rating is not available as defined in the first clause above, but there is a rating by Fitch on another obligation of the same Obligor, then the rating will be as follows: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if such rating is on a senior secured obligation, one subcategory below such rating;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if such rating in on a subordinate obligation, one subcategory above such rating.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 Fitch Rating for an Obligor cannot be determined under clause (i) or (ii) above at any time, then such Obligor will be deemed not to have a Fitch Rating at such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7-3</w:t>
      </w:r>
    </w:p>
    <w:p>
      <w:pPr>
        <w:sectPr>
          <w:pgSz w:w="11900" w:h="16838" w:orient="portrait"/>
          <w:cols w:equalWidth="0" w:num="1">
            <w:col w:w="11420"/>
          </w:cols>
          <w:pgMar w:left="240" w:top="288" w:right="239" w:bottom="1440" w:gutter="0" w:footer="0" w:header="0"/>
        </w:sectPr>
      </w:pPr>
    </w:p>
    <w:bookmarkStart w:id="283" w:name="page284"/>
    <w:bookmarkEnd w:id="283"/>
    <w:p>
      <w:pPr>
        <w:ind w:right="2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Moody’s Rating</w:t>
      </w:r>
      <w:r>
        <w:rPr>
          <w:rFonts w:ascii="Arial" w:cs="Arial" w:eastAsia="Arial" w:hAnsi="Arial"/>
          <w:sz w:val="18"/>
          <w:szCs w:val="18"/>
          <w:color w:val="auto"/>
        </w:rPr>
        <w:t>” means, with respect to any Obligor as of any date of determination, the rating determined in accordance with the following methodology:</w:t>
      </w:r>
    </w:p>
    <w:p>
      <w:pPr>
        <w:spacing w:after="0" w:line="76" w:lineRule="exact"/>
        <w:rPr>
          <w:sz w:val="20"/>
          <w:szCs w:val="20"/>
          <w:color w:val="auto"/>
        </w:rPr>
      </w:pPr>
    </w:p>
    <w:p>
      <w:pPr>
        <w:ind w:left="460" w:right="40" w:hanging="452"/>
        <w:spacing w:after="0" w:line="264" w:lineRule="auto"/>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with respect to an Obligor on a Collateral Obligation that is an Eligible Senior Secured Loan or a Participation Interest in an Eligible Senior Secured Loan (or an Obligor that is a Lender, Selling Institution or other Person), if such Obligor has a corporate family rating by Moody’s, then such corporate family rating;</w:t>
      </w:r>
    </w:p>
    <w:p>
      <w:pPr>
        <w:spacing w:after="0" w:line="86" w:lineRule="exact"/>
        <w:rPr>
          <w:rFonts w:ascii="Arial" w:cs="Arial" w:eastAsia="Arial" w:hAnsi="Arial"/>
          <w:sz w:val="18"/>
          <w:szCs w:val="18"/>
          <w:color w:val="auto"/>
        </w:rPr>
      </w:pPr>
    </w:p>
    <w:p>
      <w:pPr>
        <w:ind w:left="460" w:right="240" w:hanging="452"/>
        <w:spacing w:after="0" w:line="308" w:lineRule="auto"/>
        <w:tabs>
          <w:tab w:leader="none" w:pos="46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with respect to an Obligor on a Collateral Obligation that is an Eligible Senior Secured Loan or a Participation Interest in an Eligible Senior Secured Loan, if not determined pursuant to clause (i) above, if such Collateral Obligation is publicly rated by Moody’s, such public rating; and</w:t>
      </w:r>
    </w:p>
    <w:p>
      <w:pPr>
        <w:spacing w:after="0" w:line="51" w:lineRule="exact"/>
        <w:rPr>
          <w:rFonts w:ascii="Arial" w:cs="Arial" w:eastAsia="Arial" w:hAnsi="Arial"/>
          <w:sz w:val="17"/>
          <w:szCs w:val="17"/>
          <w:color w:val="auto"/>
        </w:rPr>
      </w:pPr>
    </w:p>
    <w:p>
      <w:pPr>
        <w:ind w:left="460" w:right="140" w:hanging="452"/>
        <w:spacing w:after="0" w:line="255" w:lineRule="auto"/>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with respect to an Obligor on a Collateral Obligation, if not determined pursuant to clause (i) or (ii) above, (A) if such Obligor has one or more senior unsecured obligations publicly rated by Moody’s, then the Moody’s public rating on any such obligation (or, if such Obligor is an Obligor on a Collateral Obligation that is an Eligible Senior Secured Loan or a Participation Interest in an Eligible Senior Secured Loan, the Moody’s rating that is one subcategory higher than the Moody’s public rating on any such senior unsecured obligation) as selected by the Investment Manager in its sole discretion or, if no such rating is available, (B) if such Collateral Obligation is publicly rated by Moody’s, such public rating or, if no such rating is available, (C) if such Collateral Obligation is a DIP Loan, with respect to any DIP Loan, one subcategory below the facility rating (whether public or private) of such DIP Loan rated by Moody’s,</w:t>
      </w:r>
    </w:p>
    <w:p>
      <w:pPr>
        <w:spacing w:after="0" w:line="18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a Moody’s Rating, each applicable rating on credit watch by Moody’s with positive or negative implication at the time of calculation will be treated as having been upgraded or downgraded by one rating subcategory, as the case may be, and each applicable rating with negative outlook by Moody’s at the time of calculation will be treated as having been downgraded by one rating subcategory. If a Moody’s Rating for an Obligor cannot be determined under clause (i), (ii) or (iii) above at any time, then such Obligor will be deemed not to have a Moody’s Rating at such time.</w:t>
      </w:r>
    </w:p>
    <w:p>
      <w:pPr>
        <w:spacing w:after="0" w:line="154"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 Rating</w:t>
      </w:r>
      <w:r>
        <w:rPr>
          <w:rFonts w:ascii="Arial" w:cs="Arial" w:eastAsia="Arial" w:hAnsi="Arial"/>
          <w:sz w:val="18"/>
          <w:szCs w:val="18"/>
          <w:color w:val="auto"/>
        </w:rPr>
        <w:t>” means, with respect to any Obligor, as of any date of determination, the rating determined in accordance with the following methodology:</w:t>
      </w:r>
    </w:p>
    <w:p>
      <w:pPr>
        <w:spacing w:after="0" w:line="76" w:lineRule="exact"/>
        <w:rPr>
          <w:sz w:val="20"/>
          <w:szCs w:val="20"/>
          <w:color w:val="auto"/>
        </w:rPr>
      </w:pPr>
    </w:p>
    <w:p>
      <w:pPr>
        <w:ind w:left="520" w:hanging="512"/>
        <w:spacing w:after="0" w:line="272" w:lineRule="auto"/>
        <w:tabs>
          <w:tab w:leader="none" w:pos="312"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(a)if there is an issuer credit rating of such Obligor by S&amp;P as published by S&amp;P, or the guarantor which unconditionally and irrevocably guarantees such Collateral Obligation pursuant to a form of guaranty approved by S&amp;P, then the S&amp;P Rating shall be such rating (regardless of whether there is a published rating by S&amp;P on the Collateral Obligations of such Obligor held by the Borrower) or (b) if there is no issuer credit rating of the Obligor by S&amp;P but (1) there is a senior secured rating on any obligation or security of the Obligor, then the S&amp;P Rating of such Obligor shall be one sub-category below such rating; (2) if clause (1) above does not apply, but there is a senior unsecured rating on any obligation or security of the Obligor, the S&amp;P Rating of such Obligor shall equal such rating; and (3) if neither clause (1) nor clause (2) above applies, but there is a subordinated rating on any obligation or security of the Obligor, then the S&amp;P Rating of</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7-4</w:t>
      </w:r>
    </w:p>
    <w:p>
      <w:pPr>
        <w:sectPr>
          <w:pgSz w:w="11900" w:h="16838" w:orient="portrait"/>
          <w:cols w:equalWidth="0" w:num="1">
            <w:col w:w="11380"/>
          </w:cols>
          <w:pgMar w:left="240" w:top="274" w:right="279" w:bottom="1440" w:gutter="0" w:footer="0" w:header="0"/>
        </w:sectPr>
      </w:pPr>
    </w:p>
    <w:bookmarkStart w:id="284" w:name="page285"/>
    <w:bookmarkEnd w:id="284"/>
    <w:p>
      <w:pPr>
        <w:ind w:left="46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Collateral Obligation shall be one sub-category above such rating if such rating is higher than “</w:t>
      </w:r>
      <w:r>
        <w:rPr>
          <w:rFonts w:ascii="Arial" w:cs="Arial" w:eastAsia="Arial" w:hAnsi="Arial"/>
          <w:sz w:val="18"/>
          <w:szCs w:val="18"/>
          <w:u w:val="single" w:color="auto"/>
          <w:color w:val="auto"/>
        </w:rPr>
        <w:t>BB+</w:t>
      </w:r>
      <w:r>
        <w:rPr>
          <w:rFonts w:ascii="Arial" w:cs="Arial" w:eastAsia="Arial" w:hAnsi="Arial"/>
          <w:sz w:val="18"/>
          <w:szCs w:val="18"/>
          <w:color w:val="auto"/>
        </w:rPr>
        <w:t>”, and shall be two sub-categories above such rating if such rating is “</w:t>
      </w:r>
      <w:r>
        <w:rPr>
          <w:rFonts w:ascii="Arial" w:cs="Arial" w:eastAsia="Arial" w:hAnsi="Arial"/>
          <w:sz w:val="18"/>
          <w:szCs w:val="18"/>
          <w:u w:val="single" w:color="auto"/>
          <w:color w:val="auto"/>
        </w:rPr>
        <w:t>BB+</w:t>
      </w:r>
      <w:r>
        <w:rPr>
          <w:rFonts w:ascii="Arial" w:cs="Arial" w:eastAsia="Arial" w:hAnsi="Arial"/>
          <w:sz w:val="18"/>
          <w:szCs w:val="18"/>
          <w:color w:val="auto"/>
        </w:rPr>
        <w:t>” or lower; and</w:t>
      </w:r>
    </w:p>
    <w:p>
      <w:pPr>
        <w:spacing w:after="0" w:line="76"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with respect to any Collateral Obligation that is a DIP Loan, the S&amp;P Rating thereof shall be the credit rating assigned to such issue by S&amp;P;</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the determination of the S&amp;P Rating, (x) if the applicable rating assigned by S&amp;P to an Obligor or its obligations is on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watch positive</w:t>
      </w:r>
      <w:r>
        <w:rPr>
          <w:rFonts w:ascii="Arial" w:cs="Arial" w:eastAsia="Arial" w:hAnsi="Arial"/>
          <w:sz w:val="18"/>
          <w:szCs w:val="18"/>
          <w:color w:val="auto"/>
        </w:rPr>
        <w:t>” by S&amp;P, such rating will be treated as being one sub-category above such assigned rating and (y) if the applicable rating assigned by S&amp;P to an Obligor or its obligations is on “</w:t>
      </w:r>
      <w:r>
        <w:rPr>
          <w:rFonts w:ascii="Arial" w:cs="Arial" w:eastAsia="Arial" w:hAnsi="Arial"/>
          <w:sz w:val="18"/>
          <w:szCs w:val="18"/>
          <w:u w:val="single" w:color="auto"/>
          <w:color w:val="auto"/>
        </w:rPr>
        <w:t>credit watch negative</w:t>
      </w:r>
      <w:r>
        <w:rPr>
          <w:rFonts w:ascii="Arial" w:cs="Arial" w:eastAsia="Arial" w:hAnsi="Arial"/>
          <w:sz w:val="18"/>
          <w:szCs w:val="18"/>
          <w:color w:val="auto"/>
        </w:rPr>
        <w:t>” by S&amp;P, such rating will be treated as being one sub-category below such assigned rating. If a S&amp;P Rating for an Obligor cannot be determined under clause (i) or (ii) above at any time, then such Obligor will be deemed not to have an S&amp;P Rating at such time.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Schedule 7-5</w:t>
      </w:r>
    </w:p>
    <w:p>
      <w:pPr>
        <w:sectPr>
          <w:pgSz w:w="11900" w:h="16838" w:orient="portrait"/>
          <w:cols w:equalWidth="0" w:num="1">
            <w:col w:w="11360"/>
          </w:cols>
          <w:pgMar w:left="240" w:top="274" w:right="29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ind w:left="580"/>
              <w:spacing w:after="0"/>
              <w:rPr>
                <w:sz w:val="20"/>
                <w:szCs w:val="20"/>
                <w:color w:val="auto"/>
              </w:rPr>
            </w:pPr>
            <w:r>
              <w:rPr>
                <w:rFonts w:ascii="Arial" w:cs="Arial" w:eastAsia="Arial" w:hAnsi="Arial"/>
                <w:sz w:val="18"/>
                <w:szCs w:val="18"/>
                <w:b w:val="1"/>
                <w:bCs w:val="1"/>
                <w:color w:val="auto"/>
                <w:w w:val="96"/>
              </w:rPr>
              <w:t>SCHEDULE 8</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20" w:type="dxa"/>
            <w:vAlign w:val="bottom"/>
            <w:gridSpan w:val="4"/>
          </w:tcPr>
          <w:p>
            <w:pPr>
              <w:ind w:left="80"/>
              <w:spacing w:after="0"/>
              <w:rPr>
                <w:sz w:val="20"/>
                <w:szCs w:val="20"/>
                <w:color w:val="auto"/>
              </w:rPr>
            </w:pPr>
            <w:r>
              <w:rPr>
                <w:rFonts w:ascii="Arial" w:cs="Arial" w:eastAsia="Arial" w:hAnsi="Arial"/>
                <w:sz w:val="18"/>
                <w:szCs w:val="18"/>
                <w:b w:val="1"/>
                <w:bCs w:val="1"/>
                <w:color w:val="auto"/>
              </w:rPr>
              <w:t>Matrix</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1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Applicable</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Row Advance</w:t>
            </w:r>
          </w:p>
        </w:tc>
        <w:tc>
          <w:tcPr>
            <w:tcW w:w="1440" w:type="dxa"/>
            <w:vAlign w:val="bottom"/>
            <w:vMerge w:val="restart"/>
          </w:tcPr>
          <w:p>
            <w:pPr>
              <w:jc w:val="center"/>
              <w:ind w:left="311"/>
              <w:spacing w:after="0"/>
              <w:rPr>
                <w:sz w:val="20"/>
                <w:szCs w:val="20"/>
                <w:color w:val="auto"/>
              </w:rPr>
            </w:pPr>
            <w:r>
              <w:rPr>
                <w:rFonts w:ascii="Arial" w:cs="Arial" w:eastAsia="Arial" w:hAnsi="Arial"/>
                <w:sz w:val="14"/>
                <w:szCs w:val="14"/>
                <w:b w:val="1"/>
                <w:bCs w:val="1"/>
                <w:color w:val="auto"/>
                <w:w w:val="94"/>
              </w:rPr>
              <w:t>Row Diversity</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Row Spread</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Row DBRS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Row Minimum</w:t>
            </w:r>
          </w:p>
        </w:tc>
        <w:tc>
          <w:tcPr>
            <w:tcW w:w="0" w:type="dxa"/>
            <w:vAlign w:val="bottom"/>
          </w:tcPr>
          <w:p>
            <w:pPr>
              <w:spacing w:after="0"/>
              <w:rPr>
                <w:sz w:val="1"/>
                <w:szCs w:val="1"/>
                <w:color w:val="auto"/>
              </w:rPr>
            </w:pPr>
          </w:p>
        </w:tc>
      </w:tr>
      <w:tr>
        <w:trPr>
          <w:trHeight w:val="149"/>
        </w:trPr>
        <w:tc>
          <w:tcPr>
            <w:tcW w:w="2120" w:type="dxa"/>
            <w:vAlign w:val="bottom"/>
            <w:gridSpan w:val="2"/>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 Risk</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gridSpan w:val="2"/>
          </w:tcPr>
          <w:p>
            <w:pPr>
              <w:ind w:left="640"/>
              <w:spacing w:after="0"/>
              <w:rPr>
                <w:sz w:val="20"/>
                <w:szCs w:val="20"/>
                <w:color w:val="auto"/>
              </w:rPr>
            </w:pPr>
            <w:r>
              <w:rPr>
                <w:rFonts w:ascii="Arial" w:cs="Arial" w:eastAsia="Arial" w:hAnsi="Arial"/>
                <w:sz w:val="14"/>
                <w:szCs w:val="14"/>
                <w:b w:val="1"/>
                <w:bCs w:val="1"/>
                <w:color w:val="auto"/>
              </w:rPr>
              <w:t>Row Level</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440" w:type="dxa"/>
            <w:vAlign w:val="bottom"/>
          </w:tcPr>
          <w:p>
            <w:pPr>
              <w:jc w:val="center"/>
              <w:ind w:left="291"/>
              <w:spacing w:after="0"/>
              <w:rPr>
                <w:sz w:val="20"/>
                <w:szCs w:val="20"/>
                <w:color w:val="auto"/>
              </w:rPr>
            </w:pPr>
            <w:r>
              <w:rPr>
                <w:rFonts w:ascii="Arial" w:cs="Arial" w:eastAsia="Arial" w:hAnsi="Arial"/>
                <w:sz w:val="14"/>
                <w:szCs w:val="14"/>
                <w:b w:val="1"/>
                <w:bCs w:val="1"/>
                <w:color w:val="auto"/>
                <w:w w:val="87"/>
              </w:rPr>
              <w:t>Score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Score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OC Level</w:t>
            </w:r>
          </w:p>
        </w:tc>
        <w:tc>
          <w:tcPr>
            <w:tcW w:w="0" w:type="dxa"/>
            <w:vAlign w:val="bottom"/>
          </w:tcPr>
          <w:p>
            <w:pPr>
              <w:spacing w:after="0"/>
              <w:rPr>
                <w:sz w:val="1"/>
                <w:szCs w:val="1"/>
                <w:color w:val="auto"/>
              </w:rPr>
            </w:pPr>
          </w:p>
        </w:tc>
      </w:tr>
      <w:tr>
        <w:trPr>
          <w:trHeight w:val="210"/>
        </w:trPr>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ind w:left="311"/>
              <w:spacing w:after="0"/>
              <w:rPr>
                <w:sz w:val="20"/>
                <w:szCs w:val="20"/>
                <w:color w:val="auto"/>
              </w:rPr>
            </w:pPr>
            <w:r>
              <w:rPr>
                <w:rFonts w:ascii="Arial" w:cs="Arial" w:eastAsia="Arial" w:hAnsi="Arial"/>
                <w:sz w:val="18"/>
                <w:szCs w:val="18"/>
                <w:color w:val="auto"/>
                <w:w w:val="79"/>
              </w:rPr>
              <w:t>6</w:t>
            </w: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49.7747</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213.33%</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10</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44.4116</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10</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44.7739</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10</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45.1363</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12</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46.5858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12</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5.375%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47.3105</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12</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6.375%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48.0353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12</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7.375%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48.7600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12</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8.375%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49.4848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14</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48.7600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14</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49.4848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14</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50.1348</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14</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7.375%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50.7350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14</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8.375%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51.3352</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16</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53.1358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16</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5.375%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53.7360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16</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6.375%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54.3362</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16</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7.375%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54.9364</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16</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8.375%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55.5365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18</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55.2365</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18</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55.8367</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18</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56.4369</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18</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7.375%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57.0371</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18</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8.375%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57.6372</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20</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57.3371</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20</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5.375%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57.9373</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20</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6.375%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58.5375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20</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7.375%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59.1377</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20</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8.375%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59.7379</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16</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41.5126</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16</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42.2373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tcPr>
          <w:p>
            <w:pPr>
              <w:spacing w:after="0"/>
              <w:rPr>
                <w:sz w:val="18"/>
                <w:szCs w:val="18"/>
                <w:color w:val="auto"/>
              </w:rPr>
            </w:pP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16</w:t>
            </w:r>
          </w:p>
        </w:tc>
        <w:tc>
          <w:tcPr>
            <w:tcW w:w="232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42.9621</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16</w:t>
            </w:r>
          </w:p>
        </w:tc>
        <w:tc>
          <w:tcPr>
            <w:tcW w:w="232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8"/>
              </w:rPr>
              <w:t>7.375%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43.6868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8-1</w:t>
      </w:r>
    </w:p>
    <w:p>
      <w:pPr>
        <w:sectPr>
          <w:pgSz w:w="11900" w:h="16838" w:orient="portrait"/>
          <w:cols w:equalWidth="0" w:num="1">
            <w:col w:w="11420"/>
          </w:cols>
          <w:pgMar w:left="240" w:top="270" w:right="2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161"/>
        </w:trPr>
        <w:tc>
          <w:tcPr>
            <w:tcW w:w="2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Applicable</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Row Advance</w:t>
            </w: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Row Diversity</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Row Spread</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Row DBRS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Row Minimum</w:t>
            </w:r>
          </w:p>
        </w:tc>
        <w:tc>
          <w:tcPr>
            <w:tcW w:w="0" w:type="dxa"/>
            <w:vAlign w:val="bottom"/>
          </w:tcPr>
          <w:p>
            <w:pPr>
              <w:spacing w:after="0"/>
              <w:rPr>
                <w:sz w:val="1"/>
                <w:szCs w:val="1"/>
                <w:color w:val="auto"/>
              </w:rPr>
            </w:pPr>
          </w:p>
        </w:tc>
      </w:tr>
      <w:tr>
        <w:trPr>
          <w:trHeight w:val="149"/>
        </w:trPr>
        <w:tc>
          <w:tcPr>
            <w:tcW w:w="2120" w:type="dxa"/>
            <w:vAlign w:val="bottom"/>
            <w:gridSpan w:val="2"/>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 Risk</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Row Level</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Score</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Score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OC Level</w:t>
            </w:r>
          </w:p>
        </w:tc>
        <w:tc>
          <w:tcPr>
            <w:tcW w:w="0" w:type="dxa"/>
            <w:vAlign w:val="bottom"/>
          </w:tcPr>
          <w:p>
            <w:pPr>
              <w:spacing w:after="0"/>
              <w:rPr>
                <w:sz w:val="1"/>
                <w:szCs w:val="1"/>
                <w:color w:val="auto"/>
              </w:rPr>
            </w:pPr>
          </w:p>
        </w:tc>
      </w:tr>
      <w:tr>
        <w:trPr>
          <w:trHeight w:val="210"/>
        </w:trPr>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8.375%</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44.4116</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42.9621</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43.6868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44.4116</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45.1363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8.375%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45.8611</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44.4116</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45.1363</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45.8610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7.375%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46.5858</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47.3105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160.00%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24.0057</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24.5694</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25.1331</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25.6968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8.375%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26.2605</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24.8513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25.4150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25.9787</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7.375%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26.5424</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27.1061</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25.6968</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26.2605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26.8242</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27.3879</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r>
        <w:trPr>
          <w:trHeight w:val="230"/>
        </w:trPr>
        <w:tc>
          <w:tcPr>
            <w:tcW w:w="19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8.375%</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27.9517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133.33%</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8-2</w:t>
      </w:r>
    </w:p>
    <w:p>
      <w:pPr>
        <w:sectPr>
          <w:pgSz w:w="11900" w:h="16838" w:orient="portrait"/>
          <w:cols w:equalWidth="0" w:num="1">
            <w:col w:w="11420"/>
          </w:cols>
          <w:pgMar w:left="240" w:top="253"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52" w:lineRule="exact"/>
        <w:rPr>
          <w:sz w:val="20"/>
          <w:szCs w:val="20"/>
          <w:color w:val="auto"/>
        </w:rPr>
      </w:pPr>
    </w:p>
    <w:p>
      <w:pPr>
        <w:spacing w:after="0"/>
        <w:tabs>
          <w:tab w:leader="none" w:pos="10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wp:posOffset>
            </wp:positionV>
            <wp:extent cx="6858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-7620</wp:posOffset>
            </wp:positionV>
            <wp:extent cx="10858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20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b w:val="1"/>
          <w:bCs w:val="1"/>
          <w:color w:val="auto"/>
        </w:rPr>
        <w:t>FOR VALUE RECEIVED</w:t>
      </w:r>
      <w:r>
        <w:rPr>
          <w:rFonts w:ascii="Arial" w:cs="Arial" w:eastAsia="Arial" w:hAnsi="Arial"/>
          <w:sz w:val="18"/>
          <w:szCs w:val="18"/>
          <w:color w:val="auto"/>
        </w:rPr>
        <w:t>, the undersigned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[INSERT NAME OF LENDER] (the “</w:t>
      </w:r>
      <w:r>
        <w:rPr>
          <w:rFonts w:ascii="Arial" w:cs="Arial" w:eastAsia="Arial" w:hAnsi="Arial"/>
          <w:sz w:val="18"/>
          <w:szCs w:val="18"/>
          <w:u w:val="single" w:color="auto"/>
          <w:color w:val="auto"/>
        </w:rPr>
        <w:t>Lender</w:t>
      </w:r>
      <w:r>
        <w:rPr>
          <w:rFonts w:ascii="Arial" w:cs="Arial" w:eastAsia="Arial" w:hAnsi="Arial"/>
          <w:sz w:val="18"/>
          <w:szCs w:val="18"/>
          <w:color w:val="auto"/>
        </w:rPr>
        <w:t>”)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assigns on the Final Maturity Date (as defined in the Revolving Credit Agreement hereinafter referred to) the principal sum of [DOLLAR AMOUNT] Dollars (or such lesser amount as shall equal the aggregate unpaid principal amount of the Advances made by the Lender to the Borrower under the Revolving Credit Agreement), in immediately available funds and in lawful money of the United States, and to pay interest on the unpaid principal amount of each such Advance, in like funds and money, from the Borrowing Date thereof until the principal amount thereof shall have been paid in full, at the rates per annum and on the dates provided in the Revolving Credit Agreement. Capitalized terms used but not otherwise defined herein shall have the respective meanings assigned to such terms in the Revolving Credit Agreement.</w:t>
      </w:r>
    </w:p>
    <w:p>
      <w:pPr>
        <w:spacing w:after="0" w:line="193"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This promissory note is a Note referred to in the Amended and Restated Revolving Credit and Security Agreement dated as of January 21, 2014 (as from time to time amended, the “</w:t>
      </w:r>
      <w:r>
        <w:rPr>
          <w:rFonts w:ascii="Arial" w:cs="Arial" w:eastAsia="Arial" w:hAnsi="Arial"/>
          <w:sz w:val="17"/>
          <w:szCs w:val="17"/>
          <w:u w:val="single" w:color="auto"/>
          <w:color w:val="auto"/>
        </w:rPr>
        <w:t>Revolving Credit Agreement</w:t>
      </w:r>
      <w:r>
        <w:rPr>
          <w:rFonts w:ascii="Arial" w:cs="Arial" w:eastAsia="Arial" w:hAnsi="Arial"/>
          <w:sz w:val="17"/>
          <w:szCs w:val="17"/>
          <w:color w:val="auto"/>
        </w:rPr>
        <w:t>”) among the Borrower, as borrower, the Lender, as lender, the other lenders from time to time parties thereto, Natixis, New York Branch, as Facility Agent and State Street Bank and Trust Company, as Collateral Agent. The date and principal amount of each Advance (and stated interest thereon) made to the Borrower and of each repayment of principal thereon shall be recorded by the Lender or its designee on Schedule I attached to this Note, and the aggregate unpaid principal amount shown on such schedule shall be prima facie evidence of the principal amount owing and unpaid on the Advances made by the Lender. The failure to record or any error in recording any such amount on such schedule shall not, however, limit or otherwise affect the obligations of the Borrower hereunder or under the Revolving Credit Agreement to repay the principal amount of the Advances together with all interest accrued thereon.</w:t>
      </w:r>
    </w:p>
    <w:p>
      <w:pPr>
        <w:spacing w:after="0" w:line="179"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Except as permitted by Section 12.06 of the Revolving Credit Agreement, this Note may not be participated by the Lender to any other Person. Without limiting the generality of the foregoing, this Note may be participated in whole or in part only by registration of such participation on the Participant Register.</w:t>
      </w:r>
    </w:p>
    <w:p>
      <w:pPr>
        <w:spacing w:after="0" w:line="18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Except as permitted by Section 12.06 of the Revolving Credit Agreement, this Note may not be assigned by the Lender to any other Person. Without limiting the generality of the foregoing, this Note may be assigned or sold in whole or in part only by registration of such assignment or sale on the Register.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288" w:name="page289"/>
    <w:bookmarkEnd w:id="28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NOTE SHALL BE GOVERNED BY, AND CONSTRUED IN ACCORDANCE WITH, THE LAWS OF THE STATE OF NEW YORK.</w:t>
      </w:r>
    </w:p>
    <w:p>
      <w:pPr>
        <w:spacing w:after="0" w:line="26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TPG SL SPV, LLC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-19050</wp:posOffset>
            </wp:positionV>
            <wp:extent cx="26587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320"/>
          </w:cols>
          <w:pgMar w:left="1160" w:top="274" w:right="41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This Note evidences Advances made by [INSERT NAME OF LENDER], (the “</w:t>
      </w:r>
      <w:r>
        <w:rPr>
          <w:rFonts w:ascii="Arial" w:cs="Arial" w:eastAsia="Arial" w:hAnsi="Arial"/>
          <w:sz w:val="17"/>
          <w:szCs w:val="17"/>
          <w:u w:val="single" w:color="auto"/>
          <w:color w:val="auto"/>
        </w:rPr>
        <w:t>Lender</w:t>
      </w:r>
      <w:r>
        <w:rPr>
          <w:rFonts w:ascii="Arial" w:cs="Arial" w:eastAsia="Arial" w:hAnsi="Arial"/>
          <w:sz w:val="17"/>
          <w:szCs w:val="17"/>
          <w:color w:val="auto"/>
        </w:rPr>
        <w:t>”) to TPG SL SPV, LLC (the “</w:t>
      </w:r>
      <w:r>
        <w:rPr>
          <w:rFonts w:ascii="Arial" w:cs="Arial" w:eastAsia="Arial" w:hAnsi="Arial"/>
          <w:sz w:val="17"/>
          <w:szCs w:val="17"/>
          <w:u w:val="single" w:color="auto"/>
          <w:color w:val="auto"/>
        </w:rPr>
        <w:t>Borrower</w:t>
      </w:r>
      <w:r>
        <w:rPr>
          <w:rFonts w:ascii="Arial" w:cs="Arial" w:eastAsia="Arial" w:hAnsi="Arial"/>
          <w:sz w:val="17"/>
          <w:szCs w:val="17"/>
          <w:color w:val="auto"/>
        </w:rPr>
        <w:t>”) under the Amended and Restated Revolving Credit and Security Agreement dated as of January 21, 2014 among the Borrower, as borrower, the Lender, as lender, the other lenders from time to time parties thereto, Natixis, New York Branch, as Facility Agent, and State Street Bank and Trust Company, as Collateral Agent, in the principal amounts and on the dates set forth below, subject to the payments and prepayments of principal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PRINCIPAL</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49"/>
        </w:trPr>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PRINCIPAL</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AMOUNT PAID</w:t>
            </w: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PRINCIPAL BALANCE</w:t>
            </w:r>
          </w:p>
        </w:tc>
        <w:tc>
          <w:tcPr>
            <w:tcW w:w="2160" w:type="dxa"/>
            <w:vAlign w:val="bottom"/>
          </w:tcPr>
          <w:p>
            <w:pPr>
              <w:spacing w:after="0"/>
              <w:rPr>
                <w:sz w:val="12"/>
                <w:szCs w:val="12"/>
                <w:color w:val="auto"/>
              </w:rPr>
            </w:pPr>
          </w:p>
        </w:tc>
      </w:tr>
      <w:tr>
        <w:trPr>
          <w:trHeight w:val="181"/>
        </w:trPr>
        <w:tc>
          <w:tcPr>
            <w:tcW w:w="2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DATE</w:t>
            </w:r>
          </w:p>
        </w:tc>
        <w:tc>
          <w:tcPr>
            <w:tcW w:w="14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AMOUNT ADVANCED</w:t>
            </w:r>
          </w:p>
        </w:tc>
        <w:tc>
          <w:tcPr>
            <w:tcW w:w="10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OR PREPAID</w:t>
            </w:r>
          </w:p>
        </w:tc>
        <w:tc>
          <w:tcPr>
            <w:tcW w:w="1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OUTSTANDING</w:t>
            </w:r>
          </w:p>
        </w:tc>
        <w:tc>
          <w:tcPr>
            <w:tcW w:w="100" w:type="dxa"/>
            <w:vAlign w:val="bottom"/>
          </w:tcPr>
          <w:p>
            <w:pPr>
              <w:spacing w:after="0"/>
              <w:rPr>
                <w:sz w:val="15"/>
                <w:szCs w:val="15"/>
                <w:color w:val="auto"/>
              </w:rPr>
            </w:pPr>
          </w:p>
        </w:tc>
        <w:tc>
          <w:tcPr>
            <w:tcW w:w="21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NOTATION BY</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Natixis, New York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Lenders party to the Revolving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referred to 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BORROWING</w:t>
      </w:r>
    </w:p>
    <w:p>
      <w:pPr>
        <w:spacing w:after="0" w:line="225"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This Notice of Borrowing is made pursuant to Section 2.02 of that certain Amended and Restated Revolving Credit and Security Agreement dated as of January 21, 2014 (as the same may from time to time be amended, supplemented, waived or modified, the “</w:t>
      </w:r>
      <w:r>
        <w:rPr>
          <w:rFonts w:ascii="Arial" w:cs="Arial" w:eastAsia="Arial" w:hAnsi="Arial"/>
          <w:sz w:val="17"/>
          <w:szCs w:val="17"/>
          <w:u w:val="single" w:color="auto"/>
          <w:color w:val="auto"/>
        </w:rPr>
        <w:t>Revolving Credit Agreement</w:t>
      </w:r>
      <w:r>
        <w:rPr>
          <w:rFonts w:ascii="Arial" w:cs="Arial" w:eastAsia="Arial" w:hAnsi="Arial"/>
          <w:sz w:val="17"/>
          <w:szCs w:val="17"/>
          <w:color w:val="auto"/>
        </w:rPr>
        <w:t>”) among TPG SL SPV, LLC,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parties thereto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Natixis, New York Branch, as Facility Agent (the “</w:t>
      </w:r>
      <w:r>
        <w:rPr>
          <w:rFonts w:ascii="Arial" w:cs="Arial" w:eastAsia="Arial" w:hAnsi="Arial"/>
          <w:sz w:val="17"/>
          <w:szCs w:val="17"/>
          <w:u w:val="single" w:color="auto"/>
          <w:color w:val="auto"/>
        </w:rPr>
        <w:t>Facility Agent</w:t>
      </w:r>
      <w:r>
        <w:rPr>
          <w:rFonts w:ascii="Arial" w:cs="Arial" w:eastAsia="Arial" w:hAnsi="Arial"/>
          <w:sz w:val="17"/>
          <w:szCs w:val="17"/>
          <w:color w:val="auto"/>
        </w:rPr>
        <w:t>”), and State Street Bank and Trust Company, as Collateral Agent. Capitalized terms used but not otherwise defined herein shall have the respective meanings assigned to such terms in the Revolving Credit Agreement.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3080" w:type="dxa"/>
            <w:vAlign w:val="bottom"/>
          </w:tcPr>
          <w:p>
            <w:pPr>
              <w:ind w:left="160"/>
              <w:spacing w:after="0"/>
              <w:rPr>
                <w:sz w:val="20"/>
                <w:szCs w:val="20"/>
                <w:color w:val="auto"/>
              </w:rPr>
            </w:pPr>
            <w:r>
              <w:rPr>
                <w:rFonts w:ascii="Arial" w:cs="Arial" w:eastAsia="Arial" w:hAnsi="Arial"/>
                <w:sz w:val="18"/>
                <w:szCs w:val="18"/>
                <w:color w:val="auto"/>
                <w:w w:val="95"/>
              </w:rPr>
              <w:t>The Borrower hereby requests that on</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820" w:type="dxa"/>
            <w:vAlign w:val="bottom"/>
            <w:gridSpan w:val="5"/>
          </w:tcPr>
          <w:p>
            <w:pPr>
              <w:ind w:left="260"/>
              <w:spacing w:after="0"/>
              <w:rPr>
                <w:sz w:val="20"/>
                <w:szCs w:val="20"/>
                <w:color w:val="auto"/>
              </w:rPr>
            </w:pPr>
            <w:r>
              <w:rPr>
                <w:rFonts w:ascii="Arial" w:cs="Arial" w:eastAsia="Arial" w:hAnsi="Arial"/>
                <w:sz w:val="18"/>
                <w:szCs w:val="18"/>
                <w:color w:val="auto"/>
                <w:w w:val="92"/>
              </w:rPr>
              <w:t>(the “Borrowing Date”) it receive Borrowings under the Revolving Credit Agreement in an</w:t>
            </w:r>
          </w:p>
        </w:tc>
      </w:tr>
      <w:tr>
        <w:trPr>
          <w:trHeight w:val="20"/>
        </w:trPr>
        <w:tc>
          <w:tcPr>
            <w:tcW w:w="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3080" w:type="dxa"/>
            <w:vAlign w:val="bottom"/>
          </w:tcPr>
          <w:p>
            <w:pPr>
              <w:ind w:left="160"/>
              <w:spacing w:after="0" w:line="196" w:lineRule="exact"/>
              <w:rPr>
                <w:sz w:val="20"/>
                <w:szCs w:val="20"/>
                <w:color w:val="auto"/>
              </w:rPr>
            </w:pPr>
            <w:r>
              <w:rPr>
                <w:rFonts w:ascii="Arial" w:cs="Arial" w:eastAsia="Arial" w:hAnsi="Arial"/>
                <w:sz w:val="18"/>
                <w:szCs w:val="18"/>
                <w:color w:val="auto"/>
              </w:rPr>
              <w:t>aggregate principal amount of</w:t>
            </w:r>
          </w:p>
        </w:tc>
        <w:tc>
          <w:tcPr>
            <w:tcW w:w="116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Dollars ($</w:t>
            </w:r>
          </w:p>
        </w:tc>
        <w:tc>
          <w:tcPr>
            <w:tcW w:w="6820" w:type="dxa"/>
            <w:vAlign w:val="bottom"/>
            <w:gridSpan w:val="5"/>
          </w:tcPr>
          <w:p>
            <w:pPr>
              <w:ind w:left="460"/>
              <w:spacing w:after="0" w:line="196" w:lineRule="exact"/>
              <w:rPr>
                <w:sz w:val="20"/>
                <w:szCs w:val="20"/>
                <w:color w:val="auto"/>
              </w:rPr>
            </w:pPr>
            <w:r>
              <w:rPr>
                <w:rFonts w:ascii="Arial" w:cs="Arial" w:eastAsia="Arial" w:hAnsi="Arial"/>
                <w:sz w:val="18"/>
                <w:szCs w:val="18"/>
                <w:color w:val="auto"/>
              </w:rPr>
              <w:t>) (the “Requested Amount”).</w:t>
            </w:r>
          </w:p>
        </w:tc>
      </w:tr>
      <w:tr>
        <w:trPr>
          <w:trHeight w:val="20"/>
        </w:trPr>
        <w:tc>
          <w:tcPr>
            <w:tcW w:w="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134" w:lineRule="exact"/>
        <w:rPr>
          <w:sz w:val="20"/>
          <w:szCs w:val="20"/>
          <w:color w:val="auto"/>
        </w:rPr>
      </w:pPr>
    </w:p>
    <w:p>
      <w:pPr>
        <w:ind w:left="460" w:right="100" w:hanging="452"/>
        <w:spacing w:after="0" w:line="264" w:lineRule="auto"/>
        <w:tabs>
          <w:tab w:leader="none" w:pos="4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Borrower hereby gives notice of its request for Advances in the aggregate principal amount equal to the Requested Amount to the Lenders and the Facility Agent pursuant to Section 2.02 of the Revolving Credit Agreement and requests the Lenders to remit, or cause to be remitted, the proceeds thereof to the Principal Collection Subaccount in its respective Percentage of the Requested Amount.</w:t>
      </w:r>
    </w:p>
    <w:p>
      <w:pPr>
        <w:spacing w:after="0" w:line="86" w:lineRule="exact"/>
        <w:rPr>
          <w:rFonts w:ascii="Arial" w:cs="Arial" w:eastAsia="Arial" w:hAnsi="Arial"/>
          <w:sz w:val="18"/>
          <w:szCs w:val="18"/>
          <w:color w:val="auto"/>
        </w:rPr>
      </w:pPr>
    </w:p>
    <w:p>
      <w:pPr>
        <w:ind w:left="460" w:right="640" w:hanging="452"/>
        <w:spacing w:after="0" w:line="277" w:lineRule="auto"/>
        <w:tabs>
          <w:tab w:leader="none" w:pos="4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Borrower certifies that immediately after giving effect to the proposed Borrowing on the Borrowing Date each of the applicable conditions precedent set forth in Section 3.02 of the Credit Agreement is satisfied, including:</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in the case of the initial Borrowing under the Revolving Credit Agreement, the conditions precedent set forth in Section 3.01 of the Revolving Credit Agreement shall have been fully satisfied on or prior to the Borrowing Date referred to above;</w:t>
      </w:r>
    </w:p>
    <w:p>
      <w:pPr>
        <w:spacing w:after="0" w:line="75" w:lineRule="exact"/>
        <w:rPr>
          <w:rFonts w:ascii="Arial" w:cs="Arial" w:eastAsia="Arial" w:hAnsi="Arial"/>
          <w:sz w:val="18"/>
          <w:szCs w:val="18"/>
          <w:color w:val="auto"/>
        </w:rPr>
      </w:pPr>
    </w:p>
    <w:p>
      <w:pPr>
        <w:ind w:left="900" w:right="660" w:hanging="446"/>
        <w:spacing w:after="0" w:line="277" w:lineRule="auto"/>
        <w:tabs>
          <w:tab w:leader="none" w:pos="9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immediately after the making of the Advance requested herein on the Borrowing Date, the aggregate outstanding principal amount of the Borrower Liabilities shall not exceed the Total Commitment as in effect on such Borrowing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291" w:name="page292"/>
    <w:bookmarkEnd w:id="291"/>
    <w:p>
      <w:pPr>
        <w:ind w:left="900" w:right="20" w:hanging="446"/>
        <w:spacing w:after="0" w:line="277" w:lineRule="auto"/>
        <w:tabs>
          <w:tab w:leader="none" w:pos="9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after the making of such Advance on the Borrowing Date, each Coverage Test shall be satisfied and the Row Advance Rate that is in use at such time equals or exceeds the Portfolio Advance Rate;</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of the representations and warranties of the Borrower contained in Article IV of the Revolving Credit Agreement and the other Facility Documents is true and correct in all material respects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Default or Event of Default described in Sections 6.01(c), (e) or (f) of the Revolving Credit Agreement shall have occurred and be continuing at the time of the making of such Advance or shall result upon the making of such Advance.</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provisions of Section 10.02 have been satisfied as of the date of purchase in connection with any acquisition of additional Collateral Obligations with the proceeds of the applicable Advance.</w:t>
      </w:r>
    </w:p>
    <w:p>
      <w:pPr>
        <w:spacing w:after="0" w:line="166" w:lineRule="exact"/>
        <w:rPr>
          <w:sz w:val="20"/>
          <w:szCs w:val="20"/>
          <w:color w:val="auto"/>
        </w:rPr>
      </w:pPr>
    </w:p>
    <w:p>
      <w:pPr>
        <w:ind w:left="920"/>
        <w:spacing w:after="0"/>
        <w:tabs>
          <w:tab w:leader="none" w:pos="3560" w:val="left"/>
          <w:tab w:leader="none" w:pos="4960" w:val="left"/>
          <w:tab w:leader="none" w:pos="5580" w:val="left"/>
        </w:tabs>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color w:val="auto"/>
        </w:rPr>
        <w:t>my hand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SL SPV,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Collateral Agent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74"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PREPAYMENT]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Natixis, New York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Lenders party to the Revolving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referred to 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PREPAYMENT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Notice of Prepayment is made pursuant to Section 2.05 of that certain Amended and Restated Revolving Credit and Security Agreement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dated as of January 21, 2014 among TPG SL SPV, LLC,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parties thereto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Natixis, New York Branch, as Facility Agent and State Street Bank and Trust Company, as Collateral Agent (as the same may from time to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amended, supplemented, waived or modified, the “</w:t>
      </w:r>
      <w:r>
        <w:rPr>
          <w:rFonts w:ascii="Arial" w:cs="Arial" w:eastAsia="Arial" w:hAnsi="Arial"/>
          <w:sz w:val="16"/>
          <w:szCs w:val="16"/>
          <w:u w:val="single" w:color="auto"/>
          <w:color w:val="auto"/>
        </w:rPr>
        <w:t>Revolving Credit Agreement</w:t>
      </w:r>
      <w:r>
        <w:rPr>
          <w:rFonts w:ascii="Arial" w:cs="Arial" w:eastAsia="Arial" w:hAnsi="Arial"/>
          <w:sz w:val="16"/>
          <w:szCs w:val="16"/>
          <w:color w:val="auto"/>
        </w:rPr>
        <w:t>”). Capitalized terms used but not otherwise defined herein shall have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 meanings assigned to such terms in the Revolving Credit Agreement.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3500" w:type="dxa"/>
            <w:vAlign w:val="bottom"/>
          </w:tcPr>
          <w:p>
            <w:pPr>
              <w:ind w:left="160"/>
              <w:spacing w:after="0"/>
              <w:rPr>
                <w:sz w:val="20"/>
                <w:szCs w:val="20"/>
                <w:color w:val="auto"/>
              </w:rPr>
            </w:pPr>
            <w:r>
              <w:rPr>
                <w:rFonts w:ascii="Arial" w:cs="Arial" w:eastAsia="Arial" w:hAnsi="Arial"/>
                <w:sz w:val="18"/>
                <w:szCs w:val="18"/>
                <w:color w:val="auto"/>
              </w:rPr>
              <w:t>The Borrower hereby gives notice that on</w:t>
            </w: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5820" w:type="dxa"/>
            <w:vAlign w:val="bottom"/>
            <w:gridSpan w:val="5"/>
          </w:tcPr>
          <w:p>
            <w:pPr>
              <w:ind w:left="100"/>
              <w:spacing w:after="0"/>
              <w:rPr>
                <w:sz w:val="20"/>
                <w:szCs w:val="20"/>
                <w:color w:val="auto"/>
              </w:rPr>
            </w:pPr>
            <w:r>
              <w:rPr>
                <w:rFonts w:ascii="Arial" w:cs="Arial" w:eastAsia="Arial" w:hAnsi="Arial"/>
                <w:sz w:val="18"/>
                <w:szCs w:val="18"/>
                <w:color w:val="auto"/>
                <w:w w:val="91"/>
              </w:rPr>
              <w:t>(the “Prepayment Date”) it will make a prepayment under the Revolving Credit</w:t>
            </w:r>
          </w:p>
        </w:tc>
      </w:tr>
      <w:tr>
        <w:trPr>
          <w:trHeight w:val="20"/>
        </w:trPr>
        <w:tc>
          <w:tcPr>
            <w:tcW w:w="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3500" w:type="dxa"/>
            <w:vAlign w:val="bottom"/>
          </w:tcPr>
          <w:p>
            <w:pPr>
              <w:ind w:left="160"/>
              <w:spacing w:after="0" w:line="196" w:lineRule="exact"/>
              <w:rPr>
                <w:sz w:val="20"/>
                <w:szCs w:val="20"/>
                <w:color w:val="auto"/>
              </w:rPr>
            </w:pPr>
            <w:r>
              <w:rPr>
                <w:rFonts w:ascii="Arial" w:cs="Arial" w:eastAsia="Arial" w:hAnsi="Arial"/>
                <w:sz w:val="18"/>
                <w:szCs w:val="18"/>
                <w:color w:val="auto"/>
              </w:rPr>
              <w:t>Agreement in the principal amount of</w:t>
            </w:r>
          </w:p>
        </w:tc>
        <w:tc>
          <w:tcPr>
            <w:tcW w:w="11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Dollars ($</w:t>
            </w:r>
          </w:p>
        </w:tc>
        <w:tc>
          <w:tcPr>
            <w:tcW w:w="582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 (the “Prepayment Amount”).</w:t>
            </w:r>
          </w:p>
        </w:tc>
      </w:tr>
      <w:tr>
        <w:trPr>
          <w:trHeight w:val="20"/>
        </w:trPr>
        <w:tc>
          <w:tcPr>
            <w:tcW w:w="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134" w:lineRule="exact"/>
        <w:rPr>
          <w:sz w:val="20"/>
          <w:szCs w:val="20"/>
          <w:color w:val="auto"/>
        </w:rPr>
      </w:pPr>
    </w:p>
    <w:p>
      <w:pPr>
        <w:ind w:left="460" w:right="140" w:hanging="452"/>
        <w:spacing w:after="0" w:line="264" w:lineRule="auto"/>
        <w:tabs>
          <w:tab w:leader="none" w:pos="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Borrower hereby gives notice of intent to prepay in the aggregate principal amount equal to the Prepayment Amount to the Lenders pursuant to Section 2.05 of the Revolving Credit Agreement and will remit, or cause to be remitted, the proceeds thereof to the account of each Lender set forth in Schedule I hereto in an amount equal to its respective Percentage of the Prepayment Amount.</w:t>
      </w:r>
    </w:p>
    <w:p>
      <w:pPr>
        <w:spacing w:after="0" w:line="181" w:lineRule="exact"/>
        <w:rPr>
          <w:sz w:val="20"/>
          <w:szCs w:val="20"/>
          <w:color w:val="auto"/>
        </w:rPr>
      </w:pPr>
    </w:p>
    <w:p>
      <w:pPr>
        <w:ind w:left="920"/>
        <w:spacing w:after="0"/>
        <w:tabs>
          <w:tab w:leader="none" w:pos="3520" w:val="left"/>
          <w:tab w:leader="none" w:pos="4920" w:val="left"/>
          <w:tab w:leader="none" w:pos="5540" w:val="left"/>
        </w:tabs>
        <w:rPr>
          <w:sz w:val="20"/>
          <w:szCs w:val="20"/>
          <w:color w:val="auto"/>
        </w:rPr>
      </w:pPr>
      <w:r>
        <w:rPr>
          <w:rFonts w:ascii="Arial" w:cs="Arial" w:eastAsia="Arial" w:hAnsi="Arial"/>
          <w:sz w:val="18"/>
          <w:szCs w:val="18"/>
          <w:color w:val="auto"/>
        </w:rPr>
        <w:t>WITNESS my hand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SL SPV,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sectPr>
      </w:pPr>
    </w:p>
    <w:bookmarkStart w:id="293" w:name="page294"/>
    <w:bookmarkEnd w:id="293"/>
    <w:p>
      <w:pPr>
        <w:jc w:val="right"/>
        <w:ind w:right="4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[Describe accounts of the Lenders]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219"/>
          </w:cols>
          <w:pgMar w:left="240" w:top="274" w:right="1440"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ACCEPTANCE]</w:t>
      </w:r>
    </w:p>
    <w:p>
      <w:pPr>
        <w:spacing w:after="0" w:line="22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Reference is made to the Amended and Restated Revolving Credit and Security Agreement dated as of January 21, 2014 (as amended, supplemented or otherwise modified from time to time, the “</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among [insert name of assigning Lender] (the “</w:t>
      </w:r>
      <w:r>
        <w:rPr>
          <w:rFonts w:ascii="Arial" w:cs="Arial" w:eastAsia="Arial" w:hAnsi="Arial"/>
          <w:sz w:val="18"/>
          <w:szCs w:val="18"/>
          <w:u w:val="single" w:color="auto"/>
          <w:color w:val="auto"/>
        </w:rPr>
        <w:t>Assignor</w:t>
      </w:r>
      <w:r>
        <w:rPr>
          <w:rFonts w:ascii="Arial" w:cs="Arial" w:eastAsia="Arial" w:hAnsi="Arial"/>
          <w:sz w:val="18"/>
          <w:szCs w:val="18"/>
          <w:color w:val="auto"/>
        </w:rPr>
        <w:t>”), the other lenders from time to time parties thereto (together with the Assignor, the “</w:t>
      </w:r>
      <w:r>
        <w:rPr>
          <w:rFonts w:ascii="Arial" w:cs="Arial" w:eastAsia="Arial" w:hAnsi="Arial"/>
          <w:sz w:val="18"/>
          <w:szCs w:val="18"/>
          <w:u w:val="single" w:color="auto"/>
          <w:color w:val="auto"/>
        </w:rPr>
        <w:t>Lenders</w:t>
      </w:r>
      <w:r>
        <w:rPr>
          <w:rFonts w:ascii="Arial" w:cs="Arial" w:eastAsia="Arial" w:hAnsi="Arial"/>
          <w:sz w:val="18"/>
          <w:szCs w:val="18"/>
          <w:color w:val="auto"/>
        </w:rPr>
        <w:t>”), State Street Bank and Trust Company, as Collateral Agent, Natixis, New York Branch, as Facility Agent for the Lenders (in such capacity, together with its successors and assigns, the “</w:t>
      </w:r>
      <w:r>
        <w:rPr>
          <w:rFonts w:ascii="Arial" w:cs="Arial" w:eastAsia="Arial" w:hAnsi="Arial"/>
          <w:sz w:val="18"/>
          <w:szCs w:val="18"/>
          <w:u w:val="single" w:color="auto"/>
          <w:color w:val="auto"/>
        </w:rPr>
        <w:t>Facility Agent</w:t>
      </w:r>
      <w:r>
        <w:rPr>
          <w:rFonts w:ascii="Arial" w:cs="Arial" w:eastAsia="Arial" w:hAnsi="Arial"/>
          <w:sz w:val="18"/>
          <w:szCs w:val="18"/>
          <w:color w:val="auto"/>
        </w:rPr>
        <w:t>”), and TPG SL SPV, LLC, as borrower (the “</w:t>
      </w:r>
      <w:r>
        <w:rPr>
          <w:rFonts w:ascii="Arial" w:cs="Arial" w:eastAsia="Arial" w:hAnsi="Arial"/>
          <w:sz w:val="18"/>
          <w:szCs w:val="18"/>
          <w:u w:val="single" w:color="auto"/>
          <w:color w:val="auto"/>
        </w:rPr>
        <w:t>Borrower</w:t>
      </w:r>
      <w:r>
        <w:rPr>
          <w:rFonts w:ascii="Arial" w:cs="Arial" w:eastAsia="Arial" w:hAnsi="Arial"/>
          <w:sz w:val="18"/>
          <w:szCs w:val="18"/>
          <w:color w:val="auto"/>
        </w:rPr>
        <w:t>”). Capitalized terms used but not otherwise defined herein shall have the respective meanings assigned to such terms in the Revolving Credit Agreement.</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Assignor and the “</w:t>
      </w:r>
      <w:r>
        <w:rPr>
          <w:rFonts w:ascii="Arial" w:cs="Arial" w:eastAsia="Arial" w:hAnsi="Arial"/>
          <w:sz w:val="18"/>
          <w:szCs w:val="18"/>
          <w:u w:val="single" w:color="auto"/>
          <w:color w:val="auto"/>
        </w:rPr>
        <w:t>Assignee</w:t>
      </w:r>
      <w:r>
        <w:rPr>
          <w:rFonts w:ascii="Arial" w:cs="Arial" w:eastAsia="Arial" w:hAnsi="Arial"/>
          <w:sz w:val="18"/>
          <w:szCs w:val="18"/>
          <w:color w:val="auto"/>
        </w:rPr>
        <w:t>” referred to on Schedule I hereto agree as follows:</w:t>
      </w:r>
    </w:p>
    <w:p>
      <w:pPr>
        <w:spacing w:after="0" w:line="117" w:lineRule="exact"/>
        <w:rPr>
          <w:sz w:val="20"/>
          <w:szCs w:val="20"/>
          <w:color w:val="auto"/>
        </w:rPr>
      </w:pPr>
    </w:p>
    <w:p>
      <w:pPr>
        <w:ind w:right="60" w:firstLine="921"/>
        <w:spacing w:after="0" w:line="273" w:lineRule="auto"/>
        <w:tabs>
          <w:tab w:leader="none" w:pos="1093" w:val="left"/>
        </w:tabs>
        <w:numPr>
          <w:ilvl w:val="0"/>
          <w:numId w:val="298"/>
        </w:numPr>
        <w:rPr>
          <w:rFonts w:ascii="Arial" w:cs="Arial" w:eastAsia="Arial" w:hAnsi="Arial"/>
          <w:sz w:val="17"/>
          <w:szCs w:val="17"/>
          <w:color w:val="auto"/>
        </w:rPr>
      </w:pPr>
      <w:r>
        <w:rPr>
          <w:rFonts w:ascii="Arial" w:cs="Arial" w:eastAsia="Arial" w:hAnsi="Arial"/>
          <w:sz w:val="17"/>
          <w:szCs w:val="17"/>
          <w:color w:val="auto"/>
        </w:rPr>
        <w:t>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Revolving Credit Agreement and under the other Facility Documents equal to the percentage interest specified on Schedule I hereto, including the Assignor’s percentage interest specified on Schedule I hereto of the outstanding principal amount of the Advances to the Borrower (such rights and obligations assigned hereby being the “</w:t>
      </w:r>
      <w:r>
        <w:rPr>
          <w:rFonts w:ascii="Arial" w:cs="Arial" w:eastAsia="Arial" w:hAnsi="Arial"/>
          <w:sz w:val="17"/>
          <w:szCs w:val="17"/>
          <w:u w:val="single" w:color="auto"/>
          <w:color w:val="auto"/>
        </w:rPr>
        <w:t>Assigned Interests</w:t>
      </w:r>
      <w:r>
        <w:rPr>
          <w:rFonts w:ascii="Arial" w:cs="Arial" w:eastAsia="Arial" w:hAnsi="Arial"/>
          <w:sz w:val="17"/>
          <w:szCs w:val="17"/>
          <w:color w:val="auto"/>
        </w:rPr>
        <w:t>”). After giving effect to such sale, assignment and assumption, the Assignee’s “</w:t>
      </w:r>
      <w:r>
        <w:rPr>
          <w:rFonts w:ascii="Arial" w:cs="Arial" w:eastAsia="Arial" w:hAnsi="Arial"/>
          <w:sz w:val="17"/>
          <w:szCs w:val="17"/>
          <w:u w:val="single" w:color="auto"/>
          <w:color w:val="auto"/>
        </w:rPr>
        <w:t>Percentage</w:t>
      </w:r>
      <w:r>
        <w:rPr>
          <w:rFonts w:ascii="Arial" w:cs="Arial" w:eastAsia="Arial" w:hAnsi="Arial"/>
          <w:sz w:val="17"/>
          <w:szCs w:val="17"/>
          <w:color w:val="auto"/>
        </w:rPr>
        <w:t>” will be as set forth on Schedule I hereto.</w:t>
      </w:r>
    </w:p>
    <w:p>
      <w:pPr>
        <w:spacing w:after="0" w:line="178" w:lineRule="exact"/>
        <w:rPr>
          <w:rFonts w:ascii="Arial" w:cs="Arial" w:eastAsia="Arial" w:hAnsi="Arial"/>
          <w:sz w:val="17"/>
          <w:szCs w:val="17"/>
          <w:color w:val="auto"/>
        </w:rPr>
      </w:pPr>
    </w:p>
    <w:p>
      <w:pPr>
        <w:ind w:right="20" w:firstLine="921"/>
        <w:spacing w:after="0" w:line="271" w:lineRule="auto"/>
        <w:tabs>
          <w:tab w:leader="none" w:pos="1093"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 Facility Agent, the Investment Manager or any other Person, or the performance or observance by any Person of any of its obligations under any Facility Document or any instrument or document furnished pursuant thereto.</w:t>
      </w:r>
    </w:p>
    <w:p>
      <w:pPr>
        <w:spacing w:after="0" w:line="178" w:lineRule="exact"/>
        <w:rPr>
          <w:rFonts w:ascii="Arial" w:cs="Arial" w:eastAsia="Arial" w:hAnsi="Arial"/>
          <w:sz w:val="17"/>
          <w:szCs w:val="17"/>
          <w:color w:val="auto"/>
        </w:rPr>
      </w:pPr>
    </w:p>
    <w:p>
      <w:pPr>
        <w:ind w:right="120" w:firstLine="921"/>
        <w:spacing w:after="0" w:line="312" w:lineRule="auto"/>
        <w:tabs>
          <w:tab w:leader="none" w:pos="1093"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Revolving Credit Agreement and the other Facility Documents, together with copies of any financial statements delivered pursuant to Section 5.01 of the Revolving Credit Agreement and such other documents and information as it has deemed appropriate to make its own credit analysis and decision to enter into this Assignment and Acceptance; (ii) agrees that it will, independently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0" w:right="239" w:bottom="1440" w:gutter="0" w:footer="0" w:header="0"/>
        </w:sectPr>
      </w:pPr>
    </w:p>
    <w:bookmarkStart w:id="295" w:name="page296"/>
    <w:bookmarkEnd w:id="295"/>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reliance upon the Facility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Facility Agent to take such action as agent on its behalf and to exercise such powers and discretion under the Facility Documents as are delegated to the Facility Agent by the terms thereof, together with such powers and discretion as are reasonably incidental thereto; and (iv) agrees that it will perform in accordance with their terms all of the obligations that by the terms of the Facility Documents are required to be performed by it as a Lender.</w:t>
      </w:r>
    </w:p>
    <w:p>
      <w:pPr>
        <w:spacing w:after="0" w:line="158" w:lineRule="exact"/>
        <w:rPr>
          <w:sz w:val="20"/>
          <w:szCs w:val="20"/>
          <w:color w:val="auto"/>
        </w:rPr>
      </w:pPr>
    </w:p>
    <w:p>
      <w:pPr>
        <w:ind w:right="140" w:firstLine="921"/>
        <w:spacing w:after="0" w:line="264" w:lineRule="auto"/>
        <w:tabs>
          <w:tab w:leader="none" w:pos="109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Assignee, by checking the box below, (i) acknowledges that it is required to be a Qualified Purchaser for purposes of the Investment Company Act at the time it becomes a Lender and on each date on which an Advance is made under the Revolving Credit Agreement and (ii) represents and warrants to the Assignor, the Borrower and the Agents that the Assignee is a Qualified Purchaser:</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99"/>
        </w:numPr>
        <w:rPr>
          <w:rFonts w:ascii="MS PGothic" w:cs="MS PGothic" w:eastAsia="MS PGothic" w:hAnsi="MS PGothic"/>
          <w:sz w:val="18"/>
          <w:szCs w:val="18"/>
          <w:color w:val="auto"/>
        </w:rPr>
      </w:pPr>
      <w:r>
        <w:rPr>
          <w:rFonts w:ascii="Arial" w:cs="Arial" w:eastAsia="Arial" w:hAnsi="Arial"/>
          <w:sz w:val="18"/>
          <w:szCs w:val="18"/>
          <w:color w:val="auto"/>
        </w:rPr>
        <w:t>By checking this box, the Assignee represents and warrants that it is a Qualified Purchaser.</w:t>
      </w:r>
    </w:p>
    <w:p>
      <w:pPr>
        <w:spacing w:after="0" w:line="117" w:lineRule="exact"/>
        <w:rPr>
          <w:rFonts w:ascii="MS PGothic" w:cs="MS PGothic" w:eastAsia="MS PGothic" w:hAnsi="MS PGothic"/>
          <w:sz w:val="18"/>
          <w:szCs w:val="18"/>
          <w:color w:val="auto"/>
        </w:rPr>
      </w:pPr>
    </w:p>
    <w:p>
      <w:pPr>
        <w:jc w:val="both"/>
        <w:ind w:right="340" w:firstLine="921"/>
        <w:spacing w:after="0" w:line="264" w:lineRule="auto"/>
        <w:tabs>
          <w:tab w:leader="none" w:pos="1093" w:val="left"/>
        </w:tabs>
        <w:numPr>
          <w:ilvl w:val="1"/>
          <w:numId w:val="300"/>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Facility Agent for acceptance and recording by the Facility Agent. The effective date for this Assignment and Acceptance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be the date of acceptance hereof by the Facility Agent, unless a later effective date is specified on Schedule I hereto.</w:t>
      </w:r>
    </w:p>
    <w:p>
      <w:pPr>
        <w:spacing w:after="0" w:line="181" w:lineRule="exact"/>
        <w:rPr>
          <w:rFonts w:ascii="Arial" w:cs="Arial" w:eastAsia="Arial" w:hAnsi="Arial"/>
          <w:sz w:val="18"/>
          <w:szCs w:val="18"/>
          <w:color w:val="auto"/>
        </w:rPr>
      </w:pPr>
    </w:p>
    <w:p>
      <w:pPr>
        <w:ind w:firstLine="921"/>
        <w:spacing w:after="0" w:line="255" w:lineRule="auto"/>
        <w:tabs>
          <w:tab w:leader="none" w:pos="1093" w:val="left"/>
        </w:tabs>
        <w:numPr>
          <w:ilvl w:val="1"/>
          <w:numId w:val="300"/>
        </w:numPr>
        <w:rPr>
          <w:rFonts w:ascii="Arial" w:cs="Arial" w:eastAsia="Arial" w:hAnsi="Arial"/>
          <w:sz w:val="18"/>
          <w:szCs w:val="18"/>
          <w:color w:val="auto"/>
        </w:rPr>
      </w:pPr>
      <w:r>
        <w:rPr>
          <w:rFonts w:ascii="Arial" w:cs="Arial" w:eastAsia="Arial" w:hAnsi="Arial"/>
          <w:sz w:val="18"/>
          <w:szCs w:val="18"/>
          <w:color w:val="auto"/>
        </w:rPr>
        <w:t>Upon such acceptance and recording by the Facility Agent, as of the Effective Date, (i) the Assignee shall be a party to and bound by the provisions of the Revolving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Section 11.04 thereof, and (iii) the Assignor shall, to the extent provided in this Assignment and Acceptance, relinquish its rights and be released from its obligations under the Revolving Credit Agreement and under any other Facility Document.</w:t>
      </w:r>
    </w:p>
    <w:p>
      <w:pPr>
        <w:spacing w:after="0" w:line="193" w:lineRule="exact"/>
        <w:rPr>
          <w:rFonts w:ascii="Arial" w:cs="Arial" w:eastAsia="Arial" w:hAnsi="Arial"/>
          <w:sz w:val="18"/>
          <w:szCs w:val="18"/>
          <w:color w:val="auto"/>
        </w:rPr>
      </w:pPr>
    </w:p>
    <w:p>
      <w:pPr>
        <w:ind w:right="80" w:firstLine="921"/>
        <w:spacing w:after="0" w:line="312" w:lineRule="auto"/>
        <w:tabs>
          <w:tab w:leader="none" w:pos="1093" w:val="left"/>
        </w:tabs>
        <w:numPr>
          <w:ilvl w:val="1"/>
          <w:numId w:val="300"/>
        </w:numPr>
        <w:rPr>
          <w:rFonts w:ascii="Arial" w:cs="Arial" w:eastAsia="Arial" w:hAnsi="Arial"/>
          <w:sz w:val="16"/>
          <w:szCs w:val="16"/>
          <w:color w:val="auto"/>
        </w:rPr>
      </w:pPr>
      <w:r>
        <w:rPr>
          <w:rFonts w:ascii="Arial" w:cs="Arial" w:eastAsia="Arial" w:hAnsi="Arial"/>
          <w:sz w:val="16"/>
          <w:szCs w:val="16"/>
          <w:color w:val="auto"/>
        </w:rPr>
        <w:t>Upon such acceptance and recording by the Facility Agent, from and after the Effective Date, the Borrower shall make all payments under the Revolving Credit Agreement in respect of the Assigned Interest to the Assignee. The Assignor and Assignee shall make all appropriate adjustments in payments under the Revolving Credit Agreement and the Assigned Interests for periods prior to the Effective Date directly between themselves.</w:t>
      </w:r>
    </w:p>
    <w:p>
      <w:pPr>
        <w:spacing w:after="0" w:line="146" w:lineRule="exact"/>
        <w:rPr>
          <w:rFonts w:ascii="Arial" w:cs="Arial" w:eastAsia="Arial" w:hAnsi="Arial"/>
          <w:sz w:val="16"/>
          <w:szCs w:val="16"/>
          <w:color w:val="auto"/>
        </w:rPr>
      </w:pPr>
    </w:p>
    <w:p>
      <w:pPr>
        <w:ind w:left="1100" w:hanging="179"/>
        <w:spacing w:after="0"/>
        <w:tabs>
          <w:tab w:leader="none" w:pos="110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225" w:lineRule="exact"/>
        <w:rPr>
          <w:rFonts w:ascii="Arial" w:cs="Arial" w:eastAsia="Arial" w:hAnsi="Arial"/>
          <w:sz w:val="18"/>
          <w:szCs w:val="18"/>
          <w:color w:val="auto"/>
        </w:rPr>
      </w:pPr>
    </w:p>
    <w:p>
      <w:pPr>
        <w:ind w:right="60" w:firstLine="921"/>
        <w:spacing w:after="0" w:line="264" w:lineRule="auto"/>
        <w:tabs>
          <w:tab w:leader="none" w:pos="1093"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I to this Assignment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74" w:right="2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Acceptance by telecopier shall be effective as a delivery of a manually executed counterpart of this Assignment and Acceptance.</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IN WITNESS WHEREOF, the Assignor and the Assignee have caused Schedule I to this Assignment and Acceptance to be executed by their officers thereunto duly authorized as of the date specified thereon.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120"/>
          </w:cols>
          <w:pgMar w:left="240" w:top="274" w:right="5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rPr>
              <w:t>Percentage interest</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03"/>
        </w:trPr>
        <w:tc>
          <w:tcPr>
            <w:tcW w:w="4580" w:type="dxa"/>
            <w:vAlign w:val="bottom"/>
            <w:gridSpan w:val="7"/>
          </w:tcPr>
          <w:p>
            <w:pPr>
              <w:spacing w:after="0" w:line="203" w:lineRule="exact"/>
              <w:rPr>
                <w:sz w:val="20"/>
                <w:szCs w:val="20"/>
                <w:color w:val="auto"/>
              </w:rPr>
            </w:pPr>
            <w:r>
              <w:rPr>
                <w:rFonts w:ascii="Arial" w:cs="Arial" w:eastAsia="Arial" w:hAnsi="Arial"/>
                <w:sz w:val="18"/>
                <w:szCs w:val="18"/>
                <w:color w:val="auto"/>
              </w:rPr>
              <w:t>transferred by Assignor:</w:t>
            </w:r>
          </w:p>
        </w:tc>
        <w:tc>
          <w:tcPr>
            <w:tcW w:w="1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160" w:type="dxa"/>
            <w:vAlign w:val="bottom"/>
            <w:gridSpan w:val="2"/>
          </w:tcPr>
          <w:p>
            <w:pPr>
              <w:spacing w:after="0" w:line="203" w:lineRule="exact"/>
              <w:rPr>
                <w:sz w:val="20"/>
                <w:szCs w:val="20"/>
                <w:color w:val="auto"/>
              </w:rPr>
            </w:pPr>
            <w:r>
              <w:rPr>
                <w:rFonts w:ascii="Arial" w:cs="Arial" w:eastAsia="Arial" w:hAnsi="Arial"/>
                <w:sz w:val="18"/>
                <w:szCs w:val="18"/>
                <w:color w:val="auto"/>
              </w:rPr>
              <w:t>%</w:t>
            </w:r>
          </w:p>
        </w:tc>
      </w:tr>
      <w:tr>
        <w:trPr>
          <w:trHeight w:val="438"/>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840" w:type="dxa"/>
            <w:vAlign w:val="bottom"/>
            <w:gridSpan w:val="4"/>
          </w:tcPr>
          <w:p>
            <w:pPr>
              <w:ind w:left="1320"/>
              <w:spacing w:after="0"/>
              <w:rPr>
                <w:sz w:val="20"/>
                <w:szCs w:val="20"/>
                <w:color w:val="auto"/>
              </w:rPr>
            </w:pPr>
            <w:r>
              <w:rPr>
                <w:rFonts w:ascii="Arial" w:cs="Arial" w:eastAsia="Arial" w:hAnsi="Arial"/>
                <w:sz w:val="18"/>
                <w:szCs w:val="18"/>
                <w:color w:val="auto"/>
              </w:rPr>
              <w:t>[INSERT NAME OF ASSIGNOR],</w:t>
            </w:r>
          </w:p>
        </w:tc>
      </w:tr>
      <w:tr>
        <w:trPr>
          <w:trHeight w:val="230"/>
        </w:trPr>
        <w:tc>
          <w:tcPr>
            <w:tcW w:w="4580" w:type="dxa"/>
            <w:vAlign w:val="bottom"/>
            <w:gridSpan w:val="7"/>
          </w:tcPr>
          <w:p>
            <w:pPr>
              <w:spacing w:after="0"/>
              <w:rPr>
                <w:sz w:val="20"/>
                <w:szCs w:val="20"/>
                <w:color w:val="auto"/>
              </w:rPr>
            </w:pPr>
            <w:r>
              <w:rPr>
                <w:rFonts w:ascii="Arial" w:cs="Arial" w:eastAsia="Arial" w:hAnsi="Arial"/>
                <w:sz w:val="18"/>
                <w:szCs w:val="18"/>
                <w:color w:val="auto"/>
              </w:rPr>
              <w:t>Assignor:</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as Assignor</w:t>
            </w:r>
          </w:p>
        </w:tc>
      </w:tr>
      <w:tr>
        <w:trPr>
          <w:trHeight w:val="44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840" w:type="dxa"/>
            <w:vAlign w:val="bottom"/>
            <w:gridSpan w:val="4"/>
          </w:tcPr>
          <w:p>
            <w:pPr>
              <w:ind w:left="1320"/>
              <w:spacing w:after="0"/>
              <w:rPr>
                <w:sz w:val="20"/>
                <w:szCs w:val="20"/>
                <w:color w:val="auto"/>
              </w:rPr>
            </w:pPr>
            <w:r>
              <w:rPr>
                <w:rFonts w:ascii="Arial" w:cs="Arial" w:eastAsia="Arial" w:hAnsi="Arial"/>
                <w:sz w:val="18"/>
                <w:szCs w:val="18"/>
                <w:color w:val="auto"/>
              </w:rPr>
              <w:t>By:</w:t>
            </w:r>
          </w:p>
        </w:tc>
      </w:tr>
      <w:tr>
        <w:trPr>
          <w:trHeight w:val="237"/>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431"/>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840" w:type="dxa"/>
            <w:vAlign w:val="bottom"/>
            <w:gridSpan w:val="4"/>
          </w:tcPr>
          <w:p>
            <w:pPr>
              <w:ind w:left="1320"/>
              <w:spacing w:after="0"/>
              <w:rPr>
                <w:sz w:val="20"/>
                <w:szCs w:val="20"/>
                <w:color w:val="auto"/>
              </w:rPr>
            </w:pPr>
            <w:r>
              <w:rPr>
                <w:rFonts w:ascii="Arial" w:cs="Arial" w:eastAsia="Arial" w:hAnsi="Arial"/>
                <w:sz w:val="18"/>
                <w:szCs w:val="18"/>
                <w:color w:val="auto"/>
              </w:rPr>
              <w:t>[INSERT NAME OF ASSIGNEE]</w:t>
            </w:r>
          </w:p>
        </w:tc>
      </w:tr>
      <w:tr>
        <w:trPr>
          <w:trHeight w:val="230"/>
        </w:trPr>
        <w:tc>
          <w:tcPr>
            <w:tcW w:w="4580" w:type="dxa"/>
            <w:vAlign w:val="bottom"/>
            <w:gridSpan w:val="7"/>
          </w:tcPr>
          <w:p>
            <w:pPr>
              <w:spacing w:after="0"/>
              <w:rPr>
                <w:sz w:val="20"/>
                <w:szCs w:val="20"/>
                <w:color w:val="auto"/>
              </w:rPr>
            </w:pPr>
            <w:r>
              <w:rPr>
                <w:rFonts w:ascii="Arial" w:cs="Arial" w:eastAsia="Arial" w:hAnsi="Arial"/>
                <w:sz w:val="18"/>
                <w:szCs w:val="18"/>
                <w:color w:val="auto"/>
              </w:rPr>
              <w:t>Assignee:</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as Assignee</w:t>
            </w: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840" w:type="dxa"/>
            <w:vAlign w:val="bottom"/>
            <w:gridSpan w:val="4"/>
          </w:tcPr>
          <w:p>
            <w:pPr>
              <w:ind w:left="1320"/>
              <w:spacing w:after="0"/>
              <w:rPr>
                <w:sz w:val="20"/>
                <w:szCs w:val="20"/>
                <w:color w:val="auto"/>
              </w:rPr>
            </w:pPr>
            <w:r>
              <w:rPr>
                <w:rFonts w:ascii="Arial" w:cs="Arial" w:eastAsia="Arial" w:hAnsi="Arial"/>
                <w:sz w:val="18"/>
                <w:szCs w:val="18"/>
                <w:color w:val="auto"/>
              </w:rPr>
              <w:t>By:</w:t>
            </w:r>
          </w:p>
        </w:tc>
      </w:tr>
      <w:tr>
        <w:trPr>
          <w:trHeight w:val="237"/>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445"/>
        </w:trPr>
        <w:tc>
          <w:tcPr>
            <w:tcW w:w="4580" w:type="dxa"/>
            <w:vAlign w:val="bottom"/>
            <w:gridSpan w:val="7"/>
          </w:tcPr>
          <w:p>
            <w:pPr>
              <w:spacing w:after="0"/>
              <w:rPr>
                <w:sz w:val="20"/>
                <w:szCs w:val="20"/>
                <w:color w:val="auto"/>
              </w:rPr>
            </w:pPr>
            <w:r>
              <w:rPr>
                <w:rFonts w:ascii="Arial" w:cs="Arial" w:eastAsia="Arial" w:hAnsi="Arial"/>
                <w:sz w:val="18"/>
                <w:szCs w:val="18"/>
                <w:color w:val="auto"/>
              </w:rPr>
              <w:t>Accepted this   day of</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3"/>
          </w:tcPr>
          <w:p>
            <w:pPr>
              <w:jc w:val="right"/>
              <w:ind w:right="40"/>
              <w:spacing w:after="0" w:line="19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38"/>
        </w:trPr>
        <w:tc>
          <w:tcPr>
            <w:tcW w:w="4580" w:type="dxa"/>
            <w:vAlign w:val="bottom"/>
            <w:gridSpan w:val="7"/>
          </w:tcPr>
          <w:p>
            <w:pPr>
              <w:spacing w:after="0"/>
              <w:rPr>
                <w:sz w:val="20"/>
                <w:szCs w:val="20"/>
                <w:color w:val="auto"/>
              </w:rPr>
            </w:pPr>
            <w:r>
              <w:rPr>
                <w:rFonts w:ascii="Arial" w:cs="Arial" w:eastAsia="Arial" w:hAnsi="Arial"/>
                <w:sz w:val="18"/>
                <w:szCs w:val="18"/>
                <w:color w:val="auto"/>
              </w:rPr>
              <w:t>NATIXIS, NEW YORK BRANCH,</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30"/>
        </w:trPr>
        <w:tc>
          <w:tcPr>
            <w:tcW w:w="4580" w:type="dxa"/>
            <w:vAlign w:val="bottom"/>
            <w:gridSpan w:val="7"/>
          </w:tcPr>
          <w:p>
            <w:pPr>
              <w:spacing w:after="0"/>
              <w:rPr>
                <w:sz w:val="20"/>
                <w:szCs w:val="20"/>
                <w:color w:val="auto"/>
              </w:rPr>
            </w:pPr>
            <w:r>
              <w:rPr>
                <w:rFonts w:ascii="Arial" w:cs="Arial" w:eastAsia="Arial" w:hAnsi="Arial"/>
                <w:sz w:val="18"/>
                <w:szCs w:val="18"/>
                <w:color w:val="auto"/>
              </w:rPr>
              <w:t>as Facility Agent</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46"/>
        </w:trPr>
        <w:tc>
          <w:tcPr>
            <w:tcW w:w="38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37"/>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Authorized Signatory</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32"/>
        </w:trPr>
        <w:tc>
          <w:tcPr>
            <w:tcW w:w="38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37"/>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Authorized Signatory</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32"/>
        </w:trPr>
        <w:tc>
          <w:tcPr>
            <w:tcW w:w="4580" w:type="dxa"/>
            <w:vAlign w:val="bottom"/>
            <w:gridSpan w:val="7"/>
          </w:tcPr>
          <w:p>
            <w:pPr>
              <w:spacing w:after="0"/>
              <w:rPr>
                <w:sz w:val="20"/>
                <w:szCs w:val="20"/>
                <w:color w:val="auto"/>
              </w:rPr>
            </w:pPr>
            <w:r>
              <w:rPr>
                <w:rFonts w:ascii="Arial" w:cs="Arial" w:eastAsia="Arial" w:hAnsi="Arial"/>
                <w:sz w:val="18"/>
                <w:szCs w:val="18"/>
                <w:color w:val="auto"/>
              </w:rPr>
              <w:t>[Consented to this   day of</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84"/>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12"/>
        </w:trPr>
        <w:tc>
          <w:tcPr>
            <w:tcW w:w="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8"/>
              </w:rPr>
              <w:t>[</w:t>
            </w:r>
          </w:p>
        </w:tc>
        <w:tc>
          <w:tcPr>
            <w:tcW w:w="3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37"/>
        </w:trPr>
        <w:tc>
          <w:tcPr>
            <w:tcW w:w="4580" w:type="dxa"/>
            <w:vAlign w:val="bottom"/>
            <w:gridSpan w:val="7"/>
          </w:tcPr>
          <w:p>
            <w:pPr>
              <w:spacing w:after="0"/>
              <w:rPr>
                <w:sz w:val="20"/>
                <w:szCs w:val="20"/>
                <w:color w:val="auto"/>
              </w:rPr>
            </w:pPr>
            <w:r>
              <w:rPr>
                <w:rFonts w:ascii="Arial" w:cs="Arial" w:eastAsia="Arial" w:hAnsi="Arial"/>
                <w:sz w:val="18"/>
                <w:szCs w:val="18"/>
                <w:color w:val="auto"/>
              </w:rPr>
              <w:t>as Borrower</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8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5" w:lineRule="exact"/>
        <w:rPr>
          <w:sz w:val="20"/>
          <w:szCs w:val="20"/>
          <w:color w:val="auto"/>
        </w:rPr>
      </w:pPr>
    </w:p>
    <w:p>
      <w:pPr>
        <w:ind w:left="5580" w:right="5560" w:hanging="5572"/>
        <w:spacing w:after="0" w:line="490" w:lineRule="auto"/>
        <w:tabs>
          <w:tab w:leader="none" w:pos="460" w:val="left"/>
        </w:tabs>
        <w:numPr>
          <w:ilvl w:val="0"/>
          <w:numId w:val="301"/>
        </w:numPr>
        <w:rPr>
          <w:rFonts w:ascii="Arial" w:cs="Arial" w:eastAsia="Arial" w:hAnsi="Arial"/>
          <w:sz w:val="14"/>
          <w:szCs w:val="14"/>
          <w:color w:val="auto"/>
        </w:rPr>
      </w:pPr>
      <w:r>
        <w:rPr>
          <w:rFonts w:ascii="Arial" w:cs="Arial" w:eastAsia="Arial" w:hAnsi="Arial"/>
          <w:sz w:val="17"/>
          <w:szCs w:val="17"/>
          <w:color w:val="auto"/>
        </w:rPr>
        <w:t>Insert in an Assignment and Acceptance if Borrower consent is required D-4</w:t>
      </w:r>
    </w:p>
    <w:p>
      <w:pPr>
        <w:sectPr>
          <w:pgSz w:w="11900" w:h="16838" w:orient="portrait"/>
          <w:cols w:equalWidth="0" w:num="1">
            <w:col w:w="11420"/>
          </w:cols>
          <w:pgMar w:left="240" w:top="274" w:right="2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APPRAISAL FIRMS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G. Edwards &amp; Sons,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CIBC World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Research &amp; Trading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Dabney Flannigan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Bay,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Dresdner Kleinwort Wasserstein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Duff &amp; Phelps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Houlihan Lokey Howard &amp; Zukin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&amp;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KPMG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Lazard Freres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Lincoln Partners Advisors, an affiliate of Lincoln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Raymond James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Blackstone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0"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RETENTION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SL SPV, LLC, as Borrower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850 Library Avenue, Suite 204-F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Delaware 19711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Natixis, New York Branch, as Facility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Yazmin Vasconez</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Versailles Assets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Global Securitization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68 South Service Road, Suite 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Melville, NY 11747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Bernard J. Angelo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other Affected Lender]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 Retention of Net Economic Interest</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This letter is being delivered in connection with the Amended and Restated Revolving Credit and Security Agreement dated as of January 21, 2014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TPG SL SPV, LLC,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the financial institutions referred to as “Lenders” in the Credit Agreement, State Street Bank and Trust Company, in its capacity as Collateral Agent, and Natixis, New York Branch, as Facility Agent. Pursuant to the terms of the Credit Agreement, TPG Specialty Lending, Inc. (the “</w:t>
      </w:r>
      <w:r>
        <w:rPr>
          <w:rFonts w:ascii="Arial" w:cs="Arial" w:eastAsia="Arial" w:hAnsi="Arial"/>
          <w:sz w:val="17"/>
          <w:szCs w:val="17"/>
          <w:u w:val="single" w:color="auto"/>
          <w:color w:val="auto"/>
        </w:rPr>
        <w:t>BDC</w:t>
      </w:r>
      <w:r>
        <w:rPr>
          <w:rFonts w:ascii="Arial" w:cs="Arial" w:eastAsia="Arial" w:hAnsi="Arial"/>
          <w:sz w:val="17"/>
          <w:szCs w:val="17"/>
          <w:color w:val="auto"/>
        </w:rPr>
        <w:t>”) will act as retention provider for the purposes of the Retention Requirement Laws. All capitalised terms used but not defined herein have the respective meanings given to such terms in the Credit Agreement.</w:t>
      </w:r>
    </w:p>
    <w:p>
      <w:pPr>
        <w:spacing w:after="0" w:line="173"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It is acknowledged that clauses (f) and (g) of the definition of “Eligibility Criteria” in the Credit Agreement contain requirements to the effect that the Borrower may not purchase Collateral Obligations from parties other than the BDC unless the BDC was at the Closing Date, and remains, the originator of over 50% of the Collateral Obligations sold or transferred to the Borrower.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0" w:right="239" w:bottom="1440" w:gutter="0" w:footer="0" w:header="0"/>
        </w:sectPr>
      </w:pPr>
    </w:p>
    <w:bookmarkStart w:id="300" w:name="page301"/>
    <w:bookmarkEnd w:id="300"/>
    <w:p>
      <w:pPr>
        <w:ind w:left="452" w:right="640" w:hanging="452"/>
        <w:spacing w:after="0" w:line="277" w:lineRule="auto"/>
        <w:tabs>
          <w:tab w:leader="none" w:pos="452" w:val="left"/>
        </w:tabs>
        <w:numPr>
          <w:ilvl w:val="0"/>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BDC hereby agrees and confirms for the benefit of each Affected Lender and the Facility Agent for so long as the Advances and any other Obligations remain outstanding and any Retention Requirement Law so requires:</w:t>
      </w:r>
    </w:p>
    <w:p>
      <w:pPr>
        <w:spacing w:after="0" w:line="75" w:lineRule="exact"/>
        <w:rPr>
          <w:rFonts w:ascii="Arial" w:cs="Arial" w:eastAsia="Arial" w:hAnsi="Arial"/>
          <w:sz w:val="18"/>
          <w:szCs w:val="18"/>
          <w:color w:val="auto"/>
        </w:rPr>
      </w:pPr>
    </w:p>
    <w:p>
      <w:pPr>
        <w:ind w:left="892" w:hanging="446"/>
        <w:spacing w:after="0" w:line="302" w:lineRule="auto"/>
        <w:tabs>
          <w:tab w:leader="none" w:pos="892" w:val="left"/>
        </w:tabs>
        <w:numPr>
          <w:ilvl w:val="1"/>
          <w:numId w:val="302"/>
        </w:numPr>
        <w:rPr>
          <w:rFonts w:ascii="Arial" w:cs="Arial" w:eastAsia="Arial" w:hAnsi="Arial"/>
          <w:sz w:val="16"/>
          <w:szCs w:val="16"/>
          <w:color w:val="auto"/>
        </w:rPr>
      </w:pPr>
      <w:r>
        <w:rPr>
          <w:rFonts w:ascii="Arial" w:cs="Arial" w:eastAsia="Arial" w:hAnsi="Arial"/>
          <w:sz w:val="16"/>
          <w:szCs w:val="16"/>
          <w:color w:val="auto"/>
        </w:rPr>
        <w:t>at all times since the Closing Date, as an originator, it has retained and will retain, on an ongoing basis, a material net economic interest in the securitisation position constituted by the Credit Agreement which, in any event, shall not be less than 5% (or such lower amount, including 0%, if such lower amount is required or allowed under the Retention Requirement Laws as a result of amendment, repeal or otherwise) of the nominal value of (i) the Collateral Obligations and (ii) Eligible Investments that are acquired from Principal Proceeds (the “</w:t>
      </w:r>
      <w:r>
        <w:rPr>
          <w:rFonts w:ascii="Arial" w:cs="Arial" w:eastAsia="Arial" w:hAnsi="Arial"/>
          <w:sz w:val="16"/>
          <w:szCs w:val="16"/>
          <w:u w:val="single" w:color="auto"/>
          <w:color w:val="auto"/>
        </w:rPr>
        <w:t>Retention Requirement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892" w:right="20" w:hanging="446"/>
        <w:spacing w:after="0" w:line="312" w:lineRule="auto"/>
        <w:tabs>
          <w:tab w:leader="none" w:pos="892" w:val="left"/>
        </w:tabs>
        <w:numPr>
          <w:ilvl w:val="1"/>
          <w:numId w:val="302"/>
        </w:numPr>
        <w:rPr>
          <w:rFonts w:ascii="Arial" w:cs="Arial" w:eastAsia="Arial" w:hAnsi="Arial"/>
          <w:sz w:val="16"/>
          <w:szCs w:val="16"/>
          <w:color w:val="auto"/>
        </w:rPr>
      </w:pPr>
      <w:r>
        <w:rPr>
          <w:rFonts w:ascii="Arial" w:cs="Arial" w:eastAsia="Arial" w:hAnsi="Arial"/>
          <w:sz w:val="16"/>
          <w:szCs w:val="16"/>
          <w:color w:val="auto"/>
        </w:rPr>
        <w:t>it will meet its obligations in respect of the Retention Requirement by retaining, pursuant to Article 405(1)(d) of the CRR, the first loss tranche in the form of its membership interest in the Borrower under the Borrower LLC Agreement, in a nominal amount no less than 5% of the nominal value of (i) the Collateral Obligations and (ii) Eligible Investments that are acquired from Principal Proceeds (the “</w:t>
      </w:r>
      <w:r>
        <w:rPr>
          <w:rFonts w:ascii="Arial" w:cs="Arial" w:eastAsia="Arial" w:hAnsi="Arial"/>
          <w:sz w:val="16"/>
          <w:szCs w:val="16"/>
          <w:u w:val="single" w:color="auto"/>
          <w:color w:val="auto"/>
        </w:rPr>
        <w:t>Retained Interest</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892" w:right="200" w:hanging="446"/>
        <w:spacing w:after="0" w:line="257" w:lineRule="auto"/>
        <w:tabs>
          <w:tab w:leader="none" w:pos="89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that its retention of the Retained Interest will be measured at origination (being the occasion of each commitment to originate or acquire a Collateral Obligation by the Borrower) on the basis of the nominal value (without taking account of acquisition prices) and shall be maintained on an ongoing basis (and, for the purposes of paragraphs (a) and (b) above, the Retention Requirement may be re-calculated whenever the nominal value of the Collateral Obligations and/or Eligible Investments is reduced by means of prepayments, repayments, dispositions or otherwise);</w:t>
      </w:r>
    </w:p>
    <w:p>
      <w:pPr>
        <w:spacing w:after="0" w:line="93" w:lineRule="exact"/>
        <w:rPr>
          <w:rFonts w:ascii="Arial" w:cs="Arial" w:eastAsia="Arial" w:hAnsi="Arial"/>
          <w:sz w:val="18"/>
          <w:szCs w:val="18"/>
          <w:color w:val="auto"/>
        </w:rPr>
      </w:pPr>
    </w:p>
    <w:p>
      <w:pPr>
        <w:ind w:left="892" w:right="400" w:hanging="446"/>
        <w:spacing w:after="0" w:line="277" w:lineRule="auto"/>
        <w:tabs>
          <w:tab w:leader="none" w:pos="89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that its Retained Interest shall not be subject to any credit risk mitigation or any short positions or any other hedge in respect of a credit risk, unless expressly permitted by the Retention Requirement Laws and shall not be sold;</w:t>
      </w:r>
    </w:p>
    <w:p>
      <w:pPr>
        <w:spacing w:after="0" w:line="75" w:lineRule="exact"/>
        <w:rPr>
          <w:rFonts w:ascii="Arial" w:cs="Arial" w:eastAsia="Arial" w:hAnsi="Arial"/>
          <w:sz w:val="18"/>
          <w:szCs w:val="18"/>
          <w:color w:val="auto"/>
        </w:rPr>
      </w:pPr>
    </w:p>
    <w:p>
      <w:pPr>
        <w:ind w:left="892" w:right="560" w:hanging="446"/>
        <w:spacing w:after="0" w:line="277" w:lineRule="auto"/>
        <w:tabs>
          <w:tab w:leader="none" w:pos="89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in relation to every Collateral Obligation and Eligible Investment (other than cash or those acquired from Interest Proceeds) that it sells or transfers to the Borrower:</w:t>
      </w:r>
    </w:p>
    <w:p>
      <w:pPr>
        <w:spacing w:after="0" w:line="75" w:lineRule="exact"/>
        <w:rPr>
          <w:rFonts w:ascii="Arial" w:cs="Arial" w:eastAsia="Arial" w:hAnsi="Arial"/>
          <w:sz w:val="18"/>
          <w:szCs w:val="18"/>
          <w:color w:val="auto"/>
        </w:rPr>
      </w:pPr>
    </w:p>
    <w:p>
      <w:pPr>
        <w:ind w:left="1912" w:right="220" w:hanging="440"/>
        <w:spacing w:after="0" w:line="277" w:lineRule="auto"/>
        <w:tabs>
          <w:tab w:leader="none" w:pos="1912" w:val="left"/>
        </w:tabs>
        <w:numPr>
          <w:ilvl w:val="2"/>
          <w:numId w:val="302"/>
        </w:numPr>
        <w:rPr>
          <w:rFonts w:ascii="Arial" w:cs="Arial" w:eastAsia="Arial" w:hAnsi="Arial"/>
          <w:sz w:val="18"/>
          <w:szCs w:val="18"/>
          <w:color w:val="auto"/>
        </w:rPr>
      </w:pPr>
      <w:r>
        <w:rPr>
          <w:rFonts w:ascii="Arial" w:cs="Arial" w:eastAsia="Arial" w:hAnsi="Arial"/>
          <w:sz w:val="18"/>
          <w:szCs w:val="18"/>
          <w:color w:val="auto"/>
        </w:rPr>
        <w:t>that it, either itself or through related entities (including the Borrower), directly or indirectly, was involved or will be involved in the original agreement which created or will create such obligation; or</w:t>
      </w:r>
    </w:p>
    <w:p>
      <w:pPr>
        <w:spacing w:after="0" w:line="75" w:lineRule="exact"/>
        <w:rPr>
          <w:rFonts w:ascii="Arial" w:cs="Arial" w:eastAsia="Arial" w:hAnsi="Arial"/>
          <w:sz w:val="18"/>
          <w:szCs w:val="18"/>
          <w:color w:val="auto"/>
        </w:rPr>
      </w:pPr>
    </w:p>
    <w:p>
      <w:pPr>
        <w:ind w:left="1912" w:right="580" w:hanging="440"/>
        <w:spacing w:after="0" w:line="277" w:lineRule="auto"/>
        <w:tabs>
          <w:tab w:leader="none" w:pos="1912" w:val="left"/>
        </w:tabs>
        <w:numPr>
          <w:ilvl w:val="2"/>
          <w:numId w:val="302"/>
        </w:numPr>
        <w:rPr>
          <w:rFonts w:ascii="Arial" w:cs="Arial" w:eastAsia="Arial" w:hAnsi="Arial"/>
          <w:sz w:val="18"/>
          <w:szCs w:val="18"/>
          <w:color w:val="auto"/>
        </w:rPr>
      </w:pPr>
      <w:r>
        <w:rPr>
          <w:rFonts w:ascii="Arial" w:cs="Arial" w:eastAsia="Arial" w:hAnsi="Arial"/>
          <w:sz w:val="18"/>
          <w:szCs w:val="18"/>
          <w:color w:val="auto"/>
        </w:rPr>
        <w:t>that it purchased or will purchase such Collateral Obligation or Eligible Investment for its own account prior to selling such obligation to the Borrower;</w:t>
      </w:r>
    </w:p>
    <w:p>
      <w:pPr>
        <w:spacing w:after="0" w:line="75" w:lineRule="exact"/>
        <w:rPr>
          <w:rFonts w:ascii="Arial" w:cs="Arial" w:eastAsia="Arial" w:hAnsi="Arial"/>
          <w:sz w:val="18"/>
          <w:szCs w:val="18"/>
          <w:color w:val="auto"/>
        </w:rPr>
      </w:pPr>
    </w:p>
    <w:p>
      <w:pPr>
        <w:ind w:left="892" w:right="260" w:hanging="446"/>
        <w:spacing w:after="0" w:line="277" w:lineRule="auto"/>
        <w:tabs>
          <w:tab w:leader="none" w:pos="89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save for as set out in paragraph (g) below, in relation to every Collateral Obligation sold or transferred to the Borrower, it shall apply the same sound and well-defined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92"/>
          </w:cols>
          <w:pgMar w:left="248" w:top="274" w:right="259" w:bottom="1440" w:gutter="0" w:footer="0" w:header="0"/>
        </w:sectPr>
      </w:pPr>
    </w:p>
    <w:bookmarkStart w:id="301" w:name="page302"/>
    <w:bookmarkEnd w:id="301"/>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criteria for credit-granting to such Collateral Obligations as it does to obligations to be held on its own books;</w:t>
      </w:r>
    </w:p>
    <w:p>
      <w:pPr>
        <w:spacing w:after="0" w:line="131" w:lineRule="exact"/>
        <w:rPr>
          <w:sz w:val="20"/>
          <w:szCs w:val="20"/>
          <w:color w:val="auto"/>
        </w:rPr>
      </w:pPr>
    </w:p>
    <w:p>
      <w:pPr>
        <w:ind w:left="892" w:hanging="446"/>
        <w:spacing w:after="0"/>
        <w:tabs>
          <w:tab w:leader="none" w:pos="89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in relation to every Collateral Obligation sold or transferred to the Borrower in respect of which the BDC:</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1"/>
          <w:numId w:val="303"/>
        </w:numPr>
        <w:rPr>
          <w:rFonts w:ascii="Arial" w:cs="Arial" w:eastAsia="Arial" w:hAnsi="Arial"/>
          <w:sz w:val="18"/>
          <w:szCs w:val="18"/>
          <w:color w:val="auto"/>
        </w:rPr>
      </w:pPr>
      <w:r>
        <w:rPr>
          <w:rFonts w:ascii="Arial" w:cs="Arial" w:eastAsia="Arial" w:hAnsi="Arial"/>
          <w:sz w:val="18"/>
          <w:szCs w:val="18"/>
          <w:color w:val="auto"/>
        </w:rPr>
        <w:t>has not undertaken the original credit-granting of such Collateral Obligations being securitised; or</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is not active in credit-granting the specific types of obligation that constitute such Collateral Obligations,</w:t>
      </w:r>
    </w:p>
    <w:p>
      <w:pPr>
        <w:spacing w:after="0" w:line="117" w:lineRule="exact"/>
        <w:rPr>
          <w:sz w:val="20"/>
          <w:szCs w:val="20"/>
          <w:color w:val="auto"/>
        </w:rPr>
      </w:pPr>
    </w:p>
    <w:p>
      <w:pPr>
        <w:ind w:left="912" w:right="140"/>
        <w:spacing w:after="0" w:line="264" w:lineRule="auto"/>
        <w:rPr>
          <w:sz w:val="20"/>
          <w:szCs w:val="20"/>
          <w:color w:val="auto"/>
        </w:rPr>
      </w:pPr>
      <w:r>
        <w:rPr>
          <w:rFonts w:ascii="Arial" w:cs="Arial" w:eastAsia="Arial" w:hAnsi="Arial"/>
          <w:sz w:val="18"/>
          <w:szCs w:val="18"/>
          <w:color w:val="auto"/>
        </w:rPr>
        <w:t xml:space="preserve">it shall ensure that it obtains all the necessary information to assess whether the criteria applied in the credit-granting for such obligations are as sound and well-defined as the criteria applied by it to non-securitised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obligations in this paragraph (g) shall be construed in accordance with the Servicing Standard;</w:t>
      </w:r>
    </w:p>
    <w:p>
      <w:pPr>
        <w:spacing w:after="0" w:line="87" w:lineRule="exact"/>
        <w:rPr>
          <w:sz w:val="20"/>
          <w:szCs w:val="20"/>
          <w:color w:val="auto"/>
        </w:rPr>
      </w:pPr>
    </w:p>
    <w:p>
      <w:pPr>
        <w:ind w:left="892" w:right="180" w:hanging="446"/>
        <w:spacing w:after="0" w:line="286" w:lineRule="auto"/>
        <w:tabs>
          <w:tab w:leader="none" w:pos="892" w:val="left"/>
        </w:tabs>
        <w:numPr>
          <w:ilvl w:val="1"/>
          <w:numId w:val="304"/>
        </w:numPr>
        <w:rPr>
          <w:rFonts w:ascii="Arial" w:cs="Arial" w:eastAsia="Arial" w:hAnsi="Arial"/>
          <w:sz w:val="17"/>
          <w:szCs w:val="17"/>
          <w:color w:val="auto"/>
        </w:rPr>
      </w:pPr>
      <w:r>
        <w:rPr>
          <w:rFonts w:ascii="Arial" w:cs="Arial" w:eastAsia="Arial" w:hAnsi="Arial"/>
          <w:sz w:val="17"/>
          <w:szCs w:val="17"/>
          <w:color w:val="auto"/>
        </w:rPr>
        <w:t>that it will invest in and hold loans, securities and other investments, excluding loans that will be sold to the Borrower, with a fair value of not less than 20% of the total net asset value of the BDC (it being understood that, for this purpose, such percentage will be determined based upon the purchase price of each such investment and that the valuation of assets will fluctuate over time); and</w:t>
      </w:r>
    </w:p>
    <w:p>
      <w:pPr>
        <w:spacing w:after="0" w:line="70" w:lineRule="exact"/>
        <w:rPr>
          <w:rFonts w:ascii="Arial" w:cs="Arial" w:eastAsia="Arial" w:hAnsi="Arial"/>
          <w:sz w:val="17"/>
          <w:szCs w:val="17"/>
          <w:color w:val="auto"/>
        </w:rPr>
      </w:pPr>
    </w:p>
    <w:p>
      <w:pPr>
        <w:ind w:left="892" w:hanging="446"/>
        <w:spacing w:after="0" w:line="259" w:lineRule="auto"/>
        <w:tabs>
          <w:tab w:leader="none" w:pos="89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in respect of any Collateral Obligation or Eligible Investment acquired by the Borrower in respect of which the BDC is, or intends to be, the originator, and for which any transaction intermediated, arranged and underwritten by it in which a Collateral Obligation or Eligible Investment is settled directly with the Borrower or with respect to any Collateral Obligation or Eligible Investment acquired by the Borrower in a transaction where the Borrower is its designee, it:</w:t>
      </w:r>
    </w:p>
    <w:p>
      <w:pPr>
        <w:spacing w:after="0" w:line="92" w:lineRule="exact"/>
        <w:rPr>
          <w:rFonts w:ascii="Arial" w:cs="Arial" w:eastAsia="Arial" w:hAnsi="Arial"/>
          <w:sz w:val="18"/>
          <w:szCs w:val="18"/>
          <w:color w:val="auto"/>
        </w:rPr>
      </w:pPr>
    </w:p>
    <w:p>
      <w:pPr>
        <w:ind w:left="1912" w:right="20" w:hanging="440"/>
        <w:spacing w:after="0" w:line="308" w:lineRule="auto"/>
        <w:tabs>
          <w:tab w:leader="none" w:pos="1912" w:val="left"/>
        </w:tabs>
        <w:numPr>
          <w:ilvl w:val="2"/>
          <w:numId w:val="304"/>
        </w:numPr>
        <w:rPr>
          <w:rFonts w:ascii="Arial" w:cs="Arial" w:eastAsia="Arial" w:hAnsi="Arial"/>
          <w:sz w:val="17"/>
          <w:szCs w:val="17"/>
          <w:color w:val="auto"/>
        </w:rPr>
      </w:pPr>
      <w:r>
        <w:rPr>
          <w:rFonts w:ascii="Arial" w:cs="Arial" w:eastAsia="Arial" w:hAnsi="Arial"/>
          <w:sz w:val="17"/>
          <w:szCs w:val="17"/>
          <w:color w:val="auto"/>
        </w:rPr>
        <w:t>shall, pursuant to Section 2.01(g) of the Master Transfer Agreement, have held a beneficial interest in such Collateral Obligation or Eligible Investment for a period of two Business Days before such settlement or acquisition by the Borrower; and</w:t>
      </w:r>
    </w:p>
    <w:p>
      <w:pPr>
        <w:spacing w:after="0" w:line="51" w:lineRule="exact"/>
        <w:rPr>
          <w:rFonts w:ascii="Arial" w:cs="Arial" w:eastAsia="Arial" w:hAnsi="Arial"/>
          <w:sz w:val="17"/>
          <w:szCs w:val="17"/>
          <w:color w:val="auto"/>
        </w:rPr>
      </w:pPr>
    </w:p>
    <w:p>
      <w:pPr>
        <w:ind w:left="1912" w:right="80" w:hanging="440"/>
        <w:spacing w:after="0" w:line="277" w:lineRule="auto"/>
        <w:tabs>
          <w:tab w:leader="none" w:pos="1912" w:val="left"/>
        </w:tabs>
        <w:numPr>
          <w:ilvl w:val="2"/>
          <w:numId w:val="304"/>
        </w:numPr>
        <w:rPr>
          <w:rFonts w:ascii="Arial" w:cs="Arial" w:eastAsia="Arial" w:hAnsi="Arial"/>
          <w:sz w:val="18"/>
          <w:szCs w:val="18"/>
          <w:color w:val="auto"/>
        </w:rPr>
      </w:pPr>
      <w:r>
        <w:rPr>
          <w:rFonts w:ascii="Arial" w:cs="Arial" w:eastAsia="Arial" w:hAnsi="Arial"/>
          <w:sz w:val="18"/>
          <w:szCs w:val="18"/>
          <w:color w:val="auto"/>
        </w:rPr>
        <w:t>shall sell and transfer such Collateral Obligation or Eligible Investment to the Borrower in accordance with the terms of the Credit Agreement.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BDC additionally agrees: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that it will confirm its continued compliance with the requirements set forth in paragraph 1:</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92"/>
          </w:cols>
          <w:pgMar w:left="248" w:top="274" w:right="259" w:bottom="1440" w:gutter="0" w:footer="0" w:header="0"/>
        </w:sectPr>
      </w:pPr>
    </w:p>
    <w:bookmarkStart w:id="302" w:name="page303"/>
    <w:bookmarkEnd w:id="302"/>
    <w:p>
      <w:pPr>
        <w:ind w:left="1912" w:hanging="440"/>
        <w:spacing w:after="0" w:line="277" w:lineRule="auto"/>
        <w:tabs>
          <w:tab w:leader="none" w:pos="1912" w:val="left"/>
        </w:tabs>
        <w:numPr>
          <w:ilvl w:val="2"/>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 monthly basis to the Borrower and the Facility Agent pursuant to Section 5.01(d)(viii)(A) of the Credit Agreement (concurrent with the delivery of each Monthly Report); and</w:t>
      </w:r>
    </w:p>
    <w:p>
      <w:pPr>
        <w:spacing w:after="0" w:line="75" w:lineRule="exact"/>
        <w:rPr>
          <w:rFonts w:ascii="Arial" w:cs="Arial" w:eastAsia="Arial" w:hAnsi="Arial"/>
          <w:sz w:val="18"/>
          <w:szCs w:val="18"/>
          <w:color w:val="auto"/>
        </w:rPr>
      </w:pPr>
    </w:p>
    <w:p>
      <w:pPr>
        <w:ind w:left="1912" w:right="40" w:hanging="440"/>
        <w:spacing w:after="0" w:line="259" w:lineRule="auto"/>
        <w:tabs>
          <w:tab w:leader="none" w:pos="1912" w:val="left"/>
        </w:tabs>
        <w:numPr>
          <w:ilvl w:val="2"/>
          <w:numId w:val="306"/>
        </w:numPr>
        <w:rPr>
          <w:rFonts w:ascii="Arial" w:cs="Arial" w:eastAsia="Arial" w:hAnsi="Arial"/>
          <w:sz w:val="18"/>
          <w:szCs w:val="18"/>
          <w:color w:val="auto"/>
        </w:rPr>
      </w:pPr>
      <w:r>
        <w:rPr>
          <w:rFonts w:ascii="Arial" w:cs="Arial" w:eastAsia="Arial" w:hAnsi="Arial"/>
          <w:sz w:val="18"/>
          <w:szCs w:val="18"/>
          <w:color w:val="auto"/>
        </w:rPr>
        <w:t>upon any written request therefor by or on behalf of the Borrower or any Affected Lender delivered as a result of (1) a material change in (x) the performance of the Advances, (y) the risk characteristics of the transaction, or (z) the Collateral Obligations and/or the Eligible Investments from time to time, or (2) the breach of this Retention Letter or any Facility Document to which it is a party, pursuant to Section 5.01(d)(viii)(B) of the Credit Agreement;</w:t>
      </w:r>
    </w:p>
    <w:p>
      <w:pPr>
        <w:spacing w:after="0" w:line="92" w:lineRule="exact"/>
        <w:rPr>
          <w:rFonts w:ascii="Arial" w:cs="Arial" w:eastAsia="Arial" w:hAnsi="Arial"/>
          <w:sz w:val="18"/>
          <w:szCs w:val="18"/>
          <w:color w:val="auto"/>
        </w:rPr>
      </w:pPr>
    </w:p>
    <w:p>
      <w:pPr>
        <w:ind w:left="892" w:right="20" w:hanging="446"/>
        <w:spacing w:after="0" w:line="291" w:lineRule="auto"/>
        <w:tabs>
          <w:tab w:leader="none" w:pos="892"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that it will, promptly following a request by the Borrower, provide a refreshed letter in substantially the form hereof in connection with a material amendment of any Facility Document, where the Borrower has received a request for the same from an Affected Lender pursuant to</w:t>
      </w:r>
    </w:p>
    <w:p>
      <w:pPr>
        <w:ind w:left="892"/>
        <w:spacing w:after="0"/>
        <w:rPr>
          <w:rFonts w:ascii="Arial" w:cs="Arial" w:eastAsia="Arial" w:hAnsi="Arial"/>
          <w:sz w:val="16"/>
          <w:szCs w:val="16"/>
          <w:color w:val="auto"/>
        </w:rPr>
      </w:pPr>
      <w:r>
        <w:rPr>
          <w:rFonts w:ascii="Arial" w:cs="Arial" w:eastAsia="Arial" w:hAnsi="Arial"/>
          <w:sz w:val="18"/>
          <w:szCs w:val="18"/>
          <w:color w:val="auto"/>
        </w:rPr>
        <w:t>Section 5.01(d)(viii)(C) of the Credit Agreement;</w:t>
      </w:r>
    </w:p>
    <w:p>
      <w:pPr>
        <w:spacing w:after="0" w:line="116" w:lineRule="exact"/>
        <w:rPr>
          <w:rFonts w:ascii="Arial" w:cs="Arial" w:eastAsia="Arial" w:hAnsi="Arial"/>
          <w:sz w:val="16"/>
          <w:szCs w:val="16"/>
          <w:color w:val="auto"/>
        </w:rPr>
      </w:pPr>
    </w:p>
    <w:p>
      <w:pPr>
        <w:ind w:left="892" w:right="20" w:hanging="446"/>
        <w:spacing w:after="0" w:line="277" w:lineRule="auto"/>
        <w:tabs>
          <w:tab w:leader="none" w:pos="89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that it will, promptly on becoming aware of the occurrence thereof, provide a written notice of any failure to satisfy the Retention Requirement at any time pursuant to Section 5.01(d)(viii)(D) of the Credit Agreement; and</w:t>
      </w:r>
    </w:p>
    <w:p>
      <w:pPr>
        <w:spacing w:after="0" w:line="75" w:lineRule="exact"/>
        <w:rPr>
          <w:rFonts w:ascii="Arial" w:cs="Arial" w:eastAsia="Arial" w:hAnsi="Arial"/>
          <w:sz w:val="18"/>
          <w:szCs w:val="18"/>
          <w:color w:val="auto"/>
        </w:rPr>
      </w:pPr>
    </w:p>
    <w:p>
      <w:pPr>
        <w:ind w:left="892" w:hanging="446"/>
        <w:spacing w:after="0" w:line="297" w:lineRule="auto"/>
        <w:tabs>
          <w:tab w:leader="none" w:pos="892"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that it will take such further actions and provide such information as may be reasonably requested by any Affected Lender or the Facility Agent so as to ensure compliance with the provisions of the Retention Requirement Laws, so long as any such Affected Lender or the Facility Agent, as applicable, agrees to keep confidential such information provided to it by the BDC in accordance with the terms and conditions of Section 12.09 of the Credit Agreement, provided that any such Affected Lender or the Facility Agent may share such information with any Authority (including any bank regulatory agency) as may be necessary to ensure compliance with the provisions of the Retention Requirement Laws.</w:t>
      </w:r>
    </w:p>
    <w:p>
      <w:pPr>
        <w:spacing w:after="0" w:line="63" w:lineRule="exact"/>
        <w:rPr>
          <w:rFonts w:ascii="Arial" w:cs="Arial" w:eastAsia="Arial" w:hAnsi="Arial"/>
          <w:sz w:val="16"/>
          <w:szCs w:val="16"/>
          <w:color w:val="auto"/>
        </w:rPr>
      </w:pPr>
    </w:p>
    <w:p>
      <w:pPr>
        <w:ind w:left="452" w:hanging="452"/>
        <w:spacing w:after="0"/>
        <w:tabs>
          <w:tab w:leader="none" w:pos="45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BDC additionally confirms:</w:t>
      </w:r>
    </w:p>
    <w:p>
      <w:pPr>
        <w:spacing w:after="0" w:line="130" w:lineRule="exact"/>
        <w:rPr>
          <w:rFonts w:ascii="Arial" w:cs="Arial" w:eastAsia="Arial" w:hAnsi="Arial"/>
          <w:sz w:val="18"/>
          <w:szCs w:val="18"/>
          <w:color w:val="auto"/>
        </w:rPr>
      </w:pPr>
    </w:p>
    <w:p>
      <w:pPr>
        <w:ind w:left="892" w:right="80" w:hanging="446"/>
        <w:spacing w:after="0" w:line="342" w:lineRule="auto"/>
        <w:tabs>
          <w:tab w:leader="none" w:pos="892" w:val="left"/>
        </w:tabs>
        <w:numPr>
          <w:ilvl w:val="1"/>
          <w:numId w:val="308"/>
        </w:numPr>
        <w:rPr>
          <w:rFonts w:ascii="Arial" w:cs="Arial" w:eastAsia="Arial" w:hAnsi="Arial"/>
          <w:sz w:val="16"/>
          <w:szCs w:val="16"/>
          <w:color w:val="auto"/>
        </w:rPr>
      </w:pPr>
      <w:r>
        <w:rPr>
          <w:rFonts w:ascii="Arial" w:cs="Arial" w:eastAsia="Arial" w:hAnsi="Arial"/>
          <w:sz w:val="16"/>
          <w:szCs w:val="16"/>
          <w:color w:val="auto"/>
        </w:rPr>
        <w:t>that it does have, and will continue to have, a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 majority of which will consist of directors who are not “interested persons” (as defined in the Investment Company Act) of the BDC, of the BDC’s investment adviser or any of its respective affiliates;</w:t>
      </w:r>
    </w:p>
    <w:p>
      <w:pPr>
        <w:spacing w:after="0" w:line="29" w:lineRule="exact"/>
        <w:rPr>
          <w:rFonts w:ascii="Arial" w:cs="Arial" w:eastAsia="Arial" w:hAnsi="Arial"/>
          <w:sz w:val="16"/>
          <w:szCs w:val="16"/>
          <w:color w:val="auto"/>
        </w:rPr>
      </w:pPr>
    </w:p>
    <w:p>
      <w:pPr>
        <w:ind w:left="892" w:hanging="446"/>
        <w:spacing w:after="0"/>
        <w:tabs>
          <w:tab w:leader="none" w:pos="89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that it has received copies of the following documents:</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2"/>
          <w:numId w:val="308"/>
        </w:numPr>
        <w:rPr>
          <w:rFonts w:ascii="Arial" w:cs="Arial" w:eastAsia="Arial" w:hAnsi="Arial"/>
          <w:sz w:val="18"/>
          <w:szCs w:val="18"/>
          <w:color w:val="auto"/>
        </w:rPr>
      </w:pPr>
      <w:r>
        <w:rPr>
          <w:rFonts w:ascii="Arial" w:cs="Arial" w:eastAsia="Arial" w:hAnsi="Arial"/>
          <w:sz w:val="18"/>
          <w:szCs w:val="18"/>
          <w:color w:val="auto"/>
        </w:rPr>
        <w:t>the Amended and Restated Credit Agreement dated as of January 21, 2014;</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2"/>
          <w:numId w:val="308"/>
        </w:numPr>
        <w:rPr>
          <w:rFonts w:ascii="Arial" w:cs="Arial" w:eastAsia="Arial" w:hAnsi="Arial"/>
          <w:sz w:val="18"/>
          <w:szCs w:val="18"/>
          <w:color w:val="auto"/>
        </w:rPr>
      </w:pPr>
      <w:r>
        <w:rPr>
          <w:rFonts w:ascii="Arial" w:cs="Arial" w:eastAsia="Arial" w:hAnsi="Arial"/>
          <w:sz w:val="18"/>
          <w:szCs w:val="18"/>
          <w:color w:val="auto"/>
        </w:rPr>
        <w:t>the Investment Management Agreement dated as of May 8, 2012;</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2"/>
          <w:numId w:val="308"/>
        </w:numPr>
        <w:rPr>
          <w:rFonts w:ascii="Arial" w:cs="Arial" w:eastAsia="Arial" w:hAnsi="Arial"/>
          <w:sz w:val="18"/>
          <w:szCs w:val="18"/>
          <w:color w:val="auto"/>
        </w:rPr>
      </w:pPr>
      <w:r>
        <w:rPr>
          <w:rFonts w:ascii="Arial" w:cs="Arial" w:eastAsia="Arial" w:hAnsi="Arial"/>
          <w:sz w:val="18"/>
          <w:szCs w:val="18"/>
          <w:color w:val="auto"/>
        </w:rPr>
        <w:t>the Amended and Restated Master Transfer Agreement dated as of January 21, 2014; and</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92"/>
          </w:cols>
          <w:pgMar w:left="248" w:top="274" w:right="259" w:bottom="1440" w:gutter="0" w:footer="0" w:header="0"/>
        </w:sectPr>
      </w:pPr>
    </w:p>
    <w:bookmarkStart w:id="303" w:name="page304"/>
    <w:bookmarkEnd w:id="303"/>
    <w:p>
      <w:pPr>
        <w:ind w:left="1920" w:hanging="440"/>
        <w:spacing w:after="0"/>
        <w:tabs>
          <w:tab w:leader="none" w:pos="1920" w:val="left"/>
        </w:tabs>
        <w:numPr>
          <w:ilvl w:val="2"/>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initial target portfolio, represented by either a list of potential credits or set of criteria prescribing attributes thereof;</w:t>
      </w:r>
    </w:p>
    <w:p>
      <w:pPr>
        <w:spacing w:after="0" w:line="130"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on January 17, 2014, the Board executed the written consent that is attached as Annex A hereto in which, among other things, the Board deemed it in the best interests of the BDC to enter into a risk retention letter relating to the retention of the net economic interest in certain assigned assets by the BDC;</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that it understands that it is holding the Retained Interest and acting as a retention provider in order for the transactions described in the Credit Agreement to comply with the Retention Requirement Laws; and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that none of the Borrower, the Lenders, the Collateral Agent, the Facility Agent or any of their Affiliates has given the BDC (directly or indirectly through any other person) any assurance, guarantee or representation whatsoever as to the expected or projected success, profitability, return, performance, result, effect, consequence or benefit of holding the Retained Interest and it is not relying on the Borrower, the Lenders, the Collateral Agent, the Facility Agent or any of their Affiliates for any financial, tax, legal, accounting or regulatory advice in connection with the terms of and its holding of the Retained Interest.</w:t>
      </w:r>
    </w:p>
    <w:p>
      <w:pPr>
        <w:spacing w:after="0" w:line="93"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This letter may not be amended or any provision hereof waived, supplemented, repudiated or modified except by an instrument in writing signed by the BDC and consented to in writing by the Facility Agent and each Affected Lender.</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used in this letter, the terms “material net economic interest”, “originator”, “securitisation position”, “ongoing basis”, “nominal value”,</w:t>
      </w:r>
    </w:p>
    <w:p>
      <w:pPr>
        <w:spacing w:after="0" w:line="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“established”, “managing”, “for its own account” and “related entities” shall have the meanings given thereto in the Retention Requirement Laws. “</w:t>
      </w:r>
      <w:r>
        <w:rPr>
          <w:rFonts w:ascii="Arial" w:cs="Arial" w:eastAsia="Arial" w:hAnsi="Arial"/>
          <w:sz w:val="16"/>
          <w:szCs w:val="16"/>
          <w:u w:val="single" w:color="auto"/>
          <w:color w:val="auto"/>
        </w:rPr>
        <w:t>Retention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Requirement Laws</w:t>
      </w:r>
      <w:r>
        <w:rPr>
          <w:rFonts w:ascii="Arial" w:cs="Arial" w:eastAsia="Arial" w:hAnsi="Arial"/>
          <w:sz w:val="16"/>
          <w:szCs w:val="16"/>
          <w:color w:val="auto"/>
        </w:rPr>
        <w:t>” means Article 405(1), the CRR and Article 17, together with the Final Draft RTS and any other applicable guidance, technical standards or related documents published by the European Banking Authority (including any successor or replacement agency or authority) and any delegated regulations of the European Commission (and in each case including any amendment or successor thereto). “</w:t>
      </w:r>
      <w:r>
        <w:rPr>
          <w:rFonts w:ascii="Arial" w:cs="Arial" w:eastAsia="Arial" w:hAnsi="Arial"/>
          <w:sz w:val="16"/>
          <w:szCs w:val="16"/>
          <w:u w:val="single" w:color="auto"/>
          <w:color w:val="auto"/>
        </w:rPr>
        <w:t>Article 405(1)</w:t>
      </w:r>
      <w:r>
        <w:rPr>
          <w:rFonts w:ascii="Arial" w:cs="Arial" w:eastAsia="Arial" w:hAnsi="Arial"/>
          <w:sz w:val="16"/>
          <w:szCs w:val="16"/>
          <w:color w:val="auto"/>
        </w:rPr>
        <w:t>” means Article 405(1) of the CRR. “</w:t>
      </w:r>
      <w:r>
        <w:rPr>
          <w:rFonts w:ascii="Arial" w:cs="Arial" w:eastAsia="Arial" w:hAnsi="Arial"/>
          <w:sz w:val="16"/>
          <w:szCs w:val="16"/>
          <w:u w:val="single" w:color="auto"/>
          <w:color w:val="auto"/>
        </w:rPr>
        <w:t>CRR</w:t>
      </w:r>
      <w:r>
        <w:rPr>
          <w:rFonts w:ascii="Arial" w:cs="Arial" w:eastAsia="Arial" w:hAnsi="Arial"/>
          <w:sz w:val="16"/>
          <w:szCs w:val="16"/>
          <w:color w:val="auto"/>
        </w:rPr>
        <w:t>” means EU Regulation 575/2013 (on prudential requirements for credit institutions and investment firms and amending Regulation (EU) 648/2012). “</w:t>
      </w:r>
      <w:r>
        <w:rPr>
          <w:rFonts w:ascii="Arial" w:cs="Arial" w:eastAsia="Arial" w:hAnsi="Arial"/>
          <w:sz w:val="16"/>
          <w:szCs w:val="16"/>
          <w:u w:val="single" w:color="auto"/>
          <w:color w:val="auto"/>
        </w:rPr>
        <w:t>Final Draft RTS</w:t>
      </w:r>
      <w:r>
        <w:rPr>
          <w:rFonts w:ascii="Arial" w:cs="Arial" w:eastAsia="Arial" w:hAnsi="Arial"/>
          <w:sz w:val="16"/>
          <w:szCs w:val="16"/>
          <w:color w:val="auto"/>
        </w:rPr>
        <w:t>” means the final regulatory technical standards and implementing technical standards on securitisation retention rules published by the EBA pursuant to Articles 410(2) and 410(3) of the CRR. “</w:t>
      </w:r>
      <w:r>
        <w:rPr>
          <w:rFonts w:ascii="Arial" w:cs="Arial" w:eastAsia="Arial" w:hAnsi="Arial"/>
          <w:sz w:val="16"/>
          <w:szCs w:val="16"/>
          <w:u w:val="single" w:color="auto"/>
          <w:color w:val="auto"/>
        </w:rPr>
        <w:t>Article 17</w:t>
      </w:r>
      <w:r>
        <w:rPr>
          <w:rFonts w:ascii="Arial" w:cs="Arial" w:eastAsia="Arial" w:hAnsi="Arial"/>
          <w:sz w:val="16"/>
          <w:szCs w:val="16"/>
          <w:color w:val="auto"/>
        </w:rPr>
        <w:t>” means Article 17 of European Union Directive 2011/61/EU on Alternative Investment Fund Managers. “</w:t>
      </w:r>
      <w:r>
        <w:rPr>
          <w:rFonts w:ascii="Arial" w:cs="Arial" w:eastAsia="Arial" w:hAnsi="Arial"/>
          <w:sz w:val="16"/>
          <w:szCs w:val="16"/>
          <w:u w:val="single" w:color="auto"/>
          <w:color w:val="auto"/>
        </w:rPr>
        <w:t>Affected Lender</w:t>
      </w:r>
      <w:r>
        <w:rPr>
          <w:rFonts w:ascii="Arial" w:cs="Arial" w:eastAsia="Arial" w:hAnsi="Arial"/>
          <w:sz w:val="16"/>
          <w:szCs w:val="16"/>
          <w:color w:val="auto"/>
        </w:rPr>
        <w:t>” means a Lender that is subject to regulation under the Retention Requirement Laws from time to time or party to liquidity or credit support arrangements provided by a financial institution that is subject to such regulation.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304" w:name="page305"/>
    <w:bookmarkEnd w:id="30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TPG SPECIALTY LENDING,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9019"/>
          </w:cols>
          <w:pgMar w:left="1440" w:top="273" w:right="1440" w:bottom="1440" w:gutter="0" w:footer="0" w:header="0"/>
        </w:sectPr>
      </w:pPr>
    </w:p>
    <w:bookmarkStart w:id="305" w:name="page306"/>
    <w:bookmarkEnd w:id="305"/>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 – Written Consent of the Board</w:t>
      </w:r>
    </w:p>
    <w:p>
      <w:pPr>
        <w:sectPr>
          <w:pgSz w:w="11900" w:h="16838" w:orient="portrait"/>
          <w:cols w:equalWidth="0" w:num="1">
            <w:col w:w="9019"/>
          </w:cols>
          <w:pgMar w:left="1440" w:top="273"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 be attached]</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9019"/>
          </w:cols>
          <w:pgMar w:left="1440" w:top="273" w:right="1440" w:bottom="1440" w:gutter="0" w:footer="0" w:header="0"/>
          <w:type w:val="continuous"/>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10.19</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MASTER SALE AND CONTRIBUTION AGREEMENT</w:t>
      </w:r>
    </w:p>
    <w:p>
      <w:pPr>
        <w:spacing w:after="0" w:line="18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and between</w:t>
      </w:r>
    </w:p>
    <w:p>
      <w:pPr>
        <w:spacing w:after="0" w:line="16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the Originator</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TPG SL SPV, LLC,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the Buyer</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January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9180" w:type="dxa"/>
            <w:vAlign w:val="bottom"/>
          </w:tcPr>
          <w:p>
            <w:pPr>
              <w:ind w:left="33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19"/>
                <w:szCs w:val="19"/>
                <w:color w:val="auto"/>
              </w:rPr>
            </w:pPr>
          </w:p>
        </w:tc>
      </w:tr>
      <w:tr>
        <w:trPr>
          <w:trHeight w:val="345"/>
        </w:trPr>
        <w:tc>
          <w:tcPr>
            <w:tcW w:w="146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1.01.</w:t>
            </w:r>
          </w:p>
        </w:tc>
        <w:tc>
          <w:tcPr>
            <w:tcW w:w="918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1.02.</w:t>
            </w:r>
          </w:p>
        </w:tc>
        <w:tc>
          <w:tcPr>
            <w:tcW w:w="9180" w:type="dxa"/>
            <w:vAlign w:val="bottom"/>
          </w:tcPr>
          <w:p>
            <w:pPr>
              <w:ind w:left="120"/>
              <w:spacing w:after="0"/>
              <w:rPr>
                <w:sz w:val="20"/>
                <w:szCs w:val="20"/>
                <w:color w:val="auto"/>
              </w:rPr>
            </w:pPr>
            <w:r>
              <w:rPr>
                <w:rFonts w:ascii="Arial" w:cs="Arial" w:eastAsia="Arial" w:hAnsi="Arial"/>
                <w:sz w:val="18"/>
                <w:szCs w:val="18"/>
                <w:color w:val="auto"/>
              </w:rPr>
              <w:t>Other Terms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1.03.   Computation of Time Periods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1.04.</w:t>
            </w:r>
          </w:p>
        </w:tc>
        <w:tc>
          <w:tcPr>
            <w:tcW w:w="918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1.05.</w:t>
            </w:r>
          </w:p>
        </w:tc>
        <w:tc>
          <w:tcPr>
            <w:tcW w:w="9180" w:type="dxa"/>
            <w:vAlign w:val="bottom"/>
          </w:tcPr>
          <w:p>
            <w:pPr>
              <w:ind w:left="120"/>
              <w:spacing w:after="0"/>
              <w:rPr>
                <w:sz w:val="20"/>
                <w:szCs w:val="20"/>
                <w:color w:val="auto"/>
              </w:rPr>
            </w:pPr>
            <w:r>
              <w:rPr>
                <w:rFonts w:ascii="Arial" w:cs="Arial" w:eastAsia="Arial" w:hAnsi="Arial"/>
                <w:sz w:val="18"/>
                <w:szCs w:val="18"/>
                <w:color w:val="auto"/>
              </w:rPr>
              <w:t>References</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II TRANSFER OF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2.01.   Sale, Transfer and Assignment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2.02.</w:t>
            </w:r>
          </w:p>
        </w:tc>
        <w:tc>
          <w:tcPr>
            <w:tcW w:w="9180" w:type="dxa"/>
            <w:vAlign w:val="bottom"/>
          </w:tcPr>
          <w:p>
            <w:pPr>
              <w:ind w:left="120"/>
              <w:spacing w:after="0"/>
              <w:rPr>
                <w:sz w:val="20"/>
                <w:szCs w:val="20"/>
                <w:color w:val="auto"/>
              </w:rPr>
            </w:pPr>
            <w:r>
              <w:rPr>
                <w:rFonts w:ascii="Arial" w:cs="Arial" w:eastAsia="Arial" w:hAnsi="Arial"/>
                <w:sz w:val="18"/>
                <w:szCs w:val="18"/>
                <w:color w:val="auto"/>
              </w:rPr>
              <w:t>Purchase Price</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2.03.   Payment of Purchase Price</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III CONDITIONS PRECEDENT</w:t>
            </w: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3.01.   Conditions Precedent to all Purchases</w:t>
            </w: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4.01.   Representations and Warranties Regarding the Originator</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4.02.   Representations and Warranties of the Originator Relating to the Agreement and the Collateral</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4.03.   Representations and Warranties Regarding the Buyer</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4.04.   Ordinary Course of Business</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5.01.   Affirmative Covenants of the Originator</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5.02.   Negative Covenants of the Originator</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VI INDEMNIFICATION BY THE ORIGINATOR</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6.01.</w:t>
            </w:r>
          </w:p>
        </w:tc>
        <w:tc>
          <w:tcPr>
            <w:tcW w:w="918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6.02.   Operation of Indemnities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7.01.   Amendments and Waivers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7.02.</w:t>
            </w:r>
          </w:p>
        </w:tc>
        <w:tc>
          <w:tcPr>
            <w:tcW w:w="9180" w:type="dxa"/>
            <w:vAlign w:val="bottom"/>
          </w:tcPr>
          <w:p>
            <w:pPr>
              <w:ind w:left="120"/>
              <w:spacing w:after="0"/>
              <w:rPr>
                <w:sz w:val="20"/>
                <w:szCs w:val="20"/>
                <w:color w:val="auto"/>
              </w:rPr>
            </w:pPr>
            <w:r>
              <w:rPr>
                <w:rFonts w:ascii="Arial" w:cs="Arial" w:eastAsia="Arial" w:hAnsi="Arial"/>
                <w:sz w:val="18"/>
                <w:szCs w:val="18"/>
                <w:color w:val="auto"/>
              </w:rPr>
              <w:t>Notices, Etc.</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7.03.   Binding Effect; Benefit of Agreement</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6"/>
              </w:rPr>
              <w:t>Section 7.04.   GOVERNING LAW; CONSENT TO JURISDICTION; WAIVER OF OBJECTION TO VENUE SERVICE OF PROCESS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7.05.   WAIVER OF JURY TRIAL</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7.06.</w:t>
            </w:r>
          </w:p>
        </w:tc>
        <w:tc>
          <w:tcPr>
            <w:tcW w:w="9180" w:type="dxa"/>
            <w:vAlign w:val="bottom"/>
          </w:tcPr>
          <w:p>
            <w:pPr>
              <w:ind w:left="120"/>
              <w:spacing w:after="0"/>
              <w:rPr>
                <w:sz w:val="20"/>
                <w:szCs w:val="20"/>
                <w:color w:val="auto"/>
              </w:rPr>
            </w:pPr>
            <w:r>
              <w:rPr>
                <w:rFonts w:ascii="Arial" w:cs="Arial" w:eastAsia="Arial" w:hAnsi="Arial"/>
                <w:sz w:val="18"/>
                <w:szCs w:val="18"/>
                <w:color w:val="auto"/>
              </w:rPr>
              <w:t>Certain Taxes</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7.07.</w:t>
            </w:r>
          </w:p>
        </w:tc>
        <w:tc>
          <w:tcPr>
            <w:tcW w:w="9180" w:type="dxa"/>
            <w:vAlign w:val="bottom"/>
          </w:tcPr>
          <w:p>
            <w:pPr>
              <w:ind w:left="120"/>
              <w:spacing w:after="0"/>
              <w:rPr>
                <w:sz w:val="20"/>
                <w:szCs w:val="20"/>
                <w:color w:val="auto"/>
              </w:rPr>
            </w:pPr>
            <w:r>
              <w:rPr>
                <w:rFonts w:ascii="Arial" w:cs="Arial" w:eastAsia="Arial" w:hAnsi="Arial"/>
                <w:sz w:val="18"/>
                <w:szCs w:val="18"/>
                <w:color w:val="auto"/>
              </w:rPr>
              <w:t>Non-Petition</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Section 7.08.   Recourse Against Certain Parties</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3" w:right="339" w:bottom="1440" w:gutter="0" w:footer="0" w:header="0"/>
        </w:sectPr>
      </w:pPr>
    </w:p>
    <w:bookmarkStart w:id="308" w:name="page309"/>
    <w:bookmarkEnd w:id="308"/>
    <w:p>
      <w:pPr>
        <w:jc w:val="center"/>
        <w:ind w:righ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(continued)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Section 7.09.   Protection of Right, Title and Interest in the Assets; Further Action Evidencing Purchases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Section 7.10.   Execution in Counterparts; Severability; Integration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Section 7.11.   Heading and Exhibits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Section 7.12.   Assignment</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Section 7.13.   No Waiver; Cumulative Remedies</w:t>
            </w: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4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80"/>
          </w:cols>
          <w:pgMar w:left="680" w:top="274" w:right="339" w:bottom="1440" w:gutter="0" w:footer="0" w:header="0"/>
        </w:sectPr>
      </w:pPr>
    </w:p>
    <w:bookmarkStart w:id="309" w:name="page310"/>
    <w:bookmarkEnd w:id="309"/>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MASTER SALE AND CONTRIBUTION AGREEMENT</w:t>
      </w:r>
    </w:p>
    <w:p>
      <w:pPr>
        <w:spacing w:after="0" w:line="16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THIS AMENDED AND RESTATED MASTER SALE AND CONTRIBUTION AGREEMENT, dated as of January 21, 2014 (this “</w:t>
      </w:r>
      <w:r>
        <w:rPr>
          <w:rFonts w:ascii="Arial" w:cs="Arial" w:eastAsia="Arial" w:hAnsi="Arial"/>
          <w:sz w:val="18"/>
          <w:szCs w:val="18"/>
          <w:u w:val="single" w:color="auto"/>
          <w:color w:val="auto"/>
        </w:rPr>
        <w:t>Agreement</w:t>
      </w:r>
      <w:r>
        <w:rPr>
          <w:rFonts w:ascii="Arial" w:cs="Arial" w:eastAsia="Arial" w:hAnsi="Arial"/>
          <w:sz w:val="18"/>
          <w:szCs w:val="18"/>
          <w:color w:val="auto"/>
        </w:rPr>
        <w:t>”), is among TPG SPECIALTY LENDING, INC., a Delaware corporation (together with its successors and assigns, the “</w:t>
      </w:r>
      <w:r>
        <w:rPr>
          <w:rFonts w:ascii="Arial" w:cs="Arial" w:eastAsia="Arial" w:hAnsi="Arial"/>
          <w:sz w:val="18"/>
          <w:szCs w:val="18"/>
          <w:u w:val="single" w:color="auto"/>
          <w:color w:val="auto"/>
        </w:rPr>
        <w:t>Originator</w:t>
      </w:r>
      <w:r>
        <w:rPr>
          <w:rFonts w:ascii="Arial" w:cs="Arial" w:eastAsia="Arial" w:hAnsi="Arial"/>
          <w:sz w:val="18"/>
          <w:szCs w:val="18"/>
          <w:color w:val="auto"/>
        </w:rPr>
        <w:t>”) and TPG SL SPV, LLC, a Delaware limited liability company (together with its successors and assigns, the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WHEREAS, the Originator and the Buyer are parties to a Master Sale and Contribution Agreement dated as of May 8, 2012 (as amended, restated or otherwise modified prior to the date hereof, the “Existing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hereto desire to amend and restate the Existing Agreement as set forth herein;</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in the regular course of its business, the Originator originates and/or otherwise acquires loans, debt obligations and participation interests therein;</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pursuant to this Agreement, the Buyer and the Originator may agree from time to time that Buyer will purchase or otherwise acquire certain assets from the Originator;</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intending to be legally bound, hereby agree as follows: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defined terms shall have the following meanings: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controlling, controlled by or under common control with such referenced person. For purposes of this definition, (i) “control” means the direct or indirect possession of the power to vote more than 50% of the equity interests having ordinary voting power for the election of directors (or the equivalent) or to direct or cause the direction of the management or policies of such person, whether through ownership, by contract, arrangement or understand or otherwise and (ii) an independent director or manager shall not be deemed to exercise control for purposes of this definition.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provided in the first paragraph of this Agreement.</w:t>
      </w:r>
    </w:p>
    <w:p>
      <w:pPr>
        <w:sectPr>
          <w:pgSz w:w="11900" w:h="16838" w:orient="portrait"/>
          <w:cols w:equalWidth="0" w:num="1">
            <w:col w:w="11260"/>
          </w:cols>
          <w:pgMar w:left="240" w:top="273" w:right="399" w:bottom="1440" w:gutter="0" w:footer="0" w:header="0"/>
        </w:sectPr>
      </w:pPr>
    </w:p>
    <w:bookmarkStart w:id="310" w:name="page311"/>
    <w:bookmarkEnd w:id="310"/>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Law of any Authority, including all federal and state banking or securities laws, to which the person in question is subject or by which it or any of its assets or properties are bound.</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Schedule</w:t>
      </w:r>
      <w:r>
        <w:rPr>
          <w:rFonts w:ascii="Arial" w:cs="Arial" w:eastAsia="Arial" w:hAnsi="Arial"/>
          <w:sz w:val="16"/>
          <w:szCs w:val="16"/>
          <w:color w:val="auto"/>
        </w:rPr>
        <w:t xml:space="preserve">” means the schedule of Assets agreed upon by the Originator and the Buyer on each Purchase Date and attached as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the related Assignment, as such schedule may be amended, supplemented or modified from time to time in accordance with this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shall have the meaning provided in Section 2.01.</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w:t>
      </w:r>
      <w:r>
        <w:rPr>
          <w:rFonts w:ascii="Arial" w:cs="Arial" w:eastAsia="Arial" w:hAnsi="Arial"/>
          <w:sz w:val="18"/>
          <w:szCs w:val="18"/>
          <w:color w:val="auto"/>
        </w:rPr>
        <w:t>” means with respect to the Purchase of any Asset by Buyer hereunder, an assignment of such Asset in substantially the form attached hereto as Exhibit A.</w:t>
      </w:r>
    </w:p>
    <w:p>
      <w:pPr>
        <w:spacing w:after="0" w:line="132"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Authority</w:t>
      </w:r>
      <w:r>
        <w:rPr>
          <w:rFonts w:ascii="Arial" w:cs="Arial" w:eastAsia="Arial" w:hAnsi="Arial"/>
          <w:sz w:val="18"/>
          <w:szCs w:val="18"/>
          <w:color w:val="auto"/>
        </w:rPr>
        <w:t>” means any nation or government, any state or other political subdivision thereof, any agency, authority, instrumentality, regulatory body, administrative tribunal, central bank, public office, court, arbitration or mediation panel, or other entity exercising executive, legislative, judicial, taxing, regulatory or administrative powers or functions.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shall have the meaning provided in the first paragraph of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January 21, 2014.</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Revolving Credit and Security Agreement, dated as of the date hereof, as further amended from time to time, including as amended and restated by the Amended and Restated Revolving Credit and Security Agreement, dated as of January 21, 2014, by and among the Buyer, as Borrower, Natixis, New York Branch, as Facility Agent, State Street Bank and Trust Company (as successor to The Bank of New York Mellon Trust Company, N.A.), as Collateral Agent, and the Lenders from time to time party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Agent</w:t>
      </w:r>
      <w:r>
        <w:rPr>
          <w:rFonts w:ascii="Arial" w:cs="Arial" w:eastAsia="Arial" w:hAnsi="Arial"/>
          <w:sz w:val="18"/>
          <w:szCs w:val="18"/>
          <w:color w:val="auto"/>
        </w:rPr>
        <w:t>” means Natixis, New York Branch, together with its successors and assigns.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Authorizations</w:t>
      </w:r>
      <w:r>
        <w:rPr>
          <w:rFonts w:ascii="Arial" w:cs="Arial" w:eastAsia="Arial" w:hAnsi="Arial"/>
          <w:sz w:val="16"/>
          <w:szCs w:val="16"/>
          <w:color w:val="auto"/>
        </w:rPr>
        <w:t>” means all franchises, permits, licenses, approvals, consents and other authorization of all governmental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w:t>
      </w:r>
      <w:r>
        <w:rPr>
          <w:rFonts w:ascii="Arial" w:cs="Arial" w:eastAsia="Arial" w:hAnsi="Arial"/>
          <w:sz w:val="18"/>
          <w:szCs w:val="18"/>
          <w:color w:val="auto"/>
        </w:rPr>
        <w:t>” means May 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Originator</w:t>
      </w:r>
      <w:r>
        <w:rPr>
          <w:rFonts w:ascii="Arial" w:cs="Arial" w:eastAsia="Arial" w:hAnsi="Arial"/>
          <w:sz w:val="18"/>
          <w:szCs w:val="18"/>
          <w:color w:val="auto"/>
        </w:rPr>
        <w:t>” shall have the meaning provided in the first paragraph of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Interest Period</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2.01(g)</w:t>
      </w:r>
      <w:r>
        <w:rPr>
          <w:rFonts w:ascii="Arial" w:cs="Arial" w:eastAsia="Arial" w:hAnsi="Arial"/>
          <w:sz w:val="18"/>
          <w:szCs w:val="18"/>
          <w:color w:val="auto"/>
        </w:rPr>
        <w:t>.</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w:t>
      </w:r>
      <w:r>
        <w:rPr>
          <w:rFonts w:ascii="Arial" w:cs="Arial" w:eastAsia="Arial" w:hAnsi="Arial"/>
          <w:sz w:val="18"/>
          <w:szCs w:val="18"/>
          <w:color w:val="auto"/>
        </w:rPr>
        <w:t>” means the restrictions on transferability imposed by the applicable documents evidencing, securing, governing or giving rise to an Asset (but only to the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279" w:right="459" w:bottom="1440" w:gutter="0" w:footer="0" w:header="0"/>
        </w:sectPr>
      </w:pPr>
    </w:p>
    <w:bookmarkStart w:id="311" w:name="page312"/>
    <w:bookmarkEnd w:id="3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relating to customary procedural requirements and agent consents expected to be obtained in due course and not to consents of the underlying obligor).</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(including a business trust), partnership, trust, incorporated or unincorporated association, joint stock company, limited liability company, government (or an agency or political subdivision thereof) or other entity of any kind.</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Authorizations</w:t>
      </w:r>
      <w:r>
        <w:rPr>
          <w:rFonts w:ascii="Arial" w:cs="Arial" w:eastAsia="Arial" w:hAnsi="Arial"/>
          <w:sz w:val="18"/>
          <w:szCs w:val="18"/>
          <w:color w:val="auto"/>
        </w:rPr>
        <w:t>” means all franchises, permits, license, approvals, consents and other authorizations of all persons other than governmental authorities but excluding any customary procedural requirements and agents’ consents expected to be obtained in due course in connection with the transfer of Assets to the Buyer.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means a purchase or other acquisition by the Buyer of Assets from the Originator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means any day on which any Asset is acquired by the Buyer pursuant to the terms of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as to any person, that such person is not “insolvent” within the meaning of Section 101(32) of the United States Bankruptcy Code or Section 271 of the Debtor and Creditor Law of the State of New York.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the applicable jurisdiction.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Other Terms</w:t>
      </w:r>
      <w:r>
        <w:rPr>
          <w:rFonts w:ascii="Arial" w:cs="Arial" w:eastAsia="Arial" w:hAnsi="Arial"/>
          <w:sz w:val="18"/>
          <w:szCs w:val="18"/>
          <w:color w:val="auto"/>
        </w:rPr>
        <w:t>.</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All terms used in Article 9 of the UCC in the State of New York, and not specifically defined herein, are used herein as defined in such Article 9. All other capitalized terms used herein but not otherwise defined shall have the meanings given to such terms in the Credit Agreement.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u w:val="single" w:color="auto"/>
          <w:color w:val="auto"/>
        </w:rPr>
        <w:t>Computation of Time Periods</w:t>
      </w:r>
      <w:r>
        <w:rPr>
          <w:rFonts w:ascii="Arial" w:cs="Arial" w:eastAsia="Arial" w:hAnsi="Arial"/>
          <w:sz w:val="18"/>
          <w:szCs w:val="18"/>
          <w:color w:val="auto"/>
        </w:rPr>
        <w:t>.</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Unless otherwise stated in this Agreement, in the computation of a period of time from a specified date to a later specified date, the word “from” means “from and including,” the words “to” and “until” each mean “to but excluding”.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 unless a contrary intention appears: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 the singular number includes the plural number and vice versa;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12" w:name="page313"/>
    <w:bookmarkEnd w:id="312"/>
    <w:p>
      <w:pPr>
        <w:ind w:left="420" w:right="40" w:firstLine="443"/>
        <w:spacing w:after="0" w:line="268" w:lineRule="auto"/>
        <w:tabs>
          <w:tab w:leader="none" w:pos="1117" w:val="left"/>
        </w:tabs>
        <w:numPr>
          <w:ilvl w:val="0"/>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to any Person includes such Person’s successors and assigns but, if applicable, only if such successors and assigns are permitted by this Agreement;</w:t>
      </w:r>
    </w:p>
    <w:p>
      <w:pPr>
        <w:spacing w:after="0" w:line="50" w:lineRule="exact"/>
        <w:rPr>
          <w:rFonts w:ascii="Arial" w:cs="Arial" w:eastAsia="Arial" w:hAnsi="Arial"/>
          <w:sz w:val="18"/>
          <w:szCs w:val="18"/>
          <w:color w:val="auto"/>
        </w:rPr>
      </w:pPr>
    </w:p>
    <w:p>
      <w:pPr>
        <w:ind w:left="1160" w:hanging="297"/>
        <w:spacing w:after="0"/>
        <w:tabs>
          <w:tab w:leader="none" w:pos="11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references to “including” means “including, without limitation”;</w:t>
      </w:r>
    </w:p>
    <w:p>
      <w:pPr>
        <w:spacing w:after="0" w:line="90" w:lineRule="exact"/>
        <w:rPr>
          <w:rFonts w:ascii="Arial" w:cs="Arial" w:eastAsia="Arial" w:hAnsi="Arial"/>
          <w:sz w:val="18"/>
          <w:szCs w:val="18"/>
          <w:color w:val="auto"/>
        </w:rPr>
      </w:pPr>
    </w:p>
    <w:p>
      <w:pPr>
        <w:ind w:left="1160" w:hanging="297"/>
        <w:spacing w:after="0"/>
        <w:tabs>
          <w:tab w:leader="none" w:pos="11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references to “writing” include printing, typing, lithography, electronic or other means of reproducing words in a visible form;</w:t>
      </w:r>
    </w:p>
    <w:p>
      <w:pPr>
        <w:spacing w:after="0" w:line="90" w:lineRule="exact"/>
        <w:rPr>
          <w:rFonts w:ascii="Arial" w:cs="Arial" w:eastAsia="Arial" w:hAnsi="Arial"/>
          <w:sz w:val="18"/>
          <w:szCs w:val="18"/>
          <w:color w:val="auto"/>
        </w:rPr>
      </w:pPr>
    </w:p>
    <w:p>
      <w:pPr>
        <w:ind w:left="1120" w:hanging="257"/>
        <w:spacing w:after="0"/>
        <w:tabs>
          <w:tab w:leader="none" w:pos="11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reference to day or days without further qualification means calendar days;</w:t>
      </w:r>
    </w:p>
    <w:p>
      <w:pPr>
        <w:spacing w:after="0" w:line="90" w:lineRule="exact"/>
        <w:rPr>
          <w:rFonts w:ascii="Arial" w:cs="Arial" w:eastAsia="Arial" w:hAnsi="Arial"/>
          <w:sz w:val="18"/>
          <w:szCs w:val="18"/>
          <w:color w:val="auto"/>
        </w:rPr>
      </w:pPr>
    </w:p>
    <w:p>
      <w:pPr>
        <w:ind w:left="1160" w:hanging="297"/>
        <w:spacing w:after="0"/>
        <w:tabs>
          <w:tab w:leader="none" w:pos="11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unless otherwise stated, reference to any time means New York, New York time;</w:t>
      </w:r>
    </w:p>
    <w:p>
      <w:pPr>
        <w:spacing w:after="0" w:line="90" w:lineRule="exact"/>
        <w:rPr>
          <w:rFonts w:ascii="Arial" w:cs="Arial" w:eastAsia="Arial" w:hAnsi="Arial"/>
          <w:sz w:val="18"/>
          <w:szCs w:val="18"/>
          <w:color w:val="auto"/>
        </w:rPr>
      </w:pPr>
    </w:p>
    <w:p>
      <w:pPr>
        <w:ind w:left="420" w:right="120" w:firstLine="443"/>
        <w:spacing w:after="0" w:line="306" w:lineRule="auto"/>
        <w:tabs>
          <w:tab w:leader="none" w:pos="120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reference to any agreement, document or instrument means such agreement, document or instrument as amended, modified, supplemented, replaced, restated, waived or extended and in effect from time to time in accordance with the terms thereof, and reference to any promissory note includes any promissory note that is an extension or renewal thereof or a substitute or replacement therefore; and</w:t>
      </w:r>
    </w:p>
    <w:p>
      <w:pPr>
        <w:spacing w:after="0" w:line="25" w:lineRule="exact"/>
        <w:rPr>
          <w:rFonts w:ascii="Arial" w:cs="Arial" w:eastAsia="Arial" w:hAnsi="Arial"/>
          <w:sz w:val="16"/>
          <w:szCs w:val="16"/>
          <w:color w:val="auto"/>
        </w:rPr>
      </w:pPr>
    </w:p>
    <w:p>
      <w:pPr>
        <w:ind w:left="420" w:firstLine="443"/>
        <w:spacing w:after="0" w:line="256" w:lineRule="auto"/>
        <w:tabs>
          <w:tab w:leader="none" w:pos="125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reference to any law means such law as amended, modified, codified, replaced or reenacted, in whole or in part, and in effect from time to time, including rules and regulations promulgated thereunder and reference to any section or other provision of any law means that provision of such law from time to time in effect and constituting the substantive amendment, modification, codification, replacement or reenactment of such section or other provision.</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b w:val="1"/>
          <w:bCs w:val="1"/>
          <w:u w:val="single" w:color="auto"/>
          <w:color w:val="auto"/>
        </w:rPr>
        <w:t>References</w:t>
      </w:r>
      <w:r>
        <w:rPr>
          <w:rFonts w:ascii="Arial" w:cs="Arial" w:eastAsia="Arial" w:hAnsi="Arial"/>
          <w:sz w:val="18"/>
          <w:szCs w:val="18"/>
          <w:color w:val="auto"/>
        </w:rPr>
        <w:t>.</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section references (including references to the preamble), unless otherwise indicated, shall be to Sections (and the preamble) in this Agreement.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ASSETS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Sale, Transfer and Assignment</w:t>
      </w:r>
      <w:r>
        <w:rPr>
          <w:rFonts w:ascii="Arial" w:cs="Arial" w:eastAsia="Arial" w:hAnsi="Arial"/>
          <w:sz w:val="18"/>
          <w:szCs w:val="18"/>
          <w:color w:val="auto"/>
        </w:rPr>
        <w:t>.</w:t>
      </w:r>
    </w:p>
    <w:p>
      <w:pPr>
        <w:spacing w:after="0" w:line="96" w:lineRule="exact"/>
        <w:rPr>
          <w:sz w:val="20"/>
          <w:szCs w:val="20"/>
          <w:color w:val="auto"/>
        </w:rPr>
      </w:pPr>
    </w:p>
    <w:p>
      <w:pPr>
        <w:ind w:left="-40" w:right="60" w:firstLine="464"/>
        <w:spacing w:after="0" w:line="256" w:lineRule="auto"/>
        <w:tabs>
          <w:tab w:leader="none" w:pos="65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From time to time, the Originator and the Buyer may agree that the Originator will sell, and the Buyer, will buy certain Assets. Subject to the terms and conditions set forth herein, and subject to satisfaction of the conditions precedent set forth in Article III, the Originator agrees to sell, transfer, set over, and otherwise convey to the Buyer, and the Buyer agrees to purchase, without recourse except as provided herein, on the applicable Purchase Date, all of the Originator’s right, title and interest in, to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79" w:right="25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property (the “</w:t>
      </w:r>
      <w:r>
        <w:rPr>
          <w:rFonts w:ascii="Arial" w:cs="Arial" w:eastAsia="Arial" w:hAnsi="Arial"/>
          <w:sz w:val="18"/>
          <w:szCs w:val="18"/>
          <w:u w:val="single" w:color="auto"/>
          <w:color w:val="auto"/>
        </w:rPr>
        <w:t>Assets</w:t>
      </w:r>
      <w:r>
        <w:rPr>
          <w:rFonts w:ascii="Arial" w:cs="Arial" w:eastAsia="Arial" w:hAnsi="Arial"/>
          <w:sz w:val="18"/>
          <w:szCs w:val="18"/>
          <w:color w:val="auto"/>
        </w:rPr>
        <w:t>”) identified on Schedule I to the related Assignment executed and delivered by the Originator and the Buyer.</w:t>
      </w:r>
    </w:p>
    <w:p>
      <w:pPr>
        <w:spacing w:after="0" w:line="171" w:lineRule="exact"/>
        <w:rPr>
          <w:sz w:val="20"/>
          <w:szCs w:val="20"/>
          <w:color w:val="auto"/>
        </w:rPr>
      </w:pPr>
    </w:p>
    <w:p>
      <w:pPr>
        <w:ind w:right="60" w:firstLine="464"/>
        <w:spacing w:after="0" w:line="259" w:lineRule="auto"/>
        <w:tabs>
          <w:tab w:leader="none" w:pos="70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On any Purchase Date with respect to the Assets to be acquired by the Buyer on that date, the Originator shall be deemed to, and hereby does, reaffirm and certify to the Buyer and the Collateral Agent as assignee of the Buyer, as of such Purchase Date, that each of the representations and warranties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true and correct as of such Purchase Date.</w:t>
      </w:r>
    </w:p>
    <w:p>
      <w:pPr>
        <w:spacing w:after="0" w:line="140" w:lineRule="exact"/>
        <w:rPr>
          <w:rFonts w:ascii="Arial" w:cs="Arial" w:eastAsia="Arial" w:hAnsi="Arial"/>
          <w:sz w:val="18"/>
          <w:szCs w:val="18"/>
          <w:color w:val="auto"/>
        </w:rPr>
      </w:pPr>
    </w:p>
    <w:p>
      <w:pPr>
        <w:ind w:firstLine="464"/>
        <w:spacing w:after="0" w:line="306" w:lineRule="auto"/>
        <w:tabs>
          <w:tab w:leader="none" w:pos="695" w:val="left"/>
        </w:tabs>
        <w:numPr>
          <w:ilvl w:val="0"/>
          <w:numId w:val="314"/>
        </w:numPr>
        <w:rPr>
          <w:rFonts w:ascii="Arial" w:cs="Arial" w:eastAsia="Arial" w:hAnsi="Arial"/>
          <w:sz w:val="16"/>
          <w:szCs w:val="16"/>
          <w:color w:val="auto"/>
        </w:rPr>
      </w:pPr>
      <w:r>
        <w:rPr>
          <w:rFonts w:ascii="Arial" w:cs="Arial" w:eastAsia="Arial" w:hAnsi="Arial"/>
          <w:sz w:val="16"/>
          <w:szCs w:val="16"/>
          <w:color w:val="auto"/>
        </w:rPr>
        <w:t>Except as specifically provided in this Agreement, the sale and purchase of Assets under this Agreement shall be without recourse to the Originator; it being understood that the Originator shall be liable to the Buyer for all representations, warranties, covenants and indemnities made by the Originator pursuant to the terms of this Agreement, all of which obligations are limited so as not to constitute recourse to the Originator for the credit risk of the Obligors.</w:t>
      </w:r>
    </w:p>
    <w:p>
      <w:pPr>
        <w:spacing w:after="0" w:line="106" w:lineRule="exact"/>
        <w:rPr>
          <w:rFonts w:ascii="Arial" w:cs="Arial" w:eastAsia="Arial" w:hAnsi="Arial"/>
          <w:sz w:val="16"/>
          <w:szCs w:val="16"/>
          <w:color w:val="auto"/>
        </w:rPr>
      </w:pPr>
    </w:p>
    <w:p>
      <w:pPr>
        <w:ind w:right="160" w:firstLine="464"/>
        <w:spacing w:after="0" w:line="255" w:lineRule="auto"/>
        <w:tabs>
          <w:tab w:leader="none" w:pos="70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connection with each Purchase of Assets as contemplated by this Agreement, the Buyer hereby directs the Originator to, and the Originator agrees that it will deliver, or cause to be delivered, to the Custodian, as agent and custodian for the Collateral Agent, as assignee of the Buyer, each Asset being transferred to the Buyer on such Purchase Date. The Originator shall take such action requested by the Buyer or the Collateral Agent, as assignee of the Buyer, from time to time hereafter, that may be necessary or appropriate to ensure that the Buyer has an enforceable ownership interest in the Assets Purchased by the Buyer as contemplated by this Agreement.</w:t>
      </w:r>
    </w:p>
    <w:p>
      <w:pPr>
        <w:spacing w:after="0" w:line="142" w:lineRule="exact"/>
        <w:rPr>
          <w:rFonts w:ascii="Arial" w:cs="Arial" w:eastAsia="Arial" w:hAnsi="Arial"/>
          <w:sz w:val="18"/>
          <w:szCs w:val="18"/>
          <w:color w:val="auto"/>
        </w:rPr>
      </w:pPr>
    </w:p>
    <w:p>
      <w:pPr>
        <w:ind w:right="340" w:firstLine="464"/>
        <w:spacing w:after="0" w:line="259" w:lineRule="auto"/>
        <w:tabs>
          <w:tab w:leader="none" w:pos="69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connection with the Purchase by the Buyer of the Assets as contemplated by this Agreement, the Originator further agrees that it will, at its own expense, indicate clearly and unambiguously in its computer files and its financial statements, on or prior to each Purchase Date, that such Asset has been Purchased by the Buyer in accordance with this Agreement.</w:t>
      </w:r>
    </w:p>
    <w:p>
      <w:pPr>
        <w:spacing w:after="0" w:line="140" w:lineRule="exact"/>
        <w:rPr>
          <w:rFonts w:ascii="Arial" w:cs="Arial" w:eastAsia="Arial" w:hAnsi="Arial"/>
          <w:sz w:val="18"/>
          <w:szCs w:val="18"/>
          <w:color w:val="auto"/>
        </w:rPr>
      </w:pPr>
    </w:p>
    <w:p>
      <w:pPr>
        <w:ind w:right="20" w:firstLine="464"/>
        <w:spacing w:after="0" w:line="288" w:lineRule="auto"/>
        <w:tabs>
          <w:tab w:leader="none" w:pos="676"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It is the intention of the parties hereto that the conveyance of all right, title and interest in and to the Assets to the Buyer as provided in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shall constitute an absolute sale, conveyance and transfer conveying good title, free and clear of any lien, claim or encumbrance (other than Permitted Liens) and that the Assets shall not be part of the Originator’s bankruptcy estate in the event of a bankruptcy of the Originator. Furthermore, it is not intended that such conveyance be deemed the grant of a security interest in the Assets to the Buyer to secure a debt or other obligation of the Originator. If, however, notwithstanding the intention of the parties, the conveyance provided for in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is determined to be a transfer for security, then this Agreement shall be a “security agreement” within the meaning of Article 9 of the UCC and the Originator hereby grants to the Buyer a duly perfected, first priority security interest (within the meaning of Article 9 of the UCC) in all of its right, title and interest in and to the Assets transferred by the Originator to the Buyer hereunder to secure all of the obligations of the Originator hereunder. To the extent it is determined by a court of competent jurisdiction that the conveyance provided for in this Section 2.01 is a transfer for security, the Buyer</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314" w:name="page315"/>
    <w:bookmarkEnd w:id="31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in addition to the rights and remedies which it may have under this Agreement, all other rights and remedies provided to a secured creditor under the UCC and other Applicable Law, which rights and remedies shall be cumulative.</w:t>
      </w:r>
    </w:p>
    <w:p>
      <w:pPr>
        <w:spacing w:after="0" w:line="132" w:lineRule="exact"/>
        <w:rPr>
          <w:sz w:val="20"/>
          <w:szCs w:val="20"/>
          <w:color w:val="auto"/>
        </w:rPr>
      </w:pPr>
    </w:p>
    <w:p>
      <w:pPr>
        <w:ind w:firstLine="464"/>
        <w:spacing w:after="0" w:line="285" w:lineRule="auto"/>
        <w:tabs>
          <w:tab w:leader="none" w:pos="705" w:val="left"/>
        </w:tabs>
        <w:numPr>
          <w:ilvl w:val="0"/>
          <w:numId w:val="315"/>
        </w:numPr>
        <w:rPr>
          <w:rFonts w:ascii="Arial" w:cs="Arial" w:eastAsia="Arial" w:hAnsi="Arial"/>
          <w:sz w:val="16"/>
          <w:szCs w:val="16"/>
          <w:color w:val="auto"/>
        </w:rPr>
      </w:pPr>
      <w:r>
        <w:rPr>
          <w:rFonts w:ascii="Arial" w:cs="Arial" w:eastAsia="Arial" w:hAnsi="Arial"/>
          <w:sz w:val="16"/>
          <w:szCs w:val="16"/>
          <w:color w:val="auto"/>
        </w:rPr>
        <w:t>Buyer and Originator agree that for any transaction intermediated, arranged and underwritten by the Originator in which an Asset is settled directly with the Buyer or with respect to any Asset acquired by the Buyer in a transaction in which the Buyer is designee of the Originator, in each such case, the Originator shall hold a participation interest in such Asset for a period of two Business Days following the trade date of such transaction (the “</w:t>
      </w:r>
      <w:r>
        <w:rPr>
          <w:rFonts w:ascii="Arial" w:cs="Arial" w:eastAsia="Arial" w:hAnsi="Arial"/>
          <w:sz w:val="16"/>
          <w:szCs w:val="16"/>
          <w:u w:val="single" w:color="auto"/>
          <w:color w:val="auto"/>
        </w:rPr>
        <w:t>Participation Interest Period</w:t>
      </w:r>
      <w:r>
        <w:rPr>
          <w:rFonts w:ascii="Arial" w:cs="Arial" w:eastAsia="Arial" w:hAnsi="Arial"/>
          <w:sz w:val="16"/>
          <w:szCs w:val="16"/>
          <w:color w:val="auto"/>
        </w:rPr>
        <w:t>”), which participation interest shall consist of an undivided interest in such Asset, and to the extent permitted to be transferred under applicable law, all claims, suits, causes of action and any other right of the Buyer (including in its capacity as a lender in respect of such Asset), whether known or unknown, against the borrower or any other obligor in respect of such Asset or any of their respective affiliates, agents, representatives, contractors, advisors or any other Person arising under or in connection with the agreements, instruments and other documents executed and delivered in connection with such Asset or that is in any way based on or related to any of the foregoing or any loan transactions governed thereby, including contract claims, tort claims, malpractice claims, statutory claims and all other claims at law or in equity related to the rights and obligations settled or acquired by the Buyer. During the Participation Interest Period in respect of an Asset, the Buyer shall comply with any written instructions provided to the Buyer by or on behalf of the Originator with respect to voting rights to be exercised by holders of the applicable Asset, other than with respect to any voting rights that are not permitted to be participated pursuant to the terms of the applicable underlying instrument. Because the settlement of such assignments will occur after the end of the Participation Interest Period, the Originator shall transfer to Buyer any payments of principal received in respect of any Asset during the Participation Interest Period and shall retain any other payments (including but not limited to interest) received with respect to an Asset during the Participation Interest Period. The participation interest of the Originator in any Asset shall terminate automatically at the end of the Participation Interest Period. Buyer and Originator further agree that for any Asset assigned to the Buyer by the Originator where the Originator was the record holder of such Asset prior to such assignment, the Originator shall have held a beneficial interest in such Asset for at least two Business Days prior to the trade date of such transaction.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purchase price for each Asset sold to the Buyer by the Originator under this Agreement shall be a dollar amount determined in accordance with Section 10.02(c) of the Credit Agreement (such amount,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Payment of Purchase Price</w:t>
      </w:r>
      <w:r>
        <w:rPr>
          <w:rFonts w:ascii="Arial" w:cs="Arial" w:eastAsia="Arial" w:hAnsi="Arial"/>
          <w:sz w:val="18"/>
          <w:szCs w:val="18"/>
          <w:color w:val="auto"/>
        </w:rPr>
        <w:t>.</w:t>
      </w:r>
    </w:p>
    <w:p>
      <w:pPr>
        <w:spacing w:after="0" w:line="96" w:lineRule="exact"/>
        <w:rPr>
          <w:sz w:val="20"/>
          <w:szCs w:val="20"/>
          <w:color w:val="auto"/>
        </w:rPr>
      </w:pPr>
    </w:p>
    <w:p>
      <w:pPr>
        <w:ind w:right="700" w:firstLine="464"/>
        <w:spacing w:after="0" w:line="268" w:lineRule="auto"/>
        <w:tabs>
          <w:tab w:leader="none" w:pos="69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Purchase Price for each Asset sold hereunder shall be paid by the Buyer to the Originator on the related Purchase Date either (i) in cash in immediately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9" w:right="259" w:bottom="1440" w:gutter="0" w:footer="0" w:header="0"/>
        </w:sectPr>
      </w:pPr>
    </w:p>
    <w:bookmarkStart w:id="315" w:name="page316"/>
    <w:bookmarkEnd w:id="31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available funds, (ii) with the consent of the Originator, which consent shall be in the Originator’s sole discretion and which may be withheld by the Originator for any reason or for no reason, by means of a contribution by the Originator to the capital of the Buyer, or (iii) in a combination of clauses (i) and (ii). Notwithstanding any other provision, (1) the Originator shall be under no obligation to make any contribution to the capital of the Buyer, and (2) the Originator shall be under no obligation to, and shall not, transfer any Asset to the Buyer unless it is paid the Purchase Price as provided herein.</w:t>
      </w:r>
    </w:p>
    <w:p>
      <w:pPr>
        <w:spacing w:after="0" w:line="113" w:lineRule="exact"/>
        <w:rPr>
          <w:sz w:val="20"/>
          <w:szCs w:val="20"/>
          <w:color w:val="auto"/>
        </w:rPr>
      </w:pPr>
    </w:p>
    <w:p>
      <w:pPr>
        <w:ind w:firstLine="464"/>
        <w:spacing w:after="0" w:line="259" w:lineRule="auto"/>
        <w:tabs>
          <w:tab w:leader="none" w:pos="70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The Originator, in connection with each Purchase hereunder relating to any Assets, shall be deemed to have certified, and hereby does certify, with respect to the Assets to be Purchased by the Buyer on such day, that its representations and warranties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with respect to such Assets are true and correct on and as of such day, with the same effect as though made on and as of such day.</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Upon the payment of the Purchase Price for any Purchase, title to the Assets included in such Purchase shall vest in Buyer, whether or not the</w:t>
      </w:r>
    </w:p>
    <w:p>
      <w:pPr>
        <w:spacing w:after="0" w:line="38" w:lineRule="exact"/>
        <w:rPr>
          <w:rFonts w:ascii="Arial" w:cs="Arial" w:eastAsia="Arial" w:hAnsi="Arial"/>
          <w:sz w:val="16"/>
          <w:szCs w:val="16"/>
          <w:color w:val="auto"/>
        </w:rPr>
      </w:pPr>
    </w:p>
    <w:p>
      <w:pPr>
        <w:jc w:val="both"/>
        <w:spacing w:after="0" w:line="361" w:lineRule="auto"/>
        <w:rPr>
          <w:rFonts w:ascii="Arial" w:cs="Arial" w:eastAsia="Arial" w:hAnsi="Arial"/>
          <w:sz w:val="16"/>
          <w:szCs w:val="16"/>
          <w:color w:val="auto"/>
        </w:rPr>
      </w:pPr>
      <w:r>
        <w:rPr>
          <w:rFonts w:ascii="Arial" w:cs="Arial" w:eastAsia="Arial" w:hAnsi="Arial"/>
          <w:sz w:val="15"/>
          <w:szCs w:val="15"/>
          <w:color w:val="auto"/>
        </w:rPr>
        <w:t xml:space="preserve">conditions precedent to such Purchase and the other covenants and agreements contained herein were in fact satisfied;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Buyer shall not be deemed to have waived any claim it may have under this Agreement for the failure by the Originator in fact to satisfy any such condition precedent, covenant or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CONDITIONS PRECEDENT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Conditions Precedent to all Purchases</w:t>
      </w:r>
      <w:r>
        <w:rPr>
          <w:rFonts w:ascii="Arial" w:cs="Arial" w:eastAsia="Arial" w:hAnsi="Arial"/>
          <w:sz w:val="18"/>
          <w:szCs w:val="18"/>
          <w:color w:val="auto"/>
        </w:rPr>
        <w: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obligations of the Buyer to Purchase the Assets from the Originator on any Purchase Date (including the initial Purchase Date) shall be subject to the satisfaction of the following conditions precedent that:</w:t>
      </w:r>
    </w:p>
    <w:p>
      <w:pPr>
        <w:spacing w:after="0" w:line="51" w:lineRule="exact"/>
        <w:rPr>
          <w:sz w:val="20"/>
          <w:szCs w:val="20"/>
          <w:color w:val="auto"/>
        </w:rPr>
      </w:pPr>
    </w:p>
    <w:p>
      <w:pPr>
        <w:ind w:right="240" w:firstLine="464"/>
        <w:spacing w:after="0" w:line="370" w:lineRule="auto"/>
        <w:tabs>
          <w:tab w:leader="none" w:pos="695" w:val="left"/>
        </w:tabs>
        <w:numPr>
          <w:ilvl w:val="0"/>
          <w:numId w:val="318"/>
        </w:numPr>
        <w:rPr>
          <w:rFonts w:ascii="Arial" w:cs="Arial" w:eastAsia="Arial" w:hAnsi="Arial"/>
          <w:sz w:val="15"/>
          <w:szCs w:val="15"/>
          <w:color w:val="auto"/>
        </w:rPr>
      </w:pPr>
      <w:r>
        <w:rPr>
          <w:rFonts w:ascii="Arial" w:cs="Arial" w:eastAsia="Arial" w:hAnsi="Arial"/>
          <w:sz w:val="15"/>
          <w:szCs w:val="15"/>
          <w:color w:val="auto"/>
        </w:rPr>
        <w:t xml:space="preserve">all representations and warranties of the Originator contained in </w:t>
      </w:r>
      <w:r>
        <w:rPr>
          <w:rFonts w:ascii="Arial" w:cs="Arial" w:eastAsia="Arial" w:hAnsi="Arial"/>
          <w:sz w:val="15"/>
          <w:szCs w:val="15"/>
          <w:u w:val="single" w:color="auto"/>
          <w:color w:val="auto"/>
        </w:rPr>
        <w:t>Sections 4.01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4.02</w:t>
      </w:r>
      <w:r>
        <w:rPr>
          <w:rFonts w:ascii="Arial" w:cs="Arial" w:eastAsia="Arial" w:hAnsi="Arial"/>
          <w:sz w:val="15"/>
          <w:szCs w:val="15"/>
          <w:color w:val="auto"/>
        </w:rPr>
        <w:t xml:space="preserve"> with respect to the Assets being Purchased on such Purchase Date shall be true and correct on and as of such date as though made on and as of such date and shall be deemed to have been made on and as of such day;</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the Originator shall have delivered to the Buyer a duly completed Asset Schedule that is true, accurate and complete in all respects as of such Purchase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Date;</w:t>
      </w:r>
    </w:p>
    <w:p>
      <w:pPr>
        <w:spacing w:after="0" w:line="164" w:lineRule="exact"/>
        <w:rPr>
          <w:rFonts w:ascii="Arial" w:cs="Arial" w:eastAsia="Arial" w:hAnsi="Arial"/>
          <w:sz w:val="15"/>
          <w:szCs w:val="15"/>
          <w:color w:val="auto"/>
        </w:rPr>
      </w:pPr>
    </w:p>
    <w:p>
      <w:pPr>
        <w:ind w:right="100" w:firstLine="464"/>
        <w:spacing w:after="0" w:line="268" w:lineRule="auto"/>
        <w:tabs>
          <w:tab w:leader="none" w:pos="69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on and as of such Purchase Date, the Originator shall have performed all of the covenants and agreements required to be performed by it on or prior to such date pursuant to the provisions of this Agreement;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no Applicable Law shall prohibit or enjoin, and no order, judgment or decree of any federal, state or local court or governmental body, agency or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9" w:right="29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instrumentality shall prohibit or enjoin, the making of any such Purchase by the Buyer in accordance with the provisions hereof.</w:t>
      </w:r>
    </w:p>
    <w:p>
      <w:pPr>
        <w:spacing w:after="0" w:line="3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Representations and Warranties Regarding the Originator</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Original Closing Date, the Closing Date and as of each Purchase Date, the Originator represents and warrants to the Buyer for the benefit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Buyer and each of its successors and assigns that:</w:t>
      </w:r>
    </w:p>
    <w:p>
      <w:pPr>
        <w:spacing w:after="0" w:line="84" w:lineRule="exact"/>
        <w:rPr>
          <w:sz w:val="20"/>
          <w:szCs w:val="20"/>
          <w:color w:val="auto"/>
        </w:rPr>
      </w:pPr>
    </w:p>
    <w:p>
      <w:pPr>
        <w:ind w:right="120" w:firstLine="464"/>
        <w:spacing w:after="0" w:line="259" w:lineRule="auto"/>
        <w:tabs>
          <w:tab w:leader="none" w:pos="695"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The Originator is a corporation duly incorporated and validly existing under the laws of the State of Delaware, with full power and authority to own and operate its assets and properties, conduct the business in which it is now engaged and to execute and deliver and perform its obligations under this Agreement.</w:t>
      </w:r>
    </w:p>
    <w:p>
      <w:pPr>
        <w:spacing w:after="0" w:line="140" w:lineRule="exact"/>
        <w:rPr>
          <w:rFonts w:ascii="Arial" w:cs="Arial" w:eastAsia="Arial" w:hAnsi="Arial"/>
          <w:sz w:val="18"/>
          <w:szCs w:val="18"/>
          <w:color w:val="auto"/>
        </w:rPr>
      </w:pPr>
    </w:p>
    <w:p>
      <w:pPr>
        <w:ind w:right="20" w:firstLine="464"/>
        <w:spacing w:after="0" w:line="294" w:lineRule="auto"/>
        <w:tabs>
          <w:tab w:leader="none" w:pos="705"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Due Qualification and Good Standing</w:t>
      </w:r>
      <w:r>
        <w:rPr>
          <w:rFonts w:ascii="Arial" w:cs="Arial" w:eastAsia="Arial" w:hAnsi="Arial"/>
          <w:sz w:val="16"/>
          <w:szCs w:val="16"/>
          <w:color w:val="auto"/>
        </w:rPr>
        <w:t>. The Originator is in good standing in the State of Delaware. The Originator is duly qualified to do business and, to the extent applicable, is in good standing in each other jurisdiction in which the nature of its business, assets and properties, including the performance of its obligations under this Agreement and its organizational documents, requires such qualification, except where the failure to be so qualified or in good standing would not have a material adverse effect on the business operations, assets or financial condition of the Originator or on the validity or enforceability of this Agreement, or the performance by the Originator of its duties hereunder.</w:t>
      </w:r>
    </w:p>
    <w:p>
      <w:pPr>
        <w:spacing w:after="0" w:line="115" w:lineRule="exact"/>
        <w:rPr>
          <w:rFonts w:ascii="Arial" w:cs="Arial" w:eastAsia="Arial" w:hAnsi="Arial"/>
          <w:sz w:val="16"/>
          <w:szCs w:val="16"/>
          <w:color w:val="auto"/>
        </w:rPr>
      </w:pPr>
    </w:p>
    <w:p>
      <w:pPr>
        <w:ind w:right="120" w:firstLine="464"/>
        <w:spacing w:after="0" w:line="290" w:lineRule="auto"/>
        <w:tabs>
          <w:tab w:leader="none" w:pos="695"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Due Authorization; Execution and Deliver; Legal, Valid and Binding; Enforceability; Valid Sale</w:t>
      </w:r>
      <w:r>
        <w:rPr>
          <w:rFonts w:ascii="Arial" w:cs="Arial" w:eastAsia="Arial" w:hAnsi="Arial"/>
          <w:sz w:val="16"/>
          <w:szCs w:val="16"/>
          <w:color w:val="auto"/>
        </w:rPr>
        <w:t>. The execution and delivery by the Originator of, and the performance of its obligations under this Agreement and the other instruments, certificates and agreements contemplated hereby are within its powers and have been duly authorized by all requisite action by it and have been duly executed and delivered by it and constitute its legal, valid and binding obligations enforceable against it in accordance with their respective terms, subject, as to enforcement, (A) to the effect of bankruptcy, insolvency or similar laws affecting generally the enforcement of creditors’ rights and (B) to general equitable principles (whether enforceability of such principles is considered in a proceeding at law or in equity). This Agreement shall effect a valid sale, transfer and assignment of the Assets from the Originator to the Buyer, enforceable against the Originator and creditors of and purchasers from the Originator.</w:t>
      </w:r>
    </w:p>
    <w:p>
      <w:pPr>
        <w:spacing w:after="0" w:line="118" w:lineRule="exact"/>
        <w:rPr>
          <w:rFonts w:ascii="Arial" w:cs="Arial" w:eastAsia="Arial" w:hAnsi="Arial"/>
          <w:sz w:val="16"/>
          <w:szCs w:val="16"/>
          <w:color w:val="auto"/>
        </w:rPr>
      </w:pPr>
    </w:p>
    <w:p>
      <w:pPr>
        <w:ind w:firstLine="464"/>
        <w:spacing w:after="0" w:line="259" w:lineRule="auto"/>
        <w:tabs>
          <w:tab w:leader="none" w:pos="705"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None of the execution and delivery by the Originator of this Agreement, the consummation by it of the transactions herein contemplated, or performance and compliance by it with the terms, conditions and provisions hereof, will (i) conflict with, or result in a breach or violation of, or constitute a default under its organizational documents, (ii) conflict with or contravene (A) any</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317" w:name="page318"/>
    <w:bookmarkEnd w:id="31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Law, (B) any indenture, agreement or other contractual restriction binding on or affecting it or any of its assets,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in each case which would have a material adverse effect on the business, operations, assets or financial condition of the Originator or that would reasonably be expected to adversely affect in a material manner its ability to perform its obligations hereunder;</w:t>
      </w:r>
    </w:p>
    <w:p>
      <w:pPr>
        <w:spacing w:after="0" w:line="118" w:lineRule="exact"/>
        <w:rPr>
          <w:sz w:val="20"/>
          <w:szCs w:val="20"/>
          <w:color w:val="auto"/>
        </w:rPr>
      </w:pPr>
    </w:p>
    <w:p>
      <w:pPr>
        <w:ind w:firstLine="464"/>
        <w:spacing w:after="0" w:line="291" w:lineRule="auto"/>
        <w:tabs>
          <w:tab w:leader="none" w:pos="695"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Authorizations; Private Authorizations; Governmental Filings</w:t>
      </w:r>
      <w:r>
        <w:rPr>
          <w:rFonts w:ascii="Arial" w:cs="Arial" w:eastAsia="Arial" w:hAnsi="Arial"/>
          <w:sz w:val="16"/>
          <w:szCs w:val="16"/>
          <w:color w:val="auto"/>
        </w:rPr>
        <w:t>. Other than any filings the Originator may be required to file after the Original Closing Date as a public company subject to the Securities Exchange Act of 1934, as amended, the Originator has obtained, maintained and kept in full force and effect all Governmental Authorizations and Private Authorizations which are necessary for it to properly carry out its business, and has made all Governmental Filings necessary for the execution and delivery by it of this Agreement and the performance by the Originator of its obligations under this Agreement, and no Governmental Authorization, Private Authorization or Governmental Filing which has not been obtained or made is required to be obtained or made by it in connection with the execution and delivery by it of this Agreement or the performance of its obligations under this Agreement;</w:t>
      </w:r>
    </w:p>
    <w:p>
      <w:pPr>
        <w:spacing w:after="0" w:line="120" w:lineRule="exact"/>
        <w:rPr>
          <w:rFonts w:ascii="Arial" w:cs="Arial" w:eastAsia="Arial" w:hAnsi="Arial"/>
          <w:sz w:val="16"/>
          <w:szCs w:val="16"/>
          <w:color w:val="auto"/>
        </w:rPr>
      </w:pPr>
    </w:p>
    <w:p>
      <w:pPr>
        <w:ind w:right="140" w:firstLine="464"/>
        <w:spacing w:after="0" w:line="259" w:lineRule="auto"/>
        <w:tabs>
          <w:tab w:leader="none" w:pos="676"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The Originator has duly observed and complied with all Applicable Laws relating to the conduct of its business and its assets except where the failure to do so could not reasonably be expected to result in a material adverse effect upon the performance by the Originator of its duties under, or on the validity or enforceability of this Agreement.</w:t>
      </w:r>
    </w:p>
    <w:p>
      <w:pPr>
        <w:spacing w:after="0" w:line="140"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The Originator, at the time of and after giving effect to each conveyance of Assets hereunder on such Purchase Date, is Solvent on and as of the date thereof.</w:t>
      </w:r>
    </w:p>
    <w:p>
      <w:pPr>
        <w:spacing w:after="0" w:line="131" w:lineRule="exact"/>
        <w:rPr>
          <w:rFonts w:ascii="Arial" w:cs="Arial" w:eastAsia="Arial" w:hAnsi="Arial"/>
          <w:sz w:val="18"/>
          <w:szCs w:val="18"/>
          <w:color w:val="auto"/>
        </w:rPr>
      </w:pPr>
    </w:p>
    <w:p>
      <w:pPr>
        <w:ind w:right="60" w:firstLine="464"/>
        <w:spacing w:after="0" w:line="294" w:lineRule="auto"/>
        <w:tabs>
          <w:tab w:leader="none" w:pos="705"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Originator has filed or caused to be filed all tax returns which, to its knowledge, are required to be filed and has paid all taxes shown to be due and payable on such returns or on any assessments made against it or any of its property and all other taxes, fees or other charges imposed on it or any of its property by any Authority (other than any amount of tax due, the validity of which is currently being contested in good faith by appropriate proceedings and with respect to which reserves in accordance with generally accepted accounting principles have been provided on the books of the Originator); no tax lien has been filed and, to the Originator’s knowledge, no claim is being asserted, with respect to any such tax, fee or other charge.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9" w:right="259" w:bottom="1440" w:gutter="0" w:footer="0" w:header="0"/>
        </w:sectPr>
      </w:pPr>
    </w:p>
    <w:bookmarkStart w:id="318" w:name="page319"/>
    <w:bookmarkEnd w:id="318"/>
    <w:p>
      <w:pPr>
        <w:ind w:left="-40" w:right="40" w:firstLine="464"/>
        <w:spacing w:after="0" w:line="259" w:lineRule="auto"/>
        <w:tabs>
          <w:tab w:leader="none" w:pos="62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Place of Business; No Changes</w:t>
      </w:r>
      <w:r>
        <w:rPr>
          <w:rFonts w:ascii="Arial" w:cs="Arial" w:eastAsia="Arial" w:hAnsi="Arial"/>
          <w:sz w:val="18"/>
          <w:szCs w:val="18"/>
          <w:color w:val="auto"/>
        </w:rPr>
        <w:t>. The Originator’s location (within the meaning of Article 9 of the UCC) is the State of Delaware. The Originator has not changed its name, whether by amendment of its certificate of incorporation, by reorganization or otherwise, and has not changed its location within the four months preceding the Original Closing Date or the Closing Date.</w:t>
      </w:r>
    </w:p>
    <w:p>
      <w:pPr>
        <w:spacing w:after="0" w:line="140" w:lineRule="exact"/>
        <w:rPr>
          <w:rFonts w:ascii="Arial" w:cs="Arial" w:eastAsia="Arial" w:hAnsi="Arial"/>
          <w:sz w:val="18"/>
          <w:szCs w:val="18"/>
          <w:color w:val="auto"/>
        </w:rPr>
      </w:pPr>
    </w:p>
    <w:p>
      <w:pPr>
        <w:ind w:left="640" w:hanging="216"/>
        <w:spacing w:after="0"/>
        <w:tabs>
          <w:tab w:leader="none" w:pos="640"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Not an Investment Company</w:t>
      </w:r>
      <w:r>
        <w:rPr>
          <w:rFonts w:ascii="Arial" w:cs="Arial" w:eastAsia="Arial" w:hAnsi="Arial"/>
          <w:sz w:val="16"/>
          <w:szCs w:val="16"/>
          <w:color w:val="auto"/>
        </w:rPr>
        <w:t>. The Originator is not required to be registered as an “investment company” within the meaning of the 1940 Act.</w:t>
      </w:r>
    </w:p>
    <w:p>
      <w:pPr>
        <w:spacing w:after="0" w:line="194" w:lineRule="exact"/>
        <w:rPr>
          <w:rFonts w:ascii="Arial" w:cs="Arial" w:eastAsia="Arial" w:hAnsi="Arial"/>
          <w:sz w:val="16"/>
          <w:szCs w:val="16"/>
          <w:color w:val="auto"/>
        </w:rPr>
      </w:pPr>
    </w:p>
    <w:p>
      <w:pPr>
        <w:ind w:left="-40" w:right="160" w:firstLine="464"/>
        <w:spacing w:after="0" w:line="298" w:lineRule="auto"/>
        <w:tabs>
          <w:tab w:leader="none" w:pos="665"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Value Given</w:t>
      </w:r>
      <w:r>
        <w:rPr>
          <w:rFonts w:ascii="Arial" w:cs="Arial" w:eastAsia="Arial" w:hAnsi="Arial"/>
          <w:sz w:val="16"/>
          <w:szCs w:val="16"/>
          <w:color w:val="auto"/>
        </w:rPr>
        <w:t>. The cash payments received by the Originator and the increase in the Originator’s equity interest in the Buyer as a result of any capital contribution by the Originator to the Buyer in respect of the Purchase Price of the Assets sold hereunder constitute reasonably equivalent value in consideration for the transfer to the Buyer of such Assets under this Agreement, such transfer was not made for or on account of an antecedent debt owed by the Originator to the Buyer, and such transfer was not and is not voidable or subject to avoidance under any applicable bankruptcy laws.</w:t>
      </w:r>
    </w:p>
    <w:p>
      <w:pPr>
        <w:spacing w:after="0" w:line="112" w:lineRule="exact"/>
        <w:rPr>
          <w:rFonts w:ascii="Arial" w:cs="Arial" w:eastAsia="Arial" w:hAnsi="Arial"/>
          <w:sz w:val="16"/>
          <w:szCs w:val="16"/>
          <w:color w:val="auto"/>
        </w:rPr>
      </w:pPr>
    </w:p>
    <w:p>
      <w:pPr>
        <w:ind w:left="-40" w:right="80" w:firstLine="464"/>
        <w:spacing w:after="0" w:line="268" w:lineRule="auto"/>
        <w:tabs>
          <w:tab w:leader="none" w:pos="62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Lack of Intent to Hinder, Delay or Defraud</w:t>
      </w:r>
      <w:r>
        <w:rPr>
          <w:rFonts w:ascii="Arial" w:cs="Arial" w:eastAsia="Arial" w:hAnsi="Arial"/>
          <w:sz w:val="18"/>
          <w:szCs w:val="18"/>
          <w:color w:val="auto"/>
        </w:rPr>
        <w:t>. The Originator is not selling any interest in any Assets transferred on such Purchase Date with any intent to hinder, delay or defraud its creditors.</w:t>
      </w:r>
    </w:p>
    <w:p>
      <w:pPr>
        <w:spacing w:after="0" w:line="131" w:lineRule="exact"/>
        <w:rPr>
          <w:rFonts w:ascii="Arial" w:cs="Arial" w:eastAsia="Arial" w:hAnsi="Arial"/>
          <w:sz w:val="18"/>
          <w:szCs w:val="18"/>
          <w:color w:val="auto"/>
        </w:rPr>
      </w:pPr>
    </w:p>
    <w:p>
      <w:pPr>
        <w:ind w:left="-40" w:right="220" w:firstLine="464"/>
        <w:spacing w:after="0" w:line="268" w:lineRule="auto"/>
        <w:tabs>
          <w:tab w:leader="none" w:pos="714"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Nonconsolidation</w:t>
      </w:r>
      <w:r>
        <w:rPr>
          <w:rFonts w:ascii="Arial" w:cs="Arial" w:eastAsia="Arial" w:hAnsi="Arial"/>
          <w:sz w:val="18"/>
          <w:szCs w:val="18"/>
          <w:color w:val="auto"/>
        </w:rPr>
        <w:t>. The Originator conducts its affairs such that the Buyer would not be substantively consolidated in the estate of the Originator and their respective separate existences would not be disregarded in the event of the Originator’s bankruptcy.</w:t>
      </w:r>
    </w:p>
    <w:p>
      <w:pPr>
        <w:spacing w:after="0" w:line="131" w:lineRule="exact"/>
        <w:rPr>
          <w:rFonts w:ascii="Arial" w:cs="Arial" w:eastAsia="Arial" w:hAnsi="Arial"/>
          <w:sz w:val="18"/>
          <w:szCs w:val="18"/>
          <w:color w:val="auto"/>
        </w:rPr>
      </w:pPr>
    </w:p>
    <w:p>
      <w:pPr>
        <w:jc w:val="both"/>
        <w:ind w:left="-40" w:firstLine="464"/>
        <w:spacing w:after="0" w:line="294" w:lineRule="auto"/>
        <w:tabs>
          <w:tab w:leader="none" w:pos="665"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Accuracy of Information</w:t>
      </w:r>
      <w:r>
        <w:rPr>
          <w:rFonts w:ascii="Arial" w:cs="Arial" w:eastAsia="Arial" w:hAnsi="Arial"/>
          <w:sz w:val="16"/>
          <w:szCs w:val="16"/>
          <w:color w:val="auto"/>
        </w:rPr>
        <w:t xml:space="preserve">. All written factual information heretofore furnished by the Originator for purposes of or in connection with this Agreement or any transaction contemplated hereby is, and all such written factual information hereafter furnished by the Originator pursuant to this Agreement will be, accurate in all material respects, on or as of the date such information is stated or certified;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Originator shall not be responsible for, nor have any liability with respect to, any factual information furnished to it by any third party not affiliated with it, except to the extent that a responsible officer of the Originator has actual knowledge that such factual information is inaccurate in any material respect.</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Representations and Warranties of the Originator Relating to the Agreement and the Collateral</w:t>
      </w:r>
      <w:r>
        <w:rPr>
          <w:rFonts w:ascii="Arial" w:cs="Arial" w:eastAsia="Arial" w:hAnsi="Arial"/>
          <w:sz w:val="18"/>
          <w:szCs w:val="18"/>
          <w:color w:val="auto"/>
        </w:rPr>
        <w:t>.</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Originator hereby represents and warrants to the Buyer and as of the Original Closing Date, the Closing Date and as of the applicable Purchase Date:</w:t>
      </w:r>
    </w:p>
    <w:p>
      <w:pPr>
        <w:spacing w:after="0" w:line="113" w:lineRule="exact"/>
        <w:rPr>
          <w:sz w:val="20"/>
          <w:szCs w:val="20"/>
          <w:color w:val="auto"/>
        </w:rPr>
      </w:pPr>
    </w:p>
    <w:p>
      <w:pPr>
        <w:jc w:val="both"/>
        <w:ind w:left="-40" w:right="120" w:firstLine="464"/>
        <w:spacing w:after="0" w:line="259" w:lineRule="auto"/>
        <w:tabs>
          <w:tab w:leader="none" w:pos="655"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Valid Transfer and Security Interest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2.01(g)</w:t>
      </w:r>
      <w:r>
        <w:rPr>
          <w:rFonts w:ascii="Arial" w:cs="Arial" w:eastAsia="Arial" w:hAnsi="Arial"/>
          <w:sz w:val="18"/>
          <w:szCs w:val="18"/>
          <w:color w:val="auto"/>
        </w:rPr>
        <w:t>, this Agreement constitutes a valid transfer to the Buyer of all right, title and interest of the Originator in, to and under the Assets being transferred on such Purchase Date, free and clear of any lien, claim or encumbrance, except for Permitted Liens. To the extent it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80" w:right="25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by a court of competent jurisdiction that the conveyances of the Assets provided for in Section 2.01(a) of this Agreement is a transfer for security:</w:t>
      </w:r>
    </w:p>
    <w:p>
      <w:pPr>
        <w:spacing w:after="0" w:line="113" w:lineRule="exact"/>
        <w:rPr>
          <w:sz w:val="20"/>
          <w:szCs w:val="20"/>
          <w:color w:val="auto"/>
        </w:rPr>
      </w:pPr>
    </w:p>
    <w:p>
      <w:pPr>
        <w:ind w:left="460" w:right="140" w:firstLine="4"/>
        <w:spacing w:after="0" w:line="259" w:lineRule="auto"/>
        <w:tabs>
          <w:tab w:leader="none" w:pos="67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Agreement creates a valid and continuing security interest (as defined in the applicable UCC) in the Assets transferred by the Originator to the Buyer pursuant to this Agreement in favor of the Buyer, which security interest is prior to all other liens, claims, and encumbrances (other than Permitted Liens), and is enforceable as such against creditors of and purchasers from Originator;</w:t>
      </w:r>
    </w:p>
    <w:p>
      <w:pPr>
        <w:spacing w:after="0" w:line="59" w:lineRule="exact"/>
        <w:rPr>
          <w:rFonts w:ascii="Arial" w:cs="Arial" w:eastAsia="Arial" w:hAnsi="Arial"/>
          <w:sz w:val="18"/>
          <w:szCs w:val="18"/>
          <w:color w:val="auto"/>
        </w:rPr>
      </w:pPr>
    </w:p>
    <w:p>
      <w:pPr>
        <w:ind w:left="460" w:right="220" w:firstLine="4"/>
        <w:spacing w:after="0" w:line="268" w:lineRule="auto"/>
        <w:tabs>
          <w:tab w:leader="none" w:pos="71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such Assets constitute “general intangibles,” “instruments,” “accounts,” “investment property,” “investment property,” or “chattel paper,” within the meaning of the applicable UCC;</w:t>
      </w:r>
    </w:p>
    <w:p>
      <w:pPr>
        <w:spacing w:after="0" w:line="50" w:lineRule="exact"/>
        <w:rPr>
          <w:rFonts w:ascii="Arial" w:cs="Arial" w:eastAsia="Arial" w:hAnsi="Arial"/>
          <w:sz w:val="18"/>
          <w:szCs w:val="18"/>
          <w:color w:val="auto"/>
        </w:rPr>
      </w:pPr>
    </w:p>
    <w:p>
      <w:pPr>
        <w:ind w:left="460" w:right="480" w:firstLine="4"/>
        <w:spacing w:after="0" w:line="268" w:lineRule="auto"/>
        <w:tabs>
          <w:tab w:leader="none" w:pos="76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Originator owns and has good and marketable title to such Assets free and clear of any lien, claim or encumbrance of any Person, other than Permitted Liens;</w:t>
      </w:r>
    </w:p>
    <w:p>
      <w:pPr>
        <w:spacing w:after="0" w:line="50" w:lineRule="exact"/>
        <w:rPr>
          <w:rFonts w:ascii="Arial" w:cs="Arial" w:eastAsia="Arial" w:hAnsi="Arial"/>
          <w:sz w:val="18"/>
          <w:szCs w:val="18"/>
          <w:color w:val="auto"/>
        </w:rPr>
      </w:pPr>
    </w:p>
    <w:p>
      <w:pPr>
        <w:ind w:left="760" w:hanging="296"/>
        <w:spacing w:after="0"/>
        <w:tabs>
          <w:tab w:leader="none" w:pos="76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the Originator has received all consents and approvals required by the terms of such Assets to the sale of such Assets hereunder to the Buyer (except</w:t>
      </w:r>
    </w:p>
    <w:p>
      <w:pPr>
        <w:spacing w:after="0" w:line="49" w:lineRule="exact"/>
        <w:rPr>
          <w:rFonts w:ascii="Arial" w:cs="Arial" w:eastAsia="Arial" w:hAnsi="Arial"/>
          <w:sz w:val="15"/>
          <w:szCs w:val="15"/>
          <w:color w:val="auto"/>
        </w:rPr>
      </w:pPr>
    </w:p>
    <w:p>
      <w:pPr>
        <w:ind w:left="460" w:right="140"/>
        <w:spacing w:after="0" w:line="323" w:lineRule="auto"/>
        <w:rPr>
          <w:rFonts w:ascii="Arial" w:cs="Arial" w:eastAsia="Arial" w:hAnsi="Arial"/>
          <w:sz w:val="15"/>
          <w:szCs w:val="15"/>
          <w:color w:val="auto"/>
        </w:rPr>
      </w:pPr>
      <w:r>
        <w:rPr>
          <w:rFonts w:ascii="Arial" w:cs="Arial" w:eastAsia="Arial" w:hAnsi="Arial"/>
          <w:sz w:val="16"/>
          <w:szCs w:val="16"/>
          <w:color w:val="auto"/>
        </w:rPr>
        <w:t>(A) to the extent that the requirement for such consent is rendered ineffective under Sections 9-406 through 9-409 of the UCC and (B) for any customary procedural requirements and agents’ and/or obligors’ consents expected to be obtained in due course and for Permitted Liens);</w:t>
      </w:r>
    </w:p>
    <w:p>
      <w:pPr>
        <w:spacing w:after="0" w:line="11" w:lineRule="exact"/>
        <w:rPr>
          <w:rFonts w:ascii="Arial" w:cs="Arial" w:eastAsia="Arial" w:hAnsi="Arial"/>
          <w:sz w:val="15"/>
          <w:szCs w:val="15"/>
          <w:color w:val="auto"/>
        </w:rPr>
      </w:pPr>
    </w:p>
    <w:p>
      <w:pPr>
        <w:ind w:left="460" w:right="80" w:firstLine="4"/>
        <w:spacing w:after="0" w:line="259" w:lineRule="auto"/>
        <w:tabs>
          <w:tab w:leader="none" w:pos="70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the Originator has caused or will have caused, within ten days, the filing of all appropriate financing statements contemplated by </w:t>
      </w:r>
      <w:r>
        <w:rPr>
          <w:rFonts w:ascii="Arial" w:cs="Arial" w:eastAsia="Arial" w:hAnsi="Arial"/>
          <w:sz w:val="18"/>
          <w:szCs w:val="18"/>
          <w:u w:val="single" w:color="auto"/>
          <w:color w:val="auto"/>
        </w:rPr>
        <w:t>Section 2.01(f)</w:t>
      </w:r>
      <w:r>
        <w:rPr>
          <w:rFonts w:ascii="Arial" w:cs="Arial" w:eastAsia="Arial" w:hAnsi="Arial"/>
          <w:sz w:val="18"/>
          <w:szCs w:val="18"/>
          <w:color w:val="auto"/>
        </w:rPr>
        <w:t xml:space="preserve"> in the proper filing office in the appropriate jurisdictions under applicable law in order to perfect the security interest in such Assets granted to the Buyer hereunder, to the extent such security interest can be perfected by filing a financing statement;</w:t>
      </w:r>
    </w:p>
    <w:p>
      <w:pPr>
        <w:spacing w:after="0" w:line="59" w:lineRule="exact"/>
        <w:rPr>
          <w:rFonts w:ascii="Arial" w:cs="Arial" w:eastAsia="Arial" w:hAnsi="Arial"/>
          <w:sz w:val="18"/>
          <w:szCs w:val="18"/>
          <w:color w:val="auto"/>
        </w:rPr>
      </w:pPr>
    </w:p>
    <w:p>
      <w:pPr>
        <w:ind w:left="460" w:firstLine="4"/>
        <w:spacing w:after="0" w:line="294" w:lineRule="auto"/>
        <w:tabs>
          <w:tab w:leader="none" w:pos="757" w:val="left"/>
        </w:tabs>
        <w:numPr>
          <w:ilvl w:val="0"/>
          <w:numId w:val="323"/>
        </w:numPr>
        <w:rPr>
          <w:rFonts w:ascii="Arial" w:cs="Arial" w:eastAsia="Arial" w:hAnsi="Arial"/>
          <w:sz w:val="16"/>
          <w:szCs w:val="16"/>
          <w:color w:val="auto"/>
        </w:rPr>
      </w:pPr>
      <w:r>
        <w:rPr>
          <w:rFonts w:ascii="Arial" w:cs="Arial" w:eastAsia="Arial" w:hAnsi="Arial"/>
          <w:sz w:val="16"/>
          <w:szCs w:val="16"/>
          <w:color w:val="auto"/>
        </w:rPr>
        <w:t>other than the security interest granted to the Buyer pursuant to this Agreement and any security interest that would be released upon the transfer of such Assets by the Originator to the Buyer, the Originator has not pledged, assigned, sold, granted a security interest in, or otherwise conveyed any of such Assets. The Originator has not authorized the filing of and is not aware of any financing statements against the Originator that include a description of collateral covering such Assets other than any financing statement relating to the security interest granted to the Buyer hereunder or that has been terminated. The Originator is not aware of any judgment or tax lien filings against the Originator;</w:t>
      </w:r>
    </w:p>
    <w:p>
      <w:pPr>
        <w:spacing w:after="0" w:line="34" w:lineRule="exact"/>
        <w:rPr>
          <w:rFonts w:ascii="Arial" w:cs="Arial" w:eastAsia="Arial" w:hAnsi="Arial"/>
          <w:sz w:val="16"/>
          <w:szCs w:val="16"/>
          <w:color w:val="auto"/>
        </w:rPr>
      </w:pPr>
    </w:p>
    <w:p>
      <w:pPr>
        <w:ind w:left="460" w:right="260" w:firstLine="4"/>
        <w:spacing w:after="0" w:line="268" w:lineRule="auto"/>
        <w:tabs>
          <w:tab w:leader="none" w:pos="80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original executed copies of each promissory note, if any, that constitute or evidence such Assets have been delivered to the Custodian under the Credit Agreement;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320" w:name="page321"/>
    <w:bookmarkEnd w:id="320"/>
    <w:p>
      <w:pPr>
        <w:ind w:left="440" w:right="500" w:firstLine="4"/>
        <w:spacing w:after="0" w:line="268" w:lineRule="auto"/>
        <w:tabs>
          <w:tab w:leader="none" w:pos="835"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promissory notes, if any, that constitute or evidence such Assets has any marks or notations indicating that they have been pledged, assigned, or otherwise conveyed to any Person other than the Buyer.</w:t>
      </w:r>
    </w:p>
    <w:p>
      <w:pPr>
        <w:spacing w:after="0" w:line="132" w:lineRule="exact"/>
        <w:rPr>
          <w:sz w:val="20"/>
          <w:szCs w:val="20"/>
          <w:color w:val="auto"/>
        </w:rPr>
      </w:pPr>
    </w:p>
    <w:p>
      <w:pPr>
        <w:ind w:left="-20" w:firstLine="464"/>
        <w:spacing w:after="0" w:line="256" w:lineRule="auto"/>
        <w:tabs>
          <w:tab w:leader="none" w:pos="685"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Eligibility of Collateral</w:t>
      </w:r>
      <w:r>
        <w:rPr>
          <w:rFonts w:ascii="Arial" w:cs="Arial" w:eastAsia="Arial" w:hAnsi="Arial"/>
          <w:sz w:val="18"/>
          <w:szCs w:val="18"/>
          <w:color w:val="auto"/>
        </w:rPr>
        <w:t xml:space="preserve">. As of the applicable Purchase Date, (i) the Asset Schedule is an accurate and complete listing of all Assets being Purchased on such Purchase Date and the information contained therein with respect to the identity of such Assets and the amounts owing thereunder is true and correct as of such Purchase Date, and (ii) the representations and warranties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are true and correct with respect to each Asset being Purchased on such Purchase Date.</w:t>
      </w:r>
    </w:p>
    <w:p>
      <w:pPr>
        <w:spacing w:after="0" w:line="143" w:lineRule="exact"/>
        <w:rPr>
          <w:rFonts w:ascii="Arial" w:cs="Arial" w:eastAsia="Arial" w:hAnsi="Arial"/>
          <w:sz w:val="18"/>
          <w:szCs w:val="18"/>
          <w:color w:val="auto"/>
        </w:rPr>
      </w:pPr>
    </w:p>
    <w:p>
      <w:pPr>
        <w:ind w:left="-20" w:right="200" w:firstLine="464"/>
        <w:spacing w:after="0" w:line="268" w:lineRule="auto"/>
        <w:tabs>
          <w:tab w:leader="none" w:pos="675"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No Fraud</w:t>
      </w:r>
      <w:r>
        <w:rPr>
          <w:rFonts w:ascii="Arial" w:cs="Arial" w:eastAsia="Arial" w:hAnsi="Arial"/>
          <w:sz w:val="18"/>
          <w:szCs w:val="18"/>
          <w:color w:val="auto"/>
        </w:rPr>
        <w:t>. Each Asset being Purchased on such Purchase Date was originated without any fraud or material misrepresentation by the Originator or, to the best of the Originator’s knowledge, on the part of the Obligor.</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b w:val="1"/>
          <w:bCs w:val="1"/>
          <w:u w:val="single" w:color="auto"/>
          <w:color w:val="auto"/>
        </w:rPr>
        <w:t>Representations and Warranties Regarding the Buyer</w:t>
      </w:r>
      <w:r>
        <w:rPr>
          <w:rFonts w:ascii="Arial" w:cs="Arial" w:eastAsia="Arial" w:hAnsi="Arial"/>
          <w:sz w:val="18"/>
          <w:szCs w:val="18"/>
          <w:color w:val="auto"/>
        </w:rPr>
        <w:t>.</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its execution of this Agreement, the Buyer represents and warrants to the Originator that:</w:t>
      </w:r>
    </w:p>
    <w:p>
      <w:pPr>
        <w:spacing w:after="0" w:line="90" w:lineRule="exact"/>
        <w:rPr>
          <w:sz w:val="20"/>
          <w:szCs w:val="20"/>
          <w:color w:val="auto"/>
        </w:rPr>
      </w:pPr>
    </w:p>
    <w:p>
      <w:pPr>
        <w:ind w:left="-20" w:firstLine="464"/>
        <w:spacing w:after="0" w:line="259" w:lineRule="auto"/>
        <w:tabs>
          <w:tab w:leader="none" w:pos="675"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The Buyer is a limited liability company duly organized and validly existing under the laws of the State of Delaware, with full power and authority to own and operate its assets and properties, conduct the business in which it is now engaged and to execute and deliver and perform its obligations under this Agreement;</w:t>
      </w:r>
    </w:p>
    <w:p>
      <w:pPr>
        <w:spacing w:after="0" w:line="140" w:lineRule="exact"/>
        <w:rPr>
          <w:rFonts w:ascii="Arial" w:cs="Arial" w:eastAsia="Arial" w:hAnsi="Arial"/>
          <w:sz w:val="18"/>
          <w:szCs w:val="18"/>
          <w:color w:val="auto"/>
        </w:rPr>
      </w:pPr>
    </w:p>
    <w:p>
      <w:pPr>
        <w:ind w:left="-20" w:right="240" w:firstLine="464"/>
        <w:spacing w:after="0" w:line="294" w:lineRule="auto"/>
        <w:tabs>
          <w:tab w:leader="none" w:pos="685"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Due Qualification and Good Standing</w:t>
      </w:r>
      <w:r>
        <w:rPr>
          <w:rFonts w:ascii="Arial" w:cs="Arial" w:eastAsia="Arial" w:hAnsi="Arial"/>
          <w:sz w:val="16"/>
          <w:szCs w:val="16"/>
          <w:color w:val="auto"/>
        </w:rPr>
        <w:t>. The Buyer is in good standing in the State of Delaware. The Buyer is duly qualified to do business and, to the extent applicable, is in good standing in each other jurisdiction in which the nature of its business, assets and properties, including the performance of its obligations under this Agreement and its organizational documents, requires such qualification, except where the failure to be so qualified or in good standing could not reasonably be expected to have a material adverse effect on the business operations, assets or financial condition of the Buyer or on the validity or enforceability of this Agreement or the performance by the Buyer of its obligations hereunder;</w:t>
      </w:r>
    </w:p>
    <w:p>
      <w:pPr>
        <w:spacing w:after="0" w:line="115" w:lineRule="exact"/>
        <w:rPr>
          <w:rFonts w:ascii="Arial" w:cs="Arial" w:eastAsia="Arial" w:hAnsi="Arial"/>
          <w:sz w:val="16"/>
          <w:szCs w:val="16"/>
          <w:color w:val="auto"/>
        </w:rPr>
      </w:pPr>
    </w:p>
    <w:p>
      <w:pPr>
        <w:ind w:left="-20" w:firstLine="464"/>
        <w:spacing w:after="0" w:line="294" w:lineRule="auto"/>
        <w:tabs>
          <w:tab w:leader="none" w:pos="675"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Due Authorization; Execution and Delivery; Legal, Valid and Binding; Enforceability</w:t>
      </w:r>
      <w:r>
        <w:rPr>
          <w:rFonts w:ascii="Arial" w:cs="Arial" w:eastAsia="Arial" w:hAnsi="Arial"/>
          <w:sz w:val="16"/>
          <w:szCs w:val="16"/>
          <w:color w:val="auto"/>
        </w:rPr>
        <w:t>. The execution and delivery by the Buyer of, and the performance of its obligations under this Agreement, and the other instruments, certificates and agreements contemplated 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80" w:right="259" w:bottom="1440" w:gutter="0" w:footer="0" w:header="0"/>
        </w:sectPr>
      </w:pPr>
    </w:p>
    <w:bookmarkStart w:id="321" w:name="page322"/>
    <w:bookmarkEnd w:id="321"/>
    <w:p>
      <w:pPr>
        <w:ind w:firstLine="464"/>
        <w:spacing w:after="0" w:line="289" w:lineRule="auto"/>
        <w:tabs>
          <w:tab w:leader="none" w:pos="705" w:val="left"/>
        </w:tabs>
        <w:numPr>
          <w:ilvl w:val="0"/>
          <w:numId w:val="3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rFonts w:ascii="Arial" w:cs="Arial" w:eastAsia="Arial" w:hAnsi="Arial"/>
          <w:sz w:val="16"/>
          <w:szCs w:val="16"/>
          <w:u w:val="single" w:color="auto"/>
          <w:color w:val="auto"/>
        </w:rPr>
        <w:t>on-Contravention</w:t>
      </w:r>
      <w:r>
        <w:rPr>
          <w:rFonts w:ascii="Arial" w:cs="Arial" w:eastAsia="Arial" w:hAnsi="Arial"/>
          <w:sz w:val="16"/>
          <w:szCs w:val="16"/>
          <w:color w:val="auto"/>
        </w:rPr>
        <w:t>. None of the execution and delivery by the Buyer of this Agreement, the consummation by it of the transactions herein contemplated, or performance and compliance by it with the terms, conditions and provisions hereof, will (i) conflict with, or result in a breach or violation of, or constitute a default under its organizational documents, (ii) conflict with or contravene (A) any Applicable Law, (B) any indenture, agreement or other contractual restriction binding on or affecting it or any of its assets,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w:t>
      </w:r>
    </w:p>
    <w:p>
      <w:pPr>
        <w:spacing w:after="0" w:line="118" w:lineRule="exact"/>
        <w:rPr>
          <w:rFonts w:ascii="Arial" w:cs="Arial" w:eastAsia="Arial" w:hAnsi="Arial"/>
          <w:sz w:val="16"/>
          <w:szCs w:val="16"/>
          <w:color w:val="auto"/>
        </w:rPr>
      </w:pPr>
    </w:p>
    <w:p>
      <w:pPr>
        <w:ind w:right="40" w:firstLine="464"/>
        <w:spacing w:after="0" w:line="294" w:lineRule="auto"/>
        <w:tabs>
          <w:tab w:leader="none" w:pos="695"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Authorizations; Private Authorizations; Governmental Filings</w:t>
      </w:r>
      <w:r>
        <w:rPr>
          <w:rFonts w:ascii="Arial" w:cs="Arial" w:eastAsia="Arial" w:hAnsi="Arial"/>
          <w:sz w:val="16"/>
          <w:szCs w:val="16"/>
          <w:color w:val="auto"/>
        </w:rPr>
        <w:t>. The Buyer has obtained, maintained and kept in full force and effect all Governmental Authorizations and Private Authorizations which are necessary for it to properly carry out its business, and made all Governmental Filings necessary for the execution and delivery by it of this Agreement and the performance by the Buyer of its obligations under this Agreement, and no Governmental Authorization, Private Authorization or Governmental Filing which has not been obtained or made is required to be obtained or made by it in connection with the execution and delivery by it of this Agreement or the performance of its obligations under this Agreement.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4.04. </w:t>
      </w:r>
      <w:r>
        <w:rPr>
          <w:rFonts w:ascii="Arial" w:cs="Arial" w:eastAsia="Arial" w:hAnsi="Arial"/>
          <w:sz w:val="18"/>
          <w:szCs w:val="18"/>
          <w:b w:val="1"/>
          <w:bCs w:val="1"/>
          <w:u w:val="single" w:color="auto"/>
          <w:color w:val="auto"/>
        </w:rPr>
        <w:t>Ordinary Course of Business</w:t>
      </w:r>
      <w:r>
        <w:rPr>
          <w:rFonts w:ascii="Arial" w:cs="Arial" w:eastAsia="Arial" w:hAnsi="Arial"/>
          <w:sz w:val="18"/>
          <w:szCs w:val="18"/>
          <w:color w:val="auto"/>
        </w:rPr>
        <w:t>.</w:t>
      </w:r>
    </w:p>
    <w:p>
      <w:pPr>
        <w:spacing w:after="0" w:line="9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Each of the Originator and the Buyer represents and warrants to the other as to itself that in the event the conveyances of the Assets provided for in Section 2.01(a) of this Agreement are determined by a court of competent jurisdiction to be a transfer for security, each remittance of payments, if any, by the Originator hereunder to the Buyer under this Agreement will have been (i) in payment of an obligation incurred by the Originator in the ordinary course of business or financial affairs of the Originator and the Buyer, as the case may be, and (ii) made in the ordinary course of business or financial affairs of the Originator and the Buyer.</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b w:val="1"/>
          <w:bCs w:val="1"/>
          <w:u w:val="single" w:color="auto"/>
          <w:color w:val="auto"/>
        </w:rPr>
        <w:t>Affirmative Covenants of the Originator</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From the date hereof until the termination of this Agreement:</w:t>
      </w:r>
    </w:p>
    <w:p>
      <w:pPr>
        <w:spacing w:after="0" w:line="90" w:lineRule="exact"/>
        <w:rPr>
          <w:sz w:val="20"/>
          <w:szCs w:val="20"/>
          <w:color w:val="auto"/>
        </w:rPr>
      </w:pPr>
    </w:p>
    <w:p>
      <w:pPr>
        <w:ind w:right="740" w:firstLine="464"/>
        <w:spacing w:after="0" w:line="268" w:lineRule="auto"/>
        <w:tabs>
          <w:tab w:leader="none" w:pos="69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Preservation of Corporate Existence</w:t>
      </w:r>
      <w:r>
        <w:rPr>
          <w:rFonts w:ascii="Arial" w:cs="Arial" w:eastAsia="Arial" w:hAnsi="Arial"/>
          <w:sz w:val="18"/>
          <w:szCs w:val="18"/>
          <w:color w:val="auto"/>
        </w:rPr>
        <w:t>. The Originator will preserve and maintain its corporate existence, rights, franchises and privileges in the jurisdiction of its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322" w:name="page323"/>
    <w:bookmarkEnd w:id="322"/>
    <w:p>
      <w:pPr>
        <w:ind w:right="1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 on the business operations, assets or financial condition of the Originator or on the validity or enforceability of this Agreement, or the performance by the Originator of its duties hereunder.</w:t>
      </w:r>
    </w:p>
    <w:p>
      <w:pPr>
        <w:spacing w:after="0" w:line="88" w:lineRule="exact"/>
        <w:rPr>
          <w:sz w:val="20"/>
          <w:szCs w:val="20"/>
          <w:color w:val="auto"/>
        </w:rPr>
      </w:pPr>
    </w:p>
    <w:p>
      <w:pPr>
        <w:ind w:firstLine="464"/>
        <w:spacing w:after="0" w:line="290" w:lineRule="auto"/>
        <w:tabs>
          <w:tab w:leader="none" w:pos="705"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Protection of Interest in Collateral</w:t>
      </w:r>
      <w:r>
        <w:rPr>
          <w:rFonts w:ascii="Arial" w:cs="Arial" w:eastAsia="Arial" w:hAnsi="Arial"/>
          <w:sz w:val="16"/>
          <w:szCs w:val="16"/>
          <w:color w:val="auto"/>
        </w:rPr>
        <w:t xml:space="preserve">. With respect to the Assets Purchased by the Buyer, the Originator will (i) (at the Originator’s expense) take all action necessary to perfect, protect and more fully evidence the Buyer’s ownership of such Assets free and clear of any lien, claim or encumbrance other than Permitted Liens, including, without limitation, (a) filing and maintaining (at the Originator’s expense), effective financing statements contemplated by </w:t>
      </w:r>
      <w:r>
        <w:rPr>
          <w:rFonts w:ascii="Arial" w:cs="Arial" w:eastAsia="Arial" w:hAnsi="Arial"/>
          <w:sz w:val="16"/>
          <w:szCs w:val="16"/>
          <w:u w:val="single" w:color="auto"/>
          <w:color w:val="auto"/>
        </w:rPr>
        <w:t>Section 2.01(f)</w:t>
      </w:r>
      <w:r>
        <w:rPr>
          <w:rFonts w:ascii="Arial" w:cs="Arial" w:eastAsia="Arial" w:hAnsi="Arial"/>
          <w:sz w:val="16"/>
          <w:szCs w:val="16"/>
          <w:color w:val="auto"/>
        </w:rPr>
        <w:t xml:space="preserve"> naming the Originator, as debtor, the Buyer, as secured party, and the Collateral Agent, as assignee, in all necessary or appropriate filing offices, and filing continuation statements, amendments or assignments with respect thereto in such filing offices, and (b) executing or causing to be executed such other instruments or notices as may be necessary or appropriate, and (ii) take all additional action that the Buyer or the Collateral Agent, as assignee of the Buyer, may reasonably request to perfect, protect and more fully evidence the ownership by the Buyer of the Assets.</w:t>
      </w:r>
    </w:p>
    <w:p>
      <w:pPr>
        <w:spacing w:after="0" w:line="118"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Delivery of Collections</w:t>
      </w:r>
      <w:r>
        <w:rPr>
          <w:rFonts w:ascii="Arial" w:cs="Arial" w:eastAsia="Arial" w:hAnsi="Arial"/>
          <w:sz w:val="18"/>
          <w:szCs w:val="18"/>
          <w:color w:val="auto"/>
        </w:rPr>
        <w:t>. The Originator will cause all payments received by it relating to all Assets purchased by the Buyer hereunder to be remitted to or at the direction of the Buyer within two (2) Business Days following receipt thereof.</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Separate Identity</w:t>
      </w:r>
      <w:r>
        <w:rPr>
          <w:rFonts w:ascii="Arial" w:cs="Arial" w:eastAsia="Arial" w:hAnsi="Arial"/>
          <w:sz w:val="18"/>
          <w:szCs w:val="18"/>
          <w:color w:val="auto"/>
        </w:rPr>
        <w:t>. The Originator agrees that it shall:</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maintain corporate records and books of account separate from those of the Buyer;</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5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disclose on its annual financial statements the effects of the Originator’s transactions in accordance with GAAP and not reflect in any way on its annual financial statements that the assets of the Buyer, including, without limitation, the Assets to be Purchased by the Buyer hereunder, could be available to pay creditors of the Originator or any other Affiliate of the Originator;</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continuously maintain the resolutions, agreements and other instruments underlying the transactions described in this Agreement as official</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records;</w:t>
      </w:r>
    </w:p>
    <w:p>
      <w:pPr>
        <w:spacing w:after="0" w:line="164" w:lineRule="exact"/>
        <w:rPr>
          <w:rFonts w:ascii="Arial" w:cs="Arial" w:eastAsia="Arial" w:hAnsi="Arial"/>
          <w:sz w:val="16"/>
          <w:szCs w:val="16"/>
          <w:color w:val="auto"/>
        </w:rPr>
      </w:pPr>
    </w:p>
    <w:p>
      <w:pPr>
        <w:ind w:left="1200" w:hanging="297"/>
        <w:spacing w:after="0"/>
        <w:tabs>
          <w:tab w:leader="none" w:pos="12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not hold itself out as being liable for the debts of the Buyer;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keep its assets and its liabilities wholly separate from those of the Buyer;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9" w:right="239" w:bottom="1440" w:gutter="0" w:footer="0" w:header="0"/>
        </w:sectPr>
      </w:pPr>
    </w:p>
    <w:bookmarkStart w:id="323" w:name="page324"/>
    <w:bookmarkEnd w:id="323"/>
    <w:p>
      <w:pPr>
        <w:ind w:left="460" w:right="560" w:firstLine="443"/>
        <w:spacing w:after="0" w:line="268" w:lineRule="auto"/>
        <w:tabs>
          <w:tab w:leader="none" w:pos="1196"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avoid the appearance, and promptly correct any known misperception of any of the Originator’s creditors, that the assets of the Buyer are available to pay the obligations and debts of the Originator.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5.02. </w:t>
      </w:r>
      <w:r>
        <w:rPr>
          <w:rFonts w:ascii="Arial" w:cs="Arial" w:eastAsia="Arial" w:hAnsi="Arial"/>
          <w:sz w:val="18"/>
          <w:szCs w:val="18"/>
          <w:b w:val="1"/>
          <w:bCs w:val="1"/>
          <w:u w:val="single" w:color="auto"/>
          <w:color w:val="auto"/>
        </w:rPr>
        <w:t>Negative Covenants of the Originator</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From the date hereof until the termination of this Agreement:</w:t>
      </w:r>
    </w:p>
    <w:p>
      <w:pPr>
        <w:spacing w:after="0" w:line="90" w:lineRule="exact"/>
        <w:rPr>
          <w:sz w:val="20"/>
          <w:szCs w:val="20"/>
          <w:color w:val="auto"/>
        </w:rPr>
      </w:pPr>
    </w:p>
    <w:p>
      <w:pPr>
        <w:ind w:right="420" w:firstLine="464"/>
        <w:spacing w:after="0" w:line="306" w:lineRule="auto"/>
        <w:tabs>
          <w:tab w:leader="none" w:pos="695"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Change of Name or Location of Loan Files</w:t>
      </w:r>
      <w:r>
        <w:rPr>
          <w:rFonts w:ascii="Arial" w:cs="Arial" w:eastAsia="Arial" w:hAnsi="Arial"/>
          <w:sz w:val="16"/>
          <w:szCs w:val="16"/>
          <w:color w:val="auto"/>
        </w:rPr>
        <w:t>. The Originator shall not change its name or change the jurisdiction of its incorporation, unless the Originator gives written notice thereof to the Buyer and the Collateral Agent, as assignee of the Buyer, and takes all actions required under the UCC of each relevant jurisdiction in order to continue the first priority perfected ownership interest of the Buyer in the Assets purchased by the Buyer hereunder.</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BY THE ORIGINATOR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6.01.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Originator agrees to indemnify, defend and hold harmless the Buyer, its officers, directors, employees and agents (any one of which is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from and against any and all claims, losses, penalties, fines, forfeitures, judgments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indemnification for damages is limited to actual damages, not consequential, special or punitive damages), reasonable legal fees and related costs and any other reasonable costs, fees and expenses that such Person may sustain as a result of the Originator’s fraud or the failure of the Originator to perform its duties in compliance in all material respects with the terms of this Agreement, except to the extent arising from gross negligence, willful misconduct or fraud by the Person claiming indemnification, provided that the Originator shall not be liable for any consequential (including loss of profit), indirect, special or punitive damages hereunder. Any Person seeking indemnification hereunder shall promptly notify the Originator if such Person receives a complaint, claim, compulsory process or other notice of any loss, claim, damage or liability giving rise to a claim of indemnification hereunder but failure to provide such notice shall not relieve the Originator of its indemnification obligations hereunder unless and to the extent the Originator is deprived of material substantive or procedural rights or defenses as a result thereof. The Originator shall assume (with the consent of the Indemnified Party, such consent not to be unreasonably withheld) the defense and any settlement of any such claim and pay all expenses in connection therewith, including reasonable counsel fees, and promptly pay, discharge and satisfy any judgment or decree which may be entered against the Indemnified Party in respect of such claim. The parties agree that the provisions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shall not be interpreted to provide recourse to the Originator against loss by reason of the bankruptcy, insolvency or lack of creditworthiness of an obligor with respect to an Asset Purchased by the Buyer hereunder. The Originator shall have no liability for making indemnification hereunder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9" w:right="25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any such indemnification constitutes recourse for any uncollectible or uncollected Assets.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6.02. </w:t>
      </w:r>
      <w:r>
        <w:rPr>
          <w:rFonts w:ascii="Arial" w:cs="Arial" w:eastAsia="Arial" w:hAnsi="Arial"/>
          <w:sz w:val="18"/>
          <w:szCs w:val="18"/>
          <w:b w:val="1"/>
          <w:bCs w:val="1"/>
          <w:u w:val="single" w:color="auto"/>
          <w:color w:val="auto"/>
        </w:rPr>
        <w:t>Operation of Indemnities</w:t>
      </w:r>
      <w:r>
        <w:rPr>
          <w:rFonts w:ascii="Arial" w:cs="Arial" w:eastAsia="Arial" w:hAnsi="Arial"/>
          <w:sz w:val="18"/>
          <w:szCs w:val="18"/>
          <w:color w:val="auto"/>
        </w:rPr>
        <w: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If the Originator has made any indemnity payments to an Indemnified Party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such Indemnified Party thereafter collects any such amounts from others, such Indemnified Party will repay such amounts collected to the Originator.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b w:val="1"/>
          <w:bCs w:val="1"/>
          <w:u w:val="single" w:color="auto"/>
          <w:color w:val="auto"/>
        </w:rPr>
        <w:t>Amendments and Waivers</w:t>
      </w:r>
      <w:r>
        <w:rPr>
          <w:rFonts w:ascii="Arial" w:cs="Arial" w:eastAsia="Arial" w:hAnsi="Arial"/>
          <w:sz w:val="18"/>
          <w:szCs w:val="18"/>
          <w:color w:val="auto"/>
        </w:rPr>
        <w:t>.</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Except as provided in this </w:t>
      </w:r>
      <w:r>
        <w:rPr>
          <w:rFonts w:ascii="Arial" w:cs="Arial" w:eastAsia="Arial" w:hAnsi="Arial"/>
          <w:sz w:val="16"/>
          <w:szCs w:val="16"/>
          <w:u w:val="single" w:color="auto"/>
          <w:color w:val="auto"/>
        </w:rPr>
        <w:t>Section 7.01</w:t>
      </w:r>
      <w:r>
        <w:rPr>
          <w:rFonts w:ascii="Arial" w:cs="Arial" w:eastAsia="Arial" w:hAnsi="Arial"/>
          <w:sz w:val="16"/>
          <w:szCs w:val="16"/>
          <w:color w:val="auto"/>
        </w:rPr>
        <w:t>, no amendment, waiver or other modification of any provision of this Agreement shall be effective unless signed by the Buyer and Originator and consented to in writing by the Facility Agent, which consent shall not be unreasonably withheld or delayed.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7.02. </w:t>
      </w:r>
      <w:r>
        <w:rPr>
          <w:rFonts w:ascii="Arial" w:cs="Arial" w:eastAsia="Arial" w:hAnsi="Arial"/>
          <w:sz w:val="18"/>
          <w:szCs w:val="18"/>
          <w:b w:val="1"/>
          <w:bCs w:val="1"/>
          <w:u w:val="single" w:color="auto"/>
          <w:color w:val="auto"/>
        </w:rPr>
        <w:t>Notices, Etc</w:t>
      </w:r>
      <w:r>
        <w:rPr>
          <w:rFonts w:ascii="Arial" w:cs="Arial" w:eastAsia="Arial" w:hAnsi="Arial"/>
          <w:sz w:val="18"/>
          <w:szCs w:val="18"/>
          <w:color w:val="auto"/>
        </w:rPr>
        <w:t>.</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All notices and other communications provided for hereunder shall, unless otherwise stated herein, be in writing and mailed, e-mailed, transmitted or delivered, as to each party hereto, at its address set forth under its name on the signature pages hereof or at such other address as shall be designated by such party in a written notice to the other parties hereto. All such notices and communications shall be effective, upon receipt, or in the case of (a) notice by mail, five</w:t>
      </w:r>
    </w:p>
    <w:p>
      <w:pPr>
        <w:spacing w:after="0" w:line="1" w:lineRule="exact"/>
        <w:rPr>
          <w:sz w:val="20"/>
          <w:szCs w:val="20"/>
          <w:color w:val="auto"/>
        </w:rPr>
      </w:pPr>
    </w:p>
    <w:p>
      <w:pPr>
        <w:ind w:right="320" w:firstLine="8"/>
        <w:spacing w:after="0" w:line="261" w:lineRule="auto"/>
        <w:tabs>
          <w:tab w:leader="none" w:pos="24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days after being deposited in the United States mail, first class postage prepaid, (b) notice by e-mail or by facsimile mail, when electronic confirmation or verbal communication of receipt is obtained.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7.03. </w:t>
      </w:r>
      <w:r>
        <w:rPr>
          <w:rFonts w:ascii="Arial" w:cs="Arial" w:eastAsia="Arial" w:hAnsi="Arial"/>
          <w:sz w:val="18"/>
          <w:szCs w:val="18"/>
          <w:b w:val="1"/>
          <w:bCs w:val="1"/>
          <w:u w:val="single" w:color="auto"/>
          <w:color w:val="auto"/>
        </w:rPr>
        <w:t>Binding Effect; Benefit of Agreement</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Agreement shall be binding upon and inure to the benefit of the parties hereto and their respective successors and permitted assigns.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7.04. </w:t>
      </w:r>
      <w:r>
        <w:rPr>
          <w:rFonts w:ascii="Arial" w:cs="Arial" w:eastAsia="Arial" w:hAnsi="Arial"/>
          <w:sz w:val="18"/>
          <w:szCs w:val="18"/>
          <w:b w:val="1"/>
          <w:bCs w:val="1"/>
          <w:u w:val="single" w:color="auto"/>
          <w:color w:val="auto"/>
        </w:rPr>
        <w:t>GOVERNING LAW; CONSENT TO JURISDICTION; WAIVER OF OBJECTION TO VENUE SERVICE OF PROCESS</w:t>
      </w:r>
      <w:r>
        <w:rPr>
          <w:rFonts w:ascii="Arial" w:cs="Arial" w:eastAsia="Arial" w:hAnsi="Arial"/>
          <w:sz w:val="18"/>
          <w:szCs w:val="18"/>
          <w:color w:val="auto"/>
        </w:rPr>
        <w:t>.</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THIS AGREEMENT AND THE RIGHTS AND OBLIGATIONS OF THE PARTIES UNDER THIS AGREEMENT SHALL BE GOVERNED BY AND CONSTRUED IN ACCORDANCE WITH THE LAWS OF THE STATE OF NEW YORK. EACH OF THE PARTIES HERETO HEREBY AGREES TO THE NON-EXCLUSIVE JURISDICTION OF THE COURTS OF THE STATE OF NEW YORK SITTING IN NEW YORK COUNTY, THE COURTS OF THE UNITED STATES FOR THE SOUTHERN DISTRICT OF NEW YORK AND THE APPELLATE COURTS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325" w:name="page326"/>
    <w:bookmarkEnd w:id="325"/>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 THEM.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of the Buyer and the Originator agrees that service of process may be effected by mailing a copy thereof by registered or certified mail, postage prepaid, to the Buyer or the Originator, as applicable, at its address specified in the signature pages to this Agreement or at such other address as the parties hereto shall have been notified in accordance herewith.</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7.05.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THE EXTENT PERMITTED BY APPLICABLE LAW, EACH OF THE PARTIES HERETO HEREBY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37" w:lineRule="exact"/>
        <w:rPr>
          <w:sz w:val="20"/>
          <w:szCs w:val="20"/>
          <w:color w:val="auto"/>
        </w:rPr>
      </w:pPr>
    </w:p>
    <w:p>
      <w:pPr>
        <w:ind w:right="220" w:firstLine="456"/>
        <w:spacing w:after="0" w:line="378" w:lineRule="auto"/>
        <w:rPr>
          <w:sz w:val="20"/>
          <w:szCs w:val="20"/>
          <w:color w:val="auto"/>
        </w:rPr>
      </w:pPr>
      <w:r>
        <w:rPr>
          <w:rFonts w:ascii="Arial" w:cs="Arial" w:eastAsia="Arial" w:hAnsi="Arial"/>
          <w:sz w:val="15"/>
          <w:szCs w:val="15"/>
          <w:b w:val="1"/>
          <w:bCs w:val="1"/>
          <w:color w:val="auto"/>
        </w:rPr>
        <w:t xml:space="preserve">Section 7.06. </w:t>
      </w:r>
      <w:r>
        <w:rPr>
          <w:rFonts w:ascii="Arial" w:cs="Arial" w:eastAsia="Arial" w:hAnsi="Arial"/>
          <w:sz w:val="15"/>
          <w:szCs w:val="15"/>
          <w:b w:val="1"/>
          <w:bCs w:val="1"/>
          <w:u w:val="single" w:color="auto"/>
          <w:color w:val="auto"/>
        </w:rPr>
        <w:t>Certain Taxes</w:t>
      </w:r>
      <w:r>
        <w:rPr>
          <w:rFonts w:ascii="Arial" w:cs="Arial" w:eastAsia="Arial" w:hAnsi="Arial"/>
          <w:sz w:val="15"/>
          <w:szCs w:val="15"/>
          <w:color w:val="auto"/>
        </w:rPr>
        <w:t>. The Originator shall pay on demand any and all stamp, sales, excise and other taxes and fees payable or determined to be</w:t>
      </w:r>
      <w:r>
        <w:rPr>
          <w:rFonts w:ascii="Arial" w:cs="Arial" w:eastAsia="Arial" w:hAnsi="Arial"/>
          <w:sz w:val="15"/>
          <w:szCs w:val="15"/>
          <w:b w:val="1"/>
          <w:bCs w:val="1"/>
          <w:color w:val="auto"/>
        </w:rPr>
        <w:t xml:space="preserve"> </w:t>
      </w:r>
      <w:r>
        <w:rPr>
          <w:rFonts w:ascii="Arial" w:cs="Arial" w:eastAsia="Arial" w:hAnsi="Arial"/>
          <w:sz w:val="15"/>
          <w:szCs w:val="15"/>
          <w:color w:val="auto"/>
        </w:rPr>
        <w:t>payable to any Authority in connection with the execution, delivery, filing and recording of this Agreement and the other documents to be delivered hereunder.</w:t>
      </w:r>
    </w:p>
    <w:p>
      <w:pPr>
        <w:spacing w:after="0" w:line="51" w:lineRule="exact"/>
        <w:rPr>
          <w:sz w:val="20"/>
          <w:szCs w:val="20"/>
          <w:color w:val="auto"/>
        </w:rPr>
      </w:pPr>
    </w:p>
    <w:p>
      <w:pPr>
        <w:jc w:val="both"/>
        <w:ind w:right="460" w:firstLine="456"/>
        <w:spacing w:after="0" w:line="262" w:lineRule="auto"/>
        <w:rPr>
          <w:sz w:val="20"/>
          <w:szCs w:val="20"/>
          <w:color w:val="auto"/>
        </w:rPr>
      </w:pPr>
      <w:r>
        <w:rPr>
          <w:rFonts w:ascii="Arial" w:cs="Arial" w:eastAsia="Arial" w:hAnsi="Arial"/>
          <w:sz w:val="18"/>
          <w:szCs w:val="18"/>
          <w:b w:val="1"/>
          <w:bCs w:val="1"/>
          <w:color w:val="auto"/>
        </w:rPr>
        <w:t xml:space="preserve">Section 7.07. </w:t>
      </w:r>
      <w:r>
        <w:rPr>
          <w:rFonts w:ascii="Arial" w:cs="Arial" w:eastAsia="Arial" w:hAnsi="Arial"/>
          <w:sz w:val="18"/>
          <w:szCs w:val="18"/>
          <w:b w:val="1"/>
          <w:bCs w:val="1"/>
          <w:u w:val="single" w:color="auto"/>
          <w:color w:val="auto"/>
        </w:rPr>
        <w:t>Non-Petition</w:t>
      </w:r>
      <w:r>
        <w:rPr>
          <w:rFonts w:ascii="Arial" w:cs="Arial" w:eastAsia="Arial" w:hAnsi="Arial"/>
          <w:sz w:val="18"/>
          <w:szCs w:val="18"/>
          <w:color w:val="auto"/>
        </w:rPr>
        <w:t>. The Originator hereby agrees not to institute against, or join, cooperate with or encourage any other Person in instituting</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Buyer any bankruptcy, reorganization, receivership, arrangement, insolvency, moratorium or liquidation proceedings or other proceedings under federal or state bankruptcy or similar laws.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7.08. </w:t>
      </w:r>
      <w:r>
        <w:rPr>
          <w:rFonts w:ascii="Arial" w:cs="Arial" w:eastAsia="Arial" w:hAnsi="Arial"/>
          <w:sz w:val="18"/>
          <w:szCs w:val="18"/>
          <w:b w:val="1"/>
          <w:bCs w:val="1"/>
          <w:u w:val="single" w:color="auto"/>
          <w:color w:val="auto"/>
        </w:rPr>
        <w:t>Recourse Against Certain Parties</w:t>
      </w:r>
      <w:r>
        <w:rPr>
          <w:rFonts w:ascii="Arial" w:cs="Arial" w:eastAsia="Arial" w:hAnsi="Arial"/>
          <w:sz w:val="18"/>
          <w:szCs w:val="18"/>
          <w:color w:val="auto"/>
        </w:rPr>
        <w:t>.</w:t>
      </w:r>
    </w:p>
    <w:p>
      <w:pPr>
        <w:spacing w:after="0" w:line="96" w:lineRule="exact"/>
        <w:rPr>
          <w:sz w:val="20"/>
          <w:szCs w:val="20"/>
          <w:color w:val="auto"/>
        </w:rPr>
      </w:pPr>
    </w:p>
    <w:p>
      <w:pPr>
        <w:ind w:right="20" w:firstLine="464"/>
        <w:spacing w:after="0" w:line="255" w:lineRule="auto"/>
        <w:tabs>
          <w:tab w:leader="none" w:pos="69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No recourse under or with respect to any obligation, covenant or agreement (including, without limitation, the payment of any fees or any other obligations) of the Originator as contained in this Agreement, or any other agreement, instrument or document entered into by it pursuant to or in connection with this Agreement shall be had against any stockholder, incorporator, authorized representative, officer, employee or director of the Originator by the enforcement of any assessment or by any legal or equitable proceeding, by virtue of any statute or otherwise </w:t>
      </w:r>
      <w:r>
        <w:rPr>
          <w:rFonts w:ascii="Arial" w:cs="Arial" w:eastAsia="Arial" w:hAnsi="Arial"/>
          <w:sz w:val="18"/>
          <w:szCs w:val="18"/>
          <w:u w:val="single" w:color="auto"/>
          <w:color w:val="auto"/>
        </w:rPr>
        <w:t>it being expressly agreed and understood</w:t>
      </w:r>
      <w:r>
        <w:rPr>
          <w:rFonts w:ascii="Arial" w:cs="Arial" w:eastAsia="Arial" w:hAnsi="Arial"/>
          <w:sz w:val="18"/>
          <w:szCs w:val="18"/>
          <w:color w:val="auto"/>
        </w:rPr>
        <w:t xml:space="preserve"> that the agreements of the Originator contained in this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326" w:name="page327"/>
    <w:bookmarkEnd w:id="326"/>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and all of the other agreements, instruments and documents entered into by it pursuant to this Agreement are, in each case, solely the corporate obligations of the Originator, and that no personal liability whatsoever shall attach to or be incurred by any stockholder, incorporator, authorized representative, officer, employee or director of the Originator, or any of them, under or by reason of any of the obligations, covenants or agreements of the Originator contained in this Agreement, or in any other such instruments, documents or agreements, or which are implied therefrom, and that any and all personal liability of each stockholder, incorporator, authorized representative, officer, employee or director of the Originator, or any of them, for breaches by the Originator of any such obligations, covenants or agreements, which liability may arise either at common law or at equity, by statute or constitution, or otherwise, is hereby expressly waived as a condition of and in consideration for the execution of this Agreement. The provisions of this </w:t>
      </w:r>
      <w:r>
        <w:rPr>
          <w:rFonts w:ascii="Arial" w:cs="Arial" w:eastAsia="Arial" w:hAnsi="Arial"/>
          <w:sz w:val="16"/>
          <w:szCs w:val="16"/>
          <w:u w:val="single" w:color="auto"/>
          <w:color w:val="auto"/>
        </w:rPr>
        <w:t>Section 7.08(a)</w:t>
      </w:r>
      <w:r>
        <w:rPr>
          <w:rFonts w:ascii="Arial" w:cs="Arial" w:eastAsia="Arial" w:hAnsi="Arial"/>
          <w:sz w:val="16"/>
          <w:szCs w:val="16"/>
          <w:color w:val="auto"/>
        </w:rPr>
        <w:t xml:space="preserve"> shall survive the termination of this Agreement.</w:t>
      </w:r>
    </w:p>
    <w:p>
      <w:pPr>
        <w:spacing w:after="0" w:line="118" w:lineRule="exact"/>
        <w:rPr>
          <w:sz w:val="20"/>
          <w:szCs w:val="20"/>
          <w:color w:val="auto"/>
        </w:rPr>
      </w:pPr>
    </w:p>
    <w:p>
      <w:pPr>
        <w:ind w:firstLine="464"/>
        <w:spacing w:after="0" w:line="285" w:lineRule="auto"/>
        <w:tabs>
          <w:tab w:leader="none" w:pos="70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the obligations of the Buyer under this Agreement are limited recourse obligations of the Buyer payable solely from the Assets and, following realization of the Assets, all obligations of and any claims by the Originator against the Buyer hereunder shall be extinguished and shall not thereafter revive. No recourse under or with respect to any obligation, covenant or agreement (including, without limitation, the payment of any fees or any other obligations) of the Buyer as contained in this Agreement, or any other agreement, instrument or document entered into by it pursuant to this Agreement shall be had against any member, manager, authorized representative, officer, employee or director of the Buyer by the enforcement of any assessment or by any legal or equitable proceeding, by virtue of any statute or otherwise </w:t>
      </w:r>
      <w:r>
        <w:rPr>
          <w:rFonts w:ascii="Arial" w:cs="Arial" w:eastAsia="Arial" w:hAnsi="Arial"/>
          <w:sz w:val="16"/>
          <w:szCs w:val="16"/>
          <w:u w:val="single" w:color="auto"/>
          <w:color w:val="auto"/>
        </w:rPr>
        <w:t>it being expressly agreed and understood</w:t>
      </w:r>
      <w:r>
        <w:rPr>
          <w:rFonts w:ascii="Arial" w:cs="Arial" w:eastAsia="Arial" w:hAnsi="Arial"/>
          <w:sz w:val="16"/>
          <w:szCs w:val="16"/>
          <w:color w:val="auto"/>
        </w:rPr>
        <w:t xml:space="preserve"> that the agreements of the Buyer contained in this Agreement, and all of the other agreements, instruments and documents entered into by it pursuant to this Agreement are, in each case, solely the limited liability company obligations of the Buyer, and that no personal liability whatsoever shall attach to or be incurred by any authorized representative, member, manager, officer, employee or director of the Buyer or any of them, under or by reason of any of the obligations, covenants or agreements of the Buyer contained in this Agreement, or in any other such instruments, documents or agreements, or which are implied therefrom, and that any and all personal liability of each authorized representative, member, manager, officer, employee or director of the Buyer, or any of them, for breaches by the Buyer of any such obligations, covenants or agreements, which liability may arise either at common law or at equity, by statute or constitution, or otherwise, is hereby expressly waived as a condition of and in consideration for the execution of this Agreement. The provisions of this </w:t>
      </w:r>
      <w:r>
        <w:rPr>
          <w:rFonts w:ascii="Arial" w:cs="Arial" w:eastAsia="Arial" w:hAnsi="Arial"/>
          <w:sz w:val="16"/>
          <w:szCs w:val="16"/>
          <w:u w:val="single" w:color="auto"/>
          <w:color w:val="auto"/>
        </w:rPr>
        <w:t>Section 7.08(b)</w:t>
      </w:r>
      <w:r>
        <w:rPr>
          <w:rFonts w:ascii="Arial" w:cs="Arial" w:eastAsia="Arial" w:hAnsi="Arial"/>
          <w:sz w:val="16"/>
          <w:szCs w:val="16"/>
          <w:color w:val="auto"/>
        </w:rPr>
        <w:t xml:space="preserve"> shall survive the termination of this Agreement.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7.09. </w:t>
      </w:r>
      <w:r>
        <w:rPr>
          <w:rFonts w:ascii="Arial" w:cs="Arial" w:eastAsia="Arial" w:hAnsi="Arial"/>
          <w:sz w:val="18"/>
          <w:szCs w:val="18"/>
          <w:b w:val="1"/>
          <w:bCs w:val="1"/>
          <w:u w:val="single" w:color="auto"/>
          <w:color w:val="auto"/>
        </w:rPr>
        <w:t>Protection of Right, Title and Interest in the Assets; Further Action Evidencing Purchases</w:t>
      </w:r>
      <w:r>
        <w:rPr>
          <w:rFonts w:ascii="Arial" w:cs="Arial" w:eastAsia="Arial" w:hAnsi="Arial"/>
          <w:sz w:val="18"/>
          <w:szCs w:val="18"/>
          <w:color w:val="auto"/>
        </w:rPr>
        <w:t>.</w:t>
      </w:r>
    </w:p>
    <w:p>
      <w:pPr>
        <w:spacing w:after="0" w:line="96" w:lineRule="exact"/>
        <w:rPr>
          <w:sz w:val="20"/>
          <w:szCs w:val="20"/>
          <w:color w:val="auto"/>
        </w:rPr>
      </w:pPr>
    </w:p>
    <w:p>
      <w:pPr>
        <w:ind w:right="220" w:firstLine="464"/>
        <w:spacing w:after="0" w:line="268" w:lineRule="auto"/>
        <w:tabs>
          <w:tab w:leader="none" w:pos="69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Originator shall cause all financing statements and continuation statements and any other necessary documents perfecting the Buyer’s ownership interest in the Assets Purchased by the Buyer hereunder to be promptly recorded, registered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27" w:name="page328"/>
    <w:bookmarkEnd w:id="32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filed, and at all times to be kept recorded, registered and filed, all in such manner and in such places as may be required by law fully to preserve and protect the perfection and priority of the ownership interest of the Buyer in all Assets Purchased by the Buyer hereunder. The Originator shall deliver to the Buyer the file-stamped copies of, or filing receipts for, any document recorded, registered or filed as provided above, as soon as available following such recording, registration or filing. The Originator shall cooperate fully with the Buyer in connection with the obligations set forth above and will execute any and all documents reasonably required to fulfill the intent of this </w:t>
      </w:r>
      <w:r>
        <w:rPr>
          <w:rFonts w:ascii="Arial" w:cs="Arial" w:eastAsia="Arial" w:hAnsi="Arial"/>
          <w:sz w:val="18"/>
          <w:szCs w:val="18"/>
          <w:u w:val="single" w:color="auto"/>
          <w:color w:val="auto"/>
        </w:rPr>
        <w:t>Section 7.09(a)</w:t>
      </w:r>
      <w:r>
        <w:rPr>
          <w:rFonts w:ascii="Arial" w:cs="Arial" w:eastAsia="Arial" w:hAnsi="Arial"/>
          <w:sz w:val="18"/>
          <w:szCs w:val="18"/>
          <w:color w:val="auto"/>
        </w:rPr>
        <w:t>.</w:t>
      </w:r>
    </w:p>
    <w:p>
      <w:pPr>
        <w:spacing w:after="0" w:line="143" w:lineRule="exact"/>
        <w:rPr>
          <w:sz w:val="20"/>
          <w:szCs w:val="20"/>
          <w:color w:val="auto"/>
        </w:rPr>
      </w:pPr>
    </w:p>
    <w:p>
      <w:pPr>
        <w:ind w:right="280" w:firstLine="464"/>
        <w:spacing w:after="0" w:line="259" w:lineRule="auto"/>
        <w:tabs>
          <w:tab w:leader="none" w:pos="70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Originator agrees that from time to time, at its expense, it will promptly execute and deliver all instruments and documents, and take all actions, that the Buyer or the Collateral Agent, as assignee of the Buyer, may reasonably request in order to perfect, protect or more fully evidence the Purchases hereunder and the ownership by the Buyer of the Assets Purchased by the Buyer hereunder.</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b w:val="1"/>
          <w:bCs w:val="1"/>
          <w:u w:val="single" w:color="auto"/>
          <w:color w:val="auto"/>
        </w:rPr>
        <w:t>Execution in Counterparts; Severability; Integration</w:t>
      </w:r>
      <w:r>
        <w:rPr>
          <w:rFonts w:ascii="Arial" w:cs="Arial" w:eastAsia="Arial" w:hAnsi="Arial"/>
          <w:sz w:val="18"/>
          <w:szCs w:val="18"/>
          <w:color w:val="auto"/>
        </w:rPr>
        <w:t>.</w:t>
      </w:r>
    </w:p>
    <w:p>
      <w:pPr>
        <w:spacing w:after="0" w:line="9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This Agreement may be executed in any number of counterparts and by different parties hereto in separate counterparts (including by facsimile),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7.11. </w:t>
      </w:r>
      <w:r>
        <w:rPr>
          <w:rFonts w:ascii="Arial" w:cs="Arial" w:eastAsia="Arial" w:hAnsi="Arial"/>
          <w:sz w:val="18"/>
          <w:szCs w:val="18"/>
          <w:b w:val="1"/>
          <w:bCs w:val="1"/>
          <w:u w:val="single" w:color="auto"/>
          <w:color w:val="auto"/>
        </w:rPr>
        <w:t>Heading and Exhibits</w:t>
      </w:r>
      <w:r>
        <w:rPr>
          <w:rFonts w:ascii="Arial" w:cs="Arial" w:eastAsia="Arial" w:hAnsi="Arial"/>
          <w:sz w:val="18"/>
          <w:szCs w:val="18"/>
          <w:color w:val="auto"/>
        </w:rPr>
        <w:t>.</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headings herein are for purposes of references only and shall not otherwise affect the meaning or interpretation of any provision hereof. The schedules and exhibits attached hereto and referred to herein shall constitute a part of this Agreement and are incorporated into this Agreement for all purposes.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7.12.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Notwithstanding anything to the contrary contained herein, this Agreement may not be assigned by the Buyer or the Originator except as permitted by this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and with the written consent of the Facility Agent, which consent shall not be unreasonably withheld or delayed. Simultaneously with the execution and delivery of this Agreement, the Buyer shall grant a security interest in all of its right, title and interest herein to the Collateral Agent for the benefit of the Secured Parties (as defined in the Credit Agreement), to which assignment the Originator hereby expressly consents. Upon assignment, the Originator agrees to perform its obligations hereunder for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9" w:right="239" w:bottom="1440" w:gutter="0" w:footer="0" w:header="0"/>
        </w:sectPr>
      </w:pPr>
    </w:p>
    <w:bookmarkStart w:id="328" w:name="page329"/>
    <w:bookmarkEnd w:id="328"/>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 of the Collateral Agent for the benefit of the Secured Parties and the Collateral Agent, in such capacity, shall be a third party beneficiary hereof. The Collateral Agent on behalf of the Secured Parties under the Credit Agreement upon such assignment may enforce the provisions of this Agreement, exercise the rights of the Buyer and enforce the obligations of the Originator hereunder without joinder of the Buyer.</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7.13. </w:t>
      </w:r>
      <w:r>
        <w:rPr>
          <w:rFonts w:ascii="Arial" w:cs="Arial" w:eastAsia="Arial" w:hAnsi="Arial"/>
          <w:sz w:val="18"/>
          <w:szCs w:val="18"/>
          <w:b w:val="1"/>
          <w:bCs w:val="1"/>
          <w:u w:val="single" w:color="auto"/>
          <w:color w:val="auto"/>
        </w:rPr>
        <w:t>No Waiver; Cumulative Remedies</w:t>
      </w:r>
      <w:r>
        <w:rPr>
          <w:rFonts w:ascii="Arial" w:cs="Arial" w:eastAsia="Arial" w:hAnsi="Arial"/>
          <w:sz w:val="18"/>
          <w:szCs w:val="18"/>
          <w:color w:val="auto"/>
        </w:rPr>
        <w: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 failure to exercise and no delay in exercising, on the part of the Buyer or the Originator,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 Any waiver of this Agreement shall be effective only in the specific instance and for the specific purpose for which given.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9" w:right="259" w:bottom="1440" w:gutter="0" w:footer="0" w:header="0"/>
        </w:sectPr>
      </w:pPr>
    </w:p>
    <w:bookmarkStart w:id="329" w:name="page330"/>
    <w:bookmarkEnd w:id="32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officers as of the Closing Date.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the Originator</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Joshua Easterly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TPG SL SPV,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the Buyer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Joshua Easterly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Solely as to the terms of Sections 7.01 and 7.12 that are applicable to it: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NATIXIS NEW YORK BRANCH,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the Facility Agent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Duncan</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Duncan</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43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Fletcher</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Frank Fletcher</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1420"/>
          </w:cols>
          <w:pgMar w:left="240" w:top="280" w:right="239" w:bottom="1440" w:gutter="0" w:footer="0" w:header="0"/>
        </w:sectPr>
      </w:pPr>
    </w:p>
    <w:bookmarkStart w:id="330" w:name="page331"/>
    <w:bookmarkEnd w:id="330"/>
    <w:p>
      <w:pPr>
        <w:ind w:left="10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Assignment</w:t>
      </w:r>
    </w:p>
    <w:p>
      <w:pPr>
        <w:spacing w:after="0" w:line="177"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 Date]</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accordance with the Amended and Restated Master Sale and Contribution Agreement (together with all amendments and modifications from time to time thereto, the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January 21, 2014, made by and between the undersigned, TPG Specialty Lending, Inc., as the Originator (together with its successors and permitted assigns, the “</w:t>
      </w:r>
      <w:r>
        <w:rPr>
          <w:rFonts w:ascii="Arial" w:cs="Arial" w:eastAsia="Arial" w:hAnsi="Arial"/>
          <w:sz w:val="16"/>
          <w:szCs w:val="16"/>
          <w:u w:val="single" w:color="auto"/>
          <w:color w:val="auto"/>
        </w:rPr>
        <w:t>Originator</w:t>
      </w:r>
      <w:r>
        <w:rPr>
          <w:rFonts w:ascii="Arial" w:cs="Arial" w:eastAsia="Arial" w:hAnsi="Arial"/>
          <w:sz w:val="16"/>
          <w:szCs w:val="16"/>
          <w:color w:val="auto"/>
        </w:rPr>
        <w:t>”), and TPG SL SPV, LLC, as the Buyer (together with its successors and permitted assigns, the “</w:t>
      </w:r>
      <w:r>
        <w:rPr>
          <w:rFonts w:ascii="Arial" w:cs="Arial" w:eastAsia="Arial" w:hAnsi="Arial"/>
          <w:sz w:val="16"/>
          <w:szCs w:val="16"/>
          <w:u w:val="single" w:color="auto"/>
          <w:color w:val="auto"/>
        </w:rPr>
        <w:t>Buyer</w:t>
      </w:r>
      <w:r>
        <w:rPr>
          <w:rFonts w:ascii="Arial" w:cs="Arial" w:eastAsia="Arial" w:hAnsi="Arial"/>
          <w:sz w:val="16"/>
          <w:szCs w:val="16"/>
          <w:color w:val="auto"/>
        </w:rPr>
        <w:t>, the Originator does hereby sell, transfer, convey and assign, set over and otherwise convey to the Buyer, and the Buyer hereby purchases, all of the Originator’s right, title and interest in and to the property listed on Schedule I hereto, including all payments and collections thereon after the date hereof (the “</w:t>
      </w:r>
      <w:r>
        <w:rPr>
          <w:rFonts w:ascii="Arial" w:cs="Arial" w:eastAsia="Arial" w:hAnsi="Arial"/>
          <w:sz w:val="16"/>
          <w:szCs w:val="16"/>
          <w:u w:val="single" w:color="auto"/>
          <w:color w:val="auto"/>
        </w:rPr>
        <w:t>Assets</w:t>
      </w:r>
      <w:r>
        <w:rPr>
          <w:rFonts w:ascii="Arial" w:cs="Arial" w:eastAsia="Arial" w:hAnsi="Arial"/>
          <w:sz w:val="16"/>
          <w:szCs w:val="16"/>
          <w:color w:val="auto"/>
        </w:rPr>
        <w:t>”), without recourse except as provided in the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meaning given such terms in the Agreement.</w:t>
      </w:r>
    </w:p>
    <w:p>
      <w:pPr>
        <w:spacing w:after="0" w:line="171"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The Originator and the Buyer agree that the fair market value of the Assets is $[ ] on the date hereof. The Buyer shall pay to the Originator on the date hereof $[ ] in cash as [payment in full] [a partial payment] of the Purchase Price of the Assets. [The Originator agrees that the balance of the Purchase Price, which is $[ ], shall be paid by means of a contribution by the Originator to the capital of the Buyer, and the Originator hereby makes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contribution to the capital of the Buyer.]</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This Assignment is made pursuant to and in reliance upon the representations and warranties on the part of the Originator and the Buyer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the Agreement and no others.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331" w:name="page332"/>
    <w:bookmarkEnd w:id="3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Assignment to be duly executed on the date written above.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TPG SPECIALTY LENDING, INC.</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3837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3837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3837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2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SL SPV, LLC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3837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3837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3837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9759"/>
          </w:cols>
          <w:pgMar w:left="700" w:top="280" w:right="1440"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Asset Schedule</w:t>
      </w:r>
    </w:p>
    <w:p>
      <w:pPr>
        <w:sectPr>
          <w:pgSz w:w="11900" w:h="16838" w:orient="portrait"/>
          <w:cols w:equalWidth="0" w:num="1">
            <w:col w:w="10220"/>
          </w:cols>
          <w:pgMar w:left="1440" w:top="273" w:right="2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10.20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SECOND AMENDED AND RESTATED</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SENIOR SECURED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16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February 27, 2014</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The LENDERS Party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$581,250,000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SUNTRUST ROBINSON HUMPHREY, INC.</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183515</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19"/>
                <w:szCs w:val="19"/>
                <w:color w:val="auto"/>
              </w:rPr>
            </w:pPr>
          </w:p>
        </w:tc>
        <w:tc>
          <w:tcPr>
            <w:tcW w:w="7400" w:type="dxa"/>
            <w:vAlign w:val="bottom"/>
          </w:tcPr>
          <w:p>
            <w:pPr>
              <w:ind w:left="3100"/>
              <w:spacing w:after="0"/>
              <w:rPr>
                <w:sz w:val="20"/>
                <w:szCs w:val="20"/>
                <w:color w:val="auto"/>
              </w:rPr>
            </w:pPr>
            <w:r>
              <w:rPr>
                <w:rFonts w:ascii="Arial" w:cs="Arial" w:eastAsia="Arial" w:hAnsi="Arial"/>
                <w:sz w:val="18"/>
                <w:szCs w:val="18"/>
                <w:b w:val="1"/>
                <w:bCs w:val="1"/>
                <w:color w:val="auto"/>
              </w:rPr>
              <w:t>TABLE OF CONTENTS</w:t>
            </w:r>
          </w:p>
        </w:tc>
        <w:tc>
          <w:tcPr>
            <w:tcW w:w="2240" w:type="dxa"/>
            <w:vAlign w:val="bottom"/>
          </w:tcPr>
          <w:p>
            <w:pPr>
              <w:spacing w:after="0"/>
              <w:rPr>
                <w:sz w:val="19"/>
                <w:szCs w:val="19"/>
                <w:color w:val="auto"/>
              </w:rPr>
            </w:pPr>
          </w:p>
        </w:tc>
      </w:tr>
      <w:tr>
        <w:trPr>
          <w:trHeight w:val="345"/>
        </w:trPr>
        <w:tc>
          <w:tcPr>
            <w:tcW w:w="16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1.01.</w:t>
            </w:r>
          </w:p>
        </w:tc>
        <w:tc>
          <w:tcPr>
            <w:tcW w:w="740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1.02.   Classification of Loans and Borrowings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1.03.</w:t>
            </w:r>
          </w:p>
        </w:tc>
        <w:tc>
          <w:tcPr>
            <w:tcW w:w="7400" w:type="dxa"/>
            <w:vAlign w:val="bottom"/>
          </w:tcPr>
          <w:p>
            <w:pPr>
              <w:ind w:left="120"/>
              <w:spacing w:after="0"/>
              <w:rPr>
                <w:sz w:val="20"/>
                <w:szCs w:val="20"/>
                <w:color w:val="auto"/>
              </w:rPr>
            </w:pPr>
            <w:r>
              <w:rPr>
                <w:rFonts w:ascii="Arial" w:cs="Arial" w:eastAsia="Arial" w:hAnsi="Arial"/>
                <w:sz w:val="18"/>
                <w:szCs w:val="18"/>
                <w:color w:val="auto"/>
              </w:rPr>
              <w:t>Terms Generally</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1.04.   Accounting Terms; GAAP</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1.05.   Currencies; Currency Equivalents</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2.01.</w:t>
            </w:r>
          </w:p>
        </w:tc>
        <w:tc>
          <w:tcPr>
            <w:tcW w:w="7400" w:type="dxa"/>
            <w:vAlign w:val="bottom"/>
          </w:tcPr>
          <w:p>
            <w:pPr>
              <w:ind w:left="120"/>
              <w:spacing w:after="0"/>
              <w:rPr>
                <w:sz w:val="20"/>
                <w:szCs w:val="20"/>
                <w:color w:val="auto"/>
              </w:rPr>
            </w:pPr>
            <w:r>
              <w:rPr>
                <w:rFonts w:ascii="Arial" w:cs="Arial" w:eastAsia="Arial" w:hAnsi="Arial"/>
                <w:sz w:val="18"/>
                <w:szCs w:val="18"/>
                <w:color w:val="auto"/>
              </w:rPr>
              <w:t>The Commitments</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2.02.   Loans and Borrowings</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2.03.   Requests for Syndicated Borrowings</w:t>
            </w:r>
          </w:p>
        </w:tc>
        <w:tc>
          <w:tcPr>
            <w:tcW w:w="2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2.04.</w:t>
            </w:r>
          </w:p>
        </w:tc>
        <w:tc>
          <w:tcPr>
            <w:tcW w:w="7400" w:type="dxa"/>
            <w:vAlign w:val="bottom"/>
          </w:tcPr>
          <w:p>
            <w:pPr>
              <w:ind w:left="120"/>
              <w:spacing w:after="0"/>
              <w:rPr>
                <w:sz w:val="20"/>
                <w:szCs w:val="20"/>
                <w:color w:val="auto"/>
              </w:rPr>
            </w:pPr>
            <w:r>
              <w:rPr>
                <w:rFonts w:ascii="Arial" w:cs="Arial" w:eastAsia="Arial" w:hAnsi="Arial"/>
                <w:sz w:val="18"/>
                <w:szCs w:val="18"/>
                <w:color w:val="auto"/>
              </w:rPr>
              <w:t>Swingline Loans</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2.05.</w:t>
            </w:r>
          </w:p>
        </w:tc>
        <w:tc>
          <w:tcPr>
            <w:tcW w:w="7400" w:type="dxa"/>
            <w:vAlign w:val="bottom"/>
          </w:tcPr>
          <w:p>
            <w:pPr>
              <w:ind w:left="120"/>
              <w:spacing w:after="0"/>
              <w:rPr>
                <w:sz w:val="20"/>
                <w:szCs w:val="20"/>
                <w:color w:val="auto"/>
              </w:rPr>
            </w:pPr>
            <w:r>
              <w:rPr>
                <w:rFonts w:ascii="Arial" w:cs="Arial" w:eastAsia="Arial" w:hAnsi="Arial"/>
                <w:sz w:val="18"/>
                <w:szCs w:val="18"/>
                <w:color w:val="auto"/>
              </w:rPr>
              <w:t>Letters of Credit</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2.06.   Funding of Borrowings</w:t>
            </w:r>
          </w:p>
        </w:tc>
        <w:tc>
          <w:tcPr>
            <w:tcW w:w="2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2.07.</w:t>
            </w:r>
          </w:p>
        </w:tc>
        <w:tc>
          <w:tcPr>
            <w:tcW w:w="7400" w:type="dxa"/>
            <w:vAlign w:val="bottom"/>
          </w:tcPr>
          <w:p>
            <w:pPr>
              <w:ind w:left="120"/>
              <w:spacing w:after="0"/>
              <w:rPr>
                <w:sz w:val="20"/>
                <w:szCs w:val="20"/>
                <w:color w:val="auto"/>
              </w:rPr>
            </w:pPr>
            <w:r>
              <w:rPr>
                <w:rFonts w:ascii="Arial" w:cs="Arial" w:eastAsia="Arial" w:hAnsi="Arial"/>
                <w:sz w:val="18"/>
                <w:szCs w:val="18"/>
                <w:color w:val="auto"/>
              </w:rPr>
              <w:t>Interest Elections</w:t>
            </w:r>
          </w:p>
        </w:tc>
        <w:tc>
          <w:tcPr>
            <w:tcW w:w="2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2.08.   Termination, Reduction or Increase of the Commitments</w:t>
            </w:r>
          </w:p>
        </w:tc>
        <w:tc>
          <w:tcPr>
            <w:tcW w:w="2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2.09.   Repayment of Loans; Evidence of Debt</w:t>
            </w:r>
          </w:p>
        </w:tc>
        <w:tc>
          <w:tcPr>
            <w:tcW w:w="2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2.10.   Prepayment of Loans</w:t>
            </w:r>
          </w:p>
        </w:tc>
        <w:tc>
          <w:tcPr>
            <w:tcW w:w="2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2.11.</w:t>
            </w:r>
          </w:p>
        </w:tc>
        <w:tc>
          <w:tcPr>
            <w:tcW w:w="7400" w:type="dxa"/>
            <w:vAlign w:val="bottom"/>
          </w:tcPr>
          <w:p>
            <w:pPr>
              <w:ind w:left="120"/>
              <w:spacing w:after="0"/>
              <w:rPr>
                <w:sz w:val="20"/>
                <w:szCs w:val="20"/>
                <w:color w:val="auto"/>
              </w:rPr>
            </w:pPr>
            <w:r>
              <w:rPr>
                <w:rFonts w:ascii="Arial" w:cs="Arial" w:eastAsia="Arial" w:hAnsi="Arial"/>
                <w:sz w:val="18"/>
                <w:szCs w:val="18"/>
                <w:color w:val="auto"/>
              </w:rPr>
              <w:t>Fees</w:t>
            </w:r>
          </w:p>
        </w:tc>
        <w:tc>
          <w:tcPr>
            <w:tcW w:w="2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2.12.</w:t>
            </w:r>
          </w:p>
        </w:tc>
        <w:tc>
          <w:tcPr>
            <w:tcW w:w="7400" w:type="dxa"/>
            <w:vAlign w:val="bottom"/>
          </w:tcPr>
          <w:p>
            <w:pPr>
              <w:ind w:left="120"/>
              <w:spacing w:after="0"/>
              <w:rPr>
                <w:sz w:val="20"/>
                <w:szCs w:val="20"/>
                <w:color w:val="auto"/>
              </w:rPr>
            </w:pPr>
            <w:r>
              <w:rPr>
                <w:rFonts w:ascii="Arial" w:cs="Arial" w:eastAsia="Arial" w:hAnsi="Arial"/>
                <w:sz w:val="18"/>
                <w:szCs w:val="18"/>
                <w:color w:val="auto"/>
              </w:rPr>
              <w:t>Interest</w:t>
            </w:r>
          </w:p>
        </w:tc>
        <w:tc>
          <w:tcPr>
            <w:tcW w:w="22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2.13.   Alternate Rate of Interest</w:t>
            </w:r>
          </w:p>
        </w:tc>
        <w:tc>
          <w:tcPr>
            <w:tcW w:w="2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2.14.</w:t>
            </w:r>
          </w:p>
        </w:tc>
        <w:tc>
          <w:tcPr>
            <w:tcW w:w="7400" w:type="dxa"/>
            <w:vAlign w:val="bottom"/>
          </w:tcPr>
          <w:p>
            <w:pPr>
              <w:ind w:left="120"/>
              <w:spacing w:after="0"/>
              <w:rPr>
                <w:sz w:val="20"/>
                <w:szCs w:val="20"/>
                <w:color w:val="auto"/>
              </w:rPr>
            </w:pPr>
            <w:r>
              <w:rPr>
                <w:rFonts w:ascii="Arial" w:cs="Arial" w:eastAsia="Arial" w:hAnsi="Arial"/>
                <w:sz w:val="18"/>
                <w:szCs w:val="18"/>
                <w:color w:val="auto"/>
              </w:rPr>
              <w:t>Increased Costs</w:t>
            </w:r>
          </w:p>
        </w:tc>
        <w:tc>
          <w:tcPr>
            <w:tcW w:w="22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2.15.   Break Funding Payments</w:t>
            </w:r>
          </w:p>
        </w:tc>
        <w:tc>
          <w:tcPr>
            <w:tcW w:w="22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2.16.</w:t>
            </w:r>
          </w:p>
        </w:tc>
        <w:tc>
          <w:tcPr>
            <w:tcW w:w="7400" w:type="dxa"/>
            <w:vAlign w:val="bottom"/>
          </w:tcPr>
          <w:p>
            <w:pPr>
              <w:ind w:left="120"/>
              <w:spacing w:after="0"/>
              <w:rPr>
                <w:sz w:val="20"/>
                <w:szCs w:val="20"/>
                <w:color w:val="auto"/>
              </w:rPr>
            </w:pPr>
            <w:r>
              <w:rPr>
                <w:rFonts w:ascii="Arial" w:cs="Arial" w:eastAsia="Arial" w:hAnsi="Arial"/>
                <w:sz w:val="18"/>
                <w:szCs w:val="18"/>
                <w:color w:val="auto"/>
              </w:rPr>
              <w:t>Taxes</w:t>
            </w:r>
          </w:p>
        </w:tc>
        <w:tc>
          <w:tcPr>
            <w:tcW w:w="2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2.17.   Payments Generally; Pro Rata Treatment: Sharing of Set-offs</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2.18.   Mitigation Obligations; Replacement of Lenders</w:t>
            </w:r>
          </w:p>
        </w:tc>
        <w:tc>
          <w:tcPr>
            <w:tcW w:w="22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2.19.</w:t>
            </w:r>
          </w:p>
        </w:tc>
        <w:tc>
          <w:tcPr>
            <w:tcW w:w="7400" w:type="dxa"/>
            <w:vAlign w:val="bottom"/>
          </w:tcPr>
          <w:p>
            <w:pPr>
              <w:ind w:left="120"/>
              <w:spacing w:after="0"/>
              <w:rPr>
                <w:sz w:val="20"/>
                <w:szCs w:val="20"/>
                <w:color w:val="auto"/>
              </w:rPr>
            </w:pPr>
            <w:r>
              <w:rPr>
                <w:rFonts w:ascii="Arial" w:cs="Arial" w:eastAsia="Arial" w:hAnsi="Arial"/>
                <w:sz w:val="18"/>
                <w:szCs w:val="18"/>
                <w:color w:val="auto"/>
              </w:rPr>
              <w:t>Defaulting Lenders</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2.20.   Reallocation Following the Non-Extended Commitment Termination Date</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SECTION 2.21.   Assignment and Reallocation of Existing Commitments and Existing Loans</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65"/>
        </w:trPr>
        <w:tc>
          <w:tcPr>
            <w:tcW w:w="1680" w:type="dxa"/>
            <w:vAlign w:val="bottom"/>
          </w:tcPr>
          <w:p>
            <w:pPr>
              <w:spacing w:after="0"/>
              <w:rPr>
                <w:sz w:val="24"/>
                <w:szCs w:val="24"/>
                <w:color w:val="auto"/>
              </w:rPr>
            </w:pPr>
          </w:p>
        </w:tc>
        <w:tc>
          <w:tcPr>
            <w:tcW w:w="7400" w:type="dxa"/>
            <w:vAlign w:val="bottom"/>
          </w:tcPr>
          <w:p>
            <w:pPr>
              <w:ind w:left="3960"/>
              <w:spacing w:after="0"/>
              <w:rPr>
                <w:sz w:val="20"/>
                <w:szCs w:val="20"/>
                <w:color w:val="auto"/>
              </w:rPr>
            </w:pPr>
            <w:r>
              <w:rPr>
                <w:rFonts w:ascii="Arial" w:cs="Arial" w:eastAsia="Arial" w:hAnsi="Arial"/>
                <w:sz w:val="18"/>
                <w:szCs w:val="18"/>
                <w:color w:val="auto"/>
              </w:rPr>
              <w:t>-i-</w:t>
            </w:r>
          </w:p>
        </w:tc>
        <w:tc>
          <w:tcPr>
            <w:tcW w:w="2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35" w:name="page336"/>
    <w:bookmarkEnd w:id="335"/>
    <w:tbl>
      <w:tblPr>
        <w:tblLayout w:type="fixed"/>
        <w:tblInd w:w="0" w:type="dxa"/>
        <w:tblCellMar>
          <w:top w:w="0" w:type="dxa"/>
          <w:left w:w="0" w:type="dxa"/>
          <w:bottom w:w="0" w:type="dxa"/>
          <w:right w:w="0" w:type="dxa"/>
        </w:tblCellMar>
      </w:tblPr>
      <w:tr>
        <w:trPr>
          <w:trHeight w:val="222"/>
        </w:trPr>
        <w:tc>
          <w:tcPr>
            <w:tcW w:w="1680" w:type="dxa"/>
            <w:vAlign w:val="bottom"/>
          </w:tcPr>
          <w:p>
            <w:pPr>
              <w:spacing w:after="0"/>
              <w:rPr>
                <w:sz w:val="19"/>
                <w:szCs w:val="19"/>
                <w:color w:val="auto"/>
              </w:rPr>
            </w:pPr>
          </w:p>
        </w:tc>
        <w:tc>
          <w:tcPr>
            <w:tcW w:w="7160" w:type="dxa"/>
            <w:vAlign w:val="bottom"/>
          </w:tcPr>
          <w:p>
            <w:pPr>
              <w:jc w:val="center"/>
              <w:ind w:left="832"/>
              <w:spacing w:after="0"/>
              <w:rPr>
                <w:sz w:val="20"/>
                <w:szCs w:val="20"/>
                <w:color w:val="auto"/>
              </w:rPr>
            </w:pPr>
            <w:r>
              <w:rPr>
                <w:rFonts w:ascii="Arial" w:cs="Arial" w:eastAsia="Arial" w:hAnsi="Arial"/>
                <w:sz w:val="18"/>
                <w:szCs w:val="18"/>
                <w:b w:val="1"/>
                <w:bCs w:val="1"/>
                <w:color w:val="auto"/>
                <w:w w:val="96"/>
              </w:rPr>
              <w:t>TABLE OF CONTENTS</w:t>
            </w:r>
          </w:p>
        </w:tc>
        <w:tc>
          <w:tcPr>
            <w:tcW w:w="2480" w:type="dxa"/>
            <w:vAlign w:val="bottom"/>
          </w:tcPr>
          <w:p>
            <w:pPr>
              <w:spacing w:after="0"/>
              <w:rPr>
                <w:sz w:val="19"/>
                <w:szCs w:val="19"/>
                <w:color w:val="auto"/>
              </w:rPr>
            </w:pPr>
          </w:p>
        </w:tc>
      </w:tr>
      <w:tr>
        <w:trPr>
          <w:trHeight w:val="222"/>
        </w:trPr>
        <w:tc>
          <w:tcPr>
            <w:tcW w:w="1680" w:type="dxa"/>
            <w:vAlign w:val="bottom"/>
          </w:tcPr>
          <w:p>
            <w:pPr>
              <w:spacing w:after="0"/>
              <w:rPr>
                <w:sz w:val="19"/>
                <w:szCs w:val="19"/>
                <w:color w:val="auto"/>
              </w:rPr>
            </w:pPr>
          </w:p>
        </w:tc>
        <w:tc>
          <w:tcPr>
            <w:tcW w:w="7160" w:type="dxa"/>
            <w:vAlign w:val="bottom"/>
          </w:tcPr>
          <w:p>
            <w:pPr>
              <w:jc w:val="center"/>
              <w:ind w:left="812"/>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19"/>
                <w:szCs w:val="19"/>
                <w:color w:val="auto"/>
              </w:rPr>
            </w:pPr>
          </w:p>
        </w:tc>
      </w:tr>
      <w:tr>
        <w:trPr>
          <w:trHeight w:val="312"/>
        </w:trPr>
        <w:tc>
          <w:tcPr>
            <w:tcW w:w="16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3.01.</w:t>
            </w:r>
          </w:p>
        </w:tc>
        <w:tc>
          <w:tcPr>
            <w:tcW w:w="7160" w:type="dxa"/>
            <w:vAlign w:val="bottom"/>
          </w:tcPr>
          <w:p>
            <w:pPr>
              <w:ind w:left="120"/>
              <w:spacing w:after="0"/>
              <w:rPr>
                <w:sz w:val="20"/>
                <w:szCs w:val="20"/>
                <w:color w:val="auto"/>
              </w:rPr>
            </w:pPr>
            <w:r>
              <w:rPr>
                <w:rFonts w:ascii="Arial" w:cs="Arial" w:eastAsia="Arial" w:hAnsi="Arial"/>
                <w:sz w:val="18"/>
                <w:szCs w:val="18"/>
                <w:color w:val="auto"/>
              </w:rPr>
              <w:t>Organization; Powers</w:t>
            </w: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3.02.</w:t>
            </w:r>
          </w:p>
        </w:tc>
        <w:tc>
          <w:tcPr>
            <w:tcW w:w="7160" w:type="dxa"/>
            <w:vAlign w:val="bottom"/>
          </w:tcPr>
          <w:p>
            <w:pPr>
              <w:ind w:left="120"/>
              <w:spacing w:after="0"/>
              <w:rPr>
                <w:sz w:val="20"/>
                <w:szCs w:val="20"/>
                <w:color w:val="auto"/>
              </w:rPr>
            </w:pPr>
            <w:r>
              <w:rPr>
                <w:rFonts w:ascii="Arial" w:cs="Arial" w:eastAsia="Arial" w:hAnsi="Arial"/>
                <w:sz w:val="18"/>
                <w:szCs w:val="18"/>
                <w:color w:val="auto"/>
              </w:rPr>
              <w:t>Authorization; Enforceability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3.03.   Governmental Approvals; No Conflicts</w:t>
            </w: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3.04.   Financial Condition; No Material Adverse Change</w:t>
            </w: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3.05.</w:t>
            </w:r>
          </w:p>
        </w:tc>
        <w:tc>
          <w:tcPr>
            <w:tcW w:w="716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3.06.   Compliance with Laws and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3.07.</w:t>
            </w:r>
          </w:p>
        </w:tc>
        <w:tc>
          <w:tcPr>
            <w:tcW w:w="7160" w:type="dxa"/>
            <w:vAlign w:val="bottom"/>
          </w:tcPr>
          <w:p>
            <w:pPr>
              <w:ind w:left="12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3.08.</w:t>
            </w:r>
          </w:p>
        </w:tc>
        <w:tc>
          <w:tcPr>
            <w:tcW w:w="7160" w:type="dxa"/>
            <w:vAlign w:val="bottom"/>
          </w:tcPr>
          <w:p>
            <w:pPr>
              <w:ind w:left="120"/>
              <w:spacing w:after="0"/>
              <w:rPr>
                <w:sz w:val="20"/>
                <w:szCs w:val="20"/>
                <w:color w:val="auto"/>
              </w:rPr>
            </w:pPr>
            <w:r>
              <w:rPr>
                <w:rFonts w:ascii="Arial" w:cs="Arial" w:eastAsia="Arial" w:hAnsi="Arial"/>
                <w:sz w:val="18"/>
                <w:szCs w:val="18"/>
                <w:color w:val="auto"/>
              </w:rPr>
              <w:t>ERISA</w:t>
            </w: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3.09.</w:t>
            </w:r>
          </w:p>
        </w:tc>
        <w:tc>
          <w:tcPr>
            <w:tcW w:w="7160" w:type="dxa"/>
            <w:vAlign w:val="bottom"/>
          </w:tcPr>
          <w:p>
            <w:pPr>
              <w:ind w:left="120"/>
              <w:spacing w:after="0"/>
              <w:rPr>
                <w:sz w:val="20"/>
                <w:szCs w:val="20"/>
                <w:color w:val="auto"/>
              </w:rPr>
            </w:pPr>
            <w:r>
              <w:rPr>
                <w:rFonts w:ascii="Arial" w:cs="Arial" w:eastAsia="Arial" w:hAnsi="Arial"/>
                <w:sz w:val="18"/>
                <w:szCs w:val="18"/>
                <w:color w:val="auto"/>
              </w:rPr>
              <w:t>Disclosure</w:t>
            </w: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3.10.   Investment Company Act; Margin Regulations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3.11.   Material Agreements and Liens</w:t>
            </w:r>
          </w:p>
        </w:tc>
        <w:tc>
          <w:tcPr>
            <w:tcW w:w="2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3.12.   Subsidiaries and Investments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3.13.</w:t>
            </w:r>
          </w:p>
        </w:tc>
        <w:tc>
          <w:tcPr>
            <w:tcW w:w="7160" w:type="dxa"/>
            <w:vAlign w:val="bottom"/>
          </w:tcPr>
          <w:p>
            <w:pPr>
              <w:ind w:left="120"/>
              <w:spacing w:after="0"/>
              <w:rPr>
                <w:sz w:val="20"/>
                <w:szCs w:val="20"/>
                <w:color w:val="auto"/>
              </w:rPr>
            </w:pPr>
            <w:r>
              <w:rPr>
                <w:rFonts w:ascii="Arial" w:cs="Arial" w:eastAsia="Arial" w:hAnsi="Arial"/>
                <w:sz w:val="18"/>
                <w:szCs w:val="18"/>
                <w:color w:val="auto"/>
              </w:rPr>
              <w:t>Properties</w:t>
            </w:r>
          </w:p>
        </w:tc>
        <w:tc>
          <w:tcPr>
            <w:tcW w:w="2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3.14.</w:t>
            </w:r>
          </w:p>
        </w:tc>
        <w:tc>
          <w:tcPr>
            <w:tcW w:w="7160" w:type="dxa"/>
            <w:vAlign w:val="bottom"/>
          </w:tcPr>
          <w:p>
            <w:pPr>
              <w:ind w:left="120"/>
              <w:spacing w:after="0"/>
              <w:rPr>
                <w:sz w:val="20"/>
                <w:szCs w:val="20"/>
                <w:color w:val="auto"/>
              </w:rPr>
            </w:pPr>
            <w:r>
              <w:rPr>
                <w:rFonts w:ascii="Arial" w:cs="Arial" w:eastAsia="Arial" w:hAnsi="Arial"/>
                <w:sz w:val="18"/>
                <w:szCs w:val="18"/>
                <w:color w:val="auto"/>
              </w:rPr>
              <w:t>Affiliate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3.15.</w:t>
            </w:r>
          </w:p>
        </w:tc>
        <w:tc>
          <w:tcPr>
            <w:tcW w:w="7160" w:type="dxa"/>
            <w:vAlign w:val="bottom"/>
          </w:tcPr>
          <w:p>
            <w:pPr>
              <w:ind w:left="120"/>
              <w:spacing w:after="0"/>
              <w:rPr>
                <w:sz w:val="20"/>
                <w:szCs w:val="20"/>
                <w:color w:val="auto"/>
              </w:rPr>
            </w:pPr>
            <w:r>
              <w:rPr>
                <w:rFonts w:ascii="Arial" w:cs="Arial" w:eastAsia="Arial" w:hAnsi="Arial"/>
                <w:sz w:val="18"/>
                <w:szCs w:val="18"/>
                <w:color w:val="auto"/>
              </w:rPr>
              <w:t>OFAC</w:t>
            </w:r>
          </w:p>
        </w:tc>
        <w:tc>
          <w:tcPr>
            <w:tcW w:w="2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3.16.</w:t>
            </w:r>
          </w:p>
        </w:tc>
        <w:tc>
          <w:tcPr>
            <w:tcW w:w="7160" w:type="dxa"/>
            <w:vAlign w:val="bottom"/>
          </w:tcPr>
          <w:p>
            <w:pPr>
              <w:ind w:left="120"/>
              <w:spacing w:after="0"/>
              <w:rPr>
                <w:sz w:val="20"/>
                <w:szCs w:val="20"/>
                <w:color w:val="auto"/>
              </w:rPr>
            </w:pPr>
            <w:r>
              <w:rPr>
                <w:rFonts w:ascii="Arial" w:cs="Arial" w:eastAsia="Arial" w:hAnsi="Arial"/>
                <w:sz w:val="18"/>
                <w:szCs w:val="18"/>
                <w:color w:val="auto"/>
              </w:rPr>
              <w:t>Patriot Act</w:t>
            </w:r>
          </w:p>
        </w:tc>
        <w:tc>
          <w:tcPr>
            <w:tcW w:w="2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3.17.</w:t>
            </w:r>
          </w:p>
        </w:tc>
        <w:tc>
          <w:tcPr>
            <w:tcW w:w="7160" w:type="dxa"/>
            <w:vAlign w:val="bottom"/>
          </w:tcPr>
          <w:p>
            <w:pPr>
              <w:ind w:left="120"/>
              <w:spacing w:after="0"/>
              <w:rPr>
                <w:sz w:val="20"/>
                <w:szCs w:val="20"/>
                <w:color w:val="auto"/>
              </w:rPr>
            </w:pPr>
            <w:r>
              <w:rPr>
                <w:rFonts w:ascii="Arial" w:cs="Arial" w:eastAsia="Arial" w:hAnsi="Arial"/>
                <w:sz w:val="18"/>
                <w:szCs w:val="18"/>
                <w:color w:val="auto"/>
              </w:rPr>
              <w:t>Collateral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IV CONDITIONS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4.01.</w:t>
            </w:r>
          </w:p>
        </w:tc>
        <w:tc>
          <w:tcPr>
            <w:tcW w:w="7160" w:type="dxa"/>
            <w:vAlign w:val="bottom"/>
          </w:tcPr>
          <w:p>
            <w:pPr>
              <w:ind w:left="120"/>
              <w:spacing w:after="0"/>
              <w:rPr>
                <w:sz w:val="20"/>
                <w:szCs w:val="20"/>
                <w:color w:val="auto"/>
              </w:rPr>
            </w:pPr>
            <w:r>
              <w:rPr>
                <w:rFonts w:ascii="Arial" w:cs="Arial" w:eastAsia="Arial" w:hAnsi="Arial"/>
                <w:sz w:val="18"/>
                <w:szCs w:val="18"/>
                <w:color w:val="auto"/>
              </w:rPr>
              <w:t>Effective Date</w:t>
            </w:r>
          </w:p>
        </w:tc>
        <w:tc>
          <w:tcPr>
            <w:tcW w:w="2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4.02.</w:t>
            </w:r>
          </w:p>
        </w:tc>
        <w:tc>
          <w:tcPr>
            <w:tcW w:w="7160" w:type="dxa"/>
            <w:vAlign w:val="bottom"/>
          </w:tcPr>
          <w:p>
            <w:pPr>
              <w:ind w:left="120"/>
              <w:spacing w:after="0"/>
              <w:rPr>
                <w:sz w:val="20"/>
                <w:szCs w:val="20"/>
                <w:color w:val="auto"/>
              </w:rPr>
            </w:pPr>
            <w:r>
              <w:rPr>
                <w:rFonts w:ascii="Arial" w:cs="Arial" w:eastAsia="Arial" w:hAnsi="Arial"/>
                <w:sz w:val="18"/>
                <w:szCs w:val="18"/>
                <w:color w:val="auto"/>
              </w:rPr>
              <w:t>Each Credit Event</w:t>
            </w:r>
          </w:p>
        </w:tc>
        <w:tc>
          <w:tcPr>
            <w:tcW w:w="24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5.01.   Financial Statements and Other Information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5.02.   Notices of Material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5.03.   Existence: Conduct of Business</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5.04.   Payment of Obligations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5.05.   Maintenance of Properties; 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5.06.   Books and Records; Inspection and Audit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5.07.   Compliance with Laws</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65"/>
        </w:trPr>
        <w:tc>
          <w:tcPr>
            <w:tcW w:w="1680" w:type="dxa"/>
            <w:vAlign w:val="bottom"/>
          </w:tcPr>
          <w:p>
            <w:pPr>
              <w:spacing w:after="0"/>
              <w:rPr>
                <w:sz w:val="24"/>
                <w:szCs w:val="24"/>
                <w:color w:val="auto"/>
              </w:rPr>
            </w:pPr>
          </w:p>
        </w:tc>
        <w:tc>
          <w:tcPr>
            <w:tcW w:w="7160" w:type="dxa"/>
            <w:vAlign w:val="bottom"/>
          </w:tcPr>
          <w:p>
            <w:pPr>
              <w:jc w:val="center"/>
              <w:ind w:left="812"/>
              <w:spacing w:after="0"/>
              <w:rPr>
                <w:sz w:val="20"/>
                <w:szCs w:val="20"/>
                <w:color w:val="auto"/>
              </w:rPr>
            </w:pPr>
            <w:r>
              <w:rPr>
                <w:rFonts w:ascii="Arial" w:cs="Arial" w:eastAsia="Arial" w:hAnsi="Arial"/>
                <w:sz w:val="18"/>
                <w:szCs w:val="18"/>
                <w:color w:val="auto"/>
              </w:rPr>
              <w:t>-ii-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36" w:name="page337"/>
    <w:bookmarkEnd w:id="33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40" w:type="dxa"/>
            <w:vAlign w:val="bottom"/>
          </w:tcPr>
          <w:p>
            <w:pPr>
              <w:spacing w:after="0"/>
              <w:rPr>
                <w:sz w:val="15"/>
                <w:szCs w:val="15"/>
                <w:color w:val="auto"/>
              </w:rPr>
            </w:pPr>
          </w:p>
        </w:tc>
        <w:tc>
          <w:tcPr>
            <w:tcW w:w="2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640" w:type="dxa"/>
            <w:vAlign w:val="bottom"/>
          </w:tcPr>
          <w:p>
            <w:pPr>
              <w:ind w:left="440"/>
              <w:spacing w:after="0"/>
              <w:rPr>
                <w:sz w:val="20"/>
                <w:szCs w:val="20"/>
                <w:color w:val="auto"/>
              </w:rPr>
            </w:pPr>
            <w:r>
              <w:rPr>
                <w:rFonts w:ascii="Arial" w:cs="Arial" w:eastAsia="Arial" w:hAnsi="Arial"/>
                <w:sz w:val="18"/>
                <w:szCs w:val="18"/>
                <w:color w:val="auto"/>
              </w:rPr>
              <w:t>SECTION 5.08. Certain Obligations Respecting Subsidiaries; Further Assurances</w:t>
            </w:r>
          </w:p>
        </w:tc>
        <w:tc>
          <w:tcPr>
            <w:tcW w:w="26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5.09. Use of Proceeds</w:t>
            </w:r>
          </w:p>
        </w:tc>
        <w:tc>
          <w:tcPr>
            <w:tcW w:w="2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5.10. Status of RIC and BDC</w:t>
            </w:r>
          </w:p>
        </w:tc>
        <w:tc>
          <w:tcPr>
            <w:tcW w:w="2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5.11. Investment Policies</w:t>
            </w:r>
          </w:p>
        </w:tc>
        <w:tc>
          <w:tcPr>
            <w:tcW w:w="2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5.12. Portfolio Valuation and Diversification Etc.</w:t>
            </w:r>
          </w:p>
        </w:tc>
        <w:tc>
          <w:tcPr>
            <w:tcW w:w="2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5.13. Calculation of Borrowing Base</w:t>
            </w:r>
          </w:p>
        </w:tc>
        <w:tc>
          <w:tcPr>
            <w:tcW w:w="26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8640" w:type="dxa"/>
            <w:vAlign w:val="bottom"/>
          </w:tcPr>
          <w:p>
            <w:pPr>
              <w:spacing w:after="0"/>
              <w:rPr>
                <w:sz w:val="20"/>
                <w:szCs w:val="20"/>
                <w:color w:val="auto"/>
              </w:rPr>
            </w:pPr>
            <w:r>
              <w:rPr>
                <w:rFonts w:ascii="Arial" w:cs="Arial" w:eastAsia="Arial" w:hAnsi="Arial"/>
                <w:sz w:val="18"/>
                <w:szCs w:val="18"/>
                <w:color w:val="auto"/>
              </w:rPr>
              <w:t>ARTICLE VI NEGATIVE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6.01. Indebtedness</w:t>
            </w:r>
          </w:p>
        </w:tc>
        <w:tc>
          <w:tcPr>
            <w:tcW w:w="2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6.02. Liens</w:t>
            </w:r>
          </w:p>
        </w:tc>
        <w:tc>
          <w:tcPr>
            <w:tcW w:w="26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6.03. Fundamental Changes</w:t>
            </w:r>
          </w:p>
        </w:tc>
        <w:tc>
          <w:tcPr>
            <w:tcW w:w="2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6.04. Investments</w:t>
            </w:r>
          </w:p>
        </w:tc>
        <w:tc>
          <w:tcPr>
            <w:tcW w:w="26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6.05. Restricted Payments</w:t>
            </w:r>
          </w:p>
        </w:tc>
        <w:tc>
          <w:tcPr>
            <w:tcW w:w="26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6.06. Certain Restrictions on Subsidiaries</w:t>
            </w:r>
          </w:p>
        </w:tc>
        <w:tc>
          <w:tcPr>
            <w:tcW w:w="26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6.07. Certain Financial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6.08. Transactions with Affiliates</w:t>
            </w:r>
          </w:p>
        </w:tc>
        <w:tc>
          <w:tcPr>
            <w:tcW w:w="2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6.09. Lines of Business</w:t>
            </w:r>
          </w:p>
        </w:tc>
        <w:tc>
          <w:tcPr>
            <w:tcW w:w="2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6.10. No Further Negative Pledge</w:t>
            </w:r>
          </w:p>
        </w:tc>
        <w:tc>
          <w:tcPr>
            <w:tcW w:w="2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6.11. Modifications of Longer-Term Indebtedness Documents</w:t>
            </w:r>
          </w:p>
        </w:tc>
        <w:tc>
          <w:tcPr>
            <w:tcW w:w="2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6.12. Payments of Longer-Term Indebtedness</w:t>
            </w:r>
          </w:p>
        </w:tc>
        <w:tc>
          <w:tcPr>
            <w:tcW w:w="2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6.13. Accounting Changes</w:t>
            </w:r>
          </w:p>
        </w:tc>
        <w:tc>
          <w:tcPr>
            <w:tcW w:w="2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6.14. SBIC Guarantee</w:t>
            </w:r>
          </w:p>
        </w:tc>
        <w:tc>
          <w:tcPr>
            <w:tcW w:w="2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8640" w:type="dxa"/>
            <w:vAlign w:val="bottom"/>
          </w:tcPr>
          <w:p>
            <w:pPr>
              <w:spacing w:after="0"/>
              <w:rPr>
                <w:sz w:val="20"/>
                <w:szCs w:val="20"/>
                <w:color w:val="auto"/>
              </w:rPr>
            </w:pPr>
            <w:r>
              <w:rPr>
                <w:rFonts w:ascii="Arial" w:cs="Arial" w:eastAsia="Arial" w:hAnsi="Arial"/>
                <w:sz w:val="18"/>
                <w:szCs w:val="18"/>
                <w:color w:val="auto"/>
              </w:rPr>
              <w:t>ARTICLE VII EVENTS OF DEFAULT</w:t>
            </w:r>
          </w:p>
        </w:tc>
        <w:tc>
          <w:tcPr>
            <w:tcW w:w="2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8640" w:type="dxa"/>
            <w:vAlign w:val="bottom"/>
          </w:tcPr>
          <w:p>
            <w:pPr>
              <w:spacing w:after="0"/>
              <w:rPr>
                <w:sz w:val="20"/>
                <w:szCs w:val="20"/>
                <w:color w:val="auto"/>
              </w:rPr>
            </w:pPr>
            <w:r>
              <w:rPr>
                <w:rFonts w:ascii="Arial" w:cs="Arial" w:eastAsia="Arial" w:hAnsi="Arial"/>
                <w:sz w:val="18"/>
                <w:szCs w:val="18"/>
                <w:color w:val="auto"/>
              </w:rPr>
              <w:t>ARTICLE VIII THE ADMINISTRATIVE AGENT</w:t>
            </w:r>
          </w:p>
        </w:tc>
        <w:tc>
          <w:tcPr>
            <w:tcW w:w="26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8.01. Appointment of the Administrative Agent</w:t>
            </w:r>
          </w:p>
        </w:tc>
        <w:tc>
          <w:tcPr>
            <w:tcW w:w="26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8.02. Capacity as Lender</w:t>
            </w:r>
          </w:p>
        </w:tc>
        <w:tc>
          <w:tcPr>
            <w:tcW w:w="26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8.03. Limitation of Duties; Exculpation</w:t>
            </w:r>
          </w:p>
        </w:tc>
        <w:tc>
          <w:tcPr>
            <w:tcW w:w="2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8.04. Reliance</w:t>
            </w:r>
          </w:p>
        </w:tc>
        <w:tc>
          <w:tcPr>
            <w:tcW w:w="2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8.05. Sub-Agents</w:t>
            </w:r>
          </w:p>
        </w:tc>
        <w:tc>
          <w:tcPr>
            <w:tcW w:w="2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8640" w:type="dxa"/>
            <w:vAlign w:val="bottom"/>
          </w:tcPr>
          <w:p>
            <w:pPr>
              <w:ind w:left="440"/>
              <w:spacing w:after="0"/>
              <w:rPr>
                <w:sz w:val="20"/>
                <w:szCs w:val="20"/>
                <w:color w:val="auto"/>
              </w:rPr>
            </w:pPr>
            <w:r>
              <w:rPr>
                <w:rFonts w:ascii="Arial" w:cs="Arial" w:eastAsia="Arial" w:hAnsi="Arial"/>
                <w:sz w:val="18"/>
                <w:szCs w:val="18"/>
                <w:color w:val="auto"/>
              </w:rPr>
              <w:t>SECTION 8.06. Resignation; Successor Administrative Agent</w:t>
            </w: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65"/>
        </w:trPr>
        <w:tc>
          <w:tcPr>
            <w:tcW w:w="8640" w:type="dxa"/>
            <w:vAlign w:val="bottom"/>
          </w:tcPr>
          <w:p>
            <w:pPr>
              <w:ind w:left="5580"/>
              <w:spacing w:after="0"/>
              <w:rPr>
                <w:sz w:val="20"/>
                <w:szCs w:val="20"/>
                <w:color w:val="auto"/>
              </w:rPr>
            </w:pPr>
            <w:r>
              <w:rPr>
                <w:rFonts w:ascii="Arial" w:cs="Arial" w:eastAsia="Arial" w:hAnsi="Arial"/>
                <w:sz w:val="18"/>
                <w:szCs w:val="18"/>
                <w:color w:val="auto"/>
              </w:rPr>
              <w:t>-iii-</w:t>
            </w:r>
          </w:p>
        </w:tc>
        <w:tc>
          <w:tcPr>
            <w:tcW w:w="268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337" w:name="page338"/>
    <w:bookmarkEnd w:id="3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8920" w:type="dxa"/>
            <w:vAlign w:val="bottom"/>
          </w:tcPr>
          <w:p>
            <w:pPr>
              <w:jc w:val="center"/>
              <w:ind w:left="2432"/>
              <w:spacing w:after="0"/>
              <w:rPr>
                <w:sz w:val="20"/>
                <w:szCs w:val="20"/>
                <w:color w:val="auto"/>
              </w:rPr>
            </w:pPr>
            <w:r>
              <w:rPr>
                <w:rFonts w:ascii="Arial" w:cs="Arial" w:eastAsia="Arial" w:hAnsi="Arial"/>
                <w:sz w:val="18"/>
                <w:szCs w:val="18"/>
                <w:b w:val="1"/>
                <w:bCs w:val="1"/>
                <w:color w:val="auto"/>
                <w:w w:val="96"/>
              </w:rPr>
              <w:t>TABLE OF CONTENTS</w:t>
            </w:r>
          </w:p>
        </w:tc>
        <w:tc>
          <w:tcPr>
            <w:tcW w:w="2400" w:type="dxa"/>
            <w:vAlign w:val="bottom"/>
          </w:tcPr>
          <w:p>
            <w:pPr>
              <w:spacing w:after="0"/>
              <w:rPr>
                <w:sz w:val="19"/>
                <w:szCs w:val="19"/>
                <w:color w:val="auto"/>
              </w:rPr>
            </w:pPr>
          </w:p>
        </w:tc>
      </w:tr>
      <w:tr>
        <w:trPr>
          <w:trHeight w:val="222"/>
        </w:trPr>
        <w:tc>
          <w:tcPr>
            <w:tcW w:w="8920" w:type="dxa"/>
            <w:vAlign w:val="bottom"/>
          </w:tcPr>
          <w:p>
            <w:pPr>
              <w:jc w:val="center"/>
              <w:ind w:left="2412"/>
              <w:spacing w:after="0"/>
              <w:rPr>
                <w:sz w:val="20"/>
                <w:szCs w:val="20"/>
                <w:color w:val="auto"/>
              </w:rPr>
            </w:pPr>
            <w:r>
              <w:rPr>
                <w:rFonts w:ascii="Arial" w:cs="Arial" w:eastAsia="Arial" w:hAnsi="Arial"/>
                <w:sz w:val="18"/>
                <w:szCs w:val="18"/>
                <w:color w:val="auto"/>
                <w:w w:val="91"/>
              </w:rPr>
              <w:t>(continued)</w:t>
            </w:r>
          </w:p>
        </w:tc>
        <w:tc>
          <w:tcPr>
            <w:tcW w:w="2400" w:type="dxa"/>
            <w:vAlign w:val="bottom"/>
          </w:tcPr>
          <w:p>
            <w:pPr>
              <w:spacing w:after="0"/>
              <w:rPr>
                <w:sz w:val="19"/>
                <w:szCs w:val="19"/>
                <w:color w:val="auto"/>
              </w:rPr>
            </w:pPr>
          </w:p>
        </w:tc>
      </w:tr>
      <w:tr>
        <w:trPr>
          <w:trHeight w:val="312"/>
        </w:trPr>
        <w:tc>
          <w:tcPr>
            <w:tcW w:w="89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920" w:type="dxa"/>
            <w:vAlign w:val="bottom"/>
          </w:tcPr>
          <w:p>
            <w:pPr>
              <w:ind w:left="440"/>
              <w:spacing w:after="0"/>
              <w:rPr>
                <w:sz w:val="20"/>
                <w:szCs w:val="20"/>
                <w:color w:val="auto"/>
              </w:rPr>
            </w:pPr>
            <w:r>
              <w:rPr>
                <w:rFonts w:ascii="Arial" w:cs="Arial" w:eastAsia="Arial" w:hAnsi="Arial"/>
                <w:sz w:val="18"/>
                <w:szCs w:val="18"/>
                <w:color w:val="auto"/>
              </w:rPr>
              <w:t>SECTION 8.07. Reliance by Lenders</w:t>
            </w:r>
          </w:p>
        </w:tc>
        <w:tc>
          <w:tcPr>
            <w:tcW w:w="2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8.08. Modifications to Loan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IX 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9.01. Notices; Electronic Communications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9.02. Waivers; Amendments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9.03. Expenses; Indemnity; Damage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9.04. Successors and Assigns</w:t>
            </w:r>
          </w:p>
        </w:tc>
        <w:tc>
          <w:tcPr>
            <w:tcW w:w="2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9.05. 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9.07. 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9.08. Right of Setoff</w:t>
            </w:r>
          </w:p>
        </w:tc>
        <w:tc>
          <w:tcPr>
            <w:tcW w:w="24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9.09. Governing Law; Jurisdiction; Etc</w:t>
            </w:r>
          </w:p>
        </w:tc>
        <w:tc>
          <w:tcPr>
            <w:tcW w:w="24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9.10. 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9.11. Judgment Currency</w:t>
            </w:r>
          </w:p>
        </w:tc>
        <w:tc>
          <w:tcPr>
            <w:tcW w:w="24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9.12. Headings</w:t>
            </w:r>
          </w:p>
        </w:tc>
        <w:tc>
          <w:tcPr>
            <w:tcW w:w="24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9.13. Treatment of Certain Information; No Fiduciary Duty; 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9.14. USA PATRIOT Act</w:t>
            </w:r>
          </w:p>
        </w:tc>
        <w:tc>
          <w:tcPr>
            <w:tcW w:w="24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9.15. Effect of Amendment and Restatement of the Existing Credit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9.16. Reaffirmation of Guarantee and Security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65"/>
        </w:trPr>
        <w:tc>
          <w:tcPr>
            <w:tcW w:w="8920" w:type="dxa"/>
            <w:vAlign w:val="bottom"/>
          </w:tcPr>
          <w:p>
            <w:pPr>
              <w:jc w:val="center"/>
              <w:ind w:left="2412"/>
              <w:spacing w:after="0"/>
              <w:rPr>
                <w:sz w:val="20"/>
                <w:szCs w:val="20"/>
                <w:color w:val="auto"/>
              </w:rPr>
            </w:pPr>
            <w:r>
              <w:rPr>
                <w:rFonts w:ascii="Arial" w:cs="Arial" w:eastAsia="Arial" w:hAnsi="Arial"/>
                <w:sz w:val="18"/>
                <w:szCs w:val="18"/>
                <w:color w:val="auto"/>
              </w:rPr>
              <w:t>-iv-</w:t>
            </w:r>
          </w:p>
        </w:tc>
        <w:tc>
          <w:tcPr>
            <w:tcW w:w="2400" w:type="dxa"/>
            <w:vAlign w:val="bottom"/>
          </w:tcPr>
          <w:p>
            <w:pPr>
              <w:spacing w:after="0"/>
              <w:rPr>
                <w:sz w:val="24"/>
                <w:szCs w:val="24"/>
                <w:color w:val="auto"/>
              </w:rPr>
            </w:pPr>
          </w:p>
        </w:tc>
      </w:tr>
    </w:tbl>
    <w:p>
      <w:pPr>
        <w:sectPr>
          <w:pgSz w:w="11900" w:h="16838" w:orient="portrait"/>
          <w:cols w:equalWidth="0" w:num="1">
            <w:col w:w="11320"/>
          </w:cols>
          <w:pgMar w:left="240" w:top="273" w:right="339" w:bottom="1440" w:gutter="0" w:footer="0" w:header="0"/>
        </w:sectPr>
      </w:pPr>
    </w:p>
    <w:bookmarkStart w:id="338" w:name="page339"/>
    <w:bookmarkEnd w:id="3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1.01(a)</w:t>
            </w:r>
          </w:p>
        </w:tc>
        <w:tc>
          <w:tcPr>
            <w:tcW w:w="4280" w:type="dxa"/>
            <w:vAlign w:val="bottom"/>
            <w:gridSpan w:val="2"/>
          </w:tcPr>
          <w:p>
            <w:pPr>
              <w:ind w:left="280"/>
              <w:spacing w:after="0"/>
              <w:rPr>
                <w:sz w:val="20"/>
                <w:szCs w:val="20"/>
                <w:color w:val="auto"/>
              </w:rPr>
            </w:pPr>
            <w:r>
              <w:rPr>
                <w:rFonts w:ascii="Arial" w:cs="Arial" w:eastAsia="Arial" w:hAnsi="Arial"/>
                <w:sz w:val="18"/>
                <w:szCs w:val="18"/>
                <w:color w:val="auto"/>
                <w:w w:val="91"/>
              </w:rPr>
              <w:t>—    Approved Dealers and Approved Pricing Services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1.01(b)</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3680" w:type="dxa"/>
            <w:vAlign w:val="bottom"/>
          </w:tcPr>
          <w:p>
            <w:pPr>
              <w:ind w:left="160"/>
              <w:spacing w:after="0"/>
              <w:rPr>
                <w:sz w:val="20"/>
                <w:szCs w:val="20"/>
                <w:color w:val="auto"/>
              </w:rPr>
            </w:pPr>
            <w:r>
              <w:rPr>
                <w:rFonts w:ascii="Arial" w:cs="Arial" w:eastAsia="Arial" w:hAnsi="Arial"/>
                <w:sz w:val="18"/>
                <w:szCs w:val="18"/>
                <w:color w:val="auto"/>
              </w:rPr>
              <w:t>Commitments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1.01(c)</w:t>
            </w:r>
          </w:p>
        </w:tc>
        <w:tc>
          <w:tcPr>
            <w:tcW w:w="4280" w:type="dxa"/>
            <w:vAlign w:val="bottom"/>
            <w:gridSpan w:val="2"/>
          </w:tcPr>
          <w:p>
            <w:pPr>
              <w:ind w:left="280"/>
              <w:spacing w:after="0"/>
              <w:rPr>
                <w:sz w:val="20"/>
                <w:szCs w:val="20"/>
                <w:color w:val="auto"/>
              </w:rPr>
            </w:pPr>
            <w:r>
              <w:rPr>
                <w:rFonts w:ascii="Arial" w:cs="Arial" w:eastAsia="Arial" w:hAnsi="Arial"/>
                <w:sz w:val="18"/>
                <w:szCs w:val="18"/>
                <w:color w:val="auto"/>
              </w:rPr>
              <w:t>—    Industry Classification Group List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3.11</w:t>
            </w:r>
          </w:p>
        </w:tc>
        <w:tc>
          <w:tcPr>
            <w:tcW w:w="4280" w:type="dxa"/>
            <w:vAlign w:val="bottom"/>
            <w:gridSpan w:val="2"/>
          </w:tcPr>
          <w:p>
            <w:pPr>
              <w:ind w:left="280"/>
              <w:spacing w:after="0"/>
              <w:rPr>
                <w:sz w:val="20"/>
                <w:szCs w:val="20"/>
                <w:color w:val="auto"/>
              </w:rPr>
            </w:pPr>
            <w:r>
              <w:rPr>
                <w:rFonts w:ascii="Arial" w:cs="Arial" w:eastAsia="Arial" w:hAnsi="Arial"/>
                <w:sz w:val="18"/>
                <w:szCs w:val="18"/>
                <w:color w:val="auto"/>
              </w:rPr>
              <w:t>—    Material Agreements and Liens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3.12(a)</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3680" w:type="dxa"/>
            <w:vAlign w:val="bottom"/>
          </w:tcPr>
          <w:p>
            <w:pPr>
              <w:ind w:left="160"/>
              <w:spacing w:after="0"/>
              <w:rPr>
                <w:sz w:val="20"/>
                <w:szCs w:val="20"/>
                <w:color w:val="auto"/>
              </w:rPr>
            </w:pPr>
            <w:r>
              <w:rPr>
                <w:rFonts w:ascii="Arial" w:cs="Arial" w:eastAsia="Arial" w:hAnsi="Arial"/>
                <w:sz w:val="18"/>
                <w:szCs w:val="18"/>
                <w:color w:val="auto"/>
              </w:rPr>
              <w:t>Subsidiaries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3.12(b)</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3680" w:type="dxa"/>
            <w:vAlign w:val="bottom"/>
          </w:tcPr>
          <w:p>
            <w:pPr>
              <w:ind w:left="160"/>
              <w:spacing w:after="0"/>
              <w:rPr>
                <w:sz w:val="20"/>
                <w:szCs w:val="20"/>
                <w:color w:val="auto"/>
              </w:rPr>
            </w:pPr>
            <w:r>
              <w:rPr>
                <w:rFonts w:ascii="Arial" w:cs="Arial" w:eastAsia="Arial" w:hAnsi="Arial"/>
                <w:sz w:val="18"/>
                <w:szCs w:val="18"/>
                <w:color w:val="auto"/>
              </w:rPr>
              <w:t>Investments</w:t>
            </w: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SCHEDULE 6.08</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368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r>
      <w:tr>
        <w:trPr>
          <w:trHeight w:val="426"/>
        </w:trPr>
        <w:tc>
          <w:tcPr>
            <w:tcW w:w="1760" w:type="dxa"/>
            <w:vAlign w:val="bottom"/>
          </w:tcPr>
          <w:p>
            <w:pPr>
              <w:spacing w:after="0"/>
              <w:rPr>
                <w:sz w:val="20"/>
                <w:szCs w:val="20"/>
                <w:color w:val="auto"/>
              </w:rPr>
            </w:pPr>
            <w:r>
              <w:rPr>
                <w:rFonts w:ascii="Arial" w:cs="Arial" w:eastAsia="Arial" w:hAnsi="Arial"/>
                <w:sz w:val="18"/>
                <w:szCs w:val="18"/>
                <w:color w:val="auto"/>
              </w:rPr>
              <w:t>EXHIBIT A</w:t>
            </w:r>
          </w:p>
        </w:tc>
        <w:tc>
          <w:tcPr>
            <w:tcW w:w="4280" w:type="dxa"/>
            <w:vAlign w:val="bottom"/>
            <w:gridSpan w:val="2"/>
          </w:tcPr>
          <w:p>
            <w:pPr>
              <w:ind w:left="28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B</w:t>
            </w:r>
          </w:p>
        </w:tc>
        <w:tc>
          <w:tcPr>
            <w:tcW w:w="4280" w:type="dxa"/>
            <w:vAlign w:val="bottom"/>
            <w:gridSpan w:val="2"/>
          </w:tcPr>
          <w:p>
            <w:pPr>
              <w:ind w:left="280"/>
              <w:spacing w:after="0"/>
              <w:rPr>
                <w:sz w:val="20"/>
                <w:szCs w:val="20"/>
                <w:color w:val="auto"/>
              </w:rPr>
            </w:pPr>
            <w:r>
              <w:rPr>
                <w:rFonts w:ascii="Arial" w:cs="Arial" w:eastAsia="Arial" w:hAnsi="Arial"/>
                <w:sz w:val="18"/>
                <w:szCs w:val="18"/>
                <w:color w:val="auto"/>
              </w:rPr>
              <w:t>—    Form of Borrowing Base Certificate</w:t>
            </w: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EXHIBIT C</w:t>
            </w:r>
          </w:p>
        </w:tc>
        <w:tc>
          <w:tcPr>
            <w:tcW w:w="4280" w:type="dxa"/>
            <w:vAlign w:val="bottom"/>
            <w:gridSpan w:val="2"/>
          </w:tcPr>
          <w:p>
            <w:pPr>
              <w:ind w:left="280"/>
              <w:spacing w:after="0"/>
              <w:rPr>
                <w:sz w:val="20"/>
                <w:szCs w:val="20"/>
                <w:color w:val="auto"/>
              </w:rPr>
            </w:pPr>
            <w:r>
              <w:rPr>
                <w:rFonts w:ascii="Arial" w:cs="Arial" w:eastAsia="Arial" w:hAnsi="Arial"/>
                <w:sz w:val="18"/>
                <w:szCs w:val="18"/>
                <w:color w:val="auto"/>
              </w:rPr>
              <w:t>—    Form of Borrowing Request</w:t>
            </w:r>
          </w:p>
        </w:tc>
      </w:tr>
    </w:tbl>
    <w:p>
      <w:pPr>
        <w:sectPr>
          <w:pgSz w:w="11900" w:h="16838" w:orient="portrait"/>
          <w:cols w:equalWidth="0" w:num="1">
            <w:col w:w="10219"/>
          </w:cols>
          <w:pgMar w:left="240" w:top="279" w:right="1440" w:bottom="1440" w:gutter="0" w:footer="0" w:header="0"/>
        </w:sectPr>
      </w:pPr>
    </w:p>
    <w:bookmarkStart w:id="339" w:name="page340"/>
    <w:bookmarkEnd w:id="33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 SENIOR SECURED REVOLVING CREDIT AGREEMENT dated as of February 27, 2014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among TPG SPECIALTY LENDING,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party hereto, and SUNTRUST BANK,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16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among the Borrower, the lenders party thereto (collectively, the “</w:t>
      </w:r>
      <w:r>
        <w:rPr>
          <w:rFonts w:ascii="Arial" w:cs="Arial" w:eastAsia="Arial" w:hAnsi="Arial"/>
          <w:sz w:val="18"/>
          <w:szCs w:val="18"/>
          <w:u w:val="single" w:color="auto"/>
          <w:color w:val="auto"/>
        </w:rPr>
        <w:t>Existing Lenders</w:t>
      </w:r>
      <w:r>
        <w:rPr>
          <w:rFonts w:ascii="Arial" w:cs="Arial" w:eastAsia="Arial" w:hAnsi="Arial"/>
          <w:sz w:val="18"/>
          <w:szCs w:val="18"/>
          <w:color w:val="auto"/>
        </w:rPr>
        <w:t>”) and the Administrative Agent, the Existing Lenders agreed to make extensions of credit to the Borrower on the terms and conditions set forth therein, including making loans (the “</w:t>
      </w:r>
      <w:r>
        <w:rPr>
          <w:rFonts w:ascii="Arial" w:cs="Arial" w:eastAsia="Arial" w:hAnsi="Arial"/>
          <w:sz w:val="18"/>
          <w:szCs w:val="18"/>
          <w:u w:val="single" w:color="auto"/>
          <w:color w:val="auto"/>
        </w:rPr>
        <w:t>Existing Loans</w:t>
      </w:r>
      <w:r>
        <w:rPr>
          <w:rFonts w:ascii="Arial" w:cs="Arial" w:eastAsia="Arial" w:hAnsi="Arial"/>
          <w:sz w:val="18"/>
          <w:szCs w:val="18"/>
          <w:color w:val="auto"/>
        </w:rPr>
        <w:t>”) to the Borrower.</w:t>
      </w:r>
    </w:p>
    <w:p>
      <w:pPr>
        <w:spacing w:after="0" w:line="143"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23"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parties hereto hereby agree to amend and restate the Existing Credit Agreement, and the Existing Credit Agreement is hereby amended and restated in its entirety as follows:</w:t>
      </w:r>
    </w:p>
    <w:p>
      <w:pPr>
        <w:spacing w:after="0" w:line="29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90"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32"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Borrowing Base</w:t>
      </w:r>
      <w:r>
        <w:rPr>
          <w:rFonts w:ascii="Arial" w:cs="Arial" w:eastAsia="Arial" w:hAnsi="Arial"/>
          <w:sz w:val="18"/>
          <w:szCs w:val="18"/>
          <w:color w:val="auto"/>
        </w:rPr>
        <w:t xml:space="preserve">” means the Borrowing Base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Cash Collateral for outstanding Letters of Credit shall not be treated as a portion of the Portfolio Investments).</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Covered Debt Balance</w:t>
      </w:r>
      <w:r>
        <w:rPr>
          <w:rFonts w:ascii="Arial" w:cs="Arial" w:eastAsia="Arial" w:hAnsi="Arial"/>
          <w:sz w:val="18"/>
          <w:szCs w:val="18"/>
          <w:color w:val="auto"/>
        </w:rPr>
        <w:t xml:space="preserve">” means, on any date, the aggregate Covered Debt Amount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40"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SunTrust, in its capacity as administrative agent for the Lenders 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Appraisal Testing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5.12(b)(ii)(E)(y)</w:t>
      </w:r>
      <w:r>
        <w:rPr>
          <w:rFonts w:ascii="Arial" w:cs="Arial" w:eastAsia="Arial" w:hAnsi="Arial"/>
          <w:sz w:val="18"/>
          <w:szCs w:val="18"/>
          <w:color w:val="auto"/>
        </w:rPr>
        <w:t>.</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Account</w:t>
      </w:r>
      <w:r>
        <w:rPr>
          <w:rFonts w:ascii="Arial" w:cs="Arial" w:eastAsia="Arial" w:hAnsi="Arial"/>
          <w:sz w:val="18"/>
          <w:szCs w:val="18"/>
          <w:color w:val="auto"/>
        </w:rPr>
        <w:t>” means, for each Currency, an account in respect of such Currency designated by the Administrative Agent in a notice to the Borrower and the Lenders.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71"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43"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Agreements</w:t>
      </w:r>
      <w:r>
        <w:rPr>
          <w:rFonts w:ascii="Arial" w:cs="Arial" w:eastAsia="Arial" w:hAnsi="Arial"/>
          <w:sz w:val="16"/>
          <w:szCs w:val="16"/>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107"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Foreign Currency</w:t>
      </w:r>
      <w:r>
        <w:rPr>
          <w:rFonts w:ascii="Arial" w:cs="Arial" w:eastAsia="Arial" w:hAnsi="Arial"/>
          <w:sz w:val="18"/>
          <w:szCs w:val="18"/>
          <w:color w:val="auto"/>
        </w:rPr>
        <w:t>” means, at any time, (i) any of Canadian Dollars, English Pounds Sterling, Euros, Japanese Yen, Australian Dollar, Swiss Franc, Swedish Krona</w:t>
      </w:r>
    </w:p>
    <w:p>
      <w:pPr>
        <w:spacing w:after="0" w:line="118"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41" w:name="page342"/>
    <w:bookmarkEnd w:id="34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New Zealand Dollar,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for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and (c) the rate per annum equal to 1%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20"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Dollar Percentage</w:t>
      </w:r>
      <w:r>
        <w:rPr>
          <w:rFonts w:ascii="Arial" w:cs="Arial" w:eastAsia="Arial" w:hAnsi="Arial"/>
          <w:sz w:val="16"/>
          <w:szCs w:val="16"/>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on and after the Non-Extended Commitment Termination Date, the Applicable Dollar Percentage of each Non-Extending Lender that is a Dollar Lender shall be 0%.</w:t>
      </w:r>
    </w:p>
    <w:p>
      <w:pPr>
        <w:spacing w:after="0" w:line="11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Financial Statements</w:t>
      </w:r>
      <w:r>
        <w:rPr>
          <w:rFonts w:ascii="Arial" w:cs="Arial" w:eastAsia="Arial" w:hAnsi="Arial"/>
          <w:sz w:val="16"/>
          <w:szCs w:val="16"/>
          <w:color w:val="auto"/>
        </w:rPr>
        <w:t xml:space="preserve">” means, as at any date, the most-recent audited financial statements of the Borrower delivered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immediately prior to the delivery to the Lenders of new audited financial statements of the Borrower a Material Adverse Change (the “</w:t>
      </w:r>
      <w:r>
        <w:rPr>
          <w:rFonts w:ascii="Arial" w:cs="Arial" w:eastAsia="Arial" w:hAnsi="Arial"/>
          <w:sz w:val="16"/>
          <w:szCs w:val="16"/>
          <w:u w:val="single" w:color="auto"/>
          <w:color w:val="auto"/>
        </w:rPr>
        <w:t>Pre-existing MAC</w:t>
      </w:r>
      <w:r>
        <w:rPr>
          <w:rFonts w:ascii="Arial" w:cs="Arial" w:eastAsia="Arial" w:hAnsi="Arial"/>
          <w:sz w:val="16"/>
          <w:szCs w:val="16"/>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99"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42" w:name="page343"/>
    <w:bookmarkEnd w:id="34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(a) with respect to any ABR Loan, 1.25% per annum; and (b) with respect to any Eurocurrency Loan, 2.25% per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annum.</w:t>
      </w:r>
    </w:p>
    <w:p>
      <w:pPr>
        <w:spacing w:after="0" w:line="16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Multicurrency Percentage</w:t>
      </w:r>
      <w:r>
        <w:rPr>
          <w:rFonts w:ascii="Arial" w:cs="Arial" w:eastAsia="Arial" w:hAnsi="Arial"/>
          <w:sz w:val="18"/>
          <w:szCs w:val="18"/>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on and after the Non-Extended Commitment Termination Date, the Applicable Multicurrency Percentage of each Non-Extending Lender that is a Multicurrency Lender shall be 0%.</w:t>
      </w:r>
    </w:p>
    <w:p>
      <w:pPr>
        <w:spacing w:after="0" w:line="143" w:lineRule="exact"/>
        <w:rPr>
          <w:sz w:val="20"/>
          <w:szCs w:val="20"/>
          <w:color w:val="auto"/>
        </w:rPr>
      </w:pPr>
    </w:p>
    <w:p>
      <w:pPr>
        <w:jc w:val="both"/>
        <w:ind w:right="8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on and after the Non-Extended Commitment Termination Date, the Applicable Percentage of each Non-Extending Lender shall be 0%.</w:t>
      </w:r>
    </w:p>
    <w:p>
      <w:pPr>
        <w:spacing w:after="0" w:line="143"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Dealer</w:t>
      </w:r>
      <w:r>
        <w:rPr>
          <w:rFonts w:ascii="Arial" w:cs="Arial" w:eastAsia="Arial" w:hAnsi="Arial"/>
          <w:sz w:val="18"/>
          <w:szCs w:val="18"/>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any other bank or broker-dealer acceptable to the Administrative Agent in its reasonable determination.</w:t>
      </w:r>
    </w:p>
    <w:p>
      <w:pPr>
        <w:spacing w:after="0" w:line="143"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Pricing Service</w:t>
      </w:r>
      <w:r>
        <w:rPr>
          <w:rFonts w:ascii="Arial" w:cs="Arial" w:eastAsia="Arial" w:hAnsi="Arial"/>
          <w:sz w:val="16"/>
          <w:szCs w:val="16"/>
          <w:color w:val="auto"/>
        </w:rPr>
        <w:t xml:space="preserve">” means a pricing or quotation service as set forth in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0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Third-Party Appraiser</w:t>
      </w:r>
      <w:r>
        <w:rPr>
          <w:rFonts w:ascii="Arial" w:cs="Arial" w:eastAsia="Arial" w:hAnsi="Arial"/>
          <w:sz w:val="18"/>
          <w:szCs w:val="18"/>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hereof, an “Approved Third-Party Appraiser selected by the Administrative Agent” shall mean any of the firms identified in the preceding sentence and any other Independent nationally recognized third-</w:t>
      </w:r>
    </w:p>
    <w:p>
      <w:pPr>
        <w:spacing w:after="0" w:line="132"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appraisal firm identified by the Administrative Agent and consented to by the Borrower (such consent not to be unreasonably withheld).</w:t>
      </w:r>
    </w:p>
    <w:p>
      <w:pPr>
        <w:spacing w:after="0" w:line="171"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Coverage Ratio</w:t>
      </w:r>
      <w:r>
        <w:rPr>
          <w:rFonts w:ascii="Arial" w:cs="Arial" w:eastAsia="Arial" w:hAnsi="Arial"/>
          <w:sz w:val="16"/>
          <w:szCs w:val="16"/>
          <w:color w:val="auto"/>
        </w:rPr>
        <w:t>” means the ratio, determined on a consolidated basis for Borrower and its Subsidiaries, without duplication, (a) the Value of total assets of the Borrower and its Subsidiaries, less all liabilities and indebtedness not represented by senior securities to (b) to the aggregate amount of senior securities representing indebtedness of Borrower and its Subsidiaries (including this Agreement and any Capital Call Facility),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16"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means an Assignment and Assumption entered into by a Lender and an assignee (with the consent of any party whose consent is required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accepted by the Administrative Agent,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jc w:val="both"/>
        <w:ind w:right="4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as applicable.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all Syndicated ABR Loans of the same Class made, converted or continued on the same date, (b) all Eurocurrency Loans of the same Class denominated in the same Currency that have the same Interest Period or (c) a Swingline Loan.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xml:space="preserve">” means a certificate of a Financial Officer of the Borrower,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appropriately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completed.</w:t>
      </w:r>
    </w:p>
    <w:p>
      <w:pPr>
        <w:spacing w:after="0" w:line="16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at any date on which the same is determined, the amount, if any, that (a) the aggregate Covered Debt Amount as of such date exceeds (b) the Borrowing Base as of such date.</w:t>
      </w:r>
    </w:p>
    <w:p>
      <w:pPr>
        <w:spacing w:after="0" w:line="118"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44" w:name="page345"/>
    <w:bookmarkEnd w:id="344"/>
    <w:p>
      <w:pPr>
        <w:ind w:right="2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Syndicated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18"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Calculation Amount</w:t>
      </w:r>
      <w:r>
        <w:rPr>
          <w:rFonts w:ascii="Arial" w:cs="Arial" w:eastAsia="Arial" w:hAnsi="Arial"/>
          <w:sz w:val="16"/>
          <w:szCs w:val="16"/>
          <w:color w:val="auto"/>
        </w:rPr>
        <w:t xml:space="preserve">” shall mean, as of the end of any Testing Period, an amount equal to the greater of: (a) (i) 125% of the Adjusted Covered Debt Balance (as of the end of such Testing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more than 25% (or, if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applies, 10%, or as near thereto as reasonably practicable) of the aggregate Value of the Unquoted Investments in the Borrowing Base be tested in respect of any applicable Testing Period.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1"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CAM Exchange Date</w:t>
      </w:r>
      <w:r>
        <w:rPr>
          <w:rFonts w:ascii="Arial" w:cs="Arial" w:eastAsia="Arial" w:hAnsi="Arial"/>
          <w:sz w:val="16"/>
          <w:szCs w:val="16"/>
          <w:color w:val="auto"/>
        </w:rPr>
        <w:t xml:space="preserve">” means the date on which any Event of Default referred to in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occur or the date on which the Company receives written notice from the Administrative Agent that any Event of Default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has occurred.</w:t>
      </w:r>
    </w:p>
    <w:p>
      <w:pPr>
        <w:spacing w:after="0" w:line="85"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Percentage</w:t>
      </w:r>
      <w:r>
        <w:rPr>
          <w:rFonts w:ascii="Arial" w:cs="Arial" w:eastAsia="Arial" w:hAnsi="Arial"/>
          <w:sz w:val="18"/>
          <w:szCs w:val="18"/>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43" w:lineRule="exact"/>
        <w:rPr>
          <w:sz w:val="20"/>
          <w:szCs w:val="20"/>
          <w:color w:val="auto"/>
        </w:rPr>
      </w:pPr>
    </w:p>
    <w:p>
      <w:pPr>
        <w:ind w:right="2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Call Facility</w:t>
      </w:r>
      <w:r>
        <w:rPr>
          <w:rFonts w:ascii="Arial" w:cs="Arial" w:eastAsia="Arial" w:hAnsi="Arial"/>
          <w:sz w:val="16"/>
          <w:szCs w:val="16"/>
          <w:color w:val="auto"/>
        </w:rPr>
        <w:t>” means any limited recourse debt facility of the Borrower secured solely by the capital commitments of the equity holders thereof and assets related thereto (and not secured by any Portfolio Investments, Cash or other property, in each case that constitute Collateral hereunder or are included in the Borrowing Base hereunder), including the facility established by the Amended and Restated Revolving Credit Agreement between the</w:t>
      </w:r>
    </w:p>
    <w:p>
      <w:pPr>
        <w:spacing w:after="0" w:line="93"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45" w:name="page346"/>
    <w:bookmarkEnd w:id="345"/>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Deutsche Bank Trust Company Americas, as administrative agent, and the lenders named therein (or any extension, renewal or replacement thereof), existing on the date hereof or as amended or amended and restated from time to time.</w:t>
      </w:r>
    </w:p>
    <w:p>
      <w:pPr>
        <w:spacing w:after="0" w:line="132"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any immediately available funds in Dollars or in any currency other than Dollars (measured in terms of the Dollar Equivalent thereof) which is a freely convertible currency.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in respect of a Letter of Credit or any obligation hereunder, to provide and pledge cash collateral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2.05(k)</w:t>
      </w:r>
      <w:r>
        <w:rPr>
          <w:rFonts w:ascii="Arial" w:cs="Arial" w:eastAsia="Arial" w:hAnsi="Arial"/>
          <w:sz w:val="16"/>
          <w:szCs w:val="16"/>
          <w:color w:val="auto"/>
        </w:rPr>
        <w:t>, at a location and pursuant to documentation in form and substance reasonably satisfactory to Administrative Agent and the Issuing Bank. “</w:t>
      </w:r>
      <w:r>
        <w:rPr>
          <w:rFonts w:ascii="Arial" w:cs="Arial" w:eastAsia="Arial" w:hAnsi="Arial"/>
          <w:sz w:val="16"/>
          <w:szCs w:val="16"/>
          <w:u w:val="single" w:color="auto"/>
          <w:color w:val="auto"/>
        </w:rPr>
        <w:t>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(other than Cash) that are one or more of the following obligations:</w:t>
      </w:r>
    </w:p>
    <w:p>
      <w:pPr>
        <w:spacing w:after="0" w:line="90" w:lineRule="exact"/>
        <w:rPr>
          <w:sz w:val="20"/>
          <w:szCs w:val="20"/>
          <w:color w:val="auto"/>
        </w:rPr>
      </w:pPr>
    </w:p>
    <w:p>
      <w:pPr>
        <w:ind w:left="1140" w:hanging="237"/>
        <w:spacing w:after="0"/>
        <w:tabs>
          <w:tab w:leader="none" w:pos="11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U.S. Government Securities, in each case maturing within one year from the date of acquisition thereof;</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1"/>
          <w:numId w:val="337"/>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a credit rating of at least A-1 from S&amp;P and at least P-1 from Moody’s;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w:t>
      </w:r>
    </w:p>
    <w:p>
      <w:pPr>
        <w:spacing w:after="0" w:line="38" w:lineRule="exact"/>
        <w:rPr>
          <w:rFonts w:ascii="Arial" w:cs="Arial" w:eastAsia="Arial" w:hAnsi="Arial"/>
          <w:sz w:val="16"/>
          <w:szCs w:val="16"/>
          <w:color w:val="auto"/>
        </w:rPr>
      </w:pPr>
    </w:p>
    <w:p>
      <w:pPr>
        <w:ind w:left="460" w:right="60" w:firstLine="4"/>
        <w:spacing w:after="0" w:line="292" w:lineRule="auto"/>
        <w:tabs>
          <w:tab w:leader="none" w:pos="67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 xml:space="preserve">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P-1 from Moody’s;</w:t>
      </w:r>
    </w:p>
    <w:p>
      <w:pPr>
        <w:spacing w:after="0" w:line="35" w:lineRule="exact"/>
        <w:rPr>
          <w:rFonts w:ascii="Arial" w:cs="Arial" w:eastAsia="Arial" w:hAnsi="Arial"/>
          <w:sz w:val="16"/>
          <w:szCs w:val="16"/>
          <w:color w:val="auto"/>
        </w:rPr>
      </w:pPr>
    </w:p>
    <w:p>
      <w:pPr>
        <w:ind w:left="460" w:right="40" w:firstLine="443"/>
        <w:spacing w:after="0" w:line="306" w:lineRule="auto"/>
        <w:tabs>
          <w:tab w:leader="none" w:pos="1147" w:val="left"/>
        </w:tabs>
        <w:numPr>
          <w:ilvl w:val="1"/>
          <w:numId w:val="338"/>
        </w:numPr>
        <w:rPr>
          <w:rFonts w:ascii="Arial" w:cs="Arial" w:eastAsia="Arial" w:hAnsi="Arial"/>
          <w:sz w:val="16"/>
          <w:szCs w:val="16"/>
          <w:color w:val="auto"/>
        </w:rPr>
      </w:pPr>
      <w:r>
        <w:rPr>
          <w:rFonts w:ascii="Arial" w:cs="Arial" w:eastAsia="Arial" w:hAnsi="Arial"/>
          <w:sz w:val="16"/>
          <w:szCs w:val="16"/>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definition or (ii) an Approved Dealer having (or being a member of a consolidated group having) at such date of acquisition, a credit rating of at least A-1 from S&amp;P and at least P-1 from Moody’s; and</w:t>
      </w:r>
    </w:p>
    <w:p>
      <w:pPr>
        <w:spacing w:after="0" w:line="93"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46" w:name="page347"/>
    <w:bookmarkEnd w:id="346"/>
    <w:p>
      <w:pPr>
        <w:ind w:left="460" w:right="180" w:firstLine="443"/>
        <w:spacing w:after="0" w:line="332" w:lineRule="auto"/>
        <w:tabs>
          <w:tab w:leader="none" w:pos="1137" w:val="left"/>
        </w:tabs>
        <w:numPr>
          <w:ilvl w:val="0"/>
          <w:numId w:val="3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investments in money market funds that invest solely, and which are restricted by their respective charters to invest solely, in investments of the type described in the immediately preceding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(including as to credit quality and maturity).</w:t>
      </w:r>
    </w:p>
    <w:p>
      <w:pPr>
        <w:spacing w:after="0" w:line="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or repurchase agreements)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16"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w:t>
      </w:r>
      <w:r>
        <w:rPr>
          <w:rFonts w:ascii="Arial" w:cs="Arial" w:eastAsia="Arial" w:hAnsi="Arial"/>
          <w:sz w:val="18"/>
          <w:szCs w:val="18"/>
          <w:color w:val="auto"/>
        </w:rPr>
        <w:t>” means, the rate per annum, equal to the average of the annual yield rates applicable to Canadian Dollar banker’s acceptances at or about 10:00a.m. (Toronto, Ontario time) on the first day of such Interest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44"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External Manager ceases to be Controlled by (a) (I) David Bonderman or James Coulter and (II) Alan Waxman, or any of their successors or (b) an Affiliate of TPG Holdings II, L.P. (but, for the avoidance of doubt, excluding Controlled portfolio investment companies of TPG Holdings II, L.P.).</w:t>
      </w:r>
    </w:p>
    <w:p>
      <w:pPr>
        <w:spacing w:after="0" w:line="140"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w:t>
      </w:r>
    </w:p>
    <w:p>
      <w:pPr>
        <w:spacing w:after="0" w:line="2" w:lineRule="exact"/>
        <w:rPr>
          <w:sz w:val="20"/>
          <w:szCs w:val="20"/>
          <w:color w:val="auto"/>
        </w:rPr>
      </w:pPr>
    </w:p>
    <w:p>
      <w:pPr>
        <w:ind w:right="80" w:firstLine="8"/>
        <w:spacing w:after="0" w:line="252" w:lineRule="auto"/>
        <w:tabs>
          <w:tab w:leader="none" w:pos="23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in each</w:t>
      </w:r>
    </w:p>
    <w:p>
      <w:pPr>
        <w:spacing w:after="0" w:line="135"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47" w:name="page348"/>
    <w:bookmarkEnd w:id="3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pursuant to Basel III, shall in each case be deemed to be a “Change in Law”, regardless of the date adopted, issued, promulgated or implemented.</w:t>
      </w:r>
    </w:p>
    <w:p>
      <w:pPr>
        <w:spacing w:after="0" w:line="194" w:lineRule="exact"/>
        <w:rPr>
          <w:sz w:val="20"/>
          <w:szCs w:val="20"/>
          <w:color w:val="auto"/>
        </w:rPr>
      </w:pPr>
    </w:p>
    <w:p>
      <w:pPr>
        <w:ind w:right="20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any Loan or Borrowing, refers to whether such Loan,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Non-Extending Lender; and, when used in reference to any Commitment, refers to whether such Commitment is a Dollar Commitment or a Multicurrency Commitment. The “</w:t>
      </w:r>
      <w:r>
        <w:rPr>
          <w:rFonts w:ascii="Arial" w:cs="Arial" w:eastAsia="Arial" w:hAnsi="Arial"/>
          <w:sz w:val="16"/>
          <w:szCs w:val="16"/>
          <w:u w:val="single" w:color="auto"/>
          <w:color w:val="auto"/>
        </w:rPr>
        <w:t>Class</w:t>
      </w:r>
      <w:r>
        <w:rPr>
          <w:rFonts w:ascii="Arial" w:cs="Arial" w:eastAsia="Arial" w:hAnsi="Arial"/>
          <w:sz w:val="16"/>
          <w:szCs w:val="16"/>
          <w:color w:val="auto"/>
        </w:rPr>
        <w:t>” of a Letter of Credit refers to whether such Letter of Credit is a Dollar Letter of Credit or a Multicurrency Letter of Credit.</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assigned to such term in the Guarantee and Security Agreement.</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SunTrust in its capacity as Collateral Agent under the Guarantee and Security Agreement, and includes any successor Collateral Agent thereunder.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the Dollar Commitments and the Multicurrency Commitments.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Termination Date</w:t>
      </w:r>
      <w:r>
        <w:rPr>
          <w:rFonts w:ascii="Arial" w:cs="Arial" w:eastAsia="Arial" w:hAnsi="Arial"/>
          <w:sz w:val="16"/>
          <w:szCs w:val="16"/>
          <w:color w:val="auto"/>
        </w:rPr>
        <w:t>” means the Extended Commitment Termination Date or the Non-Extended Commitment Termination Date,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171"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Debt Amount</w:t>
      </w:r>
      <w:r>
        <w:rPr>
          <w:rFonts w:ascii="Arial" w:cs="Arial" w:eastAsia="Arial" w:hAnsi="Arial"/>
          <w:sz w:val="18"/>
          <w:szCs w:val="18"/>
          <w:color w:val="auto"/>
        </w:rPr>
        <w:t xml:space="preserve">” means, on any date, the sum of (x) all of the Revolving Credit Exposures of all Lenders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aggregate amount of Other Covered Indebtedness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(z) the LC Exposures fully Cash Collateralized on such date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and the last paragraph of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Foreign Currency.</w:t>
      </w:r>
    </w:p>
    <w:p>
      <w:pPr>
        <w:spacing w:after="0" w:line="158"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48" w:name="page349"/>
    <w:bookmarkEnd w:id="348"/>
    <w:p>
      <w:pPr>
        <w:ind w:right="3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32"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any Lender that, during such Lender’s Availability Period,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Issuing Bank, Swingline Lender or any Lender any other amount required to be paid by it hereunder (including in respect of its participation in Letters of Credit or Swingline Loans) within two Business Days of the date when due, (b) has notified the Borrower, the Administrative Agent,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or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shall be conclusive and binding absent manifest error, and such Lender shall be deemed to be a Defaulting Lender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upon such determination (and the Administrative Agent shall deliver written notice of such determination to the Borrower, each Issuing Bank and each Lender and the Swingline Lender).</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49" w:name="page350"/>
    <w:bookmarkEnd w:id="349"/>
    <w:p>
      <w:pPr>
        <w:ind w:right="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Borrower with respect to (a) principal of and interest on the Loans and (b) accrued and unpaid fees under the Loan Documents.</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143"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Commitment</w:t>
      </w:r>
      <w:r>
        <w:rPr>
          <w:rFonts w:ascii="Arial" w:cs="Arial" w:eastAsia="Arial" w:hAnsi="Arial"/>
          <w:sz w:val="16"/>
          <w:szCs w:val="16"/>
          <w:color w:val="auto"/>
        </w:rPr>
        <w:t xml:space="preserve">” 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 pursuant to assignments by or to such Lender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The initial amount of each Lender’s Dollar Commitment is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or in the Assignment and Assumption pursuant to which such Lender shall have assumed its Dollar Commitment, as applicable. The initial aggregate amount of the Lenders’ Dollar Commitments is $56,250,000.</w:t>
      </w:r>
    </w:p>
    <w:p>
      <w:pPr>
        <w:spacing w:after="0" w:line="120" w:lineRule="exact"/>
        <w:rPr>
          <w:sz w:val="20"/>
          <w:szCs w:val="20"/>
          <w:color w:val="auto"/>
        </w:rPr>
      </w:pPr>
    </w:p>
    <w:p>
      <w:pPr>
        <w:jc w:val="both"/>
        <w:ind w:right="2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LC Exposure</w:t>
      </w:r>
      <w:r>
        <w:rPr>
          <w:rFonts w:ascii="Arial" w:cs="Arial" w:eastAsia="Arial" w:hAnsi="Arial"/>
          <w:sz w:val="16"/>
          <w:szCs w:val="16"/>
          <w:color w:val="auto"/>
        </w:rPr>
        <w:t xml:space="preserve">” means, at any time, the sum of (a) the aggregate undrawn amount of all outstanding Dollar Letters of Credit at such time </w:t>
      </w:r>
      <w:r>
        <w:rPr>
          <w:rFonts w:ascii="Arial" w:cs="Arial" w:eastAsia="Arial" w:hAnsi="Arial"/>
          <w:sz w:val="16"/>
          <w:szCs w:val="16"/>
          <w:u w:val="single" w:color="auto"/>
          <w:color w:val="auto"/>
        </w:rPr>
        <w:t>plus</w:t>
      </w:r>
    </w:p>
    <w:p>
      <w:pPr>
        <w:spacing w:after="0" w:line="38" w:lineRule="exact"/>
        <w:rPr>
          <w:sz w:val="20"/>
          <w:szCs w:val="20"/>
          <w:color w:val="auto"/>
        </w:rPr>
      </w:pPr>
    </w:p>
    <w:p>
      <w:pPr>
        <w:ind w:right="180" w:firstLine="8"/>
        <w:spacing w:after="0" w:line="323" w:lineRule="auto"/>
        <w:tabs>
          <w:tab w:leader="none" w:pos="24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9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Lender</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Letters of Credit</w:t>
      </w:r>
      <w:r>
        <w:rPr>
          <w:rFonts w:ascii="Arial" w:cs="Arial" w:eastAsia="Arial" w:hAnsi="Arial"/>
          <w:sz w:val="18"/>
          <w:szCs w:val="18"/>
          <w:color w:val="auto"/>
        </w:rPr>
        <w:t>” means Letters of Credit that utilize the Dollar Commitments.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Loan</w:t>
      </w:r>
      <w:r>
        <w:rPr>
          <w:rFonts w:ascii="Arial" w:cs="Arial" w:eastAsia="Arial" w:hAnsi="Arial"/>
          <w:sz w:val="18"/>
          <w:szCs w:val="18"/>
          <w:color w:val="auto"/>
        </w:rPr>
        <w:t>” means a Loan denominated in Dollars.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158" w:lineRule="exact"/>
        <w:rPr>
          <w:sz w:val="20"/>
          <w:szCs w:val="20"/>
          <w:color w:val="auto"/>
        </w:rPr>
      </w:pPr>
    </w:p>
    <w:p>
      <w:pPr>
        <w:jc w:val="both"/>
        <w:ind w:left="5880"/>
        <w:spacing w:after="0"/>
        <w:tabs>
          <w:tab w:leader="none" w:pos="9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50" w:name="page351"/>
    <w:bookmarkEnd w:id="35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means the date on which the conditions specified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194"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171"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4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3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a single currency of the Participating Member States.</w:t>
      </w:r>
    </w:p>
    <w:p>
      <w:pPr>
        <w:spacing w:after="0" w:line="171"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constituting such Borrowing, are bearing interest at a rate determined by reference to the Adjusted LIBO Rate.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with respect to the Administrative Agent, any Lender, the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w:t>
      </w:r>
    </w:p>
    <w:p>
      <w:pPr>
        <w:spacing w:after="0" w:line="130" w:lineRule="exact"/>
        <w:rPr>
          <w:sz w:val="20"/>
          <w:szCs w:val="20"/>
          <w:color w:val="auto"/>
        </w:rPr>
      </w:pPr>
    </w:p>
    <w:p>
      <w:pPr>
        <w:ind w:left="5860"/>
        <w:spacing w:after="0"/>
        <w:tabs>
          <w:tab w:leader="none" w:pos="942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51" w:name="page352"/>
    <w:bookmarkEnd w:id="351"/>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16"/>
          <w:szCs w:val="16"/>
          <w:u w:val="single" w:color="auto"/>
          <w:color w:val="auto"/>
        </w:rPr>
        <w:t>Section 2.16(f)</w:t>
      </w:r>
      <w:r>
        <w:rPr>
          <w:rFonts w:ascii="Arial" w:cs="Arial" w:eastAsia="Arial" w:hAnsi="Arial"/>
          <w:sz w:val="16"/>
          <w:szCs w:val="16"/>
          <w:color w:val="auto"/>
        </w:rPr>
        <w:t>, (d) any U.S. federal, state or local backup withholding Taxes imposed on payments made under any Loan Document, and (e) any Taxes that are imposed under FATCA.</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Availability Period</w:t>
      </w:r>
      <w:r>
        <w:rPr>
          <w:rFonts w:ascii="Arial" w:cs="Arial" w:eastAsia="Arial" w:hAnsi="Arial"/>
          <w:sz w:val="18"/>
          <w:szCs w:val="18"/>
          <w:color w:val="auto"/>
        </w:rPr>
        <w:t>” means, with respect to any Extending Lender, the period from and including the Effective Date to but excluding the earlier of the Extended Commitment Termination Date and the date of termination of the Commitments.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Commitment Termination Date</w:t>
      </w:r>
      <w:r>
        <w:rPr>
          <w:rFonts w:ascii="Arial" w:cs="Arial" w:eastAsia="Arial" w:hAnsi="Arial"/>
          <w:sz w:val="18"/>
          <w:szCs w:val="18"/>
          <w:color w:val="auto"/>
        </w:rPr>
        <w:t>” means, with respect to each Extending Lender, February 27, 2018.</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Final Maturity Date</w:t>
      </w:r>
      <w:r>
        <w:rPr>
          <w:rFonts w:ascii="Arial" w:cs="Arial" w:eastAsia="Arial" w:hAnsi="Arial"/>
          <w:sz w:val="18"/>
          <w:szCs w:val="18"/>
          <w:color w:val="auto"/>
        </w:rPr>
        <w:t>” means, with respect to each Extending Lender, February 27, 2019.</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Loans</w:t>
      </w:r>
      <w:r>
        <w:rPr>
          <w:rFonts w:ascii="Arial" w:cs="Arial" w:eastAsia="Arial" w:hAnsi="Arial"/>
          <w:sz w:val="18"/>
          <w:szCs w:val="18"/>
          <w:color w:val="auto"/>
        </w:rPr>
        <w:t>” means Loans or Borrowings of any Extending Lender maturing on the Extended Final Maturity Date.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xml:space="preserve">” means each Lender designated as an “Extending Lender”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External Manager</w:t>
      </w:r>
      <w:r>
        <w:rPr>
          <w:rFonts w:ascii="Arial" w:cs="Arial" w:eastAsia="Arial" w:hAnsi="Arial"/>
          <w:sz w:val="18"/>
          <w:szCs w:val="18"/>
          <w:color w:val="auto"/>
        </w:rPr>
        <w:t>” means TSL Advisers, LLC.</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Receipts</w:t>
      </w:r>
      <w:r>
        <w:rPr>
          <w:rFonts w:ascii="Arial" w:cs="Arial" w:eastAsia="Arial" w:hAnsi="Arial"/>
          <w:sz w:val="18"/>
          <w:szCs w:val="18"/>
          <w:color w:val="auto"/>
        </w:rPr>
        <w:t>”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52" w:name="page353"/>
    <w:bookmarkEnd w:id="352"/>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Extraordinary Receipts shall not include any (x) amounts that the Borrower receives from the Administrative Agent or any Lender pursuant to </w:t>
      </w:r>
      <w:r>
        <w:rPr>
          <w:rFonts w:ascii="Arial" w:cs="Arial" w:eastAsia="Arial" w:hAnsi="Arial"/>
          <w:sz w:val="16"/>
          <w:szCs w:val="16"/>
          <w:u w:val="single" w:color="auto"/>
          <w:color w:val="auto"/>
        </w:rPr>
        <w:t>Section 2.16(f)</w:t>
      </w:r>
      <w:r>
        <w:rPr>
          <w:rFonts w:ascii="Arial" w:cs="Arial" w:eastAsia="Arial" w:hAnsi="Arial"/>
          <w:sz w:val="16"/>
          <w:szCs w:val="16"/>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18" w:lineRule="exact"/>
        <w:rPr>
          <w:sz w:val="20"/>
          <w:szCs w:val="20"/>
          <w:color w:val="auto"/>
        </w:rPr>
      </w:pPr>
    </w:p>
    <w:p>
      <w:pPr>
        <w:ind w:right="40" w:firstLine="913"/>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FATCA</w:t>
      </w:r>
      <w:r>
        <w:rPr>
          <w:rFonts w:ascii="Arial" w:cs="Arial" w:eastAsia="Arial" w:hAnsi="Arial"/>
          <w:sz w:val="15"/>
          <w:szCs w:val="15"/>
          <w:color w:val="auto"/>
        </w:rPr>
        <w:t>” means Section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of the Code.</w:t>
      </w:r>
    </w:p>
    <w:p>
      <w:pPr>
        <w:spacing w:after="0" w:line="16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(i) in the case of any Extending Lender (with respect to such Extending Lender’s Extended Loans), the Extended Final Maturity Date or (ii) in the case of any Non-Extending Lender (with respect to such Non-Extending Lender’s Non-Extended Loans), the Non-Extended Final Maturity Date, as applicable.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an SPE Subsidiary or an SBIC Subsidiary.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at any time any Currency other than Dollars.</w:t>
      </w:r>
    </w:p>
    <w:p>
      <w:pPr>
        <w:spacing w:after="0" w:line="171"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Equivalent</w:t>
      </w:r>
      <w:r>
        <w:rPr>
          <w:rFonts w:ascii="Arial" w:cs="Arial" w:eastAsia="Arial" w:hAnsi="Arial"/>
          <w:sz w:val="18"/>
          <w:szCs w:val="18"/>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under Section 7701(a)(30) of the Code.</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53" w:name="page354"/>
    <w:bookmarkEnd w:id="353"/>
    <w:p>
      <w:pPr>
        <w:ind w:right="6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43"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171"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of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4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2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54" w:name="page355"/>
    <w:bookmarkEnd w:id="3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or Secured Shorter-Term Indebtedness, and the Collateral Agent, as the same shall be modified and supplemented and in effect from time to time.</w:t>
      </w:r>
    </w:p>
    <w:p>
      <w:pPr>
        <w:spacing w:after="0" w:line="194"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Assumption Agreement</w:t>
      </w:r>
      <w:r>
        <w:rPr>
          <w:rFonts w:ascii="Arial" w:cs="Arial" w:eastAsia="Arial" w:hAnsi="Arial"/>
          <w:sz w:val="16"/>
          <w:szCs w:val="16"/>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10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protection agreement, commodity price protection agreement or other interest or currency exchange rate or commodity price hedging arrangement.</w:t>
      </w:r>
    </w:p>
    <w:p>
      <w:pPr>
        <w:spacing w:after="0" w:line="132"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Subsidiaries</w:t>
      </w:r>
      <w:r>
        <w:rPr>
          <w:rFonts w:ascii="Arial" w:cs="Arial" w:eastAsia="Arial" w:hAnsi="Arial"/>
          <w:sz w:val="16"/>
          <w:szCs w:val="16"/>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w:t>
      </w:r>
    </w:p>
    <w:p>
      <w:pPr>
        <w:spacing w:after="0" w:line="11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of such asset or Investment or (y) a commitment arising in the ordinary course of business to make a future Portfolio Investment.</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the Borrower under this Agreement.</w:t>
      </w:r>
    </w:p>
    <w:p>
      <w:pPr>
        <w:spacing w:after="0" w:line="13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w:t>
      </w:r>
      <w:r>
        <w:rPr>
          <w:rFonts w:ascii="Arial" w:cs="Arial" w:eastAsia="Arial" w:hAnsi="Arial"/>
          <w:sz w:val="18"/>
          <w:szCs w:val="18"/>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4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Classification Group</w:t>
      </w:r>
      <w:r>
        <w:rPr>
          <w:rFonts w:ascii="Arial" w:cs="Arial" w:eastAsia="Arial" w:hAnsi="Arial"/>
          <w:sz w:val="18"/>
          <w:szCs w:val="18"/>
          <w:color w:val="auto"/>
        </w:rPr>
        <w:t xml:space="preserve">” means (a) any of the classification groups set forth in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Election Request</w:t>
      </w:r>
      <w:r>
        <w:rPr>
          <w:rFonts w:ascii="Arial" w:cs="Arial" w:eastAsia="Arial" w:hAnsi="Arial"/>
          <w:sz w:val="16"/>
          <w:szCs w:val="16"/>
          <w:color w:val="auto"/>
        </w:rPr>
        <w:t xml:space="preserve">” means a request by the Borrower to convert or continue a Syndicated Borrowing in accordance with </w:t>
      </w:r>
      <w:r>
        <w:rPr>
          <w:rFonts w:ascii="Arial" w:cs="Arial" w:eastAsia="Arial" w:hAnsi="Arial"/>
          <w:sz w:val="16"/>
          <w:szCs w:val="16"/>
          <w:u w:val="single" w:color="auto"/>
          <w:color w:val="auto"/>
        </w:rPr>
        <w:t>Section 2.07</w:t>
      </w:r>
      <w:r>
        <w:rPr>
          <w:rFonts w:ascii="Arial" w:cs="Arial" w:eastAsia="Arial" w:hAnsi="Arial"/>
          <w:sz w:val="16"/>
          <w:szCs w:val="16"/>
          <w:color w:val="auto"/>
        </w:rPr>
        <w:t>.</w:t>
      </w:r>
    </w:p>
    <w:p>
      <w:pPr>
        <w:spacing w:after="0" w:line="19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43"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w:t>
      </w:r>
    </w:p>
    <w:p>
      <w:pPr>
        <w:spacing w:after="0" w:line="10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56" w:name="page357"/>
    <w:bookmarkEnd w:id="356"/>
    <w:p>
      <w:pPr>
        <w:ind w:right="3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6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171"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Policies</w:t>
      </w:r>
      <w:r>
        <w:rPr>
          <w:rFonts w:ascii="Arial" w:cs="Arial" w:eastAsia="Arial" w:hAnsi="Arial"/>
          <w:sz w:val="16"/>
          <w:szCs w:val="16"/>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SunTrust, in its capacity as the issuer of Letters of Credit hereunder, and its successors in such capacity as provided in </w:t>
      </w:r>
      <w:r>
        <w:rPr>
          <w:rFonts w:ascii="Arial" w:cs="Arial" w:eastAsia="Arial" w:hAnsi="Arial"/>
          <w:sz w:val="18"/>
          <w:szCs w:val="18"/>
          <w:u w:val="single" w:color="auto"/>
          <w:color w:val="auto"/>
        </w:rPr>
        <w:t>Section 2.05(j)</w:t>
      </w:r>
      <w:r>
        <w:rPr>
          <w:rFonts w:ascii="Arial" w:cs="Arial" w:eastAsia="Arial" w:hAnsi="Arial"/>
          <w:sz w:val="18"/>
          <w:szCs w:val="18"/>
          <w:color w:val="auto"/>
        </w:rPr>
        <w:t>. In the case of any Letter of Credit to be issued in an Agreed Foreign Currency, SunTrust may designate any of its affiliates as the “Issuing Bank” for purposes of such Letter of Credit.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Bank pursuant to a Letter of Credit.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Dollar LC Exposure and the Multicurrency LC Exposure.</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collectively, the Dollar Lenders and the Multicurrency Lenders. Unless the context otherwise requires, the term “Lenders” includes the Swingline Lender.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2.05(k)</w:t>
      </w:r>
      <w:r>
        <w:rPr>
          <w:rFonts w:ascii="Arial" w:cs="Arial" w:eastAsia="Arial" w:hAnsi="Arial"/>
          <w:sz w:val="18"/>
          <w:szCs w:val="18"/>
          <w:color w:val="auto"/>
        </w:rPr>
        <w:t>.</w:t>
      </w:r>
    </w:p>
    <w:p>
      <w:pPr>
        <w:spacing w:after="0" w:line="17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Documents</w:t>
      </w:r>
      <w:r>
        <w:rPr>
          <w:rFonts w:ascii="Arial" w:cs="Arial" w:eastAsia="Arial" w:hAnsi="Arial"/>
          <w:sz w:val="18"/>
          <w:szCs w:val="18"/>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57" w:name="page358"/>
    <w:bookmarkEnd w:id="357"/>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Letter of Credit or (b) any collateral security for any of such obligations, each as the same may be modified and supplemented and in effect from time to time.</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Quoted Currency</w:t>
      </w:r>
      <w:r>
        <w:rPr>
          <w:rFonts w:ascii="Arial" w:cs="Arial" w:eastAsia="Arial" w:hAnsi="Arial"/>
          <w:sz w:val="18"/>
          <w:szCs w:val="18"/>
          <w:color w:val="auto"/>
        </w:rPr>
        <w:t>” means each of the following currencies: Dollars; Euro; English Pounds Sterling; Japanese Yen; and Swiss Franc; in each case as long as there is a published LIBO rate with respect thereto.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for any Interest Period:</w:t>
      </w:r>
    </w:p>
    <w:p>
      <w:pPr>
        <w:spacing w:after="0" w:line="90" w:lineRule="exact"/>
        <w:rPr>
          <w:sz w:val="20"/>
          <w:szCs w:val="20"/>
          <w:color w:val="auto"/>
        </w:rPr>
      </w:pPr>
    </w:p>
    <w:p>
      <w:pPr>
        <w:ind w:left="460" w:right="40" w:firstLine="443"/>
        <w:spacing w:after="0" w:line="286" w:lineRule="auto"/>
        <w:tabs>
          <w:tab w:leader="none" w:pos="113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in the case of Eurocurrency Borrowings denominated in a LIBO Quoted Currency,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Business Days prior to the first day of the Interest Period (or, solely with respect to Eurocurrency Borrowings in Pounds Sterling, on the first day of the Interest Period); provided that if the Administrative Agent determines that the relevant foregoing sources are unavailable for the relevant Interest Period, LIBO Rate shall mean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p>
    <w:p>
      <w:pPr>
        <w:spacing w:after="0" w:line="43" w:lineRule="exact"/>
        <w:rPr>
          <w:rFonts w:ascii="Arial" w:cs="Arial" w:eastAsia="Arial" w:hAnsi="Arial"/>
          <w:sz w:val="16"/>
          <w:szCs w:val="16"/>
          <w:color w:val="auto"/>
        </w:rPr>
      </w:pPr>
    </w:p>
    <w:p>
      <w:pPr>
        <w:ind w:left="1160" w:hanging="257"/>
        <w:spacing w:after="0"/>
        <w:tabs>
          <w:tab w:leader="none" w:pos="11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Canadian Dollars, the CDOR Rate per annum;</w:t>
      </w:r>
    </w:p>
    <w:p>
      <w:pPr>
        <w:spacing w:after="0" w:line="90" w:lineRule="exact"/>
        <w:rPr>
          <w:rFonts w:ascii="Arial" w:cs="Arial" w:eastAsia="Arial" w:hAnsi="Arial"/>
          <w:sz w:val="18"/>
          <w:szCs w:val="18"/>
          <w:color w:val="auto"/>
        </w:rPr>
      </w:pPr>
    </w:p>
    <w:p>
      <w:pPr>
        <w:ind w:left="460" w:right="40" w:firstLine="443"/>
        <w:spacing w:after="0" w:line="255" w:lineRule="auto"/>
        <w:tabs>
          <w:tab w:leader="none" w:pos="113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Period (or if such day is not a Business Day, then on the immediately preceding Business Day) with a term equivalent to such Interest Period;</w:t>
      </w:r>
    </w:p>
    <w:p>
      <w:pPr>
        <w:spacing w:after="0" w:line="61"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in the case of Eurocurrency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to time time) at or about 10:45 a.m.</w:t>
      </w:r>
    </w:p>
    <w:p>
      <w:pPr>
        <w:spacing w:after="0" w:line="93"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58" w:name="page359"/>
    <w:bookmarkEnd w:id="358"/>
    <w:p>
      <w:pPr>
        <w:ind w:left="46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(Auckland, New Zealand time) on the day that is two Business Days prior to the first day of the Interest Period (or if such day is not a Business Day, then on the immediately preceding Business Day) with a term equivalent to such Interest Period;</w:t>
      </w:r>
    </w:p>
    <w:p>
      <w:pPr>
        <w:spacing w:after="0" w:line="51" w:lineRule="exact"/>
        <w:rPr>
          <w:sz w:val="20"/>
          <w:szCs w:val="20"/>
          <w:color w:val="auto"/>
        </w:rPr>
      </w:pPr>
    </w:p>
    <w:p>
      <w:pPr>
        <w:ind w:left="460" w:right="180" w:firstLine="443"/>
        <w:spacing w:after="0" w:line="255" w:lineRule="auto"/>
        <w:tabs>
          <w:tab w:leader="none" w:pos="113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Business Days prior to the first day of the Interest Period (or if such day is not a Business Day, then on the immediately preceding Business Day) with a term equivalent to such Interest Period; and</w:t>
      </w:r>
    </w:p>
    <w:p>
      <w:pPr>
        <w:spacing w:after="0" w:line="61" w:lineRule="exact"/>
        <w:rPr>
          <w:rFonts w:ascii="Arial" w:cs="Arial" w:eastAsia="Arial" w:hAnsi="Arial"/>
          <w:sz w:val="18"/>
          <w:szCs w:val="18"/>
          <w:color w:val="auto"/>
        </w:rPr>
      </w:pPr>
    </w:p>
    <w:p>
      <w:pPr>
        <w:ind w:left="460" w:right="160" w:firstLine="443"/>
        <w:spacing w:after="0" w:line="268" w:lineRule="auto"/>
        <w:tabs>
          <w:tab w:leader="none" w:pos="111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for all Non-LIBO Quoted Currencies (other than Canadian Dollars, Australian Dollars, New Zealand Dollars or Swedish Krona), the calculation of the applicable reference rate shall be determined in accordance with market practice.</w:t>
      </w:r>
    </w:p>
    <w:p>
      <w:pPr>
        <w:spacing w:after="0" w:line="132"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Letter of Credit Documents and the Security Documents.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3.04(b)</w:t>
      </w:r>
      <w:r>
        <w:rPr>
          <w:rFonts w:ascii="Arial" w:cs="Arial" w:eastAsia="Arial" w:hAnsi="Arial"/>
          <w:sz w:val="18"/>
          <w:szCs w:val="18"/>
          <w:color w:val="auto"/>
        </w:rPr>
        <w:t>.</w:t>
      </w:r>
    </w:p>
    <w:p>
      <w:pPr>
        <w:spacing w:after="0" w:line="171" w:lineRule="exact"/>
        <w:rPr>
          <w:sz w:val="20"/>
          <w:szCs w:val="20"/>
          <w:color w:val="auto"/>
        </w:rPr>
      </w:pPr>
    </w:p>
    <w:p>
      <w:pPr>
        <w:ind w:right="30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13"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 Indebtedness (other than the Loans, Letters of Credit and Hedging Agreements), of any one or more of the Borrower and its Subsidiaries in an</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59" w:name="page360"/>
    <w:bookmarkEnd w:id="35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aggregate principal amount exceeding $10,000,000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$10,000,000.</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with respect to Cash Collateral consisting of Cash or deposit account balances, an amount equal to 100% of the Fronting Exposure of Issuing Bank with respect to Letters of Credit issued and outstanding at such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thereto.</w:t>
      </w:r>
    </w:p>
    <w:p>
      <w:pPr>
        <w:spacing w:after="0" w:line="17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Commitment</w:t>
      </w:r>
      <w:r>
        <w:rPr>
          <w:rFonts w:ascii="Arial" w:cs="Arial" w:eastAsia="Arial" w:hAnsi="Arial"/>
          <w:sz w:val="16"/>
          <w:szCs w:val="16"/>
          <w:color w:val="auto"/>
        </w:rPr>
        <w:t xml:space="preserve">” 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 pursuant to assignments by or to such Lender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The initial amount of each Lender’s Multicurrency Commitment is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or in the Assignment and Assumption pursuant to which such Lender shall have assumed its Multicurrency commitment, as applicable. The initial aggregate amount of the Lenders’ Multicurrency Commitments is $525,000,000.</w:t>
      </w:r>
    </w:p>
    <w:p>
      <w:pPr>
        <w:spacing w:after="0" w:line="118"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Exposure</w:t>
      </w:r>
      <w:r>
        <w:rPr>
          <w:rFonts w:ascii="Arial" w:cs="Arial" w:eastAsia="Arial" w:hAnsi="Arial"/>
          <w:sz w:val="18"/>
          <w:szCs w:val="18"/>
          <w:color w:val="auto"/>
        </w:rPr>
        <w:t xml:space="preserve">” means, at any time, the sum of (a) the aggregate undrawn amount of all outstanding Multicurrency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43"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Lender</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means Letters of Credit that utilize the Multicurrency Commitments.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w:t>
      </w:r>
      <w:r>
        <w:rPr>
          <w:rFonts w:ascii="Arial" w:cs="Arial" w:eastAsia="Arial" w:hAnsi="Arial"/>
          <w:sz w:val="18"/>
          <w:szCs w:val="18"/>
          <w:color w:val="auto"/>
        </w:rPr>
        <w:t>” means a Loan denominated in Dollars or an Agreed Foreign Currency.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60" w:name="page361"/>
    <w:bookmarkEnd w:id="36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National Currency</w:t>
      </w:r>
      <w:r>
        <w:rPr>
          <w:rFonts w:ascii="Arial" w:cs="Arial" w:eastAsia="Arial" w:hAnsi="Arial"/>
          <w:sz w:val="18"/>
          <w:szCs w:val="18"/>
          <w:color w:val="auto"/>
        </w:rPr>
        <w:t>” means the currency, other than the Euro, of a Participating Member State.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171" w:lineRule="exact"/>
        <w:rPr>
          <w:sz w:val="20"/>
          <w:szCs w:val="20"/>
          <w:color w:val="auto"/>
        </w:rPr>
      </w:pPr>
    </w:p>
    <w:p>
      <w:pPr>
        <w:ind w:right="20" w:firstLine="921"/>
        <w:spacing w:after="0" w:line="302" w:lineRule="auto"/>
        <w:tabs>
          <w:tab w:leader="none" w:pos="1152" w:val="left"/>
        </w:tabs>
        <w:numPr>
          <w:ilvl w:val="1"/>
          <w:numId w:val="344"/>
        </w:numPr>
        <w:rPr>
          <w:rFonts w:ascii="Arial" w:cs="Arial" w:eastAsia="Arial" w:hAnsi="Arial"/>
          <w:sz w:val="15"/>
          <w:szCs w:val="15"/>
          <w:color w:val="auto"/>
        </w:rPr>
      </w:pPr>
      <w:r>
        <w:rPr>
          <w:rFonts w:ascii="Arial" w:cs="Arial" w:eastAsia="Arial" w:hAnsi="Arial"/>
          <w:sz w:val="15"/>
          <w:szCs w:val="15"/>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5"/>
          <w:szCs w:val="15"/>
          <w:u w:val="single" w:color="auto"/>
          <w:color w:val="auto"/>
        </w:rPr>
        <w:t>Section 2.10(d)</w:t>
      </w:r>
      <w:r>
        <w:rPr>
          <w:rFonts w:ascii="Arial" w:cs="Arial" w:eastAsia="Arial" w:hAnsi="Arial"/>
          <w:sz w:val="15"/>
          <w:szCs w:val="15"/>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5"/>
          <w:szCs w:val="15"/>
          <w:u w:val="single" w:color="auto"/>
          <w:color w:val="auto"/>
        </w:rPr>
        <w:t>minus</w:t>
      </w:r>
    </w:p>
    <w:p>
      <w:pPr>
        <w:spacing w:after="0" w:line="2" w:lineRule="exact"/>
        <w:rPr>
          <w:rFonts w:ascii="Arial" w:cs="Arial" w:eastAsia="Arial" w:hAnsi="Arial"/>
          <w:sz w:val="15"/>
          <w:szCs w:val="15"/>
          <w:color w:val="auto"/>
        </w:rPr>
      </w:pPr>
    </w:p>
    <w:p>
      <w:pPr>
        <w:ind w:right="220" w:firstLine="8"/>
        <w:spacing w:after="0" w:line="288" w:lineRule="auto"/>
        <w:tabs>
          <w:tab w:leader="none" w:pos="249"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22" w:lineRule="exact"/>
        <w:rPr>
          <w:rFonts w:ascii="Arial" w:cs="Arial" w:eastAsia="Arial" w:hAnsi="Arial"/>
          <w:sz w:val="16"/>
          <w:szCs w:val="16"/>
          <w:color w:val="auto"/>
        </w:rPr>
      </w:pPr>
    </w:p>
    <w:p>
      <w:pPr>
        <w:jc w:val="both"/>
        <w:ind w:right="40" w:firstLine="921"/>
        <w:spacing w:after="0" w:line="302" w:lineRule="auto"/>
        <w:tabs>
          <w:tab w:leader="none" w:pos="1162" w:val="left"/>
        </w:tabs>
        <w:numPr>
          <w:ilvl w:val="1"/>
          <w:numId w:val="345"/>
        </w:numPr>
        <w:rPr>
          <w:rFonts w:ascii="Arial" w:cs="Arial" w:eastAsia="Arial" w:hAnsi="Arial"/>
          <w:sz w:val="15"/>
          <w:szCs w:val="15"/>
          <w:color w:val="auto"/>
        </w:rPr>
      </w:pPr>
      <w:r>
        <w:rPr>
          <w:rFonts w:ascii="Arial" w:cs="Arial" w:eastAsia="Arial" w:hAnsi="Arial"/>
          <w:sz w:val="15"/>
          <w:szCs w:val="15"/>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5"/>
          <w:szCs w:val="15"/>
          <w:u w:val="single" w:color="auto"/>
          <w:color w:val="auto"/>
        </w:rPr>
        <w:t>Section 2.10(d)</w:t>
      </w:r>
      <w:r>
        <w:rPr>
          <w:rFonts w:ascii="Arial" w:cs="Arial" w:eastAsia="Arial" w:hAnsi="Arial"/>
          <w:sz w:val="15"/>
          <w:szCs w:val="15"/>
          <w:color w:val="auto"/>
        </w:rPr>
        <w:t>), an amount equal to</w:t>
      </w:r>
    </w:p>
    <w:p>
      <w:pPr>
        <w:spacing w:after="0" w:line="1" w:lineRule="exact"/>
        <w:rPr>
          <w:rFonts w:ascii="Arial" w:cs="Arial" w:eastAsia="Arial" w:hAnsi="Arial"/>
          <w:sz w:val="15"/>
          <w:szCs w:val="15"/>
          <w:color w:val="auto"/>
        </w:rPr>
      </w:pPr>
    </w:p>
    <w:p>
      <w:pPr>
        <w:ind w:right="500" w:firstLine="8"/>
        <w:spacing w:after="0" w:line="302" w:lineRule="auto"/>
        <w:tabs>
          <w:tab w:leader="none" w:pos="21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the sum of the cash and Cash Equivalents received in connection with such transaction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(1) reasonable out-of-pocket fees, costs and expenses, incurred by the Borrower or such Subsidiary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any reasonable costs, fees, commissions, premiums, expenses, or underwriting discounts or commissions incurred by the Borrower or any of its Subsidiaries in connection with such sale or issuance.</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 at such time.</w:t>
      </w:r>
    </w:p>
    <w:p>
      <w:pPr>
        <w:spacing w:after="0" w:line="171"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Non-Extended Availability Period</w:t>
      </w:r>
      <w:r>
        <w:rPr>
          <w:rFonts w:ascii="Arial" w:cs="Arial" w:eastAsia="Arial" w:hAnsi="Arial"/>
          <w:sz w:val="16"/>
          <w:szCs w:val="16"/>
          <w:color w:val="auto"/>
        </w:rPr>
        <w:t>” means, with respect to any Non-Extending Lender, the period from and including the Effective Date to but excluding the earlier of the Non-Extended Commitment Termination Date and the date of termination of the Commitments.</w:t>
      </w:r>
    </w:p>
    <w:p>
      <w:pPr>
        <w:spacing w:after="0" w:line="7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61" w:name="page362"/>
    <w:bookmarkEnd w:id="36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Non-Extended Commitment Termination Date</w:t>
      </w:r>
      <w:r>
        <w:rPr>
          <w:rFonts w:ascii="Arial" w:cs="Arial" w:eastAsia="Arial" w:hAnsi="Arial"/>
          <w:sz w:val="18"/>
          <w:szCs w:val="18"/>
          <w:color w:val="auto"/>
        </w:rPr>
        <w:t>” means, with respect to each Non-Extending Lender, June 30, 2017.</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Non-Extended Final Maturity Date</w:t>
      </w:r>
      <w:r>
        <w:rPr>
          <w:rFonts w:ascii="Arial" w:cs="Arial" w:eastAsia="Arial" w:hAnsi="Arial"/>
          <w:sz w:val="18"/>
          <w:szCs w:val="18"/>
          <w:color w:val="auto"/>
        </w:rPr>
        <w:t>” means, with respect to each Non-Extending Lender, July 2, 2018.</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Non-Extended Loans</w:t>
      </w:r>
      <w:r>
        <w:rPr>
          <w:rFonts w:ascii="Arial" w:cs="Arial" w:eastAsia="Arial" w:hAnsi="Arial"/>
          <w:sz w:val="16"/>
          <w:szCs w:val="16"/>
          <w:color w:val="auto"/>
        </w:rPr>
        <w:t>” means Loans or Borrowings of any Non-Extending Lender maturing on the Non-Extended Final Maturity Date.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means each Lender designated as a “Non-Extending Lender”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 Quoted Currency</w:t>
      </w:r>
      <w:r>
        <w:rPr>
          <w:rFonts w:ascii="Arial" w:cs="Arial" w:eastAsia="Arial" w:hAnsi="Arial"/>
          <w:sz w:val="18"/>
          <w:szCs w:val="18"/>
          <w:color w:val="auto"/>
        </w:rPr>
        <w:t>” means any currency other than a LIBO Quoted Currency.</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means material non-public information (within the meaning of United States federal, state or other applicable securities laws) with respect to Borrower or its Affiliates or their Securities.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collectively, the Borrower and the Subsidiary Guarantors.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Effective Date</w:t>
      </w:r>
      <w:r>
        <w:rPr>
          <w:rFonts w:ascii="Arial" w:cs="Arial" w:eastAsia="Arial" w:hAnsi="Arial"/>
          <w:sz w:val="18"/>
          <w:szCs w:val="18"/>
          <w:color w:val="auto"/>
        </w:rPr>
        <w:t>” means July 3, 2013.</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Covered Indebtedness</w:t>
      </w:r>
      <w:r>
        <w:rPr>
          <w:rFonts w:ascii="Arial" w:cs="Arial" w:eastAsia="Arial" w:hAnsi="Arial"/>
          <w:sz w:val="18"/>
          <w:szCs w:val="18"/>
          <w:color w:val="auto"/>
        </w:rPr>
        <w:t xml:space="preserve">” means, collectively, Secured Longer-Term Indebtedness, Secured Shorter-Term Indebtedness and Unsecured Shorter-Term Indebtedness; provided that “Other Covered Indebtedness” shall not include (a) any Indebtedness under any Capital Call Facility or (b) any Indebtedness secured by a Lien on Portfolio Investments permitted under </w:t>
      </w:r>
      <w:r>
        <w:rPr>
          <w:rFonts w:ascii="Arial" w:cs="Arial" w:eastAsia="Arial" w:hAnsi="Arial"/>
          <w:sz w:val="18"/>
          <w:szCs w:val="18"/>
          <w:u w:val="single" w:color="auto"/>
          <w:color w:val="auto"/>
        </w:rPr>
        <w:t>Section 6.02(e)</w:t>
      </w:r>
      <w:r>
        <w:rPr>
          <w:rFonts w:ascii="Arial" w:cs="Arial" w:eastAsia="Arial" w:hAnsi="Arial"/>
          <w:sz w:val="18"/>
          <w:szCs w:val="18"/>
          <w:color w:val="auto"/>
        </w:rPr>
        <w:t>.</w:t>
      </w:r>
    </w:p>
    <w:p>
      <w:pPr>
        <w:spacing w:after="0" w:line="140"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Permitted Indebtedness</w:t>
      </w:r>
      <w:r>
        <w:rPr>
          <w:rFonts w:ascii="Arial" w:cs="Arial" w:eastAsia="Arial" w:hAnsi="Arial"/>
          <w:sz w:val="16"/>
          <w:szCs w:val="16"/>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purchasing of securities,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16"/>
          <w:szCs w:val="16"/>
          <w:u w:val="single" w:color="auto"/>
          <w:color w:val="auto"/>
        </w:rPr>
        <w:t>clause (l)</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18"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or any other excise or property taxes, charges or similar levies arising from any payment made under any Loan Document or from the execution, delivery or enforcement of, or otherwise with</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62" w:name="page363"/>
    <w:bookmarkEnd w:id="36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any Loan Document, excluding (i) any such taxes, charges or similar levies resulting from an assignment by any Lender in accordance with</w:t>
      </w:r>
    </w:p>
    <w:p>
      <w:pPr>
        <w:spacing w:after="0" w:line="3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hereof (unless such assignment is made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Community that adopts or has adopted the Euro as its lawful currency in accordance with the legislation of the European Union relating to the European Monetary Union.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194" w:lineRule="exact"/>
        <w:rPr>
          <w:sz w:val="20"/>
          <w:szCs w:val="20"/>
          <w:color w:val="auto"/>
        </w:rPr>
      </w:pPr>
    </w:p>
    <w:p>
      <w:pPr>
        <w:ind w:right="60" w:firstLine="913"/>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w:t>
      </w:r>
    </w:p>
    <w:p>
      <w:pPr>
        <w:ind w:right="20" w:firstLine="8"/>
        <w:spacing w:after="0" w:line="300" w:lineRule="auto"/>
        <w:tabs>
          <w:tab w:leader="none" w:pos="249" w:val="left"/>
        </w:tabs>
        <w:numPr>
          <w:ilvl w:val="0"/>
          <w:numId w:val="347"/>
        </w:numPr>
        <w:rPr>
          <w:rFonts w:ascii="Arial" w:cs="Arial" w:eastAsia="Arial" w:hAnsi="Arial"/>
          <w:sz w:val="15"/>
          <w:szCs w:val="15"/>
          <w:color w:val="auto"/>
        </w:rPr>
      </w:pPr>
      <w:r>
        <w:rPr>
          <w:rFonts w:ascii="Arial" w:cs="Arial" w:eastAsia="Arial" w:hAnsi="Arial"/>
          <w:sz w:val="15"/>
          <w:szCs w:val="15"/>
          <w:color w:val="auto"/>
        </w:rPr>
        <w:t xml:space="preserve">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5"/>
          <w:szCs w:val="15"/>
          <w:u w:val="single" w:color="auto"/>
          <w:color w:val="auto"/>
        </w:rPr>
        <w:t>clause (l)</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Article VII</w:t>
      </w:r>
      <w:r>
        <w:rPr>
          <w:rFonts w:ascii="Arial" w:cs="Arial" w:eastAsia="Arial" w:hAnsi="Arial"/>
          <w:sz w:val="15"/>
          <w:szCs w:val="15"/>
          <w:color w:val="auto"/>
        </w:rPr>
        <w:t>; (g) customary rights of setoff and liens upon</w:t>
      </w:r>
    </w:p>
    <w:p>
      <w:pPr>
        <w:spacing w:after="0" w:line="5" w:lineRule="exact"/>
        <w:rPr>
          <w:rFonts w:ascii="Arial" w:cs="Arial" w:eastAsia="Arial" w:hAnsi="Arial"/>
          <w:sz w:val="15"/>
          <w:szCs w:val="15"/>
          <w:color w:val="auto"/>
        </w:rPr>
      </w:pPr>
    </w:p>
    <w:p>
      <w:pPr>
        <w:ind w:left="220" w:hanging="212"/>
        <w:spacing w:after="0"/>
        <w:tabs>
          <w:tab w:leader="none" w:pos="2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deposits of cash in favor of banks or other depository institutions in which such cash is maintained in the ordinary course of business, (ii) cash and financial</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5"/>
          <w:szCs w:val="15"/>
          <w:color w:val="auto"/>
        </w:rPr>
        <w:t>assets held in securities accounts in favor of banks and other financial institutions with which such accounts are maintained in the ordinary course of business and</w:t>
      </w:r>
    </w:p>
    <w:p>
      <w:pPr>
        <w:spacing w:after="0" w:line="43" w:lineRule="exact"/>
        <w:rPr>
          <w:rFonts w:ascii="Arial" w:cs="Arial" w:eastAsia="Arial" w:hAnsi="Arial"/>
          <w:sz w:val="16"/>
          <w:szCs w:val="16"/>
          <w:color w:val="auto"/>
        </w:rPr>
      </w:pPr>
    </w:p>
    <w:p>
      <w:pPr>
        <w:ind w:left="320" w:hanging="312"/>
        <w:spacing w:after="0"/>
        <w:tabs>
          <w:tab w:leader="none" w:pos="3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assets held by a custodian in favor of such custodian in the ordinary course of business securing payment of fees, indemnities and other similar obligations;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Liens arising solely from precautionary filings of financing statements</w:t>
      </w:r>
    </w:p>
    <w:p>
      <w:pPr>
        <w:spacing w:after="0" w:line="15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63" w:name="page364"/>
    <w:bookmarkEnd w:id="363"/>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Uniform Commercial Code of the applicable jurisdictions in respect of operating leases entered into by the Borrower or any of its Subsidiaries in the ordinary course of business; and (i) deposits of money securing leases to which Borrower is a party as lessee made in the ordinary course of business. For the avoidance of doubt, no Liens securing any Capital Call Facility or the facility of any Financing Subsidiary shall be a Permitted Lien hereunder.</w:t>
      </w:r>
    </w:p>
    <w:p>
      <w:pPr>
        <w:spacing w:after="0" w:line="107"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Policy Amendment</w:t>
      </w:r>
      <w:r>
        <w:rPr>
          <w:rFonts w:ascii="Arial" w:cs="Arial" w:eastAsia="Arial" w:hAnsi="Arial"/>
          <w:sz w:val="18"/>
          <w:szCs w:val="18"/>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43"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SBIC Guarantee</w:t>
      </w:r>
      <w:r>
        <w:rPr>
          <w:rFonts w:ascii="Arial" w:cs="Arial" w:eastAsia="Arial" w:hAnsi="Arial"/>
          <w:sz w:val="18"/>
          <w:szCs w:val="18"/>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Arial" w:cs="Arial" w:eastAsia="Arial" w:hAnsi="Arial"/>
          <w:sz w:val="18"/>
          <w:szCs w:val="18"/>
          <w:u w:val="single" w:color="auto"/>
          <w:color w:val="auto"/>
        </w:rPr>
        <w:t>clause (s)</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 it shall be an Event of Default hereunder if any such event or condition giving rise to such recourse occurs).</w:t>
      </w:r>
    </w:p>
    <w:p>
      <w:pPr>
        <w:spacing w:after="0" w:line="143"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means has the meaning set forth in </w:t>
      </w:r>
      <w:r>
        <w:rPr>
          <w:rFonts w:ascii="Arial" w:cs="Arial" w:eastAsia="Arial" w:hAnsi="Arial"/>
          <w:sz w:val="18"/>
          <w:szCs w:val="18"/>
          <w:u w:val="single" w:color="auto"/>
          <w:color w:val="auto"/>
        </w:rPr>
        <w:t>Section 5.01(i)</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Portfolio Investment</w:t>
      </w:r>
      <w:r>
        <w:rPr>
          <w:rFonts w:ascii="Arial" w:cs="Arial" w:eastAsia="Arial" w:hAnsi="Arial"/>
          <w:sz w:val="15"/>
          <w:szCs w:val="15"/>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w:t>
      </w:r>
    </w:p>
    <w:p>
      <w:pPr>
        <w:spacing w:after="0" w:line="2" w:lineRule="exact"/>
        <w:rPr>
          <w:sz w:val="20"/>
          <w:szCs w:val="20"/>
          <w:color w:val="auto"/>
        </w:rPr>
      </w:pPr>
    </w:p>
    <w:p>
      <w:pPr>
        <w:jc w:val="both"/>
        <w:ind w:right="60" w:firstLine="8"/>
        <w:spacing w:after="0" w:line="254" w:lineRule="auto"/>
        <w:tabs>
          <w:tab w:leader="none" w:pos="24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Investment, which if debt, is an obligation (other than a revolving loan or delayed draw term loan) pursuant to which any future advances or payments to the Obligor may be required to be made by the Borrower; (e) any Investment which is made to a bankrupt entity (other than a debtor-in-possession financing and current pay obligations); and (f) any Investment, Cash or account in which a Financing Subsidiary has an interest or the lenders under a Capital Call Facility have a Lien.</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64" w:name="page365"/>
    <w:bookmarkEnd w:id="36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which is quoted in the print edition of The Wall Street Journal, Money Rates Section.</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Center</w:t>
      </w:r>
      <w:r>
        <w:rPr>
          <w:rFonts w:ascii="Arial" w:cs="Arial" w:eastAsia="Arial" w:hAnsi="Arial"/>
          <w:sz w:val="18"/>
          <w:szCs w:val="18"/>
          <w:color w:val="auto"/>
        </w:rPr>
        <w:t>” means, in the case of any Currency, the principal financial center where such Currency is cleared and settled, as determined by the Administrative Agent.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Lender</w:t>
      </w:r>
      <w:r>
        <w:rPr>
          <w:rFonts w:ascii="Arial" w:cs="Arial" w:eastAsia="Arial" w:hAnsi="Arial"/>
          <w:sz w:val="16"/>
          <w:szCs w:val="16"/>
          <w:color w:val="auto"/>
        </w:rPr>
        <w:t>” means Lenders that do not wish to receive Non-Public Information with respect to the Borrower or any of its Subsidiaries or their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Quarterly Dates</w:t>
      </w:r>
      <w:r>
        <w:rPr>
          <w:rFonts w:ascii="Arial" w:cs="Arial" w:eastAsia="Arial" w:hAnsi="Arial"/>
          <w:sz w:val="16"/>
          <w:szCs w:val="16"/>
          <w:color w:val="auto"/>
        </w:rPr>
        <w:t>” means the last Business Day of March, June, September and December in each year, commencing on September 30, 2013.</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Quoted Investments</w:t>
      </w:r>
      <w:r>
        <w:rPr>
          <w:rFonts w:ascii="Arial" w:cs="Arial" w:eastAsia="Arial" w:hAnsi="Arial"/>
          <w:sz w:val="18"/>
          <w:szCs w:val="18"/>
          <w:color w:val="auto"/>
        </w:rPr>
        <w:t xml:space="preserve">” means a Portfolio Investment with a value assigned by the Borrower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filed by the Borrower with the Securities and Exchange Commission on March 14, 2011.</w:t>
      </w:r>
    </w:p>
    <w:p>
      <w:pPr>
        <w:spacing w:after="0" w:line="194"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Regulations D, T, U and X</w:t>
      </w:r>
      <w:r>
        <w:rPr>
          <w:rFonts w:ascii="Arial" w:cs="Arial" w:eastAsia="Arial" w:hAnsi="Arial"/>
          <w:sz w:val="18"/>
          <w:szCs w:val="18"/>
          <w:color w:val="auto"/>
        </w:rPr>
        <w:t>” means, respectively, Regulations D, T, U and X of the Board of Governors of the Federal Reserve System (or any successor), as the same may be modified and supplemented and in effect from time to time.</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employees, agents and advisors of such Person and such Person’s Affiliates.</w:t>
      </w:r>
    </w:p>
    <w:p>
      <w:pPr>
        <w:spacing w:after="0" w:line="126" w:lineRule="exact"/>
        <w:rPr>
          <w:sz w:val="20"/>
          <w:szCs w:val="20"/>
          <w:color w:val="auto"/>
        </w:rPr>
      </w:pPr>
    </w:p>
    <w:p>
      <w:pPr>
        <w:ind w:right="540" w:firstLine="913"/>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Relevant Available Funds</w:t>
      </w:r>
      <w:r>
        <w:rPr>
          <w:rFonts w:ascii="Arial" w:cs="Arial" w:eastAsia="Arial" w:hAnsi="Arial"/>
          <w:sz w:val="18"/>
          <w:szCs w:val="18"/>
          <w:color w:val="auto"/>
        </w:rPr>
        <w:t>” means the sum (without duplication) of (a) the aggregate undrawn capital commitments of the Borrower’s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holders to the Borrower,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available to be drawn under any committed facilities, including, for the avoidance of doubt, this Agreement, for which all applicable conditions to availability could be satisfied at such time.</w:t>
      </w:r>
    </w:p>
    <w:p>
      <w:pPr>
        <w:spacing w:after="0" w:line="138"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w:t>
      </w:r>
    </w:p>
    <w:p>
      <w:pPr>
        <w:spacing w:after="0" w:line="116"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shares of any class of capital stock of the Borrower or any of its Subsidiaries, or any payment (whether in cash, securities or other</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65" w:name="page366"/>
    <w:bookmarkEnd w:id="365"/>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43" w:lineRule="exact"/>
        <w:rPr>
          <w:sz w:val="20"/>
          <w:szCs w:val="20"/>
          <w:color w:val="auto"/>
        </w:rPr>
      </w:pPr>
    </w:p>
    <w:p>
      <w:pPr>
        <w:ind w:right="10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 of Capital</w:t>
      </w:r>
      <w:r>
        <w:rPr>
          <w:rFonts w:ascii="Arial" w:cs="Arial" w:eastAsia="Arial" w:hAnsi="Arial"/>
          <w:sz w:val="16"/>
          <w:szCs w:val="16"/>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net of any fees, costs, expenses and taxes payable with respect thereto).</w:t>
      </w:r>
    </w:p>
    <w:p>
      <w:pPr>
        <w:spacing w:after="0" w:line="165" w:lineRule="exact"/>
        <w:rPr>
          <w:sz w:val="20"/>
          <w:szCs w:val="20"/>
          <w:color w:val="auto"/>
        </w:rPr>
      </w:pPr>
    </w:p>
    <w:p>
      <w:pPr>
        <w:ind w:right="7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Dollar Credit Exposure and Revolving Multicurrency Credit Exposure at such time.</w:t>
      </w:r>
    </w:p>
    <w:p>
      <w:pPr>
        <w:spacing w:after="0" w:line="132"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Dollar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85"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Multicurrency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8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means, as of any date of determination, the result, expressed as a percentage, of the Revolving Credit Exposure on such date divided by the aggregate outstanding Covered Debt Amount on such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under the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division of The McGraw Hill Companies, Inc., a New York corporation, or any successor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w:t>
      </w:r>
      <w:r>
        <w:rPr>
          <w:rFonts w:ascii="Arial" w:cs="Arial" w:eastAsia="Arial" w:hAnsi="Arial"/>
          <w:sz w:val="18"/>
          <w:szCs w:val="18"/>
          <w:color w:val="auto"/>
        </w:rPr>
        <w:t>” means the United States Small Business Administration.</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66" w:name="page367"/>
    <w:bookmarkEnd w:id="36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SBIC Equity Commitment</w:t>
      </w:r>
      <w:r>
        <w:rPr>
          <w:rFonts w:ascii="Arial" w:cs="Arial" w:eastAsia="Arial" w:hAnsi="Arial"/>
          <w:sz w:val="18"/>
          <w:szCs w:val="18"/>
          <w:color w:val="auto"/>
        </w:rPr>
        <w:t>” means a commitment by the Borrower to make one or more capital contributions to an SBIC Subsidiary.</w:t>
      </w:r>
    </w:p>
    <w:p>
      <w:pPr>
        <w:spacing w:after="0" w:line="17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SBIC Subsidiary</w:t>
      </w:r>
      <w:r>
        <w:rPr>
          <w:rFonts w:ascii="Arial" w:cs="Arial" w:eastAsia="Arial" w:hAnsi="Arial"/>
          <w:sz w:val="16"/>
          <w:szCs w:val="16"/>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27"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Debt Amount</w:t>
      </w:r>
      <w:r>
        <w:rPr>
          <w:rFonts w:ascii="Arial" w:cs="Arial" w:eastAsia="Arial" w:hAnsi="Arial"/>
          <w:sz w:val="18"/>
          <w:szCs w:val="18"/>
          <w:color w:val="auto"/>
        </w:rPr>
        <w:t>” means, on any date, the aggregate amount of all Secured Longer-Term Indebtedness and Secured Shorter-Term Indebtedness on such date (other than the obligations owed under (a) the Loan Documents, including the Revolving Credit Exposure, and (b) any Capital Call Facility).</w:t>
      </w:r>
    </w:p>
    <w:p>
      <w:pPr>
        <w:spacing w:after="0" w:line="140"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Longer-Term Indebtedness</w:t>
      </w:r>
      <w:r>
        <w:rPr>
          <w:rFonts w:ascii="Arial" w:cs="Arial" w:eastAsia="Arial" w:hAnsi="Arial"/>
          <w:sz w:val="16"/>
          <w:szCs w:val="16"/>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Extended Final Maturity Date (it being understood that none of: (w) the conversion features under convertible notes; (x) the triggering and/or settlement thereof; or (y) any cash payment made in respect thereof ,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 “Secured Longer-Term Indebtedness” shall not include any Indebtedness under any Capital Call Facility.</w:t>
      </w:r>
    </w:p>
    <w:p>
      <w:pPr>
        <w:spacing w:after="0" w:line="123"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Shorter-Term Indebtedness</w:t>
      </w:r>
      <w:r>
        <w:rPr>
          <w:rFonts w:ascii="Arial" w:cs="Arial" w:eastAsia="Arial" w:hAnsi="Arial"/>
          <w:sz w:val="18"/>
          <w:szCs w:val="18"/>
          <w:color w:val="auto"/>
        </w:rPr>
        <w:t>” means, collectively, (a) any Indebtedness of an Obligor that is secured by any assets of any Obligor and that does not constitute Secured</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67" w:name="page368"/>
    <w:bookmarkEnd w:id="367"/>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Longer-Term Indebtedness, (b) any Indebtedness of an Obligor that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Arial" w:cs="Arial" w:eastAsia="Arial" w:hAnsi="Arial"/>
          <w:sz w:val="16"/>
          <w:szCs w:val="16"/>
          <w:u w:val="single" w:color="auto"/>
          <w:color w:val="auto"/>
        </w:rPr>
        <w:t>Section 6.11(a)</w:t>
      </w:r>
      <w:r>
        <w:rPr>
          <w:rFonts w:ascii="Arial" w:cs="Arial" w:eastAsia="Arial" w:hAnsi="Arial"/>
          <w:sz w:val="16"/>
          <w:szCs w:val="16"/>
          <w:color w:val="auto"/>
        </w:rPr>
        <w:t>. “Secured Shorter-Term Indebtedness” shall not include any Indebtedness under any Capital Call Facility.</w:t>
      </w:r>
    </w:p>
    <w:p>
      <w:pPr>
        <w:spacing w:after="0" w:line="12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43"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at any date, the amount determined on a consolidated basis, without duplication, in accordance with GAAP, of shareholders equity for the Borrower and its Subsidiaries at such date.</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 Subsidiary</w:t>
      </w:r>
      <w:r>
        <w:rPr>
          <w:rFonts w:ascii="Arial" w:cs="Arial" w:eastAsia="Arial" w:hAnsi="Arial"/>
          <w:sz w:val="18"/>
          <w:szCs w:val="18"/>
          <w:color w:val="auto"/>
        </w:rPr>
        <w:t>” means a direct or indirect Subsidiary of the Borrower to which any Obligor sells, conveys or otherwise transfers (whether directly or indirectly) Portfolio Investments, which engages in no material activities other than in connection with the purchase or financing of such assets and which is designated by the Borrower (as provided below) as an SPE Subsidiary:</w:t>
      </w:r>
    </w:p>
    <w:p>
      <w:pPr>
        <w:spacing w:after="0" w:line="59" w:lineRule="exact"/>
        <w:rPr>
          <w:sz w:val="20"/>
          <w:szCs w:val="20"/>
          <w:color w:val="auto"/>
        </w:rPr>
      </w:pPr>
    </w:p>
    <w:p>
      <w:pPr>
        <w:ind w:right="260" w:firstLine="921"/>
        <w:spacing w:after="0" w:line="256" w:lineRule="auto"/>
        <w:tabs>
          <w:tab w:leader="none" w:pos="115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43" w:lineRule="exact"/>
        <w:rPr>
          <w:rFonts w:ascii="Arial" w:cs="Arial" w:eastAsia="Arial" w:hAnsi="Arial"/>
          <w:sz w:val="18"/>
          <w:szCs w:val="18"/>
          <w:color w:val="auto"/>
        </w:rPr>
      </w:pPr>
    </w:p>
    <w:p>
      <w:pPr>
        <w:ind w:right="60" w:firstLine="921"/>
        <w:spacing w:after="0" w:line="259" w:lineRule="auto"/>
        <w:tabs>
          <w:tab w:leader="none" w:pos="116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with which no Obligor has any material contract, agreement, arrangement or understanding other than on terms no less favorable to such Obligor than those that might be obtained at the time from Persons that are not Affiliates of any Obligor, other than fees payable in the ordinary course of business in connection with servicing receivables, and</w:t>
      </w:r>
    </w:p>
    <w:p>
      <w:pPr>
        <w:spacing w:after="0" w:line="140" w:lineRule="exact"/>
        <w:rPr>
          <w:rFonts w:ascii="Arial" w:cs="Arial" w:eastAsia="Arial" w:hAnsi="Arial"/>
          <w:sz w:val="18"/>
          <w:szCs w:val="18"/>
          <w:color w:val="auto"/>
        </w:rPr>
      </w:pPr>
    </w:p>
    <w:p>
      <w:pPr>
        <w:ind w:right="200" w:firstLine="921"/>
        <w:spacing w:after="0" w:line="268" w:lineRule="auto"/>
        <w:tabs>
          <w:tab w:leader="none" w:pos="115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which no Obligor has any obligation to maintain or preserve such entity’s financial condition or cause such entity to achieve certain levels of operating results.</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Any such designation by the Borrower shall be effected pursuant to a certificate of a Financial Officer delivered to the Administrative Agent, which certificate shall include a</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68" w:name="page369"/>
    <w:bookmarkEnd w:id="368"/>
    <w:p>
      <w:pPr>
        <w:ind w:right="6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Equity Interest</w:t>
      </w:r>
      <w:r>
        <w:rPr>
          <w:rFonts w:ascii="Arial" w:cs="Arial" w:eastAsia="Arial" w:hAnsi="Arial"/>
          <w:sz w:val="16"/>
          <w:szCs w:val="16"/>
          <w:color w:val="auto"/>
        </w:rPr>
        <w:t xml:space="preserve">” means any Equity Interest that is subject to a Lien in favor of creditors of the issuer of such Equity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8" w:lineRule="exact"/>
        <w:rPr>
          <w:sz w:val="20"/>
          <w:szCs w:val="20"/>
          <w:color w:val="auto"/>
        </w:rPr>
      </w:pPr>
    </w:p>
    <w:p>
      <w:pPr>
        <w:ind w:right="240" w:firstLine="8"/>
        <w:spacing w:after="0" w:line="254" w:lineRule="auto"/>
        <w:tabs>
          <w:tab w:leader="none" w:pos="239"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44"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43"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Statutory Reserve Rate</w:t>
      </w:r>
      <w:r>
        <w:rPr>
          <w:rFonts w:ascii="Arial" w:cs="Arial" w:eastAsia="Arial" w:hAnsi="Arial"/>
          <w:sz w:val="15"/>
          <w:szCs w:val="15"/>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05"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w:t>
      </w:r>
    </w:p>
    <w:p>
      <w:pPr>
        <w:spacing w:after="0" w:line="13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69" w:name="page370"/>
    <w:bookmarkEnd w:id="3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on the financial statements of the Borrower and its Subsidiaries. Unless otherwise specified, “Subsidiary” means a Subsidiary of the Borrower.</w:t>
      </w:r>
    </w:p>
    <w:p>
      <w:pPr>
        <w:spacing w:after="0" w:line="194"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any Subsidiary that is a Guarantor under the Guarantee and Security Agreement. It is understood and agreed that no Financing Subsidiary, Immaterial Subsidiary or Foreign Subsidiary shall be a Subsidiary Guarantor.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SunTrust</w:t>
      </w:r>
      <w:r>
        <w:rPr>
          <w:rFonts w:ascii="Arial" w:cs="Arial" w:eastAsia="Arial" w:hAnsi="Arial"/>
          <w:sz w:val="18"/>
          <w:szCs w:val="18"/>
          <w:color w:val="auto"/>
        </w:rPr>
        <w:t>” means SunTrust Bank.</w:t>
      </w:r>
    </w:p>
    <w:p>
      <w:pPr>
        <w:spacing w:after="0" w:line="171"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0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xml:space="preserve">” means SunTrust, in its capacity as lender of Swingline Loans hereunder, and its successors in such capacity as provided in </w:t>
      </w:r>
      <w:r>
        <w:rPr>
          <w:rFonts w:ascii="Arial" w:cs="Arial" w:eastAsia="Arial" w:hAnsi="Arial"/>
          <w:sz w:val="18"/>
          <w:szCs w:val="18"/>
          <w:u w:val="single" w:color="auto"/>
          <w:color w:val="auto"/>
        </w:rPr>
        <w:t>Section 2.04(d)</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Syndicated</w:t>
      </w:r>
      <w:r>
        <w:rPr>
          <w:rFonts w:ascii="Arial" w:cs="Arial" w:eastAsia="Arial" w:hAnsi="Arial"/>
          <w:sz w:val="18"/>
          <w:szCs w:val="18"/>
          <w:color w:val="auto"/>
        </w:rPr>
        <w:t xml:space="preserve">”, when used in reference to any Loan or Borrowing, refers to whether such Loan, or the Loans constituting such Borrowing, are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32" w:lineRule="exact"/>
        <w:rPr>
          <w:sz w:val="20"/>
          <w:szCs w:val="20"/>
          <w:color w:val="auto"/>
        </w:rPr>
      </w:pPr>
    </w:p>
    <w:p>
      <w:pPr>
        <w:ind w:right="46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62"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earliest to occur of (i) the Extended Final Maturity Date, (ii) the date of the termination of the Commitments in full pursuant to </w:t>
      </w:r>
      <w:r>
        <w:rPr>
          <w:rFonts w:ascii="Arial" w:cs="Arial" w:eastAsia="Arial" w:hAnsi="Arial"/>
          <w:sz w:val="18"/>
          <w:szCs w:val="18"/>
          <w:u w:val="single" w:color="auto"/>
          <w:color w:val="auto"/>
        </w:rPr>
        <w:t>Section 2.08(c)</w:t>
      </w:r>
      <w:r>
        <w:rPr>
          <w:rFonts w:ascii="Arial" w:cs="Arial" w:eastAsia="Arial" w:hAnsi="Arial"/>
          <w:sz w:val="18"/>
          <w:szCs w:val="18"/>
          <w:color w:val="auto"/>
        </w:rPr>
        <w:t xml:space="preserve">, or (iii) the date on which the Commitments are terminated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5.12(b)(ii)(E)(x)</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5.12(b)(ii)(B)</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and the other Loan Documents, the borrowing of Loans, the use of the proceeds thereof and the issuance of Letters of Credit hereunder.</w:t>
      </w:r>
    </w:p>
    <w:p>
      <w:pPr>
        <w:spacing w:after="0" w:line="132"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70" w:name="page371"/>
    <w:bookmarkEnd w:id="370"/>
    <w:p>
      <w:pPr>
        <w:ind w:right="20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Undisclosed Administration</w:t>
      </w:r>
      <w:r>
        <w:rPr>
          <w:rFonts w:ascii="Arial" w:cs="Arial" w:eastAsia="Arial" w:hAnsi="Arial"/>
          <w:sz w:val="16"/>
          <w:szCs w:val="16"/>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from time to time in the State of New York.</w:t>
      </w:r>
    </w:p>
    <w:p>
      <w:pPr>
        <w:spacing w:after="0" w:line="171"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Unsecured Longer-Term Indebtedness</w:t>
      </w:r>
      <w:r>
        <w:rPr>
          <w:rFonts w:ascii="Arial" w:cs="Arial" w:eastAsia="Arial" w:hAnsi="Arial"/>
          <w:sz w:val="16"/>
          <w:szCs w:val="16"/>
          <w:color w:val="auto"/>
        </w:rPr>
        <w:t xml:space="preserve">” means any Indebtedness of an Obligor (which may be Guaranteed by Subsidiary Guarantors) that (a) has no amortization prior to, and a final maturity date not earlier than, six months after the Extended Final Maturity Date (it being understood that none of : (w) the conversion features under convertible notes; (x) the triggering and/or settlement thereof or (y) any cash payment made in respect thereof,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16"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Shorter-Term Indebtedness</w:t>
      </w:r>
      <w:r>
        <w:rPr>
          <w:rFonts w:ascii="Arial" w:cs="Arial" w:eastAsia="Arial" w:hAnsi="Arial"/>
          <w:sz w:val="18"/>
          <w:szCs w:val="18"/>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18"/>
          <w:szCs w:val="18"/>
          <w:u w:val="single" w:color="auto"/>
          <w:color w:val="auto"/>
        </w:rPr>
        <w:t>Section 6.11(a)</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Unquoted Investments</w:t>
      </w:r>
      <w:r>
        <w:rPr>
          <w:rFonts w:ascii="Arial" w:cs="Arial" w:eastAsia="Arial" w:hAnsi="Arial"/>
          <w:sz w:val="18"/>
          <w:szCs w:val="18"/>
          <w:color w:val="auto"/>
        </w:rPr>
        <w:t xml:space="preserve">” means a Portfolio Investment with a value assigned by the Borrower pursuant to </w:t>
      </w:r>
      <w:r>
        <w:rPr>
          <w:rFonts w:ascii="Arial" w:cs="Arial" w:eastAsia="Arial" w:hAnsi="Arial"/>
          <w:sz w:val="18"/>
          <w:szCs w:val="18"/>
          <w:u w:val="single" w:color="auto"/>
          <w:color w:val="auto"/>
        </w:rPr>
        <w:t>Section 5.12(b)(ii)(B)</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32"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 ABR Borrowing”) or by Class and Type (e.g., a “Syndicated</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ABR Borrowing” or “Syndicated Multicurrency LIBOR Borrowing”). Loans and Borrowings may also be identified by Currency.</w:t>
      </w:r>
    </w:p>
    <w:p>
      <w:pPr>
        <w:spacing w:after="0" w:line="171"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2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GAAP.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1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72" w:name="page373"/>
    <w:bookmarkEnd w:id="37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1.05. </w:t>
      </w:r>
      <w:r>
        <w:rPr>
          <w:rFonts w:ascii="Arial" w:cs="Arial" w:eastAsia="Arial" w:hAnsi="Arial"/>
          <w:sz w:val="18"/>
          <w:szCs w:val="18"/>
          <w:u w:val="single" w:color="auto"/>
          <w:color w:val="auto"/>
        </w:rPr>
        <w:t>Currencies; Currency Equivalents</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283" w:lineRule="auto"/>
        <w:tabs>
          <w:tab w:leader="none" w:pos="1152" w:val="left"/>
        </w:tabs>
        <w:numPr>
          <w:ilvl w:val="1"/>
          <w:numId w:val="354"/>
        </w:numPr>
        <w:rPr>
          <w:rFonts w:ascii="Arial" w:cs="Arial" w:eastAsia="Arial" w:hAnsi="Arial"/>
          <w:sz w:val="16"/>
          <w:szCs w:val="16"/>
          <w:color w:val="auto"/>
        </w:rPr>
      </w:pPr>
      <w:r>
        <w:rPr>
          <w:rFonts w:ascii="Arial" w:cs="Arial" w:eastAsia="Arial" w:hAnsi="Arial"/>
          <w:sz w:val="16"/>
          <w:szCs w:val="16"/>
          <w:u w:val="single" w:color="auto"/>
          <w:color w:val="auto"/>
        </w:rPr>
        <w:t>Currencies Generally</w:t>
      </w:r>
      <w:r>
        <w:rPr>
          <w:rFonts w:ascii="Arial" w:cs="Arial" w:eastAsia="Arial" w:hAnsi="Arial"/>
          <w:sz w:val="16"/>
          <w:szCs w:val="16"/>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the last sentence of </w:t>
      </w:r>
      <w:r>
        <w:rPr>
          <w:rFonts w:ascii="Arial" w:cs="Arial" w:eastAsia="Arial" w:hAnsi="Arial"/>
          <w:sz w:val="16"/>
          <w:szCs w:val="16"/>
          <w:u w:val="single" w:color="auto"/>
          <w:color w:val="auto"/>
        </w:rPr>
        <w:t>Section 2.17(a)</w:t>
      </w:r>
      <w:r>
        <w:rPr>
          <w:rFonts w:ascii="Arial" w:cs="Arial" w:eastAsia="Arial" w:hAnsi="Arial"/>
          <w:sz w:val="16"/>
          <w:szCs w:val="16"/>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w:t>
      </w:r>
    </w:p>
    <w:p>
      <w:pPr>
        <w:spacing w:after="0" w:line="2" w:lineRule="exact"/>
        <w:rPr>
          <w:rFonts w:ascii="Arial" w:cs="Arial" w:eastAsia="Arial" w:hAnsi="Arial"/>
          <w:sz w:val="16"/>
          <w:szCs w:val="16"/>
          <w:color w:val="auto"/>
        </w:rPr>
      </w:pPr>
    </w:p>
    <w:p>
      <w:pPr>
        <w:ind w:right="40" w:firstLine="8"/>
        <w:spacing w:after="0" w:line="287" w:lineRule="auto"/>
        <w:tabs>
          <w:tab w:leader="none" w:pos="258"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w:t>
      </w:r>
    </w:p>
    <w:p>
      <w:pPr>
        <w:spacing w:after="0" w:line="124" w:lineRule="exact"/>
        <w:rPr>
          <w:rFonts w:ascii="Arial" w:cs="Arial" w:eastAsia="Arial" w:hAnsi="Arial"/>
          <w:sz w:val="16"/>
          <w:szCs w:val="16"/>
          <w:color w:val="auto"/>
        </w:rPr>
      </w:pPr>
    </w:p>
    <w:p>
      <w:pPr>
        <w:ind w:right="40" w:firstLine="921"/>
        <w:spacing w:after="0" w:line="287" w:lineRule="auto"/>
        <w:tabs>
          <w:tab w:leader="none" w:pos="1161" w:val="left"/>
        </w:tabs>
        <w:numPr>
          <w:ilvl w:val="1"/>
          <w:numId w:val="355"/>
        </w:numPr>
        <w:rPr>
          <w:rFonts w:ascii="Arial" w:cs="Arial" w:eastAsia="Arial" w:hAnsi="Arial"/>
          <w:sz w:val="16"/>
          <w:szCs w:val="16"/>
          <w:color w:val="auto"/>
        </w:rPr>
      </w:pPr>
      <w:r>
        <w:rPr>
          <w:rFonts w:ascii="Arial" w:cs="Arial" w:eastAsia="Arial" w:hAnsi="Arial"/>
          <w:sz w:val="16"/>
          <w:szCs w:val="16"/>
          <w:u w:val="single" w:color="auto"/>
          <w:color w:val="auto"/>
        </w:rPr>
        <w:t>Special Provisions Relating to Euro</w:t>
      </w:r>
      <w:r>
        <w:rPr>
          <w:rFonts w:ascii="Arial" w:cs="Arial" w:eastAsia="Arial" w:hAnsi="Arial"/>
          <w:sz w:val="16"/>
          <w:szCs w:val="16"/>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Borrowing denominated in such currency that is outstanding immediately prior to such date, such replacement shall take effect at the end of the Interest Period therefor.</w:t>
      </w:r>
    </w:p>
    <w:p>
      <w:pPr>
        <w:spacing w:after="0" w:line="123"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73" w:name="page374"/>
    <w:bookmarkEnd w:id="373"/>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appropriate to reflect the introduction or changeover to the Euro in any country that becomes a Participating Member State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4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THE CREDITS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Commitments</w:t>
      </w:r>
      <w:r>
        <w:rPr>
          <w:rFonts w:ascii="Arial" w:cs="Arial" w:eastAsia="Arial" w:hAnsi="Arial"/>
          <w:sz w:val="18"/>
          <w:szCs w:val="18"/>
          <w:color w:val="auto"/>
        </w:rPr>
        <w:t>. Subject to the terms and conditions set forth herein:</w:t>
      </w:r>
    </w:p>
    <w:p>
      <w:pPr>
        <w:spacing w:after="0" w:line="90" w:lineRule="exact"/>
        <w:rPr>
          <w:sz w:val="20"/>
          <w:szCs w:val="20"/>
          <w:color w:val="auto"/>
        </w:rPr>
      </w:pPr>
    </w:p>
    <w:p>
      <w:pPr>
        <w:ind w:right="180" w:firstLine="921"/>
        <w:spacing w:after="0" w:line="298" w:lineRule="auto"/>
        <w:tabs>
          <w:tab w:leader="none" w:pos="115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12" w:lineRule="exact"/>
        <w:rPr>
          <w:rFonts w:ascii="Arial" w:cs="Arial" w:eastAsia="Arial" w:hAnsi="Arial"/>
          <w:sz w:val="16"/>
          <w:szCs w:val="16"/>
          <w:color w:val="auto"/>
        </w:rPr>
      </w:pPr>
    </w:p>
    <w:p>
      <w:pPr>
        <w:ind w:right="20" w:firstLine="921"/>
        <w:spacing w:after="0" w:line="255" w:lineRule="auto"/>
        <w:tabs>
          <w:tab w:leader="none" w:pos="116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Within the foregoing limits and subject to the terms and conditions set forth herein, the Borrower may borrow, prepay and reborrow Syndicated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90" w:lineRule="exact"/>
        <w:rPr>
          <w:sz w:val="20"/>
          <w:szCs w:val="20"/>
          <w:color w:val="auto"/>
        </w:rPr>
      </w:pPr>
    </w:p>
    <w:p>
      <w:pPr>
        <w:ind w:right="160" w:firstLine="921"/>
        <w:spacing w:after="0" w:line="255" w:lineRule="auto"/>
        <w:tabs>
          <w:tab w:leader="none" w:pos="1152"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Obligations of Lenders</w:t>
      </w:r>
      <w:r>
        <w:rPr>
          <w:rFonts w:ascii="Arial" w:cs="Arial" w:eastAsia="Arial" w:hAnsi="Arial"/>
          <w:sz w:val="18"/>
          <w:szCs w:val="18"/>
          <w:color w:val="auto"/>
        </w:rPr>
        <w:t xml:space="preserve">. Each Syndicated Loan shall be made as part of a Borrowing consisting of Loans of the same Class of Commitments (other than with respect to any Syndicated Loan requested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w:t>
      </w:r>
    </w:p>
    <w:p>
      <w:pPr>
        <w:spacing w:after="0" w:line="142" w:lineRule="exact"/>
        <w:rPr>
          <w:rFonts w:ascii="Arial" w:cs="Arial" w:eastAsia="Arial" w:hAnsi="Arial"/>
          <w:sz w:val="18"/>
          <w:szCs w:val="18"/>
          <w:color w:val="auto"/>
        </w:rPr>
      </w:pPr>
    </w:p>
    <w:p>
      <w:pPr>
        <w:jc w:val="both"/>
        <w:ind w:right="280" w:firstLine="921"/>
        <w:spacing w:after="0" w:line="259" w:lineRule="auto"/>
        <w:tabs>
          <w:tab w:leader="none" w:pos="1161"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Type of Loans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74" w:name="page375"/>
    <w:bookmarkEnd w:id="374"/>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Eurocurrency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32" w:lineRule="exact"/>
        <w:rPr>
          <w:sz w:val="20"/>
          <w:szCs w:val="20"/>
          <w:color w:val="auto"/>
        </w:rPr>
      </w:pPr>
    </w:p>
    <w:p>
      <w:pPr>
        <w:jc w:val="both"/>
        <w:ind w:right="20" w:firstLine="921"/>
        <w:spacing w:after="0" w:line="255" w:lineRule="auto"/>
        <w:tabs>
          <w:tab w:leader="none" w:pos="1152"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8"/>
          <w:szCs w:val="18"/>
          <w:u w:val="single" w:color="auto"/>
          <w:color w:val="auto"/>
        </w:rPr>
        <w:t>Section 2.05(f)</w:t>
      </w:r>
      <w:r>
        <w:rPr>
          <w:rFonts w:ascii="Arial" w:cs="Arial" w:eastAsia="Arial" w:hAnsi="Arial"/>
          <w:sz w:val="18"/>
          <w:szCs w:val="18"/>
          <w:color w:val="auto"/>
        </w:rPr>
        <w:t>. Borrowings of more than one Class, Currency and Type may be outstanding at the same time.</w:t>
      </w:r>
    </w:p>
    <w:p>
      <w:pPr>
        <w:spacing w:after="0" w:line="142" w:lineRule="exact"/>
        <w:rPr>
          <w:rFonts w:ascii="Arial" w:cs="Arial" w:eastAsia="Arial" w:hAnsi="Arial"/>
          <w:sz w:val="18"/>
          <w:szCs w:val="18"/>
          <w:color w:val="auto"/>
        </w:rPr>
      </w:pPr>
    </w:p>
    <w:p>
      <w:pPr>
        <w:ind w:right="120" w:firstLine="921"/>
        <w:spacing w:after="0" w:line="259" w:lineRule="auto"/>
        <w:tabs>
          <w:tab w:leader="none" w:pos="1161"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Limitations on Interest Periods</w:t>
      </w:r>
      <w:r>
        <w:rPr>
          <w:rFonts w:ascii="Arial" w:cs="Arial" w:eastAsia="Arial" w:hAnsi="Arial"/>
          <w:sz w:val="18"/>
          <w:szCs w:val="18"/>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 with respect to such Borrowing.</w:t>
      </w:r>
    </w:p>
    <w:p>
      <w:pPr>
        <w:spacing w:after="0" w:line="140" w:lineRule="exact"/>
        <w:rPr>
          <w:rFonts w:ascii="Arial" w:cs="Arial" w:eastAsia="Arial" w:hAnsi="Arial"/>
          <w:sz w:val="18"/>
          <w:szCs w:val="18"/>
          <w:color w:val="auto"/>
        </w:rPr>
      </w:pPr>
    </w:p>
    <w:p>
      <w:pPr>
        <w:jc w:val="both"/>
        <w:ind w:right="20" w:firstLine="921"/>
        <w:spacing w:after="0" w:line="323" w:lineRule="auto"/>
        <w:tabs>
          <w:tab w:leader="none" w:pos="1152" w:val="left"/>
        </w:tabs>
        <w:numPr>
          <w:ilvl w:val="0"/>
          <w:numId w:val="358"/>
        </w:numPr>
        <w:rPr>
          <w:rFonts w:ascii="Arial" w:cs="Arial" w:eastAsia="Arial" w:hAnsi="Arial"/>
          <w:sz w:val="15"/>
          <w:szCs w:val="15"/>
          <w:color w:val="auto"/>
        </w:rPr>
      </w:pPr>
      <w:r>
        <w:rPr>
          <w:rFonts w:ascii="Arial" w:cs="Arial" w:eastAsia="Arial" w:hAnsi="Arial"/>
          <w:sz w:val="15"/>
          <w:szCs w:val="15"/>
          <w:u w:val="single" w:color="auto"/>
          <w:color w:val="auto"/>
        </w:rPr>
        <w:t>Treatment of Classes</w:t>
      </w:r>
      <w:r>
        <w:rPr>
          <w:rFonts w:ascii="Arial" w:cs="Arial" w:eastAsia="Arial" w:hAnsi="Arial"/>
          <w:sz w:val="15"/>
          <w:szCs w:val="15"/>
          <w:color w:val="auto"/>
        </w:rPr>
        <w:t>.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Syndicated Borrowings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2"/>
          <w:numId w:val="359"/>
        </w:numPr>
        <w:rPr>
          <w:rFonts w:ascii="Arial" w:cs="Arial" w:eastAsia="Arial" w:hAnsi="Arial"/>
          <w:sz w:val="16"/>
          <w:szCs w:val="16"/>
          <w:color w:val="auto"/>
        </w:rPr>
      </w:pPr>
      <w:r>
        <w:rPr>
          <w:rFonts w:ascii="Arial" w:cs="Arial" w:eastAsia="Arial" w:hAnsi="Arial"/>
          <w:sz w:val="16"/>
          <w:szCs w:val="16"/>
          <w:u w:val="single" w:color="auto"/>
          <w:color w:val="auto"/>
        </w:rPr>
        <w:t>Notice by the Borrower</w:t>
      </w:r>
      <w:r>
        <w:rPr>
          <w:rFonts w:ascii="Arial" w:cs="Arial" w:eastAsia="Arial" w:hAnsi="Arial"/>
          <w:sz w:val="16"/>
          <w:szCs w:val="16"/>
          <w:color w:val="auto"/>
        </w:rPr>
        <w:t>. To request a Syndicated Borrowing, the Borrower shall notify the Administrative Agent of such request by telephone</w:t>
      </w:r>
    </w:p>
    <w:p>
      <w:pPr>
        <w:spacing w:after="0" w:line="38" w:lineRule="exact"/>
        <w:rPr>
          <w:rFonts w:ascii="Arial" w:cs="Arial" w:eastAsia="Arial" w:hAnsi="Arial"/>
          <w:sz w:val="16"/>
          <w:szCs w:val="16"/>
          <w:color w:val="auto"/>
        </w:rPr>
      </w:pPr>
    </w:p>
    <w:p>
      <w:pPr>
        <w:ind w:right="160" w:firstLine="8"/>
        <w:spacing w:after="0" w:line="252" w:lineRule="auto"/>
        <w:tabs>
          <w:tab w:leader="none" w:pos="21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 the case of a Eurocurrency Borrowing denominated in Dollars, not later than 11:00 a.m., Atlanta, Georgia time, three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one Business Day before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48" w:lineRule="exact"/>
        <w:rPr>
          <w:rFonts w:ascii="Arial" w:cs="Arial" w:eastAsia="Arial" w:hAnsi="Arial"/>
          <w:sz w:val="18"/>
          <w:szCs w:val="18"/>
          <w:color w:val="auto"/>
        </w:rPr>
      </w:pPr>
    </w:p>
    <w:p>
      <w:pPr>
        <w:ind w:left="1160" w:hanging="239"/>
        <w:spacing w:after="0"/>
        <w:tabs>
          <w:tab w:leader="none" w:pos="1160" w:val="left"/>
        </w:tabs>
        <w:numPr>
          <w:ilvl w:val="2"/>
          <w:numId w:val="360"/>
        </w:numPr>
        <w:rPr>
          <w:rFonts w:ascii="Arial" w:cs="Arial" w:eastAsia="Arial" w:hAnsi="Arial"/>
          <w:sz w:val="16"/>
          <w:szCs w:val="16"/>
          <w:color w:val="auto"/>
        </w:rPr>
      </w:pPr>
      <w:r>
        <w:rPr>
          <w:rFonts w:ascii="Arial" w:cs="Arial" w:eastAsia="Arial" w:hAnsi="Arial"/>
          <w:sz w:val="16"/>
          <w:szCs w:val="16"/>
          <w:u w:val="single" w:color="auto"/>
          <w:color w:val="auto"/>
        </w:rPr>
        <w:t>Content of Borrowing Requests</w:t>
      </w:r>
      <w:r>
        <w:rPr>
          <w:rFonts w:ascii="Arial" w:cs="Arial" w:eastAsia="Arial" w:hAnsi="Arial"/>
          <w:sz w:val="16"/>
          <w:szCs w:val="16"/>
          <w:color w:val="auto"/>
        </w:rPr>
        <w:t>. Each telephonic and written Borrowing Request shall specify the following information in compliance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83" w:lineRule="exact"/>
        <w:rPr>
          <w:rFonts w:ascii="Arial" w:cs="Arial" w:eastAsia="Arial" w:hAnsi="Arial"/>
          <w:sz w:val="16"/>
          <w:szCs w:val="16"/>
          <w:color w:val="auto"/>
        </w:rPr>
      </w:pPr>
    </w:p>
    <w:p>
      <w:pPr>
        <w:ind w:left="1120" w:hanging="217"/>
        <w:spacing w:after="0"/>
        <w:tabs>
          <w:tab w:leader="none" w:pos="11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whether such Borrowing is to be made under the Dollar Commitments or the Multicurrency Commitments;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aggregate amount and Currency of the requested Borrowing;</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75" w:name="page376"/>
    <w:bookmarkEnd w:id="375"/>
    <w:p>
      <w:pPr>
        <w:ind w:left="1192" w:hanging="297"/>
        <w:spacing w:after="0"/>
        <w:tabs>
          <w:tab w:leader="none" w:pos="1192" w:val="left"/>
        </w:tabs>
        <w:numPr>
          <w:ilvl w:val="0"/>
          <w:numId w:val="3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of such Borrowing, which shall be a Business Day;</w:t>
      </w:r>
    </w:p>
    <w:p>
      <w:pPr>
        <w:spacing w:after="0" w:line="90" w:lineRule="exact"/>
        <w:rPr>
          <w:rFonts w:ascii="Arial" w:cs="Arial" w:eastAsia="Arial" w:hAnsi="Arial"/>
          <w:sz w:val="18"/>
          <w:szCs w:val="18"/>
          <w:color w:val="auto"/>
        </w:rPr>
      </w:pPr>
    </w:p>
    <w:p>
      <w:pPr>
        <w:ind w:left="452" w:right="740" w:firstLine="443"/>
        <w:spacing w:after="0" w:line="268" w:lineRule="auto"/>
        <w:tabs>
          <w:tab w:leader="none" w:pos="118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 the case of a Syndicated Borrowing denominated in Dollars, whether such Borrowing is to be an ABR Borrowing or a Eurocurrency Borrowing;</w:t>
      </w:r>
    </w:p>
    <w:p>
      <w:pPr>
        <w:spacing w:after="0" w:line="50" w:lineRule="exact"/>
        <w:rPr>
          <w:rFonts w:ascii="Arial" w:cs="Arial" w:eastAsia="Arial" w:hAnsi="Arial"/>
          <w:sz w:val="18"/>
          <w:szCs w:val="18"/>
          <w:color w:val="auto"/>
        </w:rPr>
      </w:pPr>
    </w:p>
    <w:p>
      <w:pPr>
        <w:ind w:left="452" w:right="80" w:firstLine="443"/>
        <w:spacing w:after="0" w:line="268" w:lineRule="auto"/>
        <w:tabs>
          <w:tab w:leader="none" w:pos="113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in the case of a Eurocurrency Borrowing, the Interest Period therefor,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1192" w:hanging="297"/>
        <w:spacing w:after="0"/>
        <w:tabs>
          <w:tab w:leader="none" w:pos="119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w:t>
      </w:r>
    </w:p>
    <w:p>
      <w:pPr>
        <w:spacing w:after="0" w:line="171" w:lineRule="exact"/>
        <w:rPr>
          <w:rFonts w:ascii="Arial" w:cs="Arial" w:eastAsia="Arial" w:hAnsi="Arial"/>
          <w:sz w:val="18"/>
          <w:szCs w:val="18"/>
          <w:color w:val="auto"/>
        </w:rPr>
      </w:pPr>
    </w:p>
    <w:p>
      <w:pPr>
        <w:ind w:left="-8" w:right="360" w:firstLine="921"/>
        <w:spacing w:after="0" w:line="259" w:lineRule="auto"/>
        <w:tabs>
          <w:tab w:leader="none" w:pos="1144" w:val="left"/>
        </w:tabs>
        <w:numPr>
          <w:ilvl w:val="1"/>
          <w:numId w:val="361"/>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40" w:lineRule="exact"/>
        <w:rPr>
          <w:rFonts w:ascii="Arial" w:cs="Arial" w:eastAsia="Arial" w:hAnsi="Arial"/>
          <w:sz w:val="18"/>
          <w:szCs w:val="18"/>
          <w:color w:val="auto"/>
        </w:rPr>
      </w:pPr>
    </w:p>
    <w:p>
      <w:pPr>
        <w:ind w:left="-8" w:right="140" w:firstLine="921"/>
        <w:spacing w:after="0" w:line="289" w:lineRule="auto"/>
        <w:tabs>
          <w:tab w:leader="none" w:pos="1153" w:val="left"/>
        </w:tabs>
        <w:numPr>
          <w:ilvl w:val="1"/>
          <w:numId w:val="361"/>
        </w:numPr>
        <w:rPr>
          <w:rFonts w:ascii="Arial" w:cs="Arial" w:eastAsia="Arial" w:hAnsi="Arial"/>
          <w:sz w:val="16"/>
          <w:szCs w:val="16"/>
          <w:color w:val="auto"/>
        </w:rPr>
      </w:pPr>
      <w:r>
        <w:rPr>
          <w:rFonts w:ascii="Arial" w:cs="Arial" w:eastAsia="Arial" w:hAnsi="Arial"/>
          <w:sz w:val="16"/>
          <w:szCs w:val="16"/>
          <w:u w:val="single" w:color="auto"/>
          <w:color w:val="auto"/>
        </w:rPr>
        <w:t>Failure to Elect</w:t>
      </w:r>
      <w:r>
        <w:rPr>
          <w:rFonts w:ascii="Arial" w:cs="Arial" w:eastAsia="Arial" w:hAnsi="Arial"/>
          <w:sz w:val="16"/>
          <w:szCs w:val="16"/>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1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90" w:lineRule="exact"/>
        <w:rPr>
          <w:sz w:val="20"/>
          <w:szCs w:val="20"/>
          <w:color w:val="auto"/>
        </w:rPr>
      </w:pPr>
    </w:p>
    <w:p>
      <w:pPr>
        <w:ind w:left="-8" w:right="40" w:firstLine="921"/>
        <w:spacing w:after="0" w:line="284" w:lineRule="auto"/>
        <w:tabs>
          <w:tab w:leader="none" w:pos="1144" w:val="left"/>
        </w:tabs>
        <w:numPr>
          <w:ilvl w:val="1"/>
          <w:numId w:val="362"/>
        </w:numPr>
        <w:rPr>
          <w:rFonts w:ascii="Arial" w:cs="Arial" w:eastAsia="Arial" w:hAnsi="Arial"/>
          <w:sz w:val="16"/>
          <w:szCs w:val="16"/>
          <w:color w:val="auto"/>
        </w:rPr>
      </w:pPr>
      <w:r>
        <w:rPr>
          <w:rFonts w:ascii="Arial" w:cs="Arial" w:eastAsia="Arial" w:hAnsi="Arial"/>
          <w:sz w:val="16"/>
          <w:szCs w:val="16"/>
          <w:u w:val="single" w:color="auto"/>
          <w:color w:val="auto"/>
        </w:rPr>
        <w:t>Agreement to Make Swingline Loans</w:t>
      </w:r>
      <w:r>
        <w:rPr>
          <w:rFonts w:ascii="Arial" w:cs="Arial" w:eastAsia="Arial" w:hAnsi="Arial"/>
          <w:sz w:val="16"/>
          <w:szCs w:val="16"/>
          <w:color w:val="auto"/>
        </w:rPr>
        <w:t>. Subject to the terms and conditions set forth herein, the Swingline Lender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$100,000,000,</w:t>
      </w:r>
    </w:p>
    <w:p>
      <w:pPr>
        <w:spacing w:after="0" w:line="1" w:lineRule="exact"/>
        <w:rPr>
          <w:rFonts w:ascii="Arial" w:cs="Arial" w:eastAsia="Arial" w:hAnsi="Arial"/>
          <w:sz w:val="16"/>
          <w:szCs w:val="16"/>
          <w:color w:val="auto"/>
        </w:rPr>
      </w:pPr>
    </w:p>
    <w:p>
      <w:pPr>
        <w:ind w:left="-8" w:right="60" w:firstLine="8"/>
        <w:spacing w:after="0" w:line="292" w:lineRule="auto"/>
        <w:tabs>
          <w:tab w:leader="none" w:pos="25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the total Revolving Dollar Credit Exposures of Dollar Lenders with Dollar Commitments then in effect exceeding the aggregate Dollar Commitments at such time, (iii) the total Revolving Multicurrency Credit Exposures of Multicurrency Lenders with Multicurrency Commitments then in effect exceeding the aggregate Multicurrency Commitments at such time or (iv) the total Covered Debt Amount exceeding the Borrowing Base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03" w:lineRule="exact"/>
        <w:rPr>
          <w:sz w:val="20"/>
          <w:szCs w:val="20"/>
          <w:color w:val="auto"/>
        </w:rPr>
      </w:pPr>
    </w:p>
    <w:p>
      <w:pPr>
        <w:jc w:val="both"/>
        <w:ind w:left="5852"/>
        <w:spacing w:after="0"/>
        <w:tabs>
          <w:tab w:leader="none" w:pos="941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12"/>
          </w:cols>
          <w:pgMar w:left="248" w:top="279" w:right="239" w:bottom="1440" w:gutter="0" w:footer="0" w:header="0"/>
        </w:sectPr>
      </w:pPr>
    </w:p>
    <w:bookmarkStart w:id="376" w:name="page377"/>
    <w:bookmarkEnd w:id="376"/>
    <w:p>
      <w:pPr>
        <w:ind w:right="60" w:firstLine="921"/>
        <w:spacing w:after="0" w:line="290" w:lineRule="auto"/>
        <w:tabs>
          <w:tab w:leader="none" w:pos="1161"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Swingline Loans by the Borrower</w:t>
      </w:r>
      <w:r>
        <w:rPr>
          <w:rFonts w:ascii="Arial" w:cs="Arial" w:eastAsia="Arial" w:hAnsi="Arial"/>
          <w:sz w:val="16"/>
          <w:szCs w:val="16"/>
          <w:color w:val="auto"/>
        </w:rPr>
        <w:t xml:space="preserve">. To request a Swingline Loan, the Borrower shall notify the Administrative Agent of such request by telephone (confirmed by telecopy) not later than 11:00 a.m., Atlanta, Georgia time, on the day of such proposed Swingline Loan. Each such notice shall be irrevocable and shall specify the requested date (which shall be a Business Day), the amount of the requested Swingline Loan and whether such Swingline Loan is to be made under the Dollar Commitments or the Multicurrency Commitments.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Arial" w:cs="Arial" w:eastAsia="Arial" w:hAnsi="Arial"/>
          <w:sz w:val="16"/>
          <w:szCs w:val="16"/>
          <w:u w:val="single" w:color="auto"/>
          <w:color w:val="auto"/>
        </w:rPr>
        <w:t>Section 2.05(f)</w:t>
      </w:r>
      <w:r>
        <w:rPr>
          <w:rFonts w:ascii="Arial" w:cs="Arial" w:eastAsia="Arial" w:hAnsi="Arial"/>
          <w:sz w:val="16"/>
          <w:szCs w:val="16"/>
          <w:color w:val="auto"/>
        </w:rPr>
        <w:t>, by remittance to the Issuing Bank) by 3:00 p.m., Atlanta, Georgia time, on the requested date of such Swingline Loan.</w:t>
      </w:r>
    </w:p>
    <w:p>
      <w:pPr>
        <w:spacing w:after="0" w:line="118" w:lineRule="exact"/>
        <w:rPr>
          <w:rFonts w:ascii="Arial" w:cs="Arial" w:eastAsia="Arial" w:hAnsi="Arial"/>
          <w:sz w:val="16"/>
          <w:szCs w:val="16"/>
          <w:color w:val="auto"/>
        </w:rPr>
      </w:pPr>
    </w:p>
    <w:p>
      <w:pPr>
        <w:ind w:right="20" w:firstLine="921"/>
        <w:spacing w:after="0" w:line="282" w:lineRule="auto"/>
        <w:tabs>
          <w:tab w:leader="none" w:pos="1152"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t>Participations by Lenders in Swingline Loans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the Swingline Lender may by written notice given to the Administrative Agent not later than 10:00 a.m., Atlanta, Georgia time on any Business Day, require the Lenders of the applicable Class of Commitments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Dollar Percentage or Applicable Multicurrency Percentage of such Swingline Loan or Loans. Each Lender hereby absolutely and unconditionally agrees, upon receipt of notice as provided above in this paragraph, to pay to the Administrative Agent, for account of the Swingline Lender, such Lender’s Applicable Dollar Percentage or Applicable Multicurrency Percentage, as the case may be, of such Swingline Loan 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required to purchase a participation in a Swingline Loan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if</w:t>
      </w:r>
    </w:p>
    <w:p>
      <w:pPr>
        <w:spacing w:after="0" w:line="5" w:lineRule="exact"/>
        <w:rPr>
          <w:rFonts w:ascii="Arial" w:cs="Arial" w:eastAsia="Arial" w:hAnsi="Arial"/>
          <w:sz w:val="16"/>
          <w:szCs w:val="16"/>
          <w:color w:val="auto"/>
        </w:rPr>
      </w:pPr>
    </w:p>
    <w:p>
      <w:pPr>
        <w:ind w:right="180" w:firstLine="8"/>
        <w:spacing w:after="0" w:line="255" w:lineRule="auto"/>
        <w:tabs>
          <w:tab w:leader="none" w:pos="24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would not be satisfied in respect of a Borrowing at the time such Swingline Loan was made and (y) the Required Lenders of the respective Class shall have so notified the Swingline Lender in writing and shall not have subsequently determined that the circumstances giving rise to such conditions not being satisfied no longer exist.</w:t>
      </w:r>
    </w:p>
    <w:p>
      <w:pPr>
        <w:spacing w:after="0" w:line="144"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 xml:space="preserve">Subject to the foregoing and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each Lender acknowledges and agrees that its obligation to acquire participations in Swingline Loans pursuant to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w:t>
      </w:r>
    </w:p>
    <w:p>
      <w:pPr>
        <w:spacing w:after="0" w:line="106"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77" w:name="page378"/>
    <w:bookmarkEnd w:id="37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113" w:lineRule="exact"/>
        <w:rPr>
          <w:sz w:val="20"/>
          <w:szCs w:val="20"/>
          <w:color w:val="auto"/>
        </w:rPr>
      </w:pPr>
    </w:p>
    <w:p>
      <w:pPr>
        <w:ind w:right="20" w:firstLine="921"/>
        <w:spacing w:after="0" w:line="286" w:lineRule="auto"/>
        <w:tabs>
          <w:tab w:leader="none" w:pos="1161"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Resignation and Replacement of Swingline Lender</w:t>
      </w:r>
      <w:r>
        <w:rPr>
          <w:rFonts w:ascii="Arial" w:cs="Arial" w:eastAsia="Arial" w:hAnsi="Arial"/>
          <w:sz w:val="16"/>
          <w:szCs w:val="16"/>
          <w:color w:val="auto"/>
        </w:rPr>
        <w:t xml:space="preserve">. The Swingline Lender may resign and be replaced at any time by written agreement among the Borrower, the Administrative Agent, the resigning Swingline Lender and the successor Swingline Lender. 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Arial" w:cs="Arial" w:eastAsia="Arial" w:hAnsi="Arial"/>
          <w:sz w:val="16"/>
          <w:szCs w:val="16"/>
          <w:u w:val="single" w:color="auto"/>
          <w:color w:val="auto"/>
        </w:rPr>
        <w:t>Section 2.19(a)</w:t>
      </w:r>
      <w:r>
        <w:rPr>
          <w:rFonts w:ascii="Arial" w:cs="Arial" w:eastAsia="Arial" w:hAnsi="Arial"/>
          <w:sz w:val="16"/>
          <w:szCs w:val="16"/>
          <w:color w:val="auto"/>
        </w:rPr>
        <w:t>, then the Swingline Lender may, upon prior written notice to the Borrower and the Administrative Agent, resign as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 (i) 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have no obligation to make additional Swingline Loans.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294" w:lineRule="auto"/>
        <w:tabs>
          <w:tab w:leader="none" w:pos="1152"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in addition to the Loans provided for in </w:t>
      </w:r>
      <w:r>
        <w:rPr>
          <w:rFonts w:ascii="Arial" w:cs="Arial" w:eastAsia="Arial" w:hAnsi="Arial"/>
          <w:sz w:val="16"/>
          <w:szCs w:val="16"/>
          <w:u w:val="single" w:color="auto"/>
          <w:color w:val="auto"/>
        </w:rPr>
        <w:t>Section 2.01</w:t>
      </w:r>
      <w:r>
        <w:rPr>
          <w:rFonts w:ascii="Arial" w:cs="Arial" w:eastAsia="Arial" w:hAnsi="Arial"/>
          <w:sz w:val="16"/>
          <w:szCs w:val="16"/>
          <w:color w:val="auto"/>
        </w:rPr>
        <w:t>, the Borrower may request the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in such form as is acceptable to the Issuing Bank in its reasonable determination. Letters of Credit issued hereunder shall constitute utilization of the Commitments up to the aggregate amount available to be drawn thereunder.</w:t>
      </w:r>
    </w:p>
    <w:p>
      <w:pPr>
        <w:spacing w:after="0" w:line="115" w:lineRule="exact"/>
        <w:rPr>
          <w:rFonts w:ascii="Arial" w:cs="Arial" w:eastAsia="Arial" w:hAnsi="Arial"/>
          <w:sz w:val="16"/>
          <w:szCs w:val="16"/>
          <w:color w:val="auto"/>
        </w:rPr>
      </w:pPr>
    </w:p>
    <w:p>
      <w:pPr>
        <w:ind w:right="80" w:firstLine="921"/>
        <w:spacing w:after="0" w:line="306" w:lineRule="auto"/>
        <w:tabs>
          <w:tab w:leader="none" w:pos="1161"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or Extension</w:t>
      </w:r>
      <w:r>
        <w:rPr>
          <w:rFonts w:ascii="Arial" w:cs="Arial" w:eastAsia="Arial" w:hAnsi="Arial"/>
          <w:sz w:val="16"/>
          <w:szCs w:val="16"/>
          <w:color w:val="auto"/>
        </w:rPr>
        <w:t>.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w:t>
      </w:r>
    </w:p>
    <w:p>
      <w:pPr>
        <w:spacing w:after="0" w:line="93"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78" w:name="page379"/>
    <w:bookmarkEnd w:id="37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118" w:lineRule="exact"/>
        <w:rPr>
          <w:sz w:val="20"/>
          <w:szCs w:val="20"/>
          <w:color w:val="auto"/>
        </w:rPr>
      </w:pPr>
    </w:p>
    <w:p>
      <w:pPr>
        <w:ind w:right="40" w:firstLine="921"/>
        <w:spacing w:after="0" w:line="290" w:lineRule="auto"/>
        <w:tabs>
          <w:tab w:leader="none" w:pos="1152"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Limitations on Amounts</w:t>
      </w:r>
      <w:r>
        <w:rPr>
          <w:rFonts w:ascii="Arial" w:cs="Arial" w:eastAsia="Arial" w:hAnsi="Arial"/>
          <w:sz w:val="16"/>
          <w:szCs w:val="16"/>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shall not exceed $20,000,000,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and (iv) the total Covered Debt Amount shall not exceed the Borrowing Base then in effect.</w:t>
      </w:r>
    </w:p>
    <w:p>
      <w:pPr>
        <w:spacing w:after="0" w:line="118" w:lineRule="exact"/>
        <w:rPr>
          <w:rFonts w:ascii="Arial" w:cs="Arial" w:eastAsia="Arial" w:hAnsi="Arial"/>
          <w:sz w:val="16"/>
          <w:szCs w:val="16"/>
          <w:color w:val="auto"/>
        </w:rPr>
      </w:pPr>
    </w:p>
    <w:p>
      <w:pPr>
        <w:ind w:right="40" w:firstLine="921"/>
        <w:spacing w:after="0" w:line="290" w:lineRule="auto"/>
        <w:tabs>
          <w:tab w:leader="none" w:pos="1161"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Issuing Bank and the Administrative Agent.</w:t>
      </w:r>
    </w:p>
    <w:p>
      <w:pPr>
        <w:spacing w:after="0" w:line="118" w:lineRule="exact"/>
        <w:rPr>
          <w:rFonts w:ascii="Arial" w:cs="Arial" w:eastAsia="Arial" w:hAnsi="Arial"/>
          <w:sz w:val="16"/>
          <w:szCs w:val="16"/>
          <w:color w:val="auto"/>
        </w:rPr>
      </w:pPr>
    </w:p>
    <w:p>
      <w:pPr>
        <w:ind w:right="80" w:firstLine="921"/>
        <w:spacing w:after="0" w:line="291" w:lineRule="auto"/>
        <w:tabs>
          <w:tab w:leader="none" w:pos="1152"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2.20</w:t>
      </w:r>
      <w:r>
        <w:rPr>
          <w:rFonts w:ascii="Arial" w:cs="Arial" w:eastAsia="Arial" w:hAnsi="Arial"/>
          <w:sz w:val="16"/>
          <w:szCs w:val="16"/>
          <w:color w:val="auto"/>
        </w:rPr>
        <w:t>, by the issuance of a Letter of Credit of a Class of Commitment (or an amendment to a Letter of Credit increasing the amount thereof) by the Issuing Bank, and without any further action on the part of the Issuing Bank or the Lenders, the Issuing Bank hereby grants to each Lender of such Class, and each Lender of such Class hereby acquires from the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79" w:name="page380"/>
    <w:bookmarkEnd w:id="379"/>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required to purchase a participation in a Letter of Credit pursuant to this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if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would not be satisfied in respect of a Borrowing at the time such Letter of Credit was issued and</w:t>
      </w:r>
    </w:p>
    <w:p>
      <w:pPr>
        <w:spacing w:after="0" w:line="1" w:lineRule="exact"/>
        <w:rPr>
          <w:sz w:val="20"/>
          <w:szCs w:val="20"/>
          <w:color w:val="auto"/>
        </w:rPr>
      </w:pPr>
    </w:p>
    <w:p>
      <w:pPr>
        <w:ind w:right="840" w:firstLine="8"/>
        <w:spacing w:after="0" w:line="261" w:lineRule="auto"/>
        <w:tabs>
          <w:tab w:leader="none" w:pos="24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Required Lenders of the respective Class shall have so notified the Issuing Bank in writing and shall not have subsequently determined that the circumstances giving rise to such conditions not being satisfied no longer exist.</w:t>
      </w:r>
    </w:p>
    <w:p>
      <w:pPr>
        <w:spacing w:after="0" w:line="13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in consideration and in furtherance of the foregoing, each Lender of a Class of Commitment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 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spacing w:after="0" w:line="124" w:lineRule="exact"/>
        <w:rPr>
          <w:sz w:val="20"/>
          <w:szCs w:val="20"/>
          <w:color w:val="auto"/>
        </w:rPr>
      </w:pPr>
    </w:p>
    <w:p>
      <w:pPr>
        <w:ind w:right="100" w:firstLine="921"/>
        <w:spacing w:after="0" w:line="289" w:lineRule="auto"/>
        <w:tabs>
          <w:tab w:leader="none" w:pos="1132"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18"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If the Borrower fails to make such payment when due, the Administrative Agent shall notify each applicable Lender with a Commitment then in effect of the applicable LC Disbursement, the payment then due from the Borrower in respect thereof and such Lender’s</w:t>
      </w:r>
    </w:p>
    <w:p>
      <w:pPr>
        <w:spacing w:after="0" w:line="7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Dollar Percentage or Applicable Multicurrency Percentage, as the case may be, thereof.</w:t>
      </w:r>
    </w:p>
    <w:p>
      <w:pPr>
        <w:spacing w:after="0" w:line="171" w:lineRule="exact"/>
        <w:rPr>
          <w:sz w:val="20"/>
          <w:szCs w:val="20"/>
          <w:color w:val="auto"/>
        </w:rPr>
      </w:pPr>
    </w:p>
    <w:p>
      <w:pPr>
        <w:ind w:right="40" w:firstLine="921"/>
        <w:spacing w:after="0" w:line="283" w:lineRule="auto"/>
        <w:tabs>
          <w:tab w:leader="none" w:pos="1161" w:val="left"/>
        </w:tabs>
        <w:numPr>
          <w:ilvl w:val="1"/>
          <w:numId w:val="371"/>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strictly with the terms of such Letter of Credit, and</w:t>
      </w:r>
    </w:p>
    <w:p>
      <w:pPr>
        <w:spacing w:after="0" w:line="2" w:lineRule="exact"/>
        <w:rPr>
          <w:rFonts w:ascii="Arial" w:cs="Arial" w:eastAsia="Arial" w:hAnsi="Arial"/>
          <w:sz w:val="16"/>
          <w:szCs w:val="16"/>
          <w:color w:val="auto"/>
        </w:rPr>
      </w:pPr>
    </w:p>
    <w:p>
      <w:pPr>
        <w:ind w:firstLine="8"/>
        <w:spacing w:after="0" w:line="261" w:lineRule="auto"/>
        <w:tabs>
          <w:tab w:leader="none" w:pos="29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other event or circumstance whatsoever, whether or not similar to any of the foregoing, that might, but for the provisions of this Section, constitute a legal or equitable discharge of the Borrower’s obligations hereunder.</w:t>
      </w:r>
    </w:p>
    <w:p>
      <w:pPr>
        <w:spacing w:after="0" w:line="138" w:lineRule="exact"/>
        <w:rPr>
          <w:sz w:val="20"/>
          <w:szCs w:val="20"/>
          <w:color w:val="auto"/>
        </w:rPr>
      </w:pPr>
    </w:p>
    <w:p>
      <w:pPr>
        <w:ind w:right="180" w:firstLine="913"/>
        <w:spacing w:after="0" w:line="288" w:lineRule="auto"/>
        <w:rPr>
          <w:sz w:val="20"/>
          <w:szCs w:val="20"/>
          <w:color w:val="auto"/>
        </w:rPr>
      </w:pPr>
      <w:r>
        <w:rPr>
          <w:rFonts w:ascii="Arial" w:cs="Arial" w:eastAsia="Arial" w:hAnsi="Arial"/>
          <w:sz w:val="16"/>
          <w:szCs w:val="16"/>
          <w:color w:val="auto"/>
        </w:rPr>
        <w:t xml:space="preserve">Neither the Administrative Agent, the Lenders nor the Issuing Bank, nor any of their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fraud, gross negligence or willful misconduct when determining whether drafts and other documents presented under a Letter of Credit comply with the terms thereof. The parties hereto expressly agree that:</w:t>
      </w:r>
    </w:p>
    <w:p>
      <w:pPr>
        <w:spacing w:after="0" w:line="39" w:lineRule="exact"/>
        <w:rPr>
          <w:sz w:val="20"/>
          <w:szCs w:val="20"/>
          <w:color w:val="auto"/>
        </w:rPr>
      </w:pPr>
    </w:p>
    <w:p>
      <w:pPr>
        <w:ind w:left="460" w:right="40" w:firstLine="443"/>
        <w:spacing w:after="0" w:line="259" w:lineRule="auto"/>
        <w:tabs>
          <w:tab w:leader="none" w:pos="1108"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59" w:lineRule="exact"/>
        <w:rPr>
          <w:rFonts w:ascii="Arial" w:cs="Arial" w:eastAsia="Arial" w:hAnsi="Arial"/>
          <w:sz w:val="18"/>
          <w:szCs w:val="18"/>
          <w:color w:val="auto"/>
        </w:rPr>
      </w:pPr>
    </w:p>
    <w:p>
      <w:pPr>
        <w:ind w:left="460" w:right="80" w:firstLine="443"/>
        <w:spacing w:after="0" w:line="268" w:lineRule="auto"/>
        <w:tabs>
          <w:tab w:leader="none" w:pos="115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Issuing Bank shall have the right, in its sole discretion, to decline to accept such documents and to make such payment if such documents are not in strict compliance with the terms of such Letter of Credit; and</w:t>
      </w:r>
    </w:p>
    <w:p>
      <w:pPr>
        <w:spacing w:after="0" w:line="50" w:lineRule="exact"/>
        <w:rPr>
          <w:rFonts w:ascii="Arial" w:cs="Arial" w:eastAsia="Arial" w:hAnsi="Arial"/>
          <w:sz w:val="18"/>
          <w:szCs w:val="18"/>
          <w:color w:val="auto"/>
        </w:rPr>
      </w:pPr>
    </w:p>
    <w:p>
      <w:pPr>
        <w:ind w:left="460" w:right="440" w:firstLine="443"/>
        <w:spacing w:after="0" w:line="259" w:lineRule="auto"/>
        <w:tabs>
          <w:tab w:leader="none" w:pos="120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81" w:name="page382"/>
    <w:bookmarkEnd w:id="381"/>
    <w:p>
      <w:pPr>
        <w:ind w:right="180" w:firstLine="921"/>
        <w:spacing w:after="0" w:line="255" w:lineRule="auto"/>
        <w:tabs>
          <w:tab w:leader="none" w:pos="1161"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Disbursement Procedures</w:t>
      </w:r>
      <w:r>
        <w:rPr>
          <w:rFonts w:ascii="Arial" w:cs="Arial" w:eastAsia="Arial" w:hAnsi="Arial"/>
          <w:sz w:val="18"/>
          <w:szCs w:val="18"/>
          <w:color w:val="auto"/>
        </w:rPr>
        <w:t xml:space="preserve">.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the Issuing Bank and the applicable Lenders with respect to any such LC Disbursement.</w:t>
      </w:r>
    </w:p>
    <w:p>
      <w:pPr>
        <w:spacing w:after="0" w:line="142" w:lineRule="exact"/>
        <w:rPr>
          <w:rFonts w:ascii="Arial" w:cs="Arial" w:eastAsia="Arial" w:hAnsi="Arial"/>
          <w:sz w:val="18"/>
          <w:szCs w:val="18"/>
          <w:color w:val="auto"/>
        </w:rPr>
      </w:pPr>
    </w:p>
    <w:p>
      <w:pPr>
        <w:ind w:right="40" w:firstLine="921"/>
        <w:spacing w:after="0" w:line="290" w:lineRule="auto"/>
        <w:tabs>
          <w:tab w:leader="none" w:pos="1122"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within two Business Days following the date when due pursuant to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then the provisions of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shall apply. Interest accrued pursuant to this paragraph shall be for account of the Issuing Bank, except that interest accrued on and after the date of payment by any Lender pursuant to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to reimburse the Issuing Bank shall be for account of such Lender to the extent of such payment.</w:t>
      </w:r>
    </w:p>
    <w:p>
      <w:pPr>
        <w:spacing w:after="0" w:line="118" w:lineRule="exact"/>
        <w:rPr>
          <w:rFonts w:ascii="Arial" w:cs="Arial" w:eastAsia="Arial" w:hAnsi="Arial"/>
          <w:sz w:val="16"/>
          <w:szCs w:val="16"/>
          <w:color w:val="auto"/>
        </w:rPr>
      </w:pPr>
    </w:p>
    <w:p>
      <w:pPr>
        <w:ind w:firstLine="921"/>
        <w:spacing w:after="0" w:line="288" w:lineRule="auto"/>
        <w:tabs>
          <w:tab w:leader="none" w:pos="1122"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Resignation and/or Replacement of Issuing Bank</w:t>
      </w:r>
      <w:r>
        <w:rPr>
          <w:rFonts w:ascii="Arial" w:cs="Arial" w:eastAsia="Arial" w:hAnsi="Arial"/>
          <w:sz w:val="16"/>
          <w:szCs w:val="16"/>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Upon the effectiveness of any resignation of the Issuing Bank, the Borrower shall pay all unpaid fees accrued for account of the resigning Issuing Bank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effective resignation of the Issuing Bank hereunder, the resigning Issuing Bank, as the case may be, shall remain a party hereto and shall continue to have all the rights and obligations of the Issuing Bank under this Agreement with respect to Letters of Credit issued by it prior to such resignation, but shall not be required to issue additional Letters of Credit.</w:t>
      </w:r>
    </w:p>
    <w:p>
      <w:pPr>
        <w:spacing w:after="0" w:line="119" w:lineRule="exact"/>
        <w:rPr>
          <w:rFonts w:ascii="Arial" w:cs="Arial" w:eastAsia="Arial" w:hAnsi="Arial"/>
          <w:sz w:val="16"/>
          <w:szCs w:val="16"/>
          <w:color w:val="auto"/>
        </w:rPr>
      </w:pPr>
    </w:p>
    <w:p>
      <w:pPr>
        <w:jc w:val="both"/>
        <w:ind w:firstLine="921"/>
        <w:spacing w:after="0" w:line="283" w:lineRule="auto"/>
        <w:tabs>
          <w:tab w:leader="none" w:pos="1161"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the Borrower shall be required to provide Cash Collateral for LC Exposure pursuant to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2.20(b)</w:t>
      </w:r>
      <w:r>
        <w:rPr>
          <w:rFonts w:ascii="Arial" w:cs="Arial" w:eastAsia="Arial" w:hAnsi="Arial"/>
          <w:sz w:val="16"/>
          <w:szCs w:val="16"/>
          <w:color w:val="auto"/>
        </w:rPr>
        <w:t xml:space="preserve"> or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the Borrower shall immediately deposit into a segregated collateral account or accounts (herein, collectively, the “</w:t>
      </w:r>
      <w:r>
        <w:rPr>
          <w:rFonts w:ascii="Arial" w:cs="Arial" w:eastAsia="Arial" w:hAnsi="Arial"/>
          <w:sz w:val="16"/>
          <w:szCs w:val="16"/>
          <w:u w:val="single" w:color="auto"/>
          <w:color w:val="auto"/>
        </w:rPr>
        <w:t>Letter of Credit Collateral Account</w:t>
      </w:r>
      <w:r>
        <w:rPr>
          <w:rFonts w:ascii="Arial" w:cs="Arial" w:eastAsia="Arial" w:hAnsi="Arial"/>
          <w:sz w:val="16"/>
          <w:szCs w:val="16"/>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w:t>
      </w:r>
    </w:p>
    <w:p>
      <w:pPr>
        <w:spacing w:after="0" w:line="2" w:lineRule="exact"/>
        <w:rPr>
          <w:rFonts w:ascii="Arial" w:cs="Arial" w:eastAsia="Arial" w:hAnsi="Arial"/>
          <w:sz w:val="16"/>
          <w:szCs w:val="16"/>
          <w:color w:val="auto"/>
        </w:rPr>
      </w:pPr>
    </w:p>
    <w:p>
      <w:pPr>
        <w:ind w:right="6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2.20(b)</w:t>
      </w:r>
      <w:r>
        <w:rPr>
          <w:rFonts w:ascii="Arial" w:cs="Arial" w:eastAsia="Arial" w:hAnsi="Arial"/>
          <w:sz w:val="16"/>
          <w:szCs w:val="16"/>
          <w:color w:val="auto"/>
        </w:rPr>
        <w:t xml:space="preserve"> or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as applicable. Such deposit shall be held by the Administrative Agent as collateral in the first instance for the LC Exposure under this Agreement and thereafter for the payment of the “Secured Obligations” under and as defined in the</w:t>
      </w:r>
    </w:p>
    <w:p>
      <w:pPr>
        <w:spacing w:after="0" w:line="7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82" w:name="page383"/>
    <w:bookmarkEnd w:id="382"/>
    <w:p>
      <w:pPr>
        <w:jc w:val="both"/>
        <w:ind w:right="5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91" w:lineRule="auto"/>
        <w:tabs>
          <w:tab w:leader="none" w:pos="1152"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Funding by Lenders</w:t>
      </w:r>
      <w:r>
        <w:rPr>
          <w:rFonts w:ascii="Arial" w:cs="Arial" w:eastAsia="Arial" w:hAnsi="Arial"/>
          <w:sz w:val="16"/>
          <w:szCs w:val="16"/>
          <w:color w:val="auto"/>
        </w:rPr>
        <w:t xml:space="preserve">. Each Lender shall make each Loan to be made by it hereunder on the proposed date thereof by wire transfer of immediately available funds by 11:00 a.m., Atlanta, Georgia time, to the account of the Administrative Agent most recently designated by it for such purpose by notice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Syndicated ABR Borrowings made to finance the reimbursement of an LC Disbursement as provided in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shall be remitted by the Administrative Agent to the Issuing Bank.</w:t>
      </w:r>
    </w:p>
    <w:p>
      <w:pPr>
        <w:spacing w:after="0" w:line="120" w:lineRule="exact"/>
        <w:rPr>
          <w:rFonts w:ascii="Arial" w:cs="Arial" w:eastAsia="Arial" w:hAnsi="Arial"/>
          <w:sz w:val="16"/>
          <w:szCs w:val="16"/>
          <w:color w:val="auto"/>
        </w:rPr>
      </w:pPr>
    </w:p>
    <w:p>
      <w:pPr>
        <w:ind w:right="40" w:firstLine="921"/>
        <w:spacing w:after="0" w:line="287" w:lineRule="auto"/>
        <w:tabs>
          <w:tab w:leader="none" w:pos="1161"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Presumption by the Administrative Agent</w:t>
      </w:r>
      <w:r>
        <w:rPr>
          <w:rFonts w:ascii="Arial" w:cs="Arial" w:eastAsia="Arial" w:hAnsi="Arial"/>
          <w:sz w:val="16"/>
          <w:szCs w:val="16"/>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90" w:lineRule="exact"/>
        <w:rPr>
          <w:sz w:val="20"/>
          <w:szCs w:val="20"/>
          <w:color w:val="auto"/>
        </w:rPr>
      </w:pPr>
    </w:p>
    <w:p>
      <w:pPr>
        <w:ind w:right="140" w:firstLine="921"/>
        <w:spacing w:after="0" w:line="291" w:lineRule="auto"/>
        <w:tabs>
          <w:tab w:leader="none" w:pos="1152" w:val="left"/>
        </w:tabs>
        <w:numPr>
          <w:ilvl w:val="0"/>
          <w:numId w:val="376"/>
        </w:numPr>
        <w:rPr>
          <w:rFonts w:ascii="Arial" w:cs="Arial" w:eastAsia="Arial" w:hAnsi="Arial"/>
          <w:sz w:val="16"/>
          <w:szCs w:val="16"/>
          <w:color w:val="auto"/>
        </w:rPr>
      </w:pPr>
      <w:r>
        <w:rPr>
          <w:rFonts w:ascii="Arial" w:cs="Arial" w:eastAsia="Arial" w:hAnsi="Arial"/>
          <w:sz w:val="16"/>
          <w:szCs w:val="16"/>
          <w:u w:val="single" w:color="auto"/>
          <w:color w:val="auto"/>
        </w:rPr>
        <w:t>Elections by the Borrower for Syndicated Borrowings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2.03(d)</w:t>
      </w:r>
      <w:r>
        <w:rPr>
          <w:rFonts w:ascii="Arial" w:cs="Arial" w:eastAsia="Arial" w:hAnsi="Arial"/>
          <w:sz w:val="16"/>
          <w:szCs w:val="16"/>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83" w:name="page384"/>
    <w:bookmarkEnd w:id="383"/>
    <w:p>
      <w:pPr>
        <w:ind w:right="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00" w:lineRule="exact"/>
        <w:rPr>
          <w:sz w:val="20"/>
          <w:szCs w:val="20"/>
          <w:color w:val="auto"/>
        </w:rPr>
      </w:pPr>
    </w:p>
    <w:p>
      <w:pPr>
        <w:ind w:right="320" w:firstLine="921"/>
        <w:spacing w:after="0" w:line="294" w:lineRule="auto"/>
        <w:tabs>
          <w:tab w:leader="none" w:pos="1161" w:val="left"/>
        </w:tabs>
        <w:numPr>
          <w:ilvl w:val="1"/>
          <w:numId w:val="377"/>
        </w:numPr>
        <w:rPr>
          <w:rFonts w:ascii="Arial" w:cs="Arial" w:eastAsia="Arial" w:hAnsi="Arial"/>
          <w:sz w:val="16"/>
          <w:szCs w:val="16"/>
          <w:color w:val="auto"/>
        </w:rPr>
      </w:pPr>
      <w:r>
        <w:rPr>
          <w:rFonts w:ascii="Arial" w:cs="Arial" w:eastAsia="Arial" w:hAnsi="Arial"/>
          <w:sz w:val="16"/>
          <w:szCs w:val="16"/>
          <w:u w:val="single" w:color="auto"/>
          <w:color w:val="auto"/>
        </w:rPr>
        <w:t>Notice of Elections</w:t>
      </w:r>
      <w:r>
        <w:rPr>
          <w:rFonts w:ascii="Arial" w:cs="Arial" w:eastAsia="Arial" w:hAnsi="Arial"/>
          <w:sz w:val="16"/>
          <w:szCs w:val="16"/>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15" w:lineRule="exact"/>
        <w:rPr>
          <w:rFonts w:ascii="Arial" w:cs="Arial" w:eastAsia="Arial" w:hAnsi="Arial"/>
          <w:sz w:val="16"/>
          <w:szCs w:val="16"/>
          <w:color w:val="auto"/>
        </w:rPr>
      </w:pPr>
    </w:p>
    <w:p>
      <w:pPr>
        <w:ind w:right="820" w:firstLine="921"/>
        <w:spacing w:after="0" w:line="268" w:lineRule="auto"/>
        <w:tabs>
          <w:tab w:leader="none" w:pos="1152" w:val="left"/>
        </w:tabs>
        <w:numPr>
          <w:ilvl w:val="1"/>
          <w:numId w:val="377"/>
        </w:numPr>
        <w:rPr>
          <w:rFonts w:ascii="Arial" w:cs="Arial" w:eastAsia="Arial" w:hAnsi="Arial"/>
          <w:sz w:val="18"/>
          <w:szCs w:val="18"/>
          <w:color w:val="auto"/>
        </w:rPr>
      </w:pPr>
      <w:r>
        <w:rPr>
          <w:rFonts w:ascii="Arial" w:cs="Arial" w:eastAsia="Arial" w:hAnsi="Arial"/>
          <w:sz w:val="18"/>
          <w:szCs w:val="18"/>
          <w:u w:val="single" w:color="auto"/>
          <w:color w:val="auto"/>
        </w:rPr>
        <w:t>Content of Interest Election Requests</w:t>
      </w:r>
      <w:r>
        <w:rPr>
          <w:rFonts w:ascii="Arial" w:cs="Arial" w:eastAsia="Arial" w:hAnsi="Arial"/>
          <w:sz w:val="18"/>
          <w:szCs w:val="18"/>
          <w:color w:val="auto"/>
        </w:rPr>
        <w:t xml:space="preserve">. 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jc w:val="both"/>
        <w:ind w:left="460" w:right="320" w:firstLine="443"/>
        <w:spacing w:after="0" w:line="259" w:lineRule="auto"/>
        <w:tabs>
          <w:tab w:leader="none" w:pos="110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the Borrowing (including the Class of Commitment)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paragraph shall be specified for each resulting Borrowing);</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whether, in the case of a Borrowing denominated in Dollars, the resulting Borrowing is to be an ABR Borrowing or a Eurocurrency Borrowing;</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160" w:firstLine="443"/>
        <w:spacing w:after="0" w:line="268" w:lineRule="auto"/>
        <w:tabs>
          <w:tab w:leader="none" w:pos="1196"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260" w:firstLine="921"/>
        <w:spacing w:after="0" w:line="268" w:lineRule="auto"/>
        <w:tabs>
          <w:tab w:leader="none" w:pos="1161" w:val="left"/>
        </w:tabs>
        <w:numPr>
          <w:ilvl w:val="1"/>
          <w:numId w:val="378"/>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an Interest Election Request, the Administrative Agent shall advise each applicable Lender of the details thereof and of such Lender’s portion of each resulting Borrowing.</w:t>
      </w:r>
    </w:p>
    <w:p>
      <w:pPr>
        <w:spacing w:after="0" w:line="131" w:lineRule="exact"/>
        <w:rPr>
          <w:rFonts w:ascii="Arial" w:cs="Arial" w:eastAsia="Arial" w:hAnsi="Arial"/>
          <w:sz w:val="18"/>
          <w:szCs w:val="18"/>
          <w:color w:val="auto"/>
        </w:rPr>
      </w:pPr>
    </w:p>
    <w:p>
      <w:pPr>
        <w:ind w:firstLine="921"/>
        <w:spacing w:after="0" w:line="306" w:lineRule="auto"/>
        <w:tabs>
          <w:tab w:leader="none" w:pos="1152" w:val="left"/>
        </w:tabs>
        <w:numPr>
          <w:ilvl w:val="1"/>
          <w:numId w:val="378"/>
        </w:numPr>
        <w:rPr>
          <w:rFonts w:ascii="Arial" w:cs="Arial" w:eastAsia="Arial" w:hAnsi="Arial"/>
          <w:sz w:val="16"/>
          <w:szCs w:val="16"/>
          <w:color w:val="auto"/>
        </w:rPr>
      </w:pPr>
      <w:r>
        <w:rPr>
          <w:rFonts w:ascii="Arial" w:cs="Arial" w:eastAsia="Arial" w:hAnsi="Arial"/>
          <w:sz w:val="16"/>
          <w:szCs w:val="16"/>
          <w:u w:val="single" w:color="auto"/>
          <w:color w:val="auto"/>
        </w:rPr>
        <w:t>Failure to Elect; Events of Default</w:t>
      </w:r>
      <w:r>
        <w:rPr>
          <w:rFonts w:ascii="Arial" w:cs="Arial" w:eastAsia="Arial" w:hAnsi="Arial"/>
          <w:sz w:val="16"/>
          <w:szCs w:val="16"/>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w:t>
      </w:r>
    </w:p>
    <w:p>
      <w:pPr>
        <w:spacing w:after="0" w:line="93"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84" w:name="page385"/>
    <w:bookmarkEnd w:id="384"/>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or Increase of the Commitments</w:t>
      </w:r>
      <w:r>
        <w:rPr>
          <w:rFonts w:ascii="Arial" w:cs="Arial" w:eastAsia="Arial" w:hAnsi="Arial"/>
          <w:sz w:val="18"/>
          <w:szCs w:val="18"/>
          <w:color w:val="auto"/>
        </w:rPr>
        <w:t>.</w:t>
      </w:r>
    </w:p>
    <w:p>
      <w:pPr>
        <w:spacing w:after="0" w:line="90" w:lineRule="exact"/>
        <w:rPr>
          <w:sz w:val="20"/>
          <w:szCs w:val="20"/>
          <w:color w:val="auto"/>
        </w:rPr>
      </w:pPr>
    </w:p>
    <w:p>
      <w:pPr>
        <w:ind w:right="100" w:firstLine="921"/>
        <w:spacing w:after="0" w:line="306" w:lineRule="auto"/>
        <w:tabs>
          <w:tab w:leader="none" w:pos="1152"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Scheduled Termination</w:t>
      </w:r>
      <w:r>
        <w:rPr>
          <w:rFonts w:ascii="Arial" w:cs="Arial" w:eastAsia="Arial" w:hAnsi="Arial"/>
          <w:sz w:val="16"/>
          <w:szCs w:val="16"/>
          <w:color w:val="auto"/>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w:t>
      </w:r>
    </w:p>
    <w:p>
      <w:pPr>
        <w:spacing w:after="0" w:line="106" w:lineRule="exact"/>
        <w:rPr>
          <w:rFonts w:ascii="Arial" w:cs="Arial" w:eastAsia="Arial" w:hAnsi="Arial"/>
          <w:sz w:val="16"/>
          <w:szCs w:val="16"/>
          <w:color w:val="auto"/>
        </w:rPr>
      </w:pPr>
    </w:p>
    <w:p>
      <w:pPr>
        <w:ind w:right="140" w:firstLine="921"/>
        <w:spacing w:after="0" w:line="290" w:lineRule="auto"/>
        <w:tabs>
          <w:tab w:leader="none" w:pos="1161"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Voluntary Termination or Reduction</w:t>
      </w:r>
      <w:r>
        <w:rPr>
          <w:rFonts w:ascii="Arial" w:cs="Arial" w:eastAsia="Arial" w:hAnsi="Arial"/>
          <w:sz w:val="16"/>
          <w:szCs w:val="16"/>
          <w:color w:val="auto"/>
        </w:rPr>
        <w:t xml:space="preserve">. The Borrower may at any time terminate, or from time to time reduce, the Commitments of either Class of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 Class shall be in an amount that is $10,000,000 (or, if less, the entire amount of the Commitments of such Class) or a larger multiple of $5,000,000 in excess thereof and (ii) the Borrower shall not terminate or reduce the Commitments of either Class of Commitment if, after giving effect to any concurrent prepayment of the Syndicated Loans of such Class in accordance with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6"/>
          <w:szCs w:val="16"/>
          <w:u w:val="single" w:color="auto"/>
          <w:color w:val="auto"/>
        </w:rPr>
        <w:t>Section 2.04(a)(i)</w:t>
      </w:r>
      <w:r>
        <w:rPr>
          <w:rFonts w:ascii="Arial" w:cs="Arial" w:eastAsia="Arial" w:hAnsi="Arial"/>
          <w:sz w:val="16"/>
          <w:szCs w:val="16"/>
          <w:color w:val="auto"/>
        </w:rPr>
        <w:t xml:space="preserve"> and the Letters of Credit permitted under </w:t>
      </w:r>
      <w:r>
        <w:rPr>
          <w:rFonts w:ascii="Arial" w:cs="Arial" w:eastAsia="Arial" w:hAnsi="Arial"/>
          <w:sz w:val="16"/>
          <w:szCs w:val="16"/>
          <w:u w:val="single" w:color="auto"/>
          <w:color w:val="auto"/>
        </w:rPr>
        <w:t>Section 2.05(c)(i)</w:t>
      </w:r>
      <w:r>
        <w:rPr>
          <w:rFonts w:ascii="Arial" w:cs="Arial" w:eastAsia="Arial" w:hAnsi="Arial"/>
          <w:sz w:val="16"/>
          <w:szCs w:val="16"/>
          <w:color w:val="auto"/>
        </w:rPr>
        <w:t xml:space="preserve"> shall result in a dollar-for-dollar reduction of such amounts as applicable.</w:t>
      </w:r>
    </w:p>
    <w:p>
      <w:pPr>
        <w:spacing w:after="0" w:line="118" w:lineRule="exact"/>
        <w:rPr>
          <w:rFonts w:ascii="Arial" w:cs="Arial" w:eastAsia="Arial" w:hAnsi="Arial"/>
          <w:sz w:val="16"/>
          <w:szCs w:val="16"/>
          <w:color w:val="auto"/>
        </w:rPr>
      </w:pPr>
    </w:p>
    <w:p>
      <w:pPr>
        <w:ind w:right="20" w:firstLine="921"/>
        <w:spacing w:after="0" w:line="291" w:lineRule="auto"/>
        <w:tabs>
          <w:tab w:leader="none" w:pos="1152"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Notice of Voluntary Termination or Reduction</w:t>
      </w:r>
      <w:r>
        <w:rPr>
          <w:rFonts w:ascii="Arial" w:cs="Arial" w:eastAsia="Arial" w:hAnsi="Arial"/>
          <w:sz w:val="16"/>
          <w:szCs w:val="16"/>
          <w:color w:val="auto"/>
        </w:rPr>
        <w:t xml:space="preserve">. The Borrower shall notify the Administrative Agent of any election to terminate or reduce the Commitments under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20" w:lineRule="exact"/>
        <w:rPr>
          <w:rFonts w:ascii="Arial" w:cs="Arial" w:eastAsia="Arial" w:hAnsi="Arial"/>
          <w:sz w:val="16"/>
          <w:szCs w:val="16"/>
          <w:color w:val="auto"/>
        </w:rPr>
      </w:pPr>
    </w:p>
    <w:p>
      <w:pPr>
        <w:ind w:right="40" w:firstLine="921"/>
        <w:spacing w:after="0" w:line="259" w:lineRule="auto"/>
        <w:tabs>
          <w:tab w:leader="none" w:pos="1161"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Effect of Termination or Reduction</w:t>
      </w:r>
      <w:r>
        <w:rPr>
          <w:rFonts w:ascii="Arial" w:cs="Arial" w:eastAsia="Arial" w:hAnsi="Arial"/>
          <w:sz w:val="18"/>
          <w:szCs w:val="18"/>
          <w:color w:val="auto"/>
        </w:rPr>
        <w:t xml:space="preserve">. Any termination or reduction of the Commitments of a Class of Commitments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be permanent. Each reduction of the Commitments of a Class of Commitments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be made ratably among the Lenders of such Class in accordance with their respective Commitments.</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85" w:name="page386"/>
    <w:bookmarkEnd w:id="385"/>
    <w:p>
      <w:pPr>
        <w:ind w:left="700" w:hanging="239"/>
        <w:spacing w:after="0"/>
        <w:tabs>
          <w:tab w:leader="none" w:pos="700" w:val="left"/>
        </w:tabs>
        <w:numPr>
          <w:ilvl w:val="1"/>
          <w:numId w:val="3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 of the Commitments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443"/>
        <w:spacing w:after="0" w:line="253" w:lineRule="auto"/>
        <w:tabs>
          <w:tab w:leader="none" w:pos="648"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Requests for Increase by Borrower</w:t>
      </w:r>
      <w:r>
        <w:rPr>
          <w:rFonts w:ascii="Arial" w:cs="Arial" w:eastAsia="Arial" w:hAnsi="Arial"/>
          <w:sz w:val="18"/>
          <w:szCs w:val="18"/>
          <w:color w:val="auto"/>
        </w:rPr>
        <w:t>. The Borrower may, at any time, request that the Commitments hereunder of a Class of Commitments be increased (each such proposed increase being a “</w:t>
      </w:r>
      <w:r>
        <w:rPr>
          <w:rFonts w:ascii="Arial" w:cs="Arial" w:eastAsia="Arial" w:hAnsi="Arial"/>
          <w:sz w:val="18"/>
          <w:szCs w:val="18"/>
          <w:u w:val="single" w:color="auto"/>
          <w:color w:val="auto"/>
        </w:rPr>
        <w:t>Commitment Increase</w:t>
      </w:r>
      <w:r>
        <w:rPr>
          <w:rFonts w:ascii="Arial" w:cs="Arial" w:eastAsia="Arial" w:hAnsi="Arial"/>
          <w:sz w:val="18"/>
          <w:szCs w:val="18"/>
          <w:color w:val="auto"/>
        </w:rPr>
        <w: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Class of Non-Extended Loans be increased hereunder), upon notice to the Administrative Agent (who shall promptly notify the Lenders), which notice shall specify each existing Lender (each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and/or each additional lender (each an “</w:t>
      </w:r>
      <w:r>
        <w:rPr>
          <w:rFonts w:ascii="Arial" w:cs="Arial" w:eastAsia="Arial" w:hAnsi="Arial"/>
          <w:sz w:val="18"/>
          <w:szCs w:val="18"/>
          <w:u w:val="single" w:color="auto"/>
          <w:color w:val="auto"/>
        </w:rPr>
        <w:t>Assuming Lender</w:t>
      </w:r>
      <w:r>
        <w:rPr>
          <w:rFonts w:ascii="Arial" w:cs="Arial" w:eastAsia="Arial" w:hAnsi="Arial"/>
          <w:sz w:val="18"/>
          <w:szCs w:val="18"/>
          <w:color w:val="auto"/>
        </w:rPr>
        <w:t>”) that shall have agreed to an additional Commitment and the date on which such increase is to be effective (the “</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6" w:lineRule="exact"/>
        <w:rPr>
          <w:rFonts w:ascii="Arial" w:cs="Arial" w:eastAsia="Arial" w:hAnsi="Arial"/>
          <w:sz w:val="18"/>
          <w:szCs w:val="18"/>
          <w:color w:val="auto"/>
        </w:rPr>
      </w:pPr>
    </w:p>
    <w:p>
      <w:pPr>
        <w:ind w:left="460" w:right="220" w:firstLine="421"/>
        <w:spacing w:after="0" w:line="259" w:lineRule="auto"/>
        <w:tabs>
          <w:tab w:leader="none" w:pos="1167" w:val="left"/>
        </w:tabs>
        <w:numPr>
          <w:ilvl w:val="2"/>
          <w:numId w:val="381"/>
        </w:numPr>
        <w:rPr>
          <w:rFonts w:ascii="Arial" w:cs="Arial" w:eastAsia="Arial" w:hAnsi="Arial"/>
          <w:sz w:val="18"/>
          <w:szCs w:val="18"/>
          <w:color w:val="auto"/>
        </w:rPr>
      </w:pPr>
      <w:r>
        <w:rPr>
          <w:rFonts w:ascii="Arial" w:cs="Arial" w:eastAsia="Arial" w:hAnsi="Arial"/>
          <w:sz w:val="18"/>
          <w:szCs w:val="18"/>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59" w:lineRule="exact"/>
        <w:rPr>
          <w:rFonts w:ascii="Arial" w:cs="Arial" w:eastAsia="Arial" w:hAnsi="Arial"/>
          <w:sz w:val="18"/>
          <w:szCs w:val="18"/>
          <w:color w:val="auto"/>
        </w:rPr>
      </w:pPr>
    </w:p>
    <w:p>
      <w:pPr>
        <w:ind w:left="460" w:right="440" w:firstLine="421"/>
        <w:spacing w:after="0" w:line="259" w:lineRule="auto"/>
        <w:tabs>
          <w:tab w:leader="none" w:pos="1158" w:val="left"/>
        </w:tabs>
        <w:numPr>
          <w:ilvl w:val="2"/>
          <w:numId w:val="381"/>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such Commitment Increase (including, if applicable, the substantially concurrent reduction of the Commitments of a Non-Extending Lender in accordance with </w:t>
      </w:r>
      <w:r>
        <w:rPr>
          <w:rFonts w:ascii="Arial" w:cs="Arial" w:eastAsia="Arial" w:hAnsi="Arial"/>
          <w:sz w:val="18"/>
          <w:szCs w:val="18"/>
          <w:u w:val="single" w:color="auto"/>
          <w:color w:val="auto"/>
        </w:rPr>
        <w:t>Section 2.08(f)</w:t>
      </w:r>
      <w:r>
        <w:rPr>
          <w:rFonts w:ascii="Arial" w:cs="Arial" w:eastAsia="Arial" w:hAnsi="Arial"/>
          <w:sz w:val="18"/>
          <w:szCs w:val="18"/>
          <w:color w:val="auto"/>
        </w:rPr>
        <w:t>), the total Commitments of all of the Lenders hereunder shall not exceed $956,250,000;</w:t>
      </w:r>
    </w:p>
    <w:p>
      <w:pPr>
        <w:spacing w:after="0" w:line="59" w:lineRule="exact"/>
        <w:rPr>
          <w:rFonts w:ascii="Arial" w:cs="Arial" w:eastAsia="Arial" w:hAnsi="Arial"/>
          <w:sz w:val="18"/>
          <w:szCs w:val="18"/>
          <w:color w:val="auto"/>
        </w:rPr>
      </w:pPr>
    </w:p>
    <w:p>
      <w:pPr>
        <w:ind w:left="460" w:right="460" w:firstLine="421"/>
        <w:spacing w:after="0" w:line="268" w:lineRule="auto"/>
        <w:tabs>
          <w:tab w:leader="none" w:pos="1158" w:val="left"/>
        </w:tabs>
        <w:numPr>
          <w:ilvl w:val="2"/>
          <w:numId w:val="381"/>
        </w:numPr>
        <w:rPr>
          <w:rFonts w:ascii="Arial" w:cs="Arial" w:eastAsia="Arial" w:hAnsi="Arial"/>
          <w:sz w:val="18"/>
          <w:szCs w:val="18"/>
          <w:color w:val="auto"/>
        </w:rPr>
      </w:pPr>
      <w:r>
        <w:rPr>
          <w:rFonts w:ascii="Arial" w:cs="Arial" w:eastAsia="Arial" w:hAnsi="Arial"/>
          <w:sz w:val="18"/>
          <w:szCs w:val="18"/>
          <w:color w:val="auto"/>
        </w:rPr>
        <w:t>each Assuming Lender shall be consented to by the Administrative Agent and the Issuing Bank (such consent not to be unreasonably withheld);</w:t>
      </w:r>
    </w:p>
    <w:p>
      <w:pPr>
        <w:spacing w:after="0" w:line="50" w:lineRule="exact"/>
        <w:rPr>
          <w:rFonts w:ascii="Arial" w:cs="Arial" w:eastAsia="Arial" w:hAnsi="Arial"/>
          <w:sz w:val="18"/>
          <w:szCs w:val="18"/>
          <w:color w:val="auto"/>
        </w:rPr>
      </w:pPr>
    </w:p>
    <w:p>
      <w:pPr>
        <w:ind w:left="460" w:right="480" w:firstLine="421"/>
        <w:spacing w:after="0" w:line="268" w:lineRule="auto"/>
        <w:tabs>
          <w:tab w:leader="none" w:pos="1167" w:val="left"/>
        </w:tabs>
        <w:numPr>
          <w:ilvl w:val="2"/>
          <w:numId w:val="381"/>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such Commitment Increase Date or shall result from the proposed Commitment Increase; and</w:t>
      </w:r>
    </w:p>
    <w:p>
      <w:pPr>
        <w:spacing w:after="0" w:line="50" w:lineRule="exact"/>
        <w:rPr>
          <w:rFonts w:ascii="Arial" w:cs="Arial" w:eastAsia="Arial" w:hAnsi="Arial"/>
          <w:sz w:val="18"/>
          <w:szCs w:val="18"/>
          <w:color w:val="auto"/>
        </w:rPr>
      </w:pPr>
    </w:p>
    <w:p>
      <w:pPr>
        <w:ind w:left="460" w:right="20" w:firstLine="421"/>
        <w:spacing w:after="0" w:line="256" w:lineRule="auto"/>
        <w:tabs>
          <w:tab w:leader="none" w:pos="1148" w:val="left"/>
        </w:tabs>
        <w:numPr>
          <w:ilvl w:val="2"/>
          <w:numId w:val="381"/>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62" w:lineRule="exact"/>
        <w:rPr>
          <w:rFonts w:ascii="Arial" w:cs="Arial" w:eastAsia="Arial" w:hAnsi="Arial"/>
          <w:sz w:val="18"/>
          <w:szCs w:val="18"/>
          <w:color w:val="auto"/>
        </w:rPr>
      </w:pPr>
    </w:p>
    <w:p>
      <w:pPr>
        <w:ind w:right="60" w:firstLine="443"/>
        <w:spacing w:after="0" w:line="259" w:lineRule="auto"/>
        <w:tabs>
          <w:tab w:leader="none" w:pos="696" w:val="left"/>
        </w:tabs>
        <w:numPr>
          <w:ilvl w:val="1"/>
          <w:numId w:val="381"/>
        </w:numPr>
        <w:rPr>
          <w:rFonts w:ascii="Arial" w:cs="Arial" w:eastAsia="Arial" w:hAnsi="Arial"/>
          <w:sz w:val="18"/>
          <w:szCs w:val="18"/>
          <w:color w:val="auto"/>
        </w:rPr>
      </w:pPr>
      <w:r>
        <w:rPr>
          <w:rFonts w:ascii="Arial" w:cs="Arial" w:eastAsia="Arial" w:hAnsi="Arial"/>
          <w:sz w:val="18"/>
          <w:szCs w:val="18"/>
          <w:u w:val="single" w:color="auto"/>
          <w:color w:val="auto"/>
        </w:rPr>
        <w:t>Effectiveness of Commitment Increase by Borrower</w:t>
      </w:r>
      <w:r>
        <w:rPr>
          <w:rFonts w:ascii="Arial" w:cs="Arial" w:eastAsia="Arial" w:hAnsi="Arial"/>
          <w:sz w:val="18"/>
          <w:szCs w:val="18"/>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(x) the Administrative Agent shall have received on or prior to 11:00 a.m., Atlanta, Georgia time, on such Commitment Increase Date (or on or</w:t>
      </w:r>
    </w:p>
    <w:p>
      <w:pPr>
        <w:spacing w:after="0" w:line="181" w:lineRule="exact"/>
        <w:rPr>
          <w:sz w:val="20"/>
          <w:szCs w:val="20"/>
          <w:color w:val="auto"/>
        </w:rPr>
      </w:pPr>
    </w:p>
    <w:p>
      <w:pPr>
        <w:jc w:val="both"/>
        <w:ind w:left="5400"/>
        <w:spacing w:after="0"/>
        <w:tabs>
          <w:tab w:leader="none" w:pos="89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79" w:right="239" w:bottom="1440" w:gutter="0" w:footer="0" w:header="0"/>
        </w:sectPr>
      </w:pPr>
    </w:p>
    <w:bookmarkStart w:id="386" w:name="page387"/>
    <w:bookmarkEnd w:id="386"/>
    <w:p>
      <w:pPr>
        <w:ind w:left="460"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6"/>
          <w:szCs w:val="16"/>
          <w:u w:val="single" w:color="auto"/>
          <w:color w:val="auto"/>
        </w:rPr>
        <w:t>paragraph (i)</w:t>
      </w:r>
      <w:r>
        <w:rPr>
          <w:rFonts w:ascii="Arial" w:cs="Arial" w:eastAsia="Arial" w:hAnsi="Arial"/>
          <w:sz w:val="16"/>
          <w:szCs w:val="16"/>
          <w:color w:val="auto"/>
        </w:rPr>
        <w:t xml:space="preserve"> has been satisfied; and</w:t>
      </w:r>
    </w:p>
    <w:p>
      <w:pPr>
        <w:spacing w:after="0" w:line="4" w:lineRule="exact"/>
        <w:rPr>
          <w:sz w:val="20"/>
          <w:szCs w:val="20"/>
          <w:color w:val="auto"/>
        </w:rPr>
      </w:pPr>
    </w:p>
    <w:p>
      <w:pPr>
        <w:ind w:left="460" w:right="20" w:firstLine="421"/>
        <w:spacing w:after="0" w:line="294" w:lineRule="auto"/>
        <w:tabs>
          <w:tab w:leader="none" w:pos="1128" w:val="left"/>
        </w:tabs>
        <w:numPr>
          <w:ilvl w:val="0"/>
          <w:numId w:val="382"/>
        </w:numPr>
        <w:rPr>
          <w:rFonts w:ascii="Arial" w:cs="Arial" w:eastAsia="Arial" w:hAnsi="Arial"/>
          <w:sz w:val="16"/>
          <w:szCs w:val="16"/>
          <w:color w:val="auto"/>
        </w:rPr>
      </w:pPr>
      <w:r>
        <w:rPr>
          <w:rFonts w:ascii="Arial" w:cs="Arial" w:eastAsia="Arial" w:hAnsi="Arial"/>
          <w:sz w:val="16"/>
          <w:szCs w:val="16"/>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35" w:lineRule="exact"/>
        <w:rPr>
          <w:sz w:val="20"/>
          <w:szCs w:val="20"/>
          <w:color w:val="auto"/>
        </w:rPr>
      </w:pPr>
    </w:p>
    <w:p>
      <w:pPr>
        <w:ind w:right="1040"/>
        <w:spacing w:after="0" w:line="332" w:lineRule="auto"/>
        <w:rPr>
          <w:sz w:val="20"/>
          <w:szCs w:val="20"/>
          <w:color w:val="auto"/>
        </w:rPr>
      </w:pPr>
      <w:r>
        <w:rPr>
          <w:rFonts w:ascii="Arial" w:cs="Arial" w:eastAsia="Arial" w:hAnsi="Arial"/>
          <w:sz w:val="16"/>
          <w:szCs w:val="16"/>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4" w:lineRule="exact"/>
        <w:rPr>
          <w:sz w:val="20"/>
          <w:szCs w:val="20"/>
          <w:color w:val="auto"/>
        </w:rPr>
      </w:pPr>
    </w:p>
    <w:p>
      <w:pPr>
        <w:ind w:right="240" w:firstLine="443"/>
        <w:spacing w:after="0" w:line="286" w:lineRule="auto"/>
        <w:tabs>
          <w:tab w:leader="none" w:pos="745" w:val="left"/>
        </w:tabs>
        <w:numPr>
          <w:ilvl w:val="1"/>
          <w:numId w:val="383"/>
        </w:numPr>
        <w:rPr>
          <w:rFonts w:ascii="Arial" w:cs="Arial" w:eastAsia="Arial" w:hAnsi="Arial"/>
          <w:sz w:val="16"/>
          <w:szCs w:val="16"/>
          <w:color w:val="auto"/>
        </w:rPr>
      </w:pPr>
      <w:r>
        <w:rPr>
          <w:rFonts w:ascii="Arial" w:cs="Arial" w:eastAsia="Arial" w:hAnsi="Arial"/>
          <w:sz w:val="16"/>
          <w:szCs w:val="16"/>
          <w:u w:val="single" w:color="auto"/>
          <w:color w:val="auto"/>
        </w:rPr>
        <w:t>Recordation into Register</w:t>
      </w:r>
      <w:r>
        <w:rPr>
          <w:rFonts w:ascii="Arial" w:cs="Arial" w:eastAsia="Arial" w:hAnsi="Arial"/>
          <w:sz w:val="16"/>
          <w:szCs w:val="16"/>
          <w:color w:val="auto"/>
        </w:rPr>
        <w:t xml:space="preserve">. Upon its receipt of an agreement referred to in </w:t>
      </w:r>
      <w:r>
        <w:rPr>
          <w:rFonts w:ascii="Arial" w:cs="Arial" w:eastAsia="Arial" w:hAnsi="Arial"/>
          <w:sz w:val="16"/>
          <w:szCs w:val="16"/>
          <w:u w:val="single" w:color="auto"/>
          <w:color w:val="auto"/>
        </w:rPr>
        <w:t>clause (ii)(y)</w:t>
      </w:r>
      <w:r>
        <w:rPr>
          <w:rFonts w:ascii="Arial" w:cs="Arial" w:eastAsia="Arial" w:hAnsi="Arial"/>
          <w:sz w:val="16"/>
          <w:szCs w:val="16"/>
          <w:color w:val="auto"/>
        </w:rPr>
        <w:t xml:space="preserve"> above executed by an Assuming Lender or any Increasing Lender, together with the certificate referred to in </w:t>
      </w:r>
      <w:r>
        <w:rPr>
          <w:rFonts w:ascii="Arial" w:cs="Arial" w:eastAsia="Arial" w:hAnsi="Arial"/>
          <w:sz w:val="16"/>
          <w:szCs w:val="16"/>
          <w:u w:val="single" w:color="auto"/>
          <w:color w:val="auto"/>
        </w:rPr>
        <w:t>clause (ii)(x)</w:t>
      </w:r>
      <w:r>
        <w:rPr>
          <w:rFonts w:ascii="Arial" w:cs="Arial" w:eastAsia="Arial" w:hAnsi="Arial"/>
          <w:sz w:val="16"/>
          <w:szCs w:val="16"/>
          <w:color w:val="auto"/>
        </w:rPr>
        <w:t xml:space="preserve"> above, the Administrative Agent shall, if such agreement has been completed,</w:t>
      </w:r>
    </w:p>
    <w:p>
      <w:pPr>
        <w:ind w:left="260" w:hanging="256"/>
        <w:spacing w:after="0"/>
        <w:tabs>
          <w:tab w:leader="none" w:pos="2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accept such agreement, (y) record the information contained therein in the Register and (z) give prompt notice thereof to the Borrower.</w:t>
      </w:r>
    </w:p>
    <w:p>
      <w:pPr>
        <w:spacing w:after="0" w:line="83" w:lineRule="exact"/>
        <w:rPr>
          <w:rFonts w:ascii="Arial" w:cs="Arial" w:eastAsia="Arial" w:hAnsi="Arial"/>
          <w:sz w:val="18"/>
          <w:szCs w:val="18"/>
          <w:color w:val="auto"/>
        </w:rPr>
      </w:pPr>
    </w:p>
    <w:p>
      <w:pPr>
        <w:ind w:right="60" w:firstLine="443"/>
        <w:spacing w:after="0" w:line="287" w:lineRule="auto"/>
        <w:tabs>
          <w:tab w:leader="none" w:pos="735" w:val="left"/>
        </w:tabs>
        <w:numPr>
          <w:ilvl w:val="1"/>
          <w:numId w:val="384"/>
        </w:numPr>
        <w:rPr>
          <w:rFonts w:ascii="Arial" w:cs="Arial" w:eastAsia="Arial" w:hAnsi="Arial"/>
          <w:sz w:val="16"/>
          <w:szCs w:val="16"/>
          <w:color w:val="auto"/>
        </w:rPr>
      </w:pPr>
      <w:r>
        <w:rPr>
          <w:rFonts w:ascii="Arial" w:cs="Arial" w:eastAsia="Arial" w:hAnsi="Arial"/>
          <w:sz w:val="16"/>
          <w:szCs w:val="16"/>
          <w:u w:val="single" w:color="auto"/>
          <w:color w:val="auto"/>
        </w:rPr>
        <w:t>Adjustments of Borrowings upon Effectiveness of Increase</w:t>
      </w:r>
      <w:r>
        <w:rPr>
          <w:rFonts w:ascii="Arial" w:cs="Arial" w:eastAsia="Arial" w:hAnsi="Arial"/>
          <w:sz w:val="16"/>
          <w:szCs w:val="16"/>
          <w:color w:val="auto"/>
        </w:rPr>
        <w:t xml:space="preserve">. On the Commitment Increase Date, the Borrower shall (A) prepay the outstanding Loans (if any) of the affected Class of Commitments in full, (B) simultaneously borrow new Loans of such Class hereunder in an amount equal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23" w:lineRule="exact"/>
        <w:rPr>
          <w:sz w:val="20"/>
          <w:szCs w:val="20"/>
          <w:color w:val="auto"/>
        </w:rPr>
      </w:pPr>
    </w:p>
    <w:p>
      <w:pPr>
        <w:ind w:left="680" w:hanging="219"/>
        <w:spacing w:after="0"/>
        <w:tabs>
          <w:tab w:leader="none" w:pos="68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Reduction of Non-Extending Lenders’ Commitment</w:t>
      </w:r>
      <w:r>
        <w:rPr>
          <w:rFonts w:ascii="Arial" w:cs="Arial" w:eastAsia="Arial" w:hAnsi="Arial"/>
          <w:sz w:val="18"/>
          <w:szCs w:val="18"/>
          <w:color w:val="auto"/>
        </w:rPr>
        <w:t xml:space="preserve">. Notwithstanding anything to the contrary herein (including </w:t>
      </w:r>
      <w:r>
        <w:rPr>
          <w:rFonts w:ascii="Arial" w:cs="Arial" w:eastAsia="Arial" w:hAnsi="Arial"/>
          <w:sz w:val="18"/>
          <w:szCs w:val="18"/>
          <w:u w:val="single" w:color="auto"/>
          <w:color w:val="auto"/>
        </w:rPr>
        <w:t>Section 2.08(d)</w:t>
      </w:r>
      <w:r>
        <w:rPr>
          <w:rFonts w:ascii="Arial" w:cs="Arial" w:eastAsia="Arial" w:hAnsi="Arial"/>
          <w:sz w:val="18"/>
          <w:szCs w:val="18"/>
          <w:color w:val="auto"/>
        </w:rPr>
        <w:t>):</w:t>
      </w:r>
    </w:p>
    <w:p>
      <w:pPr>
        <w:spacing w:after="0" w:line="158" w:lineRule="exact"/>
        <w:rPr>
          <w:sz w:val="20"/>
          <w:szCs w:val="20"/>
          <w:color w:val="auto"/>
        </w:rPr>
      </w:pPr>
    </w:p>
    <w:p>
      <w:pPr>
        <w:jc w:val="both"/>
        <w:ind w:left="5400"/>
        <w:spacing w:after="0"/>
        <w:tabs>
          <w:tab w:leader="none" w:pos="89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387" w:name="page388"/>
    <w:bookmarkEnd w:id="387"/>
    <w:p>
      <w:pPr>
        <w:ind w:left="460" w:right="20" w:firstLine="443"/>
        <w:spacing w:after="0" w:line="256" w:lineRule="auto"/>
        <w:tabs>
          <w:tab w:leader="none" w:pos="1108" w:val="left"/>
        </w:tabs>
        <w:numPr>
          <w:ilvl w:val="0"/>
          <w:numId w:val="3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Borrower may at any time terminate, or from time to time reduce, the Commitment of any Non-Extending Lender without reducing the Commitments of any other Lender of the same Class of Commitments as such Non-Extending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reduction of the Commitment of a Non-Extending Lender hereunder shall be in an amount that is $10,000,000 (or, if less, the entire Commitment of such Non-Extending Lender) or a larger multiple of $5,000,000 in excess thereof.</w:t>
      </w:r>
    </w:p>
    <w:p>
      <w:pPr>
        <w:spacing w:after="0" w:line="62" w:lineRule="exact"/>
        <w:rPr>
          <w:rFonts w:ascii="Arial" w:cs="Arial" w:eastAsia="Arial" w:hAnsi="Arial"/>
          <w:sz w:val="18"/>
          <w:szCs w:val="18"/>
          <w:color w:val="auto"/>
        </w:rPr>
      </w:pPr>
    </w:p>
    <w:p>
      <w:pPr>
        <w:ind w:left="460" w:right="100" w:firstLine="443"/>
        <w:spacing w:after="0" w:line="256" w:lineRule="auto"/>
        <w:tabs>
          <w:tab w:leader="none" w:pos="115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Commitment of any Non-Extending Lender under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at least three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be irrevocable.</w:t>
      </w:r>
    </w:p>
    <w:p>
      <w:pPr>
        <w:spacing w:after="0" w:line="62" w:lineRule="exact"/>
        <w:rPr>
          <w:rFonts w:ascii="Arial" w:cs="Arial" w:eastAsia="Arial" w:hAnsi="Arial"/>
          <w:sz w:val="18"/>
          <w:szCs w:val="18"/>
          <w:color w:val="auto"/>
        </w:rPr>
      </w:pPr>
    </w:p>
    <w:p>
      <w:pPr>
        <w:ind w:left="460" w:right="80" w:firstLine="443"/>
        <w:spacing w:after="0" w:line="268" w:lineRule="auto"/>
        <w:tabs>
          <w:tab w:leader="none" w:pos="120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Any termination or reduction of the Commitment of any Non-Extending Lender pursuant to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be permanent and shall be made concurrently with all required reallocation prepayments and cash collateralizations required under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90" w:lineRule="exact"/>
        <w:rPr>
          <w:sz w:val="20"/>
          <w:szCs w:val="20"/>
          <w:color w:val="auto"/>
        </w:rPr>
      </w:pPr>
    </w:p>
    <w:p>
      <w:pPr>
        <w:ind w:right="760" w:firstLine="921"/>
        <w:spacing w:after="0" w:line="268" w:lineRule="auto"/>
        <w:tabs>
          <w:tab w:leader="none" w:pos="1152"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The Borrower hereby unconditionally promises to pay the Loans of each Class of Final Maturity Date or Commitments, as applicable, as follows:</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08"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to the Administrative Agent for account of the Lenders of such Class of Final Maturity Date the outstanding principal amount of the Syndicated Loans of the Lenders of such Class of Final Maturity Date on the applicable Final Maturity Date; and</w:t>
      </w:r>
    </w:p>
    <w:p>
      <w:pPr>
        <w:spacing w:after="0" w:line="50" w:lineRule="exact"/>
        <w:rPr>
          <w:rFonts w:ascii="Arial" w:cs="Arial" w:eastAsia="Arial" w:hAnsi="Arial"/>
          <w:sz w:val="18"/>
          <w:szCs w:val="18"/>
          <w:color w:val="auto"/>
        </w:rPr>
      </w:pPr>
    </w:p>
    <w:p>
      <w:pPr>
        <w:jc w:val="both"/>
        <w:ind w:left="460" w:right="60" w:firstLine="443"/>
        <w:spacing w:after="0" w:line="298" w:lineRule="auto"/>
        <w:tabs>
          <w:tab w:leader="none" w:pos="1157"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to the Swingline Lender the then unpaid principal amount of each Swingline Loan of such Class of Commitment denominated in Dollars, on the earlier of the Extended Commitment Termination Date and the first date after such Swingline Loan is made that is the 15th or last day of a calendar month and is at least ten Business Days after such Swingline Loan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each date that a Syndicated Borrowing of such Class of Commitment is made, the Borrower shall repay all Swingline Loans of such Class of Commitment then outstanding.</w:t>
      </w:r>
    </w:p>
    <w:p>
      <w:pPr>
        <w:spacing w:after="0" w:line="113"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In addition, on the Extended Final Maturity Date, the Borrower shall deposit into the Letter of Credit Collateral Account Cash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13" w:lineRule="exact"/>
        <w:rPr>
          <w:sz w:val="20"/>
          <w:szCs w:val="20"/>
          <w:color w:val="auto"/>
        </w:rPr>
      </w:pPr>
    </w:p>
    <w:p>
      <w:pPr>
        <w:ind w:right="240" w:firstLine="921"/>
        <w:spacing w:after="0" w:line="259" w:lineRule="auto"/>
        <w:tabs>
          <w:tab w:leader="none" w:pos="1161"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Manner of Payment</w:t>
      </w:r>
      <w:r>
        <w:rPr>
          <w:rFonts w:ascii="Arial" w:cs="Arial" w:eastAsia="Arial" w:hAnsi="Arial"/>
          <w:sz w:val="18"/>
          <w:szCs w:val="18"/>
          <w:color w:val="auto"/>
        </w:rPr>
        <w:t xml:space="preserve">. Prior to any repayment or prepayment of any Borrowings to any Lenders of any Class of Commitment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8"/>
          <w:szCs w:val="18"/>
          <w:u w:val="single" w:color="auto"/>
          <w:color w:val="auto"/>
        </w:rPr>
        <w:t>Section</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88" w:name="page389"/>
    <w:bookmarkEnd w:id="388"/>
    <w:p>
      <w:pPr>
        <w:spacing w:after="0" w:line="290"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2.10(e)</w:t>
      </w:r>
      <w:r>
        <w:rPr>
          <w:rFonts w:ascii="Arial" w:cs="Arial" w:eastAsia="Arial" w:hAnsi="Arial"/>
          <w:sz w:val="16"/>
          <w:szCs w:val="16"/>
          <w:color w:val="auto"/>
        </w:rPr>
        <w:t xml:space="preserve"> prior to the scheduled date of such 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spacing w:after="0" w:line="118" w:lineRule="exact"/>
        <w:rPr>
          <w:sz w:val="20"/>
          <w:szCs w:val="20"/>
          <w:color w:val="auto"/>
        </w:rPr>
      </w:pPr>
    </w:p>
    <w:p>
      <w:pPr>
        <w:ind w:right="80" w:firstLine="921"/>
        <w:spacing w:after="0" w:line="259" w:lineRule="auto"/>
        <w:tabs>
          <w:tab w:leader="none" w:pos="1152"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Maintenance of Records by Lenders</w:t>
      </w:r>
      <w:r>
        <w:rPr>
          <w:rFonts w:ascii="Arial" w:cs="Arial" w:eastAsia="Arial" w:hAnsi="Arial"/>
          <w:sz w:val="18"/>
          <w:szCs w:val="18"/>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40" w:lineRule="exact"/>
        <w:rPr>
          <w:rFonts w:ascii="Arial" w:cs="Arial" w:eastAsia="Arial" w:hAnsi="Arial"/>
          <w:sz w:val="18"/>
          <w:szCs w:val="18"/>
          <w:color w:val="auto"/>
        </w:rPr>
      </w:pPr>
    </w:p>
    <w:p>
      <w:pPr>
        <w:ind w:right="20" w:firstLine="921"/>
        <w:spacing w:after="0" w:line="298" w:lineRule="auto"/>
        <w:tabs>
          <w:tab w:leader="none" w:pos="1161"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Maintenance of Records by the Administrative Agent</w:t>
      </w:r>
      <w:r>
        <w:rPr>
          <w:rFonts w:ascii="Arial" w:cs="Arial" w:eastAsia="Arial" w:hAnsi="Arial"/>
          <w:sz w:val="16"/>
          <w:szCs w:val="16"/>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spacing w:after="0" w:line="112" w:lineRule="exact"/>
        <w:rPr>
          <w:rFonts w:ascii="Arial" w:cs="Arial" w:eastAsia="Arial" w:hAnsi="Arial"/>
          <w:sz w:val="16"/>
          <w:szCs w:val="16"/>
          <w:color w:val="auto"/>
        </w:rPr>
      </w:pPr>
    </w:p>
    <w:p>
      <w:pPr>
        <w:ind w:right="40" w:firstLine="921"/>
        <w:spacing w:after="0" w:line="335" w:lineRule="auto"/>
        <w:tabs>
          <w:tab w:leader="none" w:pos="1152" w:val="left"/>
        </w:tabs>
        <w:numPr>
          <w:ilvl w:val="0"/>
          <w:numId w:val="390"/>
        </w:numPr>
        <w:rPr>
          <w:rFonts w:ascii="Arial" w:cs="Arial" w:eastAsia="Arial" w:hAnsi="Arial"/>
          <w:sz w:val="15"/>
          <w:szCs w:val="15"/>
          <w:color w:val="auto"/>
        </w:rPr>
      </w:pPr>
      <w:r>
        <w:rPr>
          <w:rFonts w:ascii="Arial" w:cs="Arial" w:eastAsia="Arial" w:hAnsi="Arial"/>
          <w:sz w:val="15"/>
          <w:szCs w:val="15"/>
          <w:u w:val="single" w:color="auto"/>
          <w:color w:val="auto"/>
        </w:rPr>
        <w:t>Effect of Entries</w:t>
      </w:r>
      <w:r>
        <w:rPr>
          <w:rFonts w:ascii="Arial" w:cs="Arial" w:eastAsia="Arial" w:hAnsi="Arial"/>
          <w:sz w:val="15"/>
          <w:szCs w:val="15"/>
          <w:color w:val="auto"/>
        </w:rPr>
        <w:t xml:space="preserve">. The entries made in the records maintained pursuant to </w:t>
      </w:r>
      <w:r>
        <w:rPr>
          <w:rFonts w:ascii="Arial" w:cs="Arial" w:eastAsia="Arial" w:hAnsi="Arial"/>
          <w:sz w:val="15"/>
          <w:szCs w:val="15"/>
          <w:u w:val="single" w:color="auto"/>
          <w:color w:val="auto"/>
        </w:rPr>
        <w:t>paragraph (c)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(d)</w:t>
      </w:r>
      <w:r>
        <w:rPr>
          <w:rFonts w:ascii="Arial" w:cs="Arial" w:eastAsia="Arial" w:hAnsi="Arial"/>
          <w:sz w:val="15"/>
          <w:szCs w:val="15"/>
          <w:color w:val="auto"/>
        </w:rPr>
        <w:t xml:space="preserve"> of this Section shall be </w:t>
      </w:r>
      <w:r>
        <w:rPr>
          <w:rFonts w:ascii="Arial" w:cs="Arial" w:eastAsia="Arial" w:hAnsi="Arial"/>
          <w:sz w:val="15"/>
          <w:szCs w:val="15"/>
          <w:u w:val="single" w:color="auto"/>
          <w:color w:val="auto"/>
        </w:rPr>
        <w:t>prima facie</w:t>
      </w:r>
      <w:r>
        <w:rPr>
          <w:rFonts w:ascii="Arial" w:cs="Arial" w:eastAsia="Arial" w:hAnsi="Arial"/>
          <w:sz w:val="15"/>
          <w:szCs w:val="15"/>
          <w:color w:val="auto"/>
        </w:rPr>
        <w:t xml:space="preserve"> evidence, absent obvious error, of the existence and amounts of the obligations recorded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88" w:lineRule="exact"/>
        <w:rPr>
          <w:rFonts w:ascii="Arial" w:cs="Arial" w:eastAsia="Arial" w:hAnsi="Arial"/>
          <w:sz w:val="15"/>
          <w:szCs w:val="15"/>
          <w:color w:val="auto"/>
        </w:rPr>
      </w:pPr>
    </w:p>
    <w:p>
      <w:pPr>
        <w:ind w:firstLine="921"/>
        <w:spacing w:after="0" w:line="294" w:lineRule="auto"/>
        <w:tabs>
          <w:tab w:leader="none" w:pos="1132"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Promissory Notes</w:t>
      </w:r>
      <w:r>
        <w:rPr>
          <w:rFonts w:ascii="Arial" w:cs="Arial" w:eastAsia="Arial" w:hAnsi="Arial"/>
          <w:sz w:val="16"/>
          <w:szCs w:val="16"/>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be represented by one or more promissory notes in such form payable to the payee named therein (or, if such promissory note is a registered note, to such payee and its registered assigns).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68" w:lineRule="auto"/>
        <w:tabs>
          <w:tab w:leader="none" w:pos="1152"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8"/>
          <w:szCs w:val="18"/>
          <w:u w:val="single" w:color="auto"/>
          <w:color w:val="auto"/>
        </w:rPr>
        <w:t>Section 2.15</w:t>
      </w:r>
      <w:r>
        <w:rPr>
          <w:rFonts w:ascii="Arial" w:cs="Arial" w:eastAsia="Arial" w:hAnsi="Arial"/>
          <w:sz w:val="18"/>
          <w:szCs w:val="18"/>
          <w:color w:val="auto"/>
        </w:rPr>
        <w:t>, subject to the requirements of this Section. Any</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89" w:name="page390"/>
    <w:bookmarkEnd w:id="389"/>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prepayment of a Borrowing made in accordance with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shall be applied ratably among the Lenders of a Class of Commitment unless such prepayment is made in connection with the reduction of Commitments in accordance with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in which case such prepayment shall be applied in accordance with </w:t>
      </w:r>
      <w:r>
        <w:rPr>
          <w:rFonts w:ascii="Arial" w:cs="Arial" w:eastAsia="Arial" w:hAnsi="Arial"/>
          <w:sz w:val="18"/>
          <w:szCs w:val="18"/>
          <w:u w:val="single" w:color="auto"/>
          <w:color w:val="auto"/>
        </w:rPr>
        <w:t>Section 2.08(d)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as applicable.</w:t>
      </w:r>
    </w:p>
    <w:p>
      <w:pPr>
        <w:spacing w:after="0" w:line="140" w:lineRule="exact"/>
        <w:rPr>
          <w:sz w:val="20"/>
          <w:szCs w:val="20"/>
          <w:color w:val="auto"/>
        </w:rPr>
      </w:pPr>
    </w:p>
    <w:p>
      <w:pPr>
        <w:ind w:left="1160" w:hanging="257"/>
        <w:spacing w:after="0"/>
        <w:tabs>
          <w:tab w:leader="none" w:pos="1160"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Mandatory Prepayments due to Changes in Exchange Rates</w:t>
      </w:r>
      <w:r>
        <w:rPr>
          <w:rFonts w:ascii="Arial" w:cs="Arial" w:eastAsia="Arial" w:hAnsi="Arial"/>
          <w:sz w:val="18"/>
          <w:szCs w:val="18"/>
          <w:color w:val="auto"/>
        </w:rPr>
        <w:t>.</w:t>
      </w:r>
    </w:p>
    <w:p>
      <w:pPr>
        <w:spacing w:after="0" w:line="90" w:lineRule="exact"/>
        <w:rPr>
          <w:sz w:val="20"/>
          <w:szCs w:val="20"/>
          <w:color w:val="auto"/>
        </w:rPr>
      </w:pPr>
    </w:p>
    <w:p>
      <w:pPr>
        <w:ind w:left="460" w:right="100" w:firstLine="443"/>
        <w:spacing w:after="0" w:line="290" w:lineRule="auto"/>
        <w:tabs>
          <w:tab w:leader="none" w:pos="1108" w:val="left"/>
        </w:tabs>
        <w:numPr>
          <w:ilvl w:val="0"/>
          <w:numId w:val="393"/>
        </w:numPr>
        <w:rPr>
          <w:rFonts w:ascii="Arial" w:cs="Arial" w:eastAsia="Arial" w:hAnsi="Arial"/>
          <w:sz w:val="16"/>
          <w:szCs w:val="16"/>
          <w:color w:val="auto"/>
        </w:rPr>
      </w:pPr>
      <w:r>
        <w:rPr>
          <w:rFonts w:ascii="Arial" w:cs="Arial" w:eastAsia="Arial" w:hAnsi="Arial"/>
          <w:sz w:val="16"/>
          <w:szCs w:val="16"/>
          <w:u w:val="single" w:color="auto"/>
          <w:color w:val="auto"/>
        </w:rPr>
        <w:t>Determination of Amount Outstanding</w:t>
      </w:r>
      <w:r>
        <w:rPr>
          <w:rFonts w:ascii="Arial" w:cs="Arial" w:eastAsia="Arial" w:hAnsi="Arial"/>
          <w:sz w:val="16"/>
          <w:szCs w:val="16"/>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37" w:lineRule="exact"/>
        <w:rPr>
          <w:rFonts w:ascii="Arial" w:cs="Arial" w:eastAsia="Arial" w:hAnsi="Arial"/>
          <w:sz w:val="16"/>
          <w:szCs w:val="16"/>
          <w:color w:val="auto"/>
        </w:rPr>
      </w:pPr>
    </w:p>
    <w:p>
      <w:pPr>
        <w:ind w:left="460" w:right="80" w:firstLine="443"/>
        <w:spacing w:after="0" w:line="291" w:lineRule="auto"/>
        <w:tabs>
          <w:tab w:leader="none" w:pos="1156" w:val="left"/>
        </w:tabs>
        <w:numPr>
          <w:ilvl w:val="0"/>
          <w:numId w:val="393"/>
        </w:numPr>
        <w:rPr>
          <w:rFonts w:ascii="Arial" w:cs="Arial" w:eastAsia="Arial" w:hAnsi="Arial"/>
          <w:sz w:val="16"/>
          <w:szCs w:val="16"/>
          <w:color w:val="auto"/>
        </w:rPr>
      </w:pPr>
      <w:r>
        <w:rPr>
          <w:rFonts w:ascii="Arial" w:cs="Arial" w:eastAsia="Arial" w:hAnsi="Arial"/>
          <w:sz w:val="16"/>
          <w:szCs w:val="16"/>
          <w:u w:val="single" w:color="auto"/>
          <w:color w:val="auto"/>
        </w:rPr>
        <w:t>Prepayment</w:t>
      </w:r>
      <w:r>
        <w:rPr>
          <w:rFonts w:ascii="Arial" w:cs="Arial" w:eastAsia="Arial" w:hAnsi="Arial"/>
          <w:sz w:val="16"/>
          <w:szCs w:val="16"/>
          <w:color w:val="auto"/>
        </w:rPr>
        <w:t xml:space="preserve">. If on the date of such determination the aggregate Revolving Multicurrency Credit Exposure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16"/>
          <w:szCs w:val="16"/>
          <w:u w:val="single" w:color="auto"/>
          <w:color w:val="auto"/>
        </w:rPr>
        <w:t>Section 2.05(k)</w:t>
      </w:r>
      <w:r>
        <w:rPr>
          <w:rFonts w:ascii="Arial" w:cs="Arial" w:eastAsia="Arial" w:hAnsi="Arial"/>
          <w:sz w:val="16"/>
          <w:szCs w:val="16"/>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Currency Valuation Notice</w:t>
      </w:r>
      <w:r>
        <w:rPr>
          <w:rFonts w:ascii="Arial" w:cs="Arial" w:eastAsia="Arial" w:hAnsi="Arial"/>
          <w:sz w:val="18"/>
          <w:szCs w:val="18"/>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43" w:lineRule="exact"/>
        <w:rPr>
          <w:sz w:val="20"/>
          <w:szCs w:val="20"/>
          <w:color w:val="auto"/>
        </w:rPr>
      </w:pPr>
    </w:p>
    <w:p>
      <w:pPr>
        <w:ind w:right="1000" w:firstLine="913"/>
        <w:spacing w:after="0" w:line="268" w:lineRule="auto"/>
        <w:rPr>
          <w:sz w:val="20"/>
          <w:szCs w:val="20"/>
          <w:color w:val="auto"/>
        </w:rPr>
      </w:pPr>
      <w:r>
        <w:rPr>
          <w:rFonts w:ascii="Arial" w:cs="Arial" w:eastAsia="Arial" w:hAnsi="Arial"/>
          <w:sz w:val="18"/>
          <w:szCs w:val="18"/>
          <w:color w:val="auto"/>
        </w:rPr>
        <w:t xml:space="preserve">Any prepayment pursuant to this paragraph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Swingline Multicurrency Loans outstanding,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Syndicated Multicurrency Loans outstanding and </w:t>
      </w:r>
      <w:r>
        <w:rPr>
          <w:rFonts w:ascii="Arial" w:cs="Arial" w:eastAsia="Arial" w:hAnsi="Arial"/>
          <w:sz w:val="18"/>
          <w:szCs w:val="18"/>
          <w:u w:val="single" w:color="auto"/>
          <w:color w:val="auto"/>
        </w:rPr>
        <w:t>third</w:t>
      </w:r>
      <w:r>
        <w:rPr>
          <w:rFonts w:ascii="Arial" w:cs="Arial" w:eastAsia="Arial" w:hAnsi="Arial"/>
          <w:sz w:val="18"/>
          <w:szCs w:val="18"/>
          <w:color w:val="auto"/>
        </w:rPr>
        <w:t>, as cover for Multicurrency LC Exposure.</w:t>
      </w:r>
    </w:p>
    <w:p>
      <w:pPr>
        <w:spacing w:after="0" w:line="132" w:lineRule="exact"/>
        <w:rPr>
          <w:sz w:val="20"/>
          <w:szCs w:val="20"/>
          <w:color w:val="auto"/>
        </w:rPr>
      </w:pPr>
    </w:p>
    <w:p>
      <w:pPr>
        <w:ind w:right="40" w:firstLine="921"/>
        <w:spacing w:after="0" w:line="306" w:lineRule="auto"/>
        <w:tabs>
          <w:tab w:leader="none" w:pos="1152"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Mandatory Prepayments due to Borrowing Base Deficiency</w:t>
      </w:r>
      <w:r>
        <w:rPr>
          <w:rFonts w:ascii="Arial" w:cs="Arial" w:eastAsia="Arial" w:hAnsi="Arial"/>
          <w:sz w:val="16"/>
          <w:szCs w:val="16"/>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16"/>
          <w:szCs w:val="16"/>
          <w:u w:val="single" w:color="auto"/>
          <w:color w:val="auto"/>
        </w:rPr>
        <w:t>Section 2.05(k)</w:t>
      </w:r>
      <w:r>
        <w:rPr>
          <w:rFonts w:ascii="Arial" w:cs="Arial" w:eastAsia="Arial" w:hAnsi="Arial"/>
          <w:sz w:val="16"/>
          <w:szCs w:val="16"/>
          <w:color w:val="auto"/>
        </w:rPr>
        <w:t>) or reduce Other Covered Indebtedness in such amounts as shall be necessary so that such Borrowing Base</w:t>
      </w:r>
    </w:p>
    <w:p>
      <w:pPr>
        <w:spacing w:after="0" w:line="93"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90" w:name="page391"/>
    <w:bookmarkEnd w:id="390"/>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Deficiency is 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18" w:lineRule="exact"/>
        <w:rPr>
          <w:sz w:val="20"/>
          <w:szCs w:val="20"/>
          <w:color w:val="auto"/>
        </w:rPr>
      </w:pPr>
    </w:p>
    <w:p>
      <w:pPr>
        <w:ind w:right="20" w:firstLine="921"/>
        <w:spacing w:after="0" w:line="357" w:lineRule="auto"/>
        <w:tabs>
          <w:tab w:leader="none" w:pos="1161" w:val="left"/>
        </w:tabs>
        <w:numPr>
          <w:ilvl w:val="1"/>
          <w:numId w:val="395"/>
        </w:numPr>
        <w:rPr>
          <w:rFonts w:ascii="Arial" w:cs="Arial" w:eastAsia="Arial" w:hAnsi="Arial"/>
          <w:sz w:val="15"/>
          <w:szCs w:val="15"/>
          <w:color w:val="auto"/>
        </w:rPr>
      </w:pPr>
      <w:r>
        <w:rPr>
          <w:rFonts w:ascii="Arial" w:cs="Arial" w:eastAsia="Arial" w:hAnsi="Arial"/>
          <w:sz w:val="15"/>
          <w:szCs w:val="15"/>
          <w:u w:val="single" w:color="auto"/>
          <w:color w:val="auto"/>
        </w:rPr>
        <w:t>Mandatory Prepayments During Amortization Period</w:t>
      </w:r>
      <w:r>
        <w:rPr>
          <w:rFonts w:ascii="Arial" w:cs="Arial" w:eastAsia="Arial" w:hAnsi="Arial"/>
          <w:sz w:val="15"/>
          <w:szCs w:val="15"/>
          <w:color w:val="auto"/>
        </w:rPr>
        <w:t>. During the period commencing on the date immediately following the Commitment Termination Date with respect to any Loans of any Lender or Lenders and ending on the Final Maturity Date with respect to the Loans of such Lender or Lenders:</w:t>
      </w:r>
    </w:p>
    <w:p>
      <w:pPr>
        <w:ind w:left="460" w:right="60" w:firstLine="443"/>
        <w:spacing w:after="0" w:line="287" w:lineRule="auto"/>
        <w:tabs>
          <w:tab w:leader="none" w:pos="1108"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Asset Disposition</w:t>
      </w:r>
      <w:r>
        <w:rPr>
          <w:rFonts w:ascii="Arial" w:cs="Arial" w:eastAsia="Arial" w:hAnsi="Arial"/>
          <w:sz w:val="16"/>
          <w:szCs w:val="16"/>
          <w:color w:val="auto"/>
        </w:rPr>
        <w:t xml:space="preserve">.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 Net Cash Proceeds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Loans to be prepaid are Eurocurrency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Administrative Agent may direct the application of such deposits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at any time and if the Administrative Agent does so, no amounts will be payable by the Borrower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41" w:lineRule="exact"/>
        <w:rPr>
          <w:rFonts w:ascii="Arial" w:cs="Arial" w:eastAsia="Arial" w:hAnsi="Arial"/>
          <w:sz w:val="16"/>
          <w:szCs w:val="16"/>
          <w:color w:val="auto"/>
        </w:rPr>
      </w:pPr>
    </w:p>
    <w:p>
      <w:pPr>
        <w:ind w:left="460" w:right="100" w:firstLine="443"/>
        <w:spacing w:after="0" w:line="298" w:lineRule="auto"/>
        <w:tabs>
          <w:tab w:leader="none" w:pos="1156"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Equity Issuance</w:t>
      </w:r>
      <w:r>
        <w:rPr>
          <w:rFonts w:ascii="Arial" w:cs="Arial" w:eastAsia="Arial" w:hAnsi="Arial"/>
          <w:sz w:val="16"/>
          <w:szCs w:val="16"/>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460" w:right="20" w:firstLine="443"/>
        <w:spacing w:after="0" w:line="259" w:lineRule="auto"/>
        <w:tabs>
          <w:tab w:leader="none" w:pos="1205"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Indebtedness</w:t>
      </w:r>
      <w:r>
        <w:rPr>
          <w:rFonts w:ascii="Arial" w:cs="Arial" w:eastAsia="Arial" w:hAnsi="Arial"/>
          <w:sz w:val="18"/>
          <w:szCs w:val="18"/>
          <w:color w:val="auto"/>
        </w:rPr>
        <w:t>.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91" w:name="page392"/>
    <w:bookmarkEnd w:id="391"/>
    <w:p>
      <w:pPr>
        <w:ind w:left="460"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equal to 100% of all Net Cash Proceeds received therefrom no later than the fifth Business Day following the receipt of such Net Cash Proceeds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51" w:lineRule="exact"/>
        <w:rPr>
          <w:sz w:val="20"/>
          <w:szCs w:val="20"/>
          <w:color w:val="auto"/>
        </w:rPr>
      </w:pPr>
    </w:p>
    <w:p>
      <w:pPr>
        <w:ind w:left="460" w:right="20" w:firstLine="443"/>
        <w:spacing w:after="0" w:line="294" w:lineRule="auto"/>
        <w:tabs>
          <w:tab w:leader="none" w:pos="1195" w:val="left"/>
        </w:tabs>
        <w:numPr>
          <w:ilvl w:val="0"/>
          <w:numId w:val="397"/>
        </w:numPr>
        <w:rPr>
          <w:rFonts w:ascii="Arial" w:cs="Arial" w:eastAsia="Arial" w:hAnsi="Arial"/>
          <w:sz w:val="16"/>
          <w:szCs w:val="16"/>
          <w:color w:val="auto"/>
        </w:rPr>
      </w:pPr>
      <w:r>
        <w:rPr>
          <w:rFonts w:ascii="Arial" w:cs="Arial" w:eastAsia="Arial" w:hAnsi="Arial"/>
          <w:sz w:val="16"/>
          <w:szCs w:val="16"/>
          <w:u w:val="single" w:color="auto"/>
          <w:color w:val="auto"/>
        </w:rPr>
        <w:t>Extraordinary Receipt</w:t>
      </w:r>
      <w:r>
        <w:rPr>
          <w:rFonts w:ascii="Arial" w:cs="Arial" w:eastAsia="Arial" w:hAnsi="Arial"/>
          <w:sz w:val="16"/>
          <w:szCs w:val="16"/>
          <w:color w:val="auto"/>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jc w:val="both"/>
        <w:ind w:left="460" w:right="300" w:firstLine="443"/>
        <w:spacing w:after="0" w:line="306" w:lineRule="auto"/>
        <w:tabs>
          <w:tab w:leader="none" w:pos="1147" w:val="left"/>
        </w:tabs>
        <w:numPr>
          <w:ilvl w:val="0"/>
          <w:numId w:val="397"/>
        </w:numPr>
        <w:rPr>
          <w:rFonts w:ascii="Arial" w:cs="Arial" w:eastAsia="Arial" w:hAnsi="Arial"/>
          <w:sz w:val="16"/>
          <w:szCs w:val="16"/>
          <w:color w:val="auto"/>
        </w:rPr>
      </w:pPr>
      <w:r>
        <w:rPr>
          <w:rFonts w:ascii="Arial" w:cs="Arial" w:eastAsia="Arial" w:hAnsi="Arial"/>
          <w:sz w:val="16"/>
          <w:szCs w:val="16"/>
          <w:u w:val="single" w:color="auto"/>
          <w:color w:val="auto"/>
        </w:rPr>
        <w:t>Return of Capital</w:t>
      </w:r>
      <w:r>
        <w:rPr>
          <w:rFonts w:ascii="Arial" w:cs="Arial" w:eastAsia="Arial" w:hAnsi="Arial"/>
          <w:sz w:val="16"/>
          <w:szCs w:val="16"/>
          <w:color w:val="auto"/>
        </w:rPr>
        <w:t xml:space="preserve">. If any Obligor shall receive any Return of Capital, the Borrower shall prepay an aggregate principal amount of such Loans owed to such Lender or Lenders equal to 90% of such Return of Capital (excluding amounts payable by the Borrower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no later than the fifth Business Day following the receipt of such Return of Capital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Notwithstanding the foregoing, Net Cash Proceeds required to be applied to the prepayment of the Loans pursuant to this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shall (A) (I) from the period commencing on the Non-Extended Commitment Termination Date and ending on the Extended Commitment Termination Date, be applied ratably among the Non-Extending Lenders and (II) from the Extended Commitment Termination Date to the Extended Final Maturity Date, be applied in accordance with the Guarantee and Security Agreement and (B) exclude the amount necessary for the Borrower to make all required distributions (which shall be no less than the amount estimated in good faith by Borrower under </w:t>
      </w:r>
      <w:r>
        <w:rPr>
          <w:rFonts w:ascii="Arial" w:cs="Arial" w:eastAsia="Arial" w:hAnsi="Arial"/>
          <w:sz w:val="16"/>
          <w:szCs w:val="16"/>
          <w:u w:val="single" w:color="auto"/>
          <w:color w:val="auto"/>
        </w:rPr>
        <w:t>Section 6.05(b)</w:t>
      </w:r>
      <w:r>
        <w:rPr>
          <w:rFonts w:ascii="Arial" w:cs="Arial" w:eastAsia="Arial" w:hAnsi="Arial"/>
          <w:sz w:val="16"/>
          <w:szCs w:val="16"/>
          <w:color w:val="auto"/>
        </w:rPr>
        <w:t xml:space="preserve"> herein) to maintain the status of a RIC under the Code and a “business development company” under the Investment Company Act for so long as the Borrower retains such status.</w:t>
      </w:r>
    </w:p>
    <w:p>
      <w:pPr>
        <w:spacing w:after="0" w:line="120" w:lineRule="exact"/>
        <w:rPr>
          <w:sz w:val="20"/>
          <w:szCs w:val="20"/>
          <w:color w:val="auto"/>
        </w:rPr>
      </w:pPr>
    </w:p>
    <w:p>
      <w:pPr>
        <w:ind w:right="20" w:firstLine="921"/>
        <w:spacing w:after="0" w:line="288" w:lineRule="auto"/>
        <w:tabs>
          <w:tab w:leader="none" w:pos="1152"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The Borrower shall notify the Administrative Agent (and, in the case of prepayment of a Swingline Loan, the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not later than 11:00 a.m., London time, four Business Days before the date of prepayment, (iii) in the case of prepayment of a Syndicated ABR Borrowing (other than in the case of a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not later than 11:00 a.m., Atlanta, Georgia time, one Business Day before the date of prepayment. Each such notice shall be irrevocable and shall specify the prepayment date, the principal amount of each Borrowing or portion thereof to be prepaid and, in</w:t>
      </w:r>
    </w:p>
    <w:p>
      <w:pPr>
        <w:spacing w:after="0" w:line="106"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92" w:name="page393"/>
    <w:bookmarkEnd w:id="392"/>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case of a mandatory prepayment, a reasonably detailed calculation of the amount of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a notice of prepayment is given in connection with a conditional notice of termination of the Commitments of a Class as contemplated by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then such notice of prepayment may be revoked if such notice of termination is revoked in accordance with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(ii) any notice given in connection with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Swingline Loan,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provided Prepayments shall be accompanied by accrued interest to the extent required by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shall be made in the manner specified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unless such prepayment is made in connection with the reduction of Commitments in accordance with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in which case such prepayment shall be applied in accordance with </w:t>
      </w:r>
      <w:r>
        <w:rPr>
          <w:rFonts w:ascii="Arial" w:cs="Arial" w:eastAsia="Arial" w:hAnsi="Arial"/>
          <w:sz w:val="16"/>
          <w:szCs w:val="16"/>
          <w:u w:val="single" w:color="auto"/>
          <w:color w:val="auto"/>
        </w:rPr>
        <w:t>Section 2.08(d)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as applicable.</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88" w:lineRule="auto"/>
        <w:tabs>
          <w:tab w:leader="none" w:pos="1152"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19" w:lineRule="exact"/>
        <w:rPr>
          <w:rFonts w:ascii="Arial" w:cs="Arial" w:eastAsia="Arial" w:hAnsi="Arial"/>
          <w:sz w:val="16"/>
          <w:szCs w:val="16"/>
          <w:color w:val="auto"/>
        </w:rPr>
      </w:pPr>
    </w:p>
    <w:p>
      <w:pPr>
        <w:ind w:right="60" w:firstLine="921"/>
        <w:spacing w:after="0" w:line="291" w:lineRule="auto"/>
        <w:tabs>
          <w:tab w:leader="none" w:pos="1161"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Borrower agrees to pay (i) to the Administrative Agent for account of each Lender a participation fee with respect to its participations in Letters of Credit of each Class of Commitments, which shall accrue at a rate per annum equal to the Applicable Margin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0.25% per annum on the average daily amount of the LC Exposure (excluding any portion thereof</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93" w:name="page394"/>
    <w:bookmarkEnd w:id="393"/>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28" w:lineRule="exact"/>
        <w:rPr>
          <w:sz w:val="20"/>
          <w:szCs w:val="20"/>
          <w:color w:val="auto"/>
        </w:rPr>
      </w:pPr>
    </w:p>
    <w:p>
      <w:pPr>
        <w:ind w:right="100" w:firstLine="921"/>
        <w:spacing w:after="0" w:line="268" w:lineRule="auto"/>
        <w:tabs>
          <w:tab w:leader="none" w:pos="1152"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Administrative Agent Fees</w:t>
      </w:r>
      <w:r>
        <w:rPr>
          <w:rFonts w:ascii="Arial" w:cs="Arial" w:eastAsia="Arial" w:hAnsi="Arial"/>
          <w:sz w:val="18"/>
          <w:szCs w:val="18"/>
          <w:color w:val="auto"/>
        </w:rPr>
        <w:t>. The Borrower agrees to pay to the Administrative Agent, for its own account, fees payable in the amounts and at the times separately agreed upon between the Borrower and the Administrative Agent.</w:t>
      </w:r>
    </w:p>
    <w:p>
      <w:pPr>
        <w:spacing w:after="0" w:line="131" w:lineRule="exact"/>
        <w:rPr>
          <w:rFonts w:ascii="Arial" w:cs="Arial" w:eastAsia="Arial" w:hAnsi="Arial"/>
          <w:sz w:val="18"/>
          <w:szCs w:val="18"/>
          <w:color w:val="auto"/>
        </w:rPr>
      </w:pPr>
    </w:p>
    <w:p>
      <w:pPr>
        <w:ind w:right="20" w:firstLine="921"/>
        <w:spacing w:after="0" w:line="298" w:lineRule="auto"/>
        <w:tabs>
          <w:tab w:leader="none" w:pos="1161"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Payment of Fees</w:t>
      </w:r>
      <w:r>
        <w:rPr>
          <w:rFonts w:ascii="Arial" w:cs="Arial" w:eastAsia="Arial" w:hAnsi="Arial"/>
          <w:sz w:val="16"/>
          <w:szCs w:val="16"/>
          <w:color w:val="auto"/>
        </w:rPr>
        <w:t>. All fees payable hereunder shall be paid on the dates due, in Dollars (or, at the election of the Borrower with respect to any fees payable to the Issuing Bank on account of Letters of Credit issued in any Foreign Currency, in such Foreign Currency) and immediately available funds, to the Administrative Agent (or to the Issuing Bank, in the case of fees payable to it) for distribution, in the case of commitment fees and participation fees, to the Lenders entitled thereto. Fees paid shall not be refundable under any circumstances absent obvious error.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90" w:lineRule="exact"/>
        <w:rPr>
          <w:sz w:val="20"/>
          <w:szCs w:val="20"/>
          <w:color w:val="auto"/>
        </w:rPr>
      </w:pPr>
    </w:p>
    <w:p>
      <w:pPr>
        <w:ind w:right="260" w:firstLine="921"/>
        <w:spacing w:after="0" w:line="268" w:lineRule="auto"/>
        <w:tabs>
          <w:tab w:leader="none" w:pos="1152"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ABR Loans</w:t>
      </w:r>
      <w:r>
        <w:rPr>
          <w:rFonts w:ascii="Arial" w:cs="Arial" w:eastAsia="Arial" w:hAnsi="Arial"/>
          <w:sz w:val="18"/>
          <w:szCs w:val="18"/>
          <w:color w:val="auto"/>
        </w:rPr>
        <w:t xml:space="preserve">. The Loans constituting each ABR Borrowing (including each Swingline Loan) shall bear interest at a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31" w:lineRule="exact"/>
        <w:rPr>
          <w:rFonts w:ascii="Arial" w:cs="Arial" w:eastAsia="Arial" w:hAnsi="Arial"/>
          <w:sz w:val="18"/>
          <w:szCs w:val="18"/>
          <w:color w:val="auto"/>
        </w:rPr>
      </w:pPr>
    </w:p>
    <w:p>
      <w:pPr>
        <w:ind w:right="280" w:firstLine="921"/>
        <w:spacing w:after="0" w:line="268" w:lineRule="auto"/>
        <w:tabs>
          <w:tab w:leader="none" w:pos="1161"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The Loans constituting each Eurocurrency Borrowing shall bear interest at a rate per annum equal to the Adjusted LIBO Rate for the related Interest Period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94" w:name="page395"/>
    <w:bookmarkEnd w:id="394"/>
    <w:p>
      <w:pPr>
        <w:ind w:right="80" w:firstLine="921"/>
        <w:spacing w:after="0" w:line="294" w:lineRule="auto"/>
        <w:tabs>
          <w:tab w:leader="none" w:pos="1152"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Interest</w:t>
      </w:r>
      <w:r>
        <w:rPr>
          <w:rFonts w:ascii="Arial" w:cs="Arial" w:eastAsia="Arial" w:hAnsi="Arial"/>
          <w:sz w:val="16"/>
          <w:szCs w:val="16"/>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otherwise applicable to such Loan as provided above, (ii) in the case of any Letter of Credit, 2%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fee otherwise applicable to such Letter of Credit as provided in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in the case of any fee or other amount, 2%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applicable to ABR Loans as provided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w:t>
      </w:r>
    </w:p>
    <w:p>
      <w:pPr>
        <w:spacing w:after="0" w:line="115" w:lineRule="exact"/>
        <w:rPr>
          <w:rFonts w:ascii="Arial" w:cs="Arial" w:eastAsia="Arial" w:hAnsi="Arial"/>
          <w:sz w:val="16"/>
          <w:szCs w:val="16"/>
          <w:color w:val="auto"/>
        </w:rPr>
      </w:pPr>
    </w:p>
    <w:p>
      <w:pPr>
        <w:ind w:right="140" w:firstLine="921"/>
        <w:spacing w:after="0" w:line="253" w:lineRule="auto"/>
        <w:tabs>
          <w:tab w:leader="none" w:pos="1161"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Payment of Interest</w:t>
      </w:r>
      <w:r>
        <w:rPr>
          <w:rFonts w:ascii="Arial" w:cs="Arial" w:eastAsia="Arial" w:hAnsi="Arial"/>
          <w:sz w:val="18"/>
          <w:szCs w:val="18"/>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47" w:lineRule="exact"/>
        <w:rPr>
          <w:rFonts w:ascii="Arial" w:cs="Arial" w:eastAsia="Arial" w:hAnsi="Arial"/>
          <w:sz w:val="18"/>
          <w:szCs w:val="18"/>
          <w:color w:val="auto"/>
        </w:rPr>
      </w:pPr>
    </w:p>
    <w:p>
      <w:pPr>
        <w:ind w:right="300" w:firstLine="921"/>
        <w:spacing w:after="0" w:line="294" w:lineRule="auto"/>
        <w:tabs>
          <w:tab w:leader="none" w:pos="1152"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Computation</w:t>
      </w:r>
      <w:r>
        <w:rPr>
          <w:rFonts w:ascii="Arial" w:cs="Arial" w:eastAsia="Arial" w:hAnsi="Arial"/>
          <w:sz w:val="16"/>
          <w:szCs w:val="16"/>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Pounds Sterling or Canadian Dollars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 If prior to the commencement of the Interest Period for any Eurocurrency Borrowing of a Class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Currency of such Borrowing herein called the “</w:t>
      </w:r>
      <w:r>
        <w:rPr>
          <w:rFonts w:ascii="Arial" w:cs="Arial" w:eastAsia="Arial" w:hAnsi="Arial"/>
          <w:sz w:val="18"/>
          <w:szCs w:val="18"/>
          <w:u w:val="single" w:color="auto"/>
          <w:color w:val="auto"/>
        </w:rPr>
        <w:t>Affected Currency</w:t>
      </w:r>
      <w:r>
        <w:rPr>
          <w:rFonts w:ascii="Arial" w:cs="Arial" w:eastAsia="Arial" w:hAnsi="Arial"/>
          <w:sz w:val="18"/>
          <w:szCs w:val="18"/>
          <w:color w:val="auto"/>
        </w:rPr>
        <w:t>”):</w:t>
      </w:r>
    </w:p>
    <w:p>
      <w:pPr>
        <w:spacing w:after="0" w:line="84" w:lineRule="exact"/>
        <w:rPr>
          <w:sz w:val="20"/>
          <w:szCs w:val="20"/>
          <w:color w:val="auto"/>
        </w:rPr>
      </w:pPr>
    </w:p>
    <w:p>
      <w:pPr>
        <w:ind w:right="100" w:firstLine="921"/>
        <w:spacing w:after="0" w:line="268" w:lineRule="auto"/>
        <w:tabs>
          <w:tab w:leader="none" w:pos="115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for the Affected Currency for such Interest Period; or</w:t>
      </w:r>
    </w:p>
    <w:p>
      <w:pPr>
        <w:spacing w:after="0" w:line="131" w:lineRule="exact"/>
        <w:rPr>
          <w:rFonts w:ascii="Arial" w:cs="Arial" w:eastAsia="Arial" w:hAnsi="Arial"/>
          <w:sz w:val="18"/>
          <w:szCs w:val="18"/>
          <w:color w:val="auto"/>
        </w:rPr>
      </w:pPr>
    </w:p>
    <w:p>
      <w:pPr>
        <w:ind w:right="100" w:firstLine="921"/>
        <w:spacing w:after="0" w:line="259" w:lineRule="auto"/>
        <w:tabs>
          <w:tab w:leader="none" w:pos="116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of such Class of Commitments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then the Administrative Agent shall give notice thereof to the Borrower and the affected Lenders by telephone or telecopy as promptly as practicable thereafter and, until the Administrative Agent notifies the Borrower and such Lenders that the circumstances giving rise to such notice no longer exist, (i) any Interest Election Request that requests the conversion of any Syndicated</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95" w:name="page396"/>
    <w:bookmarkEnd w:id="395"/>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any Borrowing Request that requests a Eurocurrency Borrowing denominated in the Affected Currency shall be ineffective.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1"/>
          <w:numId w:val="404"/>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0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account of, or credit extended by, any Lender (except any such reserve requirement reflected in the Adjusted LIBO Rate) or the Issuing Bank; or</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57"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Eurocurrency Loans made by such Lender or any Letter of Credit or participation therein;</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and the result of any of the foregoing shall be to increase the cost to such Lenders of making, converting to, continuing or maintaining any Eurocurrency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116" w:lineRule="exact"/>
        <w:rPr>
          <w:sz w:val="20"/>
          <w:szCs w:val="20"/>
          <w:color w:val="auto"/>
        </w:rPr>
      </w:pPr>
    </w:p>
    <w:p>
      <w:pPr>
        <w:ind w:firstLine="921"/>
        <w:spacing w:after="0" w:line="289" w:lineRule="auto"/>
        <w:tabs>
          <w:tab w:leader="none" w:pos="1161"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by an amount deemed to be material by such Lender or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spacing w:after="0" w:line="10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96" w:name="page397"/>
    <w:bookmarkEnd w:id="396"/>
    <w:p>
      <w:pPr>
        <w:jc w:val="both"/>
        <w:ind w:right="60" w:firstLine="921"/>
        <w:spacing w:after="0" w:line="256" w:lineRule="auto"/>
        <w:tabs>
          <w:tab w:leader="none" w:pos="1152"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Certificates from Lenders</w:t>
      </w:r>
      <w:r>
        <w:rPr>
          <w:rFonts w:ascii="Arial" w:cs="Arial" w:eastAsia="Arial" w:hAnsi="Arial"/>
          <w:sz w:val="18"/>
          <w:szCs w:val="18"/>
          <w:color w:val="auto"/>
        </w:rPr>
        <w:t xml:space="preserve">. A certificate of a Lender or the Issuing Bank setting forth the amount or amounts, in Dollars, necessary to compensate such Lender or the Issuing Bank or its holding company, as the case may be,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shall be promptly delivered to the Borrower and shall be conclusive absent manifest error. The Borrower shall pay such Lender or the Issuing Bank, as the case may be, the amount shown as due on any such certificate within 10 days after receipt thereof.</w:t>
      </w:r>
    </w:p>
    <w:p>
      <w:pPr>
        <w:spacing w:after="0" w:line="143" w:lineRule="exact"/>
        <w:rPr>
          <w:rFonts w:ascii="Arial" w:cs="Arial" w:eastAsia="Arial" w:hAnsi="Arial"/>
          <w:sz w:val="18"/>
          <w:szCs w:val="18"/>
          <w:color w:val="auto"/>
        </w:rPr>
      </w:pPr>
    </w:p>
    <w:p>
      <w:pPr>
        <w:ind w:right="20" w:firstLine="921"/>
        <w:spacing w:after="0" w:line="291" w:lineRule="auto"/>
        <w:tabs>
          <w:tab w:leader="none" w:pos="1161"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six-month period referred to above shall be extended to include the period of retroactive effect thereof.</w:t>
      </w:r>
    </w:p>
    <w:p>
      <w:pPr>
        <w:spacing w:after="0" w:line="120"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and is revoked in accordance herewith), or (d) the assignment as a result of a request by the Borrower pursuant to</w:t>
      </w:r>
    </w:p>
    <w:p>
      <w:pPr>
        <w:spacing w:after="0" w:line="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of any Eurocurrency Loan other than on the last day of an Interest Period therefor, then, in any such event, the Borrower shall compensate each Lender for the loss, cost and reasonable expense attributable to such event. In the case of a Eurocurrency Loan, the loss to any Lender attributable to any such event shall be deemed to include an amount determined by such Lender to be equal to the excess, if any, of</w:t>
      </w:r>
    </w:p>
    <w:p>
      <w:pPr>
        <w:spacing w:after="0" w:line="28" w:lineRule="exact"/>
        <w:rPr>
          <w:sz w:val="20"/>
          <w:szCs w:val="20"/>
          <w:color w:val="auto"/>
        </w:rPr>
      </w:pPr>
    </w:p>
    <w:p>
      <w:pPr>
        <w:ind w:left="460" w:right="60" w:firstLine="443"/>
        <w:spacing w:after="0" w:line="298" w:lineRule="auto"/>
        <w:tabs>
          <w:tab w:leader="none" w:pos="1108" w:val="left"/>
        </w:tabs>
        <w:numPr>
          <w:ilvl w:val="0"/>
          <w:numId w:val="408"/>
        </w:numPr>
        <w:rPr>
          <w:rFonts w:ascii="Arial" w:cs="Arial" w:eastAsia="Arial" w:hAnsi="Arial"/>
          <w:sz w:val="16"/>
          <w:szCs w:val="16"/>
          <w:color w:val="auto"/>
        </w:rPr>
      </w:pPr>
      <w:r>
        <w:rPr>
          <w:rFonts w:ascii="Arial" w:cs="Arial" w:eastAsia="Arial" w:hAnsi="Arial"/>
          <w:sz w:val="16"/>
          <w:szCs w:val="16"/>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16"/>
          <w:szCs w:val="16"/>
          <w:u w:val="single" w:color="auto"/>
          <w:color w:val="auto"/>
        </w:rPr>
        <w:t>over</w:t>
      </w:r>
    </w:p>
    <w:p>
      <w:pPr>
        <w:spacing w:after="0" w:line="31" w:lineRule="exact"/>
        <w:rPr>
          <w:rFonts w:ascii="Arial" w:cs="Arial" w:eastAsia="Arial" w:hAnsi="Arial"/>
          <w:sz w:val="16"/>
          <w:szCs w:val="16"/>
          <w:color w:val="auto"/>
        </w:rPr>
      </w:pPr>
    </w:p>
    <w:p>
      <w:pPr>
        <w:ind w:left="460" w:right="60" w:firstLine="443"/>
        <w:spacing w:after="0" w:line="259" w:lineRule="auto"/>
        <w:tabs>
          <w:tab w:leader="none" w:pos="115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97" w:name="page398"/>
    <w:bookmarkEnd w:id="39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302" w:lineRule="auto"/>
        <w:tabs>
          <w:tab w:leader="none" w:pos="1152" w:val="left"/>
        </w:tabs>
        <w:numPr>
          <w:ilvl w:val="1"/>
          <w:numId w:val="409"/>
        </w:numPr>
        <w:rPr>
          <w:rFonts w:ascii="Arial" w:cs="Arial" w:eastAsia="Arial" w:hAnsi="Arial"/>
          <w:sz w:val="15"/>
          <w:szCs w:val="15"/>
          <w:color w:val="auto"/>
        </w:rPr>
      </w:pPr>
      <w:r>
        <w:rPr>
          <w:rFonts w:ascii="Arial" w:cs="Arial" w:eastAsia="Arial" w:hAnsi="Arial"/>
          <w:sz w:val="15"/>
          <w:szCs w:val="15"/>
          <w:u w:val="single" w:color="auto"/>
          <w:color w:val="auto"/>
        </w:rPr>
        <w:t>Payments Free of Taxes</w:t>
      </w:r>
      <w:r>
        <w:rPr>
          <w:rFonts w:ascii="Arial" w:cs="Arial" w:eastAsia="Arial" w:hAnsi="Arial"/>
          <w:sz w:val="15"/>
          <w:szCs w:val="15"/>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the Borrower shall make such deductions and</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Borrower shall pay the full amount deducted to the relevant Governmental Authority in accordance with applicable law.</w:t>
      </w:r>
    </w:p>
    <w:p>
      <w:pPr>
        <w:spacing w:after="0" w:line="164" w:lineRule="exact"/>
        <w:rPr>
          <w:rFonts w:ascii="Arial" w:cs="Arial" w:eastAsia="Arial" w:hAnsi="Arial"/>
          <w:sz w:val="18"/>
          <w:szCs w:val="18"/>
          <w:color w:val="auto"/>
        </w:rPr>
      </w:pPr>
    </w:p>
    <w:p>
      <w:pPr>
        <w:ind w:right="620" w:firstLine="921"/>
        <w:spacing w:after="0" w:line="268" w:lineRule="auto"/>
        <w:tabs>
          <w:tab w:leader="none" w:pos="1161"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In addition, the Borrower shall pay any Other Taxes to the relevant Governmental Authority in accordance with applicable law.</w:t>
      </w:r>
    </w:p>
    <w:p>
      <w:pPr>
        <w:spacing w:after="0" w:line="131" w:lineRule="exact"/>
        <w:rPr>
          <w:rFonts w:ascii="Arial" w:cs="Arial" w:eastAsia="Arial" w:hAnsi="Arial"/>
          <w:sz w:val="18"/>
          <w:szCs w:val="18"/>
          <w:color w:val="auto"/>
        </w:rPr>
      </w:pPr>
    </w:p>
    <w:p>
      <w:pPr>
        <w:ind w:right="60" w:firstLine="921"/>
        <w:spacing w:after="0" w:line="289" w:lineRule="auto"/>
        <w:tabs>
          <w:tab w:leader="none" w:pos="1152" w:val="left"/>
        </w:tabs>
        <w:numPr>
          <w:ilvl w:val="1"/>
          <w:numId w:val="410"/>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each Lender and the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the Issuing Bank. A certificate as to the amount of such payment or liability delivered to the Borrower by a Lender or the Issuing Bank, or by the Administrative Agent on its own behalf or on behalf of a Lender or the Issuing Bank, shall be conclusive absent manifest error.</w:t>
      </w:r>
    </w:p>
    <w:p>
      <w:pPr>
        <w:spacing w:after="0" w:line="118" w:lineRule="exact"/>
        <w:rPr>
          <w:rFonts w:ascii="Arial" w:cs="Arial" w:eastAsia="Arial" w:hAnsi="Arial"/>
          <w:sz w:val="16"/>
          <w:szCs w:val="16"/>
          <w:color w:val="auto"/>
        </w:rPr>
      </w:pPr>
    </w:p>
    <w:p>
      <w:pPr>
        <w:ind w:firstLine="921"/>
        <w:spacing w:after="0" w:line="254" w:lineRule="auto"/>
        <w:tabs>
          <w:tab w:leader="none" w:pos="1161"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8"/>
          <w:szCs w:val="18"/>
          <w:u w:val="single" w:color="auto"/>
          <w:color w:val="auto"/>
        </w:rPr>
        <w:t>Section 9.04(f)</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w:t>
      </w:r>
    </w:p>
    <w:p>
      <w:pPr>
        <w:spacing w:after="0" w:line="13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98" w:name="page399"/>
    <w:bookmarkEnd w:id="398"/>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6"/>
          <w:szCs w:val="16"/>
          <w:u w:val="single" w:color="auto"/>
          <w:color w:val="auto"/>
        </w:rPr>
        <w:t>paragraph (d)</w:t>
      </w:r>
      <w:r>
        <w:rPr>
          <w:rFonts w:ascii="Arial" w:cs="Arial" w:eastAsia="Arial" w:hAnsi="Arial"/>
          <w:sz w:val="16"/>
          <w:szCs w:val="16"/>
          <w:color w:val="auto"/>
        </w:rPr>
        <w:t>.</w:t>
      </w:r>
    </w:p>
    <w:p>
      <w:pPr>
        <w:spacing w:after="0" w:line="113" w:lineRule="exact"/>
        <w:rPr>
          <w:sz w:val="20"/>
          <w:szCs w:val="20"/>
          <w:color w:val="auto"/>
        </w:rPr>
      </w:pPr>
    </w:p>
    <w:p>
      <w:pPr>
        <w:ind w:right="140" w:firstLine="921"/>
        <w:spacing w:after="0" w:line="306" w:lineRule="auto"/>
        <w:tabs>
          <w:tab w:leader="none" w:pos="1152"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06" w:lineRule="exact"/>
        <w:rPr>
          <w:rFonts w:ascii="Arial" w:cs="Arial" w:eastAsia="Arial" w:hAnsi="Arial"/>
          <w:sz w:val="16"/>
          <w:szCs w:val="16"/>
          <w:color w:val="auto"/>
        </w:rPr>
      </w:pPr>
    </w:p>
    <w:p>
      <w:pPr>
        <w:ind w:firstLine="921"/>
        <w:spacing w:after="0" w:line="287" w:lineRule="auto"/>
        <w:tabs>
          <w:tab w:leader="none" w:pos="1132" w:val="left"/>
        </w:tabs>
        <w:numPr>
          <w:ilvl w:val="1"/>
          <w:numId w:val="411"/>
        </w:numPr>
        <w:rPr>
          <w:rFonts w:ascii="Arial" w:cs="Arial" w:eastAsia="Arial" w:hAnsi="Arial"/>
          <w:sz w:val="16"/>
          <w:szCs w:val="16"/>
          <w:color w:val="auto"/>
        </w:rPr>
      </w:pPr>
      <w:r>
        <w:rPr>
          <w:rFonts w:ascii="Arial" w:cs="Arial" w:eastAsia="Arial" w:hAnsi="Arial"/>
          <w:sz w:val="16"/>
          <w:szCs w:val="16"/>
          <w:u w:val="single" w:color="auto"/>
          <w:color w:val="auto"/>
        </w:rPr>
        <w:t>Tax Documentation</w:t>
      </w:r>
      <w:r>
        <w:rPr>
          <w:rFonts w:ascii="Arial" w:cs="Arial" w:eastAsia="Arial" w:hAnsi="Arial"/>
          <w:sz w:val="16"/>
          <w:szCs w:val="16"/>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2.16(f)(ii)</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22" w:lineRule="exact"/>
        <w:rPr>
          <w:rFonts w:ascii="Arial" w:cs="Arial" w:eastAsia="Arial" w:hAnsi="Arial"/>
          <w:sz w:val="16"/>
          <w:szCs w:val="16"/>
          <w:color w:val="auto"/>
        </w:rPr>
      </w:pPr>
    </w:p>
    <w:p>
      <w:pPr>
        <w:ind w:left="1160" w:hanging="257"/>
        <w:spacing w:after="0"/>
        <w:tabs>
          <w:tab w:leader="none" w:pos="11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90" w:lineRule="exact"/>
        <w:rPr>
          <w:rFonts w:ascii="Arial" w:cs="Arial" w:eastAsia="Arial" w:hAnsi="Arial"/>
          <w:sz w:val="18"/>
          <w:szCs w:val="18"/>
          <w:color w:val="auto"/>
        </w:rPr>
      </w:pPr>
    </w:p>
    <w:p>
      <w:pPr>
        <w:ind w:left="920" w:right="80" w:firstLine="421"/>
        <w:spacing w:after="0" w:line="255" w:lineRule="auto"/>
        <w:tabs>
          <w:tab w:leader="none" w:pos="1627" w:val="left"/>
        </w:tabs>
        <w:numPr>
          <w:ilvl w:val="2"/>
          <w:numId w:val="412"/>
        </w:numPr>
        <w:rPr>
          <w:rFonts w:ascii="Arial" w:cs="Arial" w:eastAsia="Arial" w:hAnsi="Arial"/>
          <w:sz w:val="18"/>
          <w:szCs w:val="18"/>
          <w:color w:val="auto"/>
        </w:rPr>
      </w:pPr>
      <w:r>
        <w:rPr>
          <w:rFonts w:ascii="Arial" w:cs="Arial" w:eastAsia="Arial" w:hAnsi="Arial"/>
          <w:sz w:val="18"/>
          <w:szCs w:val="18"/>
          <w:color w:val="auto"/>
        </w:rPr>
        <w:t>any Lender that is a “United States person” (as defined under Section 7701(a)(30) of the Code) shall deliver to the Borrower and the Administrative Agent (and such additional copies as shall be reasonably requested by the recipient) on or prior to the date on which such Lender become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61" w:lineRule="exact"/>
        <w:rPr>
          <w:rFonts w:ascii="Arial" w:cs="Arial" w:eastAsia="Arial" w:hAnsi="Arial"/>
          <w:sz w:val="18"/>
          <w:szCs w:val="18"/>
          <w:color w:val="auto"/>
        </w:rPr>
      </w:pPr>
    </w:p>
    <w:p>
      <w:pPr>
        <w:ind w:left="920" w:right="180" w:firstLine="421"/>
        <w:spacing w:after="0" w:line="259" w:lineRule="auto"/>
        <w:tabs>
          <w:tab w:leader="none" w:pos="1618" w:val="left"/>
        </w:tabs>
        <w:numPr>
          <w:ilvl w:val="2"/>
          <w:numId w:val="412"/>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399" w:name="page400"/>
    <w:bookmarkEnd w:id="399"/>
    <w:p>
      <w:pPr>
        <w:ind w:left="17"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of the Borrower or the Administrative Agent, but only if such Foreign Lender is legally entitled to do so), whichever of the following is applicable:</w:t>
      </w:r>
    </w:p>
    <w:p>
      <w:pPr>
        <w:spacing w:after="0" w:line="51" w:lineRule="exact"/>
        <w:rPr>
          <w:sz w:val="20"/>
          <w:szCs w:val="20"/>
          <w:color w:val="auto"/>
        </w:rPr>
      </w:pPr>
    </w:p>
    <w:p>
      <w:pPr>
        <w:ind w:left="597" w:right="340" w:firstLine="389"/>
        <w:spacing w:after="0" w:line="268" w:lineRule="auto"/>
        <w:tabs>
          <w:tab w:leader="none" w:pos="128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duly completed and executed copies of Internal Revenue Service Form W-8BEN or any successor form claiming eligibility for benefits of an income tax treaty to which the United States is a party,</w:t>
      </w:r>
    </w:p>
    <w:p>
      <w:pPr>
        <w:spacing w:after="0" w:line="50" w:lineRule="exact"/>
        <w:rPr>
          <w:rFonts w:ascii="Arial" w:cs="Arial" w:eastAsia="Arial" w:hAnsi="Arial"/>
          <w:sz w:val="18"/>
          <w:szCs w:val="18"/>
          <w:color w:val="auto"/>
        </w:rPr>
      </w:pPr>
    </w:p>
    <w:p>
      <w:pPr>
        <w:ind w:left="597" w:right="440" w:firstLine="389"/>
        <w:spacing w:after="0" w:line="332" w:lineRule="auto"/>
        <w:tabs>
          <w:tab w:leader="none" w:pos="1243" w:val="left"/>
        </w:tabs>
        <w:numPr>
          <w:ilvl w:val="1"/>
          <w:numId w:val="413"/>
        </w:numPr>
        <w:rPr>
          <w:rFonts w:ascii="Arial" w:cs="Arial" w:eastAsia="Arial" w:hAnsi="Arial"/>
          <w:sz w:val="16"/>
          <w:szCs w:val="16"/>
          <w:color w:val="auto"/>
        </w:rPr>
      </w:pPr>
      <w:r>
        <w:rPr>
          <w:rFonts w:ascii="Arial" w:cs="Arial" w:eastAsia="Arial" w:hAnsi="Arial"/>
          <w:sz w:val="16"/>
          <w:szCs w:val="16"/>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4" w:lineRule="exact"/>
        <w:rPr>
          <w:rFonts w:ascii="Arial" w:cs="Arial" w:eastAsia="Arial" w:hAnsi="Arial"/>
          <w:sz w:val="16"/>
          <w:szCs w:val="16"/>
          <w:color w:val="auto"/>
        </w:rPr>
      </w:pPr>
    </w:p>
    <w:p>
      <w:pPr>
        <w:ind w:left="597" w:right="80" w:firstLine="389"/>
        <w:spacing w:after="0" w:line="294" w:lineRule="auto"/>
        <w:tabs>
          <w:tab w:leader="none" w:pos="1243" w:val="left"/>
        </w:tabs>
        <w:numPr>
          <w:ilvl w:val="1"/>
          <w:numId w:val="413"/>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any successor form) certifying that the Foreign Lender is not a United States Person, or</w:t>
      </w:r>
    </w:p>
    <w:p>
      <w:pPr>
        <w:spacing w:after="0" w:line="34" w:lineRule="exact"/>
        <w:rPr>
          <w:rFonts w:ascii="Arial" w:cs="Arial" w:eastAsia="Arial" w:hAnsi="Arial"/>
          <w:sz w:val="16"/>
          <w:szCs w:val="16"/>
          <w:color w:val="auto"/>
        </w:rPr>
      </w:pPr>
    </w:p>
    <w:p>
      <w:pPr>
        <w:ind w:left="1217" w:hanging="231"/>
        <w:spacing w:after="0"/>
        <w:tabs>
          <w:tab w:leader="none" w:pos="1217" w:val="left"/>
        </w:tabs>
        <w:numPr>
          <w:ilvl w:val="1"/>
          <w:numId w:val="413"/>
        </w:numPr>
        <w:rPr>
          <w:rFonts w:ascii="Arial" w:cs="Arial" w:eastAsia="Arial" w:hAnsi="Arial"/>
          <w:sz w:val="16"/>
          <w:szCs w:val="16"/>
          <w:color w:val="auto"/>
        </w:rPr>
      </w:pPr>
      <w:r>
        <w:rPr>
          <w:rFonts w:ascii="Arial" w:cs="Arial" w:eastAsia="Arial" w:hAnsi="Arial"/>
          <w:sz w:val="16"/>
          <w:szCs w:val="16"/>
          <w:color w:val="auto"/>
        </w:rPr>
        <w:t>any other form including Internal Revenue Service Form W-8IMY as applicable prescribed by applicable law as a basis for</w:t>
      </w:r>
    </w:p>
    <w:p>
      <w:pPr>
        <w:spacing w:after="0" w:line="38" w:lineRule="exact"/>
        <w:rPr>
          <w:rFonts w:ascii="Arial" w:cs="Arial" w:eastAsia="Arial" w:hAnsi="Arial"/>
          <w:sz w:val="16"/>
          <w:szCs w:val="16"/>
          <w:color w:val="auto"/>
        </w:rPr>
      </w:pPr>
    </w:p>
    <w:p>
      <w:pPr>
        <w:ind w:left="597" w:right="40"/>
        <w:spacing w:after="0" w:line="323" w:lineRule="auto"/>
        <w:rPr>
          <w:rFonts w:ascii="Arial" w:cs="Arial" w:eastAsia="Arial" w:hAnsi="Arial"/>
          <w:sz w:val="16"/>
          <w:szCs w:val="16"/>
          <w:color w:val="auto"/>
        </w:rPr>
      </w:pPr>
      <w:r>
        <w:rPr>
          <w:rFonts w:ascii="Arial" w:cs="Arial" w:eastAsia="Arial" w:hAnsi="Arial"/>
          <w:sz w:val="16"/>
          <w:szCs w:val="16"/>
          <w:color w:val="auto"/>
        </w:rPr>
        <w:t>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1" w:lineRule="exact"/>
        <w:rPr>
          <w:rFonts w:ascii="Arial" w:cs="Arial" w:eastAsia="Arial" w:hAnsi="Arial"/>
          <w:sz w:val="16"/>
          <w:szCs w:val="16"/>
          <w:color w:val="auto"/>
        </w:rPr>
      </w:pPr>
    </w:p>
    <w:p>
      <w:pPr>
        <w:jc w:val="both"/>
        <w:ind w:left="-443" w:right="140" w:firstLine="443"/>
        <w:spacing w:after="0" w:line="298" w:lineRule="auto"/>
        <w:tabs>
          <w:tab w:leader="none" w:pos="303"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In addition, each Lender shall deliver such forms promptly upon the obsolescence, expiration or invalidity of any form previously delivered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13" w:lineRule="exact"/>
        <w:rPr>
          <w:sz w:val="20"/>
          <w:szCs w:val="20"/>
          <w:color w:val="auto"/>
        </w:rPr>
      </w:pPr>
    </w:p>
    <w:p>
      <w:pPr>
        <w:ind w:left="-903" w:right="60" w:firstLine="921"/>
        <w:spacing w:after="0" w:line="291" w:lineRule="auto"/>
        <w:tabs>
          <w:tab w:leader="none" w:pos="259" w:val="left"/>
        </w:tabs>
        <w:numPr>
          <w:ilvl w:val="0"/>
          <w:numId w:val="415"/>
        </w:numPr>
        <w:rPr>
          <w:rFonts w:ascii="Arial" w:cs="Arial" w:eastAsia="Arial" w:hAnsi="Arial"/>
          <w:sz w:val="16"/>
          <w:szCs w:val="16"/>
          <w:color w:val="auto"/>
        </w:rPr>
      </w:pPr>
      <w:r>
        <w:rPr>
          <w:rFonts w:ascii="Arial" w:cs="Arial" w:eastAsia="Arial" w:hAnsi="Arial"/>
          <w:sz w:val="16"/>
          <w:szCs w:val="16"/>
          <w:u w:val="single" w:color="auto"/>
          <w:color w:val="auto"/>
        </w:rPr>
        <w:t>Documentation Required by FATCA</w:t>
      </w:r>
      <w:r>
        <w:rPr>
          <w:rFonts w:ascii="Arial" w:cs="Arial" w:eastAsia="Arial" w:hAnsi="Arial"/>
          <w:sz w:val="16"/>
          <w:szCs w:val="16"/>
          <w:color w:val="auto"/>
        </w:rPr>
        <w:t>.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w:t>
      </w:r>
    </w:p>
    <w:p>
      <w:pPr>
        <w:spacing w:after="0" w:line="107"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400" w:name="page401"/>
    <w:bookmarkEnd w:id="400"/>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amount to deduct and withhold from such payment. Solely for purposes of this </w:t>
      </w:r>
      <w:r>
        <w:rPr>
          <w:rFonts w:ascii="Arial" w:cs="Arial" w:eastAsia="Arial" w:hAnsi="Arial"/>
          <w:sz w:val="18"/>
          <w:szCs w:val="18"/>
          <w:u w:val="single" w:color="auto"/>
          <w:color w:val="auto"/>
        </w:rPr>
        <w:t>Section 2.16(g)</w:t>
      </w:r>
      <w:r>
        <w:rPr>
          <w:rFonts w:ascii="Arial" w:cs="Arial" w:eastAsia="Arial" w:hAnsi="Arial"/>
          <w:sz w:val="18"/>
          <w:szCs w:val="18"/>
          <w:color w:val="auto"/>
        </w:rPr>
        <w:t>, “FATCA” shall include any amendments made to FATCA after the date of this Agreement.</w:t>
      </w:r>
    </w:p>
    <w:p>
      <w:pPr>
        <w:spacing w:after="0" w:line="132" w:lineRule="exact"/>
        <w:rPr>
          <w:sz w:val="20"/>
          <w:szCs w:val="20"/>
          <w:color w:val="auto"/>
        </w:rPr>
      </w:pPr>
    </w:p>
    <w:p>
      <w:pPr>
        <w:ind w:right="40" w:firstLine="921"/>
        <w:spacing w:after="0" w:line="286" w:lineRule="auto"/>
        <w:tabs>
          <w:tab w:leader="none" w:pos="1161" w:val="left"/>
        </w:tabs>
        <w:numPr>
          <w:ilvl w:val="0"/>
          <w:numId w:val="416"/>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in no event will the Administrative Agent, any Lender or an Issuing Bank be required to pay any amount to Borrower pursuant to this </w:t>
      </w:r>
      <w:r>
        <w:rPr>
          <w:rFonts w:ascii="Arial" w:cs="Arial" w:eastAsia="Arial" w:hAnsi="Arial"/>
          <w:sz w:val="16"/>
          <w:szCs w:val="16"/>
          <w:u w:val="single" w:color="auto"/>
          <w:color w:val="auto"/>
        </w:rPr>
        <w:t>clause (h)</w:t>
      </w:r>
      <w:r>
        <w:rPr>
          <w:rFonts w:ascii="Arial" w:cs="Arial" w:eastAsia="Arial" w:hAnsi="Arial"/>
          <w:sz w:val="16"/>
          <w:szCs w:val="16"/>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87" w:lineRule="auto"/>
        <w:tabs>
          <w:tab w:leader="none" w:pos="1152" w:val="left"/>
        </w:tabs>
        <w:numPr>
          <w:ilvl w:val="0"/>
          <w:numId w:val="417"/>
        </w:numPr>
        <w:rPr>
          <w:rFonts w:ascii="Arial" w:cs="Arial" w:eastAsia="Arial" w:hAnsi="Arial"/>
          <w:sz w:val="16"/>
          <w:szCs w:val="16"/>
          <w:color w:val="auto"/>
        </w:rPr>
      </w:pPr>
      <w:r>
        <w:rPr>
          <w:rFonts w:ascii="Arial" w:cs="Arial" w:eastAsia="Arial" w:hAnsi="Arial"/>
          <w:sz w:val="16"/>
          <w:szCs w:val="16"/>
          <w:u w:val="single" w:color="auto"/>
          <w:color w:val="auto"/>
        </w:rPr>
        <w:t>Payments by the Borrower</w:t>
      </w:r>
      <w:r>
        <w:rPr>
          <w:rFonts w:ascii="Arial" w:cs="Arial" w:eastAsia="Arial" w:hAnsi="Arial"/>
          <w:sz w:val="16"/>
          <w:szCs w:val="16"/>
          <w:color w:val="auto"/>
        </w:rPr>
        <w:t xml:space="preserve">. The Borrower shall make each payment required to be made by it hereunder (whether of principal, interest, fees or reimbursement of LC Disbursements, or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the Issuing Bank or the Swingline Lender as expressly provided herein and payments pursuant to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0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01" w:name="page402"/>
    <w:bookmarkEnd w:id="401"/>
    <w:p>
      <w:pPr>
        <w:ind w:right="2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amounts owing under this Agreement (including commitment fees, payments required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payments required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6"/>
          <w:szCs w:val="16"/>
          <w:u w:val="single" w:color="auto"/>
          <w:color w:val="auto"/>
        </w:rPr>
        <w:t>Section 2.15</w:t>
      </w:r>
      <w:r>
        <w:rPr>
          <w:rFonts w:ascii="Arial" w:cs="Arial" w:eastAsia="Arial" w:hAnsi="Arial"/>
          <w:sz w:val="16"/>
          <w:szCs w:val="16"/>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Notwithstanding the foregoing provisions of this Section, if, after the making of any Borrowing in any Foreign Currency, currency control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exchange regulations are imposed in the country which issues such currency with the result that the type of currency in which the Borrowing was made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Currency</w:t>
      </w:r>
      <w:r>
        <w:rPr>
          <w:rFonts w:ascii="Arial" w:cs="Arial" w:eastAsia="Arial" w:hAnsi="Arial"/>
          <w:sz w:val="16"/>
          <w:szCs w:val="16"/>
          <w:color w:val="auto"/>
        </w:rPr>
        <w:t>”) no longer exists or the Borrower is not able to make payment to the Administrative Agent for the account of the Lenders in such Original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Currency, then all payments to be made by the Borrower hereunder in such currency shall instead be made when due in Dollars in an amount equal to the 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Equivalent (as of the date of repayment) of such payment due, it being the intention of the parties hereto that the Borrower takes all risks of the imposition of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currency control or exchange regulations.</w:t>
      </w:r>
    </w:p>
    <w:p>
      <w:pPr>
        <w:spacing w:after="0" w:line="165" w:lineRule="exact"/>
        <w:rPr>
          <w:sz w:val="20"/>
          <w:szCs w:val="20"/>
          <w:color w:val="auto"/>
        </w:rPr>
      </w:pPr>
    </w:p>
    <w:p>
      <w:pPr>
        <w:ind w:right="100" w:firstLine="921"/>
        <w:spacing w:after="0" w:line="318" w:lineRule="auto"/>
        <w:tabs>
          <w:tab w:leader="none" w:pos="1161" w:val="left"/>
        </w:tabs>
        <w:numPr>
          <w:ilvl w:val="0"/>
          <w:numId w:val="418"/>
        </w:numPr>
        <w:rPr>
          <w:rFonts w:ascii="Arial" w:cs="Arial" w:eastAsia="Arial" w:hAnsi="Arial"/>
          <w:sz w:val="15"/>
          <w:szCs w:val="15"/>
          <w:color w:val="auto"/>
        </w:rPr>
      </w:pPr>
      <w:r>
        <w:rPr>
          <w:rFonts w:ascii="Arial" w:cs="Arial" w:eastAsia="Arial" w:hAnsi="Arial"/>
          <w:sz w:val="15"/>
          <w:szCs w:val="15"/>
          <w:u w:val="single" w:color="auto"/>
          <w:color w:val="auto"/>
        </w:rPr>
        <w:t>Application of Insufficient Payments</w:t>
      </w:r>
      <w:r>
        <w:rPr>
          <w:rFonts w:ascii="Arial" w:cs="Arial" w:eastAsia="Arial" w:hAnsi="Arial"/>
          <w:sz w:val="15"/>
          <w:szCs w:val="15"/>
          <w:color w:val="auto"/>
        </w:rPr>
        <w:t>. If at any time insufficient funds are received by and available to the Administrative Agent to pay fully all amounts of principal, unreimbursed 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99" w:lineRule="exact"/>
        <w:rPr>
          <w:rFonts w:ascii="Arial" w:cs="Arial" w:eastAsia="Arial" w:hAnsi="Arial"/>
          <w:sz w:val="15"/>
          <w:szCs w:val="15"/>
          <w:color w:val="auto"/>
        </w:rPr>
      </w:pPr>
    </w:p>
    <w:p>
      <w:pPr>
        <w:ind w:right="20" w:firstLine="921"/>
        <w:spacing w:after="0" w:line="291" w:lineRule="auto"/>
        <w:tabs>
          <w:tab w:leader="none" w:pos="1152"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Pro Rata Treatment</w:t>
      </w:r>
      <w:r>
        <w:rPr>
          <w:rFonts w:ascii="Arial" w:cs="Arial" w:eastAsia="Arial" w:hAnsi="Arial"/>
          <w:sz w:val="16"/>
          <w:szCs w:val="16"/>
          <w:color w:val="auto"/>
        </w:rPr>
        <w:t xml:space="preserve">. Except to the extent otherwise provided herein: (i) other than with respect any Syndicated Borrowing requested pursuant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be made for account of the Lenders of the applicable Class, and each termination or reduction of the amount of the Commitments of a Class of Commitments or Final Maturity Date under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shall be applied to the respective Commitments of the Lenders of such Class of Commitments or Final Maturity Date, pro rata according to the amounts of their respective Commitments of such Class</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02" w:name="page403"/>
    <w:bookmarkEnd w:id="402"/>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Commitments or Final Maturity Date; (ii) each Syndicated Borrowing of a Class of Commitments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spacing w:after="0" w:line="118" w:lineRule="exact"/>
        <w:rPr>
          <w:sz w:val="20"/>
          <w:szCs w:val="20"/>
          <w:color w:val="auto"/>
        </w:rPr>
      </w:pPr>
    </w:p>
    <w:p>
      <w:pPr>
        <w:ind w:right="20" w:firstLine="921"/>
        <w:spacing w:after="0" w:line="301" w:lineRule="auto"/>
        <w:tabs>
          <w:tab w:leader="none" w:pos="1161" w:val="left"/>
        </w:tabs>
        <w:numPr>
          <w:ilvl w:val="1"/>
          <w:numId w:val="419"/>
        </w:numPr>
        <w:rPr>
          <w:rFonts w:ascii="Arial" w:cs="Arial" w:eastAsia="Arial" w:hAnsi="Arial"/>
          <w:sz w:val="15"/>
          <w:szCs w:val="15"/>
          <w:color w:val="auto"/>
        </w:rPr>
      </w:pPr>
      <w:r>
        <w:rPr>
          <w:rFonts w:ascii="Arial" w:cs="Arial" w:eastAsia="Arial" w:hAnsi="Arial"/>
          <w:sz w:val="15"/>
          <w:szCs w:val="15"/>
          <w:u w:val="single" w:color="auto"/>
          <w:color w:val="auto"/>
        </w:rPr>
        <w:t>Sharing of Payments by Lenders</w:t>
      </w:r>
      <w:r>
        <w:rPr>
          <w:rFonts w:ascii="Arial" w:cs="Arial" w:eastAsia="Arial" w:hAnsi="Arial"/>
          <w:sz w:val="15"/>
          <w:szCs w:val="15"/>
          <w:color w:val="auto"/>
        </w:rPr>
        <w:t xml:space="preserve">.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w:t>
      </w:r>
    </w:p>
    <w:p>
      <w:pPr>
        <w:spacing w:after="0" w:line="4" w:lineRule="exact"/>
        <w:rPr>
          <w:rFonts w:ascii="Arial" w:cs="Arial" w:eastAsia="Arial" w:hAnsi="Arial"/>
          <w:sz w:val="15"/>
          <w:szCs w:val="15"/>
          <w:color w:val="auto"/>
        </w:rPr>
      </w:pPr>
    </w:p>
    <w:p>
      <w:pPr>
        <w:ind w:right="40" w:firstLine="8"/>
        <w:spacing w:after="0" w:line="290" w:lineRule="auto"/>
        <w:tabs>
          <w:tab w:leader="none" w:pos="258" w:val="left"/>
        </w:tabs>
        <w:numPr>
          <w:ilvl w:val="0"/>
          <w:numId w:val="420"/>
        </w:numPr>
        <w:rPr>
          <w:rFonts w:ascii="Arial" w:cs="Arial" w:eastAsia="Arial" w:hAnsi="Arial"/>
          <w:sz w:val="16"/>
          <w:szCs w:val="16"/>
          <w:color w:val="auto"/>
        </w:rPr>
      </w:pPr>
      <w:r>
        <w:rPr>
          <w:rFonts w:ascii="Arial" w:cs="Arial" w:eastAsia="Arial" w:hAnsi="Arial"/>
          <w:sz w:val="16"/>
          <w:szCs w:val="16"/>
          <w:color w:val="auto"/>
        </w:rPr>
        <w:t>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18" w:lineRule="exact"/>
        <w:rPr>
          <w:rFonts w:ascii="Arial" w:cs="Arial" w:eastAsia="Arial" w:hAnsi="Arial"/>
          <w:sz w:val="16"/>
          <w:szCs w:val="16"/>
          <w:color w:val="auto"/>
        </w:rPr>
      </w:pPr>
    </w:p>
    <w:p>
      <w:pPr>
        <w:ind w:right="40" w:firstLine="921"/>
        <w:spacing w:after="0" w:line="255" w:lineRule="auto"/>
        <w:tabs>
          <w:tab w:leader="none" w:pos="1152" w:val="left"/>
        </w:tabs>
        <w:numPr>
          <w:ilvl w:val="1"/>
          <w:numId w:val="420"/>
        </w:numPr>
        <w:rPr>
          <w:rFonts w:ascii="Arial" w:cs="Arial" w:eastAsia="Arial" w:hAnsi="Arial"/>
          <w:sz w:val="18"/>
          <w:szCs w:val="18"/>
          <w:color w:val="auto"/>
        </w:rPr>
      </w:pPr>
      <w:r>
        <w:rPr>
          <w:rFonts w:ascii="Arial" w:cs="Arial" w:eastAsia="Arial" w:hAnsi="Arial"/>
          <w:sz w:val="18"/>
          <w:szCs w:val="18"/>
          <w:u w:val="single" w:color="auto"/>
          <w:color w:val="auto"/>
        </w:rPr>
        <w:t>Presumptions of Payment</w:t>
      </w:r>
      <w:r>
        <w:rPr>
          <w:rFonts w:ascii="Arial" w:cs="Arial" w:eastAsia="Arial" w:hAnsi="Arial"/>
          <w:sz w:val="18"/>
          <w:szCs w:val="18"/>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w:t>
      </w:r>
    </w:p>
    <w:p>
      <w:pPr>
        <w:spacing w:after="0" w:line="12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03" w:name="page404"/>
    <w:bookmarkEnd w:id="403"/>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14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Certain Deductions by the Administrative Agent</w:t>
      </w:r>
      <w:r>
        <w:rPr>
          <w:rFonts w:ascii="Arial" w:cs="Arial" w:eastAsia="Arial" w:hAnsi="Arial"/>
          <w:sz w:val="18"/>
          <w:szCs w:val="18"/>
          <w:color w:val="auto"/>
        </w:rPr>
        <w:t>. If any Lender shall fail to make any payment required to be made by it pursuant to</w:t>
      </w:r>
    </w:p>
    <w:p>
      <w:pPr>
        <w:spacing w:after="0" w:line="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2.17(e)</w:t>
      </w:r>
      <w:r>
        <w:rPr>
          <w:rFonts w:ascii="Arial" w:cs="Arial" w:eastAsia="Arial" w:hAnsi="Arial"/>
          <w:sz w:val="18"/>
          <w:szCs w:val="18"/>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90" w:lineRule="auto"/>
        <w:tabs>
          <w:tab w:leader="none" w:pos="1152" w:val="left"/>
        </w:tabs>
        <w:numPr>
          <w:ilvl w:val="0"/>
          <w:numId w:val="421"/>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18" w:lineRule="exact"/>
        <w:rPr>
          <w:rFonts w:ascii="Arial" w:cs="Arial" w:eastAsia="Arial" w:hAnsi="Arial"/>
          <w:sz w:val="16"/>
          <w:szCs w:val="16"/>
          <w:color w:val="auto"/>
        </w:rPr>
      </w:pPr>
    </w:p>
    <w:p>
      <w:pPr>
        <w:ind w:firstLine="921"/>
        <w:spacing w:after="0" w:line="286" w:lineRule="auto"/>
        <w:tabs>
          <w:tab w:leader="none" w:pos="1161" w:val="left"/>
        </w:tabs>
        <w:numPr>
          <w:ilvl w:val="0"/>
          <w:numId w:val="421"/>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if any Lender becomes a Defaulting Lender or is a Non-Consenting Lender (as provided in </w:t>
      </w:r>
      <w:r>
        <w:rPr>
          <w:rFonts w:ascii="Arial" w:cs="Arial" w:eastAsia="Arial" w:hAnsi="Arial"/>
          <w:sz w:val="16"/>
          <w:szCs w:val="16"/>
          <w:u w:val="single" w:color="auto"/>
          <w:color w:val="auto"/>
        </w:rPr>
        <w:t>Section 9.02(d)</w:t>
      </w:r>
      <w:r>
        <w:rPr>
          <w:rFonts w:ascii="Arial" w:cs="Arial" w:eastAsia="Arial" w:hAnsi="Arial"/>
          <w:sz w:val="16"/>
          <w:szCs w:val="16"/>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Commitment is being assigned,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04" w:name="page405"/>
    <w:bookmarkEnd w:id="404"/>
    <w:p>
      <w:pPr>
        <w:ind w:left="45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90" w:lineRule="exact"/>
        <w:rPr>
          <w:sz w:val="20"/>
          <w:szCs w:val="20"/>
          <w:color w:val="auto"/>
        </w:rPr>
      </w:pPr>
    </w:p>
    <w:p>
      <w:pPr>
        <w:ind w:left="-464" w:right="420" w:firstLine="921"/>
        <w:spacing w:after="0" w:line="332" w:lineRule="auto"/>
        <w:tabs>
          <w:tab w:leader="none" w:pos="687" w:val="left"/>
        </w:tabs>
        <w:numPr>
          <w:ilvl w:val="2"/>
          <w:numId w:val="422"/>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4" w:lineRule="exact"/>
        <w:rPr>
          <w:rFonts w:ascii="Arial" w:cs="Arial" w:eastAsia="Arial" w:hAnsi="Arial"/>
          <w:sz w:val="16"/>
          <w:szCs w:val="16"/>
          <w:color w:val="auto"/>
        </w:rPr>
      </w:pPr>
    </w:p>
    <w:p>
      <w:pPr>
        <w:ind w:left="-4" w:right="20" w:firstLine="443"/>
        <w:spacing w:after="0" w:line="282" w:lineRule="auto"/>
        <w:tabs>
          <w:tab w:leader="none" w:pos="643" w:val="left"/>
        </w:tabs>
        <w:numPr>
          <w:ilvl w:val="1"/>
          <w:numId w:val="423"/>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or received by Administrative Agent from a Defaulting Lender pursuant to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shall be applied at such time or times as may be determined by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Issuing Bank or Swingline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Issuing Bank’s Fronting Exposure with respect to such Defaulting Lender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Administrative Agent and Borrower, to be held in a deposit account and released pro rata in order to</w:t>
      </w:r>
    </w:p>
    <w:p>
      <w:pPr>
        <w:spacing w:after="0" w:line="5" w:lineRule="exact"/>
        <w:rPr>
          <w:rFonts w:ascii="Arial" w:cs="Arial" w:eastAsia="Arial" w:hAnsi="Arial"/>
          <w:sz w:val="16"/>
          <w:szCs w:val="16"/>
          <w:color w:val="auto"/>
        </w:rPr>
      </w:pPr>
    </w:p>
    <w:p>
      <w:pPr>
        <w:ind w:left="-4" w:firstLine="4"/>
        <w:spacing w:after="0" w:line="300" w:lineRule="auto"/>
        <w:tabs>
          <w:tab w:leader="none" w:pos="244" w:val="left"/>
        </w:tabs>
        <w:numPr>
          <w:ilvl w:val="0"/>
          <w:numId w:val="424"/>
        </w:numPr>
        <w:rPr>
          <w:rFonts w:ascii="Arial" w:cs="Arial" w:eastAsia="Arial" w:hAnsi="Arial"/>
          <w:sz w:val="15"/>
          <w:szCs w:val="15"/>
          <w:color w:val="auto"/>
        </w:rPr>
      </w:pPr>
      <w:r>
        <w:rPr>
          <w:rFonts w:ascii="Arial" w:cs="Arial" w:eastAsia="Arial" w:hAnsi="Arial"/>
          <w:sz w:val="15"/>
          <w:szCs w:val="15"/>
          <w:color w:val="auto"/>
        </w:rPr>
        <w:t xml:space="preserve">satisfy such Defaulting Lender’s potential future funding obligations with respect to Loans under this Agreement and (y) Cash Collateralize Issuing Bank’s future Fronting Exposure with respect to such Defaulting Lender with respect to future Letters of Credit issued under this Agreement, in the manner described in </w:t>
      </w:r>
      <w:r>
        <w:rPr>
          <w:rFonts w:ascii="Arial" w:cs="Arial" w:eastAsia="Arial" w:hAnsi="Arial"/>
          <w:sz w:val="15"/>
          <w:szCs w:val="15"/>
          <w:u w:val="single" w:color="auto"/>
          <w:color w:val="auto"/>
        </w:rPr>
        <w:t>Section 2.09(a)</w:t>
      </w:r>
      <w:r>
        <w:rPr>
          <w:rFonts w:ascii="Arial" w:cs="Arial" w:eastAsia="Arial" w:hAnsi="Arial"/>
          <w:sz w:val="15"/>
          <w:szCs w:val="15"/>
          <w:color w:val="auto"/>
        </w:rPr>
        <w:t xml:space="preserve">; </w:t>
      </w:r>
      <w:r>
        <w:rPr>
          <w:rFonts w:ascii="Arial" w:cs="Arial" w:eastAsia="Arial" w:hAnsi="Arial"/>
          <w:sz w:val="15"/>
          <w:szCs w:val="15"/>
          <w:i w:val="1"/>
          <w:iCs w:val="1"/>
          <w:color w:val="auto"/>
        </w:rPr>
        <w:t>sixth</w:t>
      </w:r>
      <w:r>
        <w:rPr>
          <w:rFonts w:ascii="Arial" w:cs="Arial" w:eastAsia="Arial" w:hAnsi="Arial"/>
          <w:sz w:val="15"/>
          <w:szCs w:val="15"/>
          <w:color w:val="auto"/>
        </w:rPr>
        <w:t xml:space="preserve">, to the payment of any amounts owing to the Lenders, Issuing Bank or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Arial" w:cs="Arial" w:eastAsia="Arial" w:hAnsi="Arial"/>
          <w:sz w:val="15"/>
          <w:szCs w:val="15"/>
          <w:i w:val="1"/>
          <w:iCs w:val="1"/>
          <w:color w:val="auto"/>
        </w:rPr>
        <w:t>seventh</w:t>
      </w:r>
      <w:r>
        <w:rPr>
          <w:rFonts w:ascii="Arial" w:cs="Arial" w:eastAsia="Arial" w:hAnsi="Arial"/>
          <w:sz w:val="15"/>
          <w:szCs w:val="15"/>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5"/>
          <w:szCs w:val="15"/>
          <w:i w:val="1"/>
          <w:iCs w:val="1"/>
          <w:color w:val="auto"/>
        </w:rPr>
        <w:t>eighth</w:t>
      </w:r>
      <w:r>
        <w:rPr>
          <w:rFonts w:ascii="Arial" w:cs="Arial" w:eastAsia="Arial" w:hAnsi="Arial"/>
          <w:sz w:val="15"/>
          <w:szCs w:val="15"/>
          <w:color w:val="auto"/>
        </w:rPr>
        <w:t xml:space="preserve">, to such Defaulting Lender or as otherwise directed by a court of competent jurisdiction;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w:t>
      </w:r>
    </w:p>
    <w:p>
      <w:pPr>
        <w:spacing w:after="0" w:line="3" w:lineRule="exact"/>
        <w:rPr>
          <w:rFonts w:ascii="Arial" w:cs="Arial" w:eastAsia="Arial" w:hAnsi="Arial"/>
          <w:sz w:val="15"/>
          <w:szCs w:val="15"/>
          <w:color w:val="auto"/>
        </w:rPr>
      </w:pPr>
    </w:p>
    <w:p>
      <w:pPr>
        <w:ind w:left="-4" w:right="100" w:firstLine="4"/>
        <w:spacing w:after="0" w:line="287" w:lineRule="auto"/>
        <w:tabs>
          <w:tab w:leader="none" w:pos="244"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xml:space="preserve">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6"/>
          <w:szCs w:val="16"/>
          <w:u w:val="single" w:color="auto"/>
          <w:color w:val="auto"/>
        </w:rPr>
        <w:t>Section 2.19(a)(iii)</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2.19(a)(i)</w:t>
      </w:r>
      <w:r>
        <w:rPr>
          <w:rFonts w:ascii="Arial" w:cs="Arial" w:eastAsia="Arial" w:hAnsi="Arial"/>
          <w:sz w:val="16"/>
          <w:szCs w:val="16"/>
          <w:color w:val="auto"/>
        </w:rPr>
        <w:t xml:space="preserve"> shall be</w:t>
      </w:r>
    </w:p>
    <w:p>
      <w:pPr>
        <w:spacing w:after="0" w:line="111" w:lineRule="exact"/>
        <w:rPr>
          <w:sz w:val="20"/>
          <w:szCs w:val="20"/>
          <w:color w:val="auto"/>
        </w:rPr>
      </w:pPr>
    </w:p>
    <w:p>
      <w:pPr>
        <w:jc w:val="both"/>
        <w:ind w:left="5396"/>
        <w:spacing w:after="0"/>
        <w:tabs>
          <w:tab w:leader="none" w:pos="8955"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56"/>
          </w:cols>
          <w:pgMar w:left="704" w:top="280" w:right="2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deemed paid to and redirected by such Defaulting Lender, and each Lender irrevocably consents hereto.</w:t>
      </w:r>
    </w:p>
    <w:p>
      <w:pPr>
        <w:spacing w:after="0" w:line="90" w:lineRule="exact"/>
        <w:rPr>
          <w:sz w:val="20"/>
          <w:szCs w:val="20"/>
          <w:color w:val="auto"/>
        </w:rPr>
      </w:pPr>
    </w:p>
    <w:p>
      <w:pPr>
        <w:ind w:left="700" w:hanging="257"/>
        <w:spacing w:after="0"/>
        <w:tabs>
          <w:tab w:leader="none" w:pos="700"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21"/>
        <w:spacing w:after="0" w:line="255" w:lineRule="auto"/>
        <w:tabs>
          <w:tab w:leader="none" w:pos="1167" w:val="left"/>
        </w:tabs>
        <w:numPr>
          <w:ilvl w:val="2"/>
          <w:numId w:val="426"/>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pursuant to </w:t>
      </w:r>
      <w:r>
        <w:rPr>
          <w:rFonts w:ascii="Arial" w:cs="Arial" w:eastAsia="Arial" w:hAnsi="Arial"/>
          <w:sz w:val="18"/>
          <w:szCs w:val="18"/>
          <w:u w:val="single" w:color="auto"/>
          <w:color w:val="auto"/>
        </w:rPr>
        <w:t>Sections 2.11(a)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Defaulting Lender shall be entitled to receive fees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1160" w:hanging="279"/>
        <w:spacing w:after="0"/>
        <w:tabs>
          <w:tab w:leader="none" w:pos="1160" w:val="left"/>
        </w:tabs>
        <w:numPr>
          <w:ilvl w:val="2"/>
          <w:numId w:val="426"/>
        </w:numPr>
        <w:rPr>
          <w:rFonts w:ascii="Arial" w:cs="Arial" w:eastAsia="Arial" w:hAnsi="Arial"/>
          <w:sz w:val="16"/>
          <w:szCs w:val="16"/>
          <w:color w:val="auto"/>
        </w:rPr>
      </w:pPr>
      <w:r>
        <w:rPr>
          <w:rFonts w:ascii="Arial" w:cs="Arial" w:eastAsia="Arial" w:hAnsi="Arial"/>
          <w:sz w:val="16"/>
          <w:szCs w:val="16"/>
          <w:color w:val="auto"/>
        </w:rPr>
        <w:t xml:space="preserve">With respect to any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fees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Borrower shall</w:t>
      </w:r>
    </w:p>
    <w:p>
      <w:pPr>
        <w:spacing w:after="0" w:line="38" w:lineRule="exact"/>
        <w:rPr>
          <w:rFonts w:ascii="Arial" w:cs="Arial" w:eastAsia="Arial" w:hAnsi="Arial"/>
          <w:sz w:val="16"/>
          <w:szCs w:val="16"/>
          <w:color w:val="auto"/>
        </w:rPr>
      </w:pPr>
    </w:p>
    <w:p>
      <w:pPr>
        <w:ind w:left="460" w:firstLine="1"/>
        <w:spacing w:after="0" w:line="281" w:lineRule="auto"/>
        <w:tabs>
          <w:tab w:leader="none" w:pos="709" w:val="left"/>
        </w:tabs>
        <w:numPr>
          <w:ilvl w:val="1"/>
          <w:numId w:val="426"/>
        </w:numPr>
        <w:rPr>
          <w:rFonts w:ascii="Arial" w:cs="Arial" w:eastAsia="Arial" w:hAnsi="Arial"/>
          <w:sz w:val="16"/>
          <w:szCs w:val="16"/>
          <w:color w:val="auto"/>
        </w:rPr>
      </w:pPr>
      <w:r>
        <w:rPr>
          <w:rFonts w:ascii="Arial" w:cs="Arial" w:eastAsia="Arial" w:hAnsi="Arial"/>
          <w:sz w:val="16"/>
          <w:szCs w:val="16"/>
          <w:color w:val="auto"/>
        </w:rPr>
        <w:t xml:space="preserve">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w:t>
      </w:r>
    </w:p>
    <w:p>
      <w:pPr>
        <w:spacing w:after="0" w:line="1" w:lineRule="exact"/>
        <w:rPr>
          <w:rFonts w:ascii="Arial" w:cs="Arial" w:eastAsia="Arial" w:hAnsi="Arial"/>
          <w:sz w:val="16"/>
          <w:szCs w:val="16"/>
          <w:color w:val="auto"/>
        </w:rPr>
      </w:pPr>
    </w:p>
    <w:p>
      <w:pPr>
        <w:ind w:left="460" w:right="220" w:firstLine="1"/>
        <w:spacing w:after="0" w:line="261" w:lineRule="auto"/>
        <w:tabs>
          <w:tab w:leader="none" w:pos="709" w:val="left"/>
        </w:tabs>
        <w:numPr>
          <w:ilvl w:val="1"/>
          <w:numId w:val="426"/>
        </w:numPr>
        <w:rPr>
          <w:rFonts w:ascii="Arial" w:cs="Arial" w:eastAsia="Arial" w:hAnsi="Arial"/>
          <w:sz w:val="18"/>
          <w:szCs w:val="18"/>
          <w:color w:val="auto"/>
        </w:rPr>
      </w:pPr>
      <w:r>
        <w:rPr>
          <w:rFonts w:ascii="Arial" w:cs="Arial" w:eastAsia="Arial" w:hAnsi="Arial"/>
          <w:sz w:val="18"/>
          <w:szCs w:val="18"/>
          <w:color w:val="auto"/>
        </w:rPr>
        <w:t>pay to Issuing Bank the amount of any such fee otherwise payable to such Defaulting Lender to the extent allocable to Issuing Bank’s Fronting Exposure to such Defaulting Lender, and (z) not be required to pay the remaining amount of any such fee.</w:t>
      </w:r>
    </w:p>
    <w:p>
      <w:pPr>
        <w:spacing w:after="0" w:line="57" w:lineRule="exact"/>
        <w:rPr>
          <w:sz w:val="20"/>
          <w:szCs w:val="20"/>
          <w:color w:val="auto"/>
        </w:rPr>
      </w:pPr>
    </w:p>
    <w:p>
      <w:pPr>
        <w:ind w:right="220" w:firstLine="443"/>
        <w:spacing w:after="0" w:line="302" w:lineRule="auto"/>
        <w:tabs>
          <w:tab w:leader="none" w:pos="745" w:val="left"/>
        </w:tabs>
        <w:numPr>
          <w:ilvl w:val="1"/>
          <w:numId w:val="427"/>
        </w:numPr>
        <w:rPr>
          <w:rFonts w:ascii="Arial" w:cs="Arial" w:eastAsia="Arial" w:hAnsi="Arial"/>
          <w:sz w:val="15"/>
          <w:szCs w:val="15"/>
          <w:color w:val="auto"/>
        </w:rPr>
      </w:pPr>
      <w:r>
        <w:rPr>
          <w:rFonts w:ascii="Arial" w:cs="Arial" w:eastAsia="Arial" w:hAnsi="Arial"/>
          <w:sz w:val="15"/>
          <w:szCs w:val="15"/>
          <w:u w:val="single" w:color="auto"/>
          <w:color w:val="auto"/>
        </w:rPr>
        <w:t>Reallocation of Participations to Reduce Fronting Exposure</w:t>
      </w:r>
      <w:r>
        <w:rPr>
          <w:rFonts w:ascii="Arial" w:cs="Arial" w:eastAsia="Arial" w:hAnsi="Arial"/>
          <w:sz w:val="15"/>
          <w:szCs w:val="15"/>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w:t>
      </w:r>
    </w:p>
    <w:p>
      <w:pPr>
        <w:ind w:left="260" w:hanging="256"/>
        <w:spacing w:after="0"/>
        <w:tabs>
          <w:tab w:leader="none" w:pos="26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such reallocation does not cause the aggregate Revolving Credit Exposure of any Non-Defaulting Lender to exceed such Non-Defaulting Lender’s</w:t>
      </w:r>
    </w:p>
    <w:p>
      <w:pPr>
        <w:spacing w:after="0" w:line="32" w:lineRule="exact"/>
        <w:rPr>
          <w:rFonts w:ascii="Arial" w:cs="Arial" w:eastAsia="Arial" w:hAnsi="Arial"/>
          <w:sz w:val="16"/>
          <w:szCs w:val="16"/>
          <w:color w:val="auto"/>
        </w:rPr>
      </w:pPr>
    </w:p>
    <w:p>
      <w:pPr>
        <w:ind w:right="180"/>
        <w:spacing w:after="0" w:line="255" w:lineRule="auto"/>
        <w:rPr>
          <w:rFonts w:ascii="Arial" w:cs="Arial" w:eastAsia="Arial" w:hAnsi="Arial"/>
          <w:sz w:val="16"/>
          <w:szCs w:val="16"/>
          <w:color w:val="auto"/>
        </w:rPr>
      </w:pPr>
      <w:r>
        <w:rPr>
          <w:rFonts w:ascii="Arial" w:cs="Arial" w:eastAsia="Arial" w:hAnsi="Arial"/>
          <w:sz w:val="18"/>
          <w:szCs w:val="18"/>
          <w:color w:val="auto"/>
        </w:rPr>
        <w:t>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63" w:lineRule="exact"/>
        <w:rPr>
          <w:sz w:val="20"/>
          <w:szCs w:val="20"/>
          <w:color w:val="auto"/>
        </w:rPr>
      </w:pPr>
    </w:p>
    <w:p>
      <w:pPr>
        <w:jc w:val="both"/>
        <w:ind w:right="160" w:firstLine="443"/>
        <w:spacing w:after="0" w:line="259" w:lineRule="auto"/>
        <w:tabs>
          <w:tab w:leader="none" w:pos="735"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cannot, or can only partially, be effected, the Borrower shall not later than two (2) Business Days after demand by the Administrative Agent (at the direction of the Issuing Bank and/or the Swingline Lender), without prejudice to any</w:t>
      </w:r>
    </w:p>
    <w:p>
      <w:pPr>
        <w:spacing w:after="0" w:line="127" w:lineRule="exact"/>
        <w:rPr>
          <w:sz w:val="20"/>
          <w:szCs w:val="20"/>
          <w:color w:val="auto"/>
        </w:rPr>
      </w:pPr>
    </w:p>
    <w:p>
      <w:pPr>
        <w:jc w:val="both"/>
        <w:ind w:left="5400"/>
        <w:spacing w:after="0"/>
        <w:tabs>
          <w:tab w:leader="none" w:pos="896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406" w:name="page407"/>
    <w:bookmarkEnd w:id="406"/>
    <w:p>
      <w:pPr>
        <w:ind w:left="452"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the Issuing Bank’s Fronting Exposure in accordance with the procedures set forth in </w:t>
      </w:r>
      <w:r>
        <w:rPr>
          <w:rFonts w:ascii="Arial" w:cs="Arial" w:eastAsia="Arial" w:hAnsi="Arial"/>
          <w:sz w:val="16"/>
          <w:szCs w:val="16"/>
          <w:u w:val="single" w:color="auto"/>
          <w:color w:val="auto"/>
        </w:rPr>
        <w:t>Section 2.19(d)</w:t>
      </w:r>
      <w:r>
        <w:rPr>
          <w:rFonts w:ascii="Arial" w:cs="Arial" w:eastAsia="Arial" w:hAnsi="Arial"/>
          <w:sz w:val="16"/>
          <w:szCs w:val="16"/>
          <w:color w:val="auto"/>
        </w:rPr>
        <w:t xml:space="preserve"> or (z) make other arrangements reasonably satisfactory to the Administrative Agent, the Issuing Bank and the Swingline Lender in their sole discretion to protect them against the risk of non-payment by such Defaulting Lender.</w:t>
      </w:r>
    </w:p>
    <w:p>
      <w:pPr>
        <w:spacing w:after="0" w:line="120" w:lineRule="exact"/>
        <w:rPr>
          <w:sz w:val="20"/>
          <w:szCs w:val="20"/>
          <w:color w:val="auto"/>
        </w:rPr>
      </w:pPr>
    </w:p>
    <w:p>
      <w:pPr>
        <w:ind w:left="-8" w:right="120" w:firstLine="921"/>
        <w:spacing w:after="0" w:line="308" w:lineRule="auto"/>
        <w:tabs>
          <w:tab w:leader="none" w:pos="1153" w:val="left"/>
        </w:tabs>
        <w:numPr>
          <w:ilvl w:val="1"/>
          <w:numId w:val="430"/>
        </w:numPr>
        <w:rPr>
          <w:rFonts w:ascii="Arial" w:cs="Arial" w:eastAsia="Arial" w:hAnsi="Arial"/>
          <w:sz w:val="15"/>
          <w:szCs w:val="15"/>
          <w:color w:val="auto"/>
        </w:rPr>
      </w:pPr>
      <w:r>
        <w:rPr>
          <w:rFonts w:ascii="Arial" w:cs="Arial" w:eastAsia="Arial" w:hAnsi="Arial"/>
          <w:sz w:val="15"/>
          <w:szCs w:val="15"/>
          <w:u w:val="single" w:color="auto"/>
          <w:color w:val="auto"/>
        </w:rPr>
        <w:t>Defaulting Lender Cure</w:t>
      </w:r>
      <w:r>
        <w:rPr>
          <w:rFonts w:ascii="Arial" w:cs="Arial" w:eastAsia="Arial" w:hAnsi="Arial"/>
          <w:sz w:val="15"/>
          <w:szCs w:val="15"/>
          <w:color w:val="auto"/>
        </w:rPr>
        <w:t xml:space="preserve">. If the Borrower, the Administrative Agent, the Swingline Lender and the Issuing Bank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5"/>
          <w:szCs w:val="15"/>
          <w:u w:val="single" w:color="auto"/>
          <w:color w:val="auto"/>
        </w:rPr>
        <w:t>Section 2.19(a)(iii)</w:t>
      </w:r>
      <w:r>
        <w:rPr>
          <w:rFonts w:ascii="Arial" w:cs="Arial" w:eastAsia="Arial" w:hAnsi="Arial"/>
          <w:sz w:val="15"/>
          <w:szCs w:val="15"/>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09" w:lineRule="exact"/>
        <w:rPr>
          <w:rFonts w:ascii="Arial" w:cs="Arial" w:eastAsia="Arial" w:hAnsi="Arial"/>
          <w:sz w:val="15"/>
          <w:szCs w:val="15"/>
          <w:color w:val="auto"/>
        </w:rPr>
      </w:pPr>
    </w:p>
    <w:p>
      <w:pPr>
        <w:ind w:left="-8" w:right="80" w:firstLine="921"/>
        <w:spacing w:after="0" w:line="286" w:lineRule="auto"/>
        <w:tabs>
          <w:tab w:leader="none" w:pos="1144" w:val="left"/>
        </w:tabs>
        <w:numPr>
          <w:ilvl w:val="1"/>
          <w:numId w:val="430"/>
        </w:numPr>
        <w:rPr>
          <w:rFonts w:ascii="Arial" w:cs="Arial" w:eastAsia="Arial" w:hAnsi="Arial"/>
          <w:sz w:val="16"/>
          <w:szCs w:val="16"/>
          <w:color w:val="auto"/>
        </w:rPr>
      </w:pPr>
      <w:r>
        <w:rPr>
          <w:rFonts w:ascii="Arial" w:cs="Arial" w:eastAsia="Arial" w:hAnsi="Arial"/>
          <w:sz w:val="16"/>
          <w:szCs w:val="16"/>
          <w:u w:val="single" w:color="auto"/>
          <w:color w:val="auto"/>
        </w:rPr>
        <w:t>New Swingline Loans/Letters of Credit</w:t>
      </w:r>
      <w:r>
        <w:rPr>
          <w:rFonts w:ascii="Arial" w:cs="Arial" w:eastAsia="Arial" w:hAnsi="Arial"/>
          <w:sz w:val="16"/>
          <w:szCs w:val="16"/>
          <w:color w:val="auto"/>
        </w:rPr>
        <w:t xml:space="preserve">. So long as any Lender is a Defaulting Lender, (i) the Swingline Lender shall not be required to fund any Swingline Loans unless it is satisfied that the participations therein will be fully allocated among Non-Defaulting Lenders in a manner consistent with </w:t>
      </w:r>
      <w:r>
        <w:rPr>
          <w:rFonts w:ascii="Arial" w:cs="Arial" w:eastAsia="Arial" w:hAnsi="Arial"/>
          <w:sz w:val="16"/>
          <w:szCs w:val="16"/>
          <w:u w:val="single" w:color="auto"/>
          <w:color w:val="auto"/>
        </w:rPr>
        <w:t>clause (a)</w:t>
      </w:r>
    </w:p>
    <w:p>
      <w:pPr>
        <w:jc w:val="both"/>
        <w:ind w:left="-8" w:right="120" w:firstLine="8"/>
        <w:spacing w:after="0" w:line="295" w:lineRule="auto"/>
        <w:tabs>
          <w:tab w:leader="none" w:pos="299" w:val="left"/>
        </w:tabs>
        <w:numPr>
          <w:ilvl w:val="0"/>
          <w:numId w:val="431"/>
        </w:numPr>
        <w:rPr>
          <w:rFonts w:ascii="Arial" w:cs="Arial" w:eastAsia="Arial" w:hAnsi="Arial"/>
          <w:sz w:val="16"/>
          <w:szCs w:val="16"/>
          <w:u w:val="single" w:color="auto"/>
          <w:color w:val="auto"/>
        </w:rPr>
      </w:pPr>
      <w:r>
        <w:rPr>
          <w:rFonts w:ascii="Arial" w:cs="Arial" w:eastAsia="Arial" w:hAnsi="Arial"/>
          <w:sz w:val="16"/>
          <w:szCs w:val="16"/>
          <w:color w:val="auto"/>
        </w:rPr>
        <w:t xml:space="preserve">above and the Defaulting Lender shall not participate therein and (ii) the Issuing Bank shall not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16"/>
          <w:szCs w:val="16"/>
          <w:u w:val="single" w:color="auto"/>
          <w:color w:val="auto"/>
        </w:rPr>
        <w:t>clause (a)(iii)</w:t>
      </w:r>
      <w:r>
        <w:rPr>
          <w:rFonts w:ascii="Arial" w:cs="Arial" w:eastAsia="Arial" w:hAnsi="Arial"/>
          <w:sz w:val="16"/>
          <w:szCs w:val="16"/>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16"/>
          <w:szCs w:val="16"/>
          <w:u w:val="single" w:color="auto"/>
          <w:color w:val="auto"/>
        </w:rPr>
        <w:t>Section 2.19(d)</w:t>
      </w:r>
      <w:r>
        <w:rPr>
          <w:rFonts w:ascii="Arial" w:cs="Arial" w:eastAsia="Arial" w:hAnsi="Arial"/>
          <w:sz w:val="16"/>
          <w:szCs w:val="16"/>
          <w:color w:val="auto"/>
        </w:rPr>
        <w:t>.</w:t>
      </w:r>
    </w:p>
    <w:p>
      <w:pPr>
        <w:spacing w:after="0" w:line="115" w:lineRule="exact"/>
        <w:rPr>
          <w:rFonts w:ascii="Arial" w:cs="Arial" w:eastAsia="Arial" w:hAnsi="Arial"/>
          <w:sz w:val="16"/>
          <w:szCs w:val="16"/>
          <w:u w:val="single" w:color="auto"/>
          <w:color w:val="auto"/>
        </w:rPr>
      </w:pPr>
    </w:p>
    <w:p>
      <w:pPr>
        <w:ind w:left="-8" w:right="40" w:firstLine="921"/>
        <w:spacing w:after="0" w:line="256" w:lineRule="auto"/>
        <w:tabs>
          <w:tab w:leader="none" w:pos="1153" w:val="left"/>
        </w:tabs>
        <w:numPr>
          <w:ilvl w:val="1"/>
          <w:numId w:val="431"/>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promptly following the written request of Administrative Agent or Issuing Bank (with a copy to Administrative Agent) Borrower shall Cash Collateralize Issuing Bank’s Fronting Exposure with respect to such Defaulting Lender (determined after giving effect to </w:t>
      </w:r>
      <w:r>
        <w:rPr>
          <w:rFonts w:ascii="Arial" w:cs="Arial" w:eastAsia="Arial" w:hAnsi="Arial"/>
          <w:sz w:val="18"/>
          <w:szCs w:val="18"/>
          <w:u w:val="single" w:color="auto"/>
          <w:color w:val="auto"/>
        </w:rPr>
        <w:t>Section 2.19(a)(iii)</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130" w:lineRule="exact"/>
        <w:rPr>
          <w:sz w:val="20"/>
          <w:szCs w:val="20"/>
          <w:color w:val="auto"/>
        </w:rPr>
      </w:pPr>
    </w:p>
    <w:p>
      <w:pPr>
        <w:jc w:val="both"/>
        <w:ind w:left="5852"/>
        <w:spacing w:after="0"/>
        <w:tabs>
          <w:tab w:leader="none" w:pos="9412"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12"/>
          </w:cols>
          <w:pgMar w:left="248" w:top="280" w:right="239" w:bottom="1440" w:gutter="0" w:footer="0" w:header="0"/>
        </w:sectPr>
      </w:pPr>
    </w:p>
    <w:bookmarkStart w:id="407" w:name="page408"/>
    <w:bookmarkEnd w:id="407"/>
    <w:p>
      <w:pPr>
        <w:ind w:left="-443" w:right="40" w:firstLine="443"/>
        <w:spacing w:after="0" w:line="287" w:lineRule="auto"/>
        <w:tabs>
          <w:tab w:leader="none" w:pos="205"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 of Security Interest</w:t>
      </w:r>
      <w:r>
        <w:rPr>
          <w:rFonts w:ascii="Arial" w:cs="Arial" w:eastAsia="Arial" w:hAnsi="Arial"/>
          <w:sz w:val="16"/>
          <w:szCs w:val="16"/>
          <w:color w:val="auto"/>
        </w:rPr>
        <w:t xml:space="preserve">. Borrower, and to the extent provided by any Defaulting Lender, such Defaulting Lender, hereby grants to (and subjects to the control of) Administrative Agent, for the benefit of Issuing Bank,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If at any time Administrative Agent determines that Cash Collateral is subject to any right or claim of any Person other than Administrative Agent and Issuing Bank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41" w:lineRule="exact"/>
        <w:rPr>
          <w:rFonts w:ascii="Arial" w:cs="Arial" w:eastAsia="Arial" w:hAnsi="Arial"/>
          <w:sz w:val="16"/>
          <w:szCs w:val="16"/>
          <w:color w:val="auto"/>
        </w:rPr>
      </w:pPr>
    </w:p>
    <w:p>
      <w:pPr>
        <w:jc w:val="both"/>
        <w:ind w:left="-443" w:firstLine="443"/>
        <w:spacing w:after="0" w:line="256" w:lineRule="auto"/>
        <w:tabs>
          <w:tab w:leader="none" w:pos="254"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62" w:lineRule="exact"/>
        <w:rPr>
          <w:rFonts w:ascii="Arial" w:cs="Arial" w:eastAsia="Arial" w:hAnsi="Arial"/>
          <w:sz w:val="18"/>
          <w:szCs w:val="18"/>
          <w:color w:val="auto"/>
        </w:rPr>
      </w:pPr>
    </w:p>
    <w:p>
      <w:pPr>
        <w:ind w:left="-443" w:right="120" w:firstLine="443"/>
        <w:spacing w:after="0" w:line="291" w:lineRule="auto"/>
        <w:tabs>
          <w:tab w:leader="none" w:pos="303"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t>Termination of Requirement</w:t>
      </w:r>
      <w:r>
        <w:rPr>
          <w:rFonts w:ascii="Arial" w:cs="Arial" w:eastAsia="Arial" w:hAnsi="Arial"/>
          <w:sz w:val="16"/>
          <w:szCs w:val="16"/>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following (i) the elimination of the applicable Fronting Exposure (including by the termination of Defaulting Lender status of the applicable Lender) or (ii) the determination by Administrative Agent and Issuing Bank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other provisions of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the Person providing Cash Collateral and Issuing Bank may agree that Cash Collateral shall be held to support future anticipated Fronting Exposure;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that such Cash Collateral was provided by Borrower, such Cash Collateral shall remain subject to the security interest granted pursuant to the Loan Documents.</w:t>
      </w:r>
    </w:p>
    <w:p>
      <w:pPr>
        <w:spacing w:after="0" w:line="120" w:lineRule="exact"/>
        <w:rPr>
          <w:sz w:val="20"/>
          <w:szCs w:val="20"/>
          <w:color w:val="auto"/>
        </w:rPr>
      </w:pPr>
    </w:p>
    <w:p>
      <w:pPr>
        <w:ind w:left="17"/>
        <w:spacing w:after="0"/>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Reallocation Following the Non-Extended Commitment Termination Date</w:t>
      </w:r>
      <w:r>
        <w:rPr>
          <w:rFonts w:ascii="Arial" w:cs="Arial" w:eastAsia="Arial" w:hAnsi="Arial"/>
          <w:sz w:val="18"/>
          <w:szCs w:val="18"/>
          <w:color w:val="auto"/>
        </w:rPr>
        <w:t>.</w:t>
      </w:r>
    </w:p>
    <w:p>
      <w:pPr>
        <w:spacing w:after="0" w:line="90" w:lineRule="exact"/>
        <w:rPr>
          <w:sz w:val="20"/>
          <w:szCs w:val="20"/>
          <w:color w:val="auto"/>
        </w:rPr>
      </w:pPr>
    </w:p>
    <w:p>
      <w:pPr>
        <w:ind w:left="237" w:hanging="237"/>
        <w:spacing w:after="0"/>
        <w:tabs>
          <w:tab w:leader="none" w:pos="237"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and Loans</w:t>
      </w:r>
      <w:r>
        <w:rPr>
          <w:rFonts w:ascii="Arial" w:cs="Arial" w:eastAsia="Arial" w:hAnsi="Arial"/>
          <w:sz w:val="18"/>
          <w:szCs w:val="18"/>
          <w:color w:val="auto"/>
        </w:rPr>
        <w:t>.</w:t>
      </w:r>
    </w:p>
    <w:p>
      <w:pPr>
        <w:spacing w:after="0" w:line="90" w:lineRule="exact"/>
        <w:rPr>
          <w:sz w:val="20"/>
          <w:szCs w:val="20"/>
          <w:color w:val="auto"/>
        </w:rPr>
      </w:pPr>
    </w:p>
    <w:p>
      <w:pPr>
        <w:ind w:left="-443" w:firstLine="443"/>
        <w:spacing w:after="0" w:line="259" w:lineRule="auto"/>
        <w:tabs>
          <w:tab w:leader="none" w:pos="20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(a) in connection with the reduction or termination of any Non-Extending Lender’s Commitments in accordance with </w:t>
      </w:r>
      <w:r>
        <w:rPr>
          <w:rFonts w:ascii="Arial" w:cs="Arial" w:eastAsia="Arial" w:hAnsi="Arial"/>
          <w:sz w:val="18"/>
          <w:szCs w:val="18"/>
          <w:u w:val="single" w:color="auto"/>
          <w:color w:val="auto"/>
        </w:rPr>
        <w:t>Section 2.08(f)</w:t>
      </w:r>
      <w:r>
        <w:rPr>
          <w:rFonts w:ascii="Arial" w:cs="Arial" w:eastAsia="Arial" w:hAnsi="Arial"/>
          <w:sz w:val="18"/>
          <w:szCs w:val="18"/>
          <w:color w:val="auto"/>
        </w:rPr>
        <w:t xml:space="preserve"> on any date prior to the Non-Extended Commitment Termination Date, the Borrower shall be permitted to request a Dollar Loan be made ratably among</w:t>
      </w:r>
    </w:p>
    <w:p>
      <w:pPr>
        <w:spacing w:after="0" w:line="127"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79" w:right="239" w:bottom="1440" w:gutter="0" w:footer="0" w:header="0"/>
        </w:sectPr>
      </w:pPr>
    </w:p>
    <w:bookmarkStart w:id="408" w:name="page409"/>
    <w:bookmarkEnd w:id="40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Extending Lenders in accordance with the provisions of </w:t>
      </w:r>
      <w:r>
        <w:rPr>
          <w:rFonts w:ascii="Arial" w:cs="Arial" w:eastAsia="Arial" w:hAnsi="Arial"/>
          <w:sz w:val="16"/>
          <w:szCs w:val="16"/>
          <w:u w:val="single" w:color="auto"/>
          <w:color w:val="auto"/>
        </w:rPr>
        <w:t>Sections 2.02</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2.17(c)</w:t>
      </w:r>
      <w:r>
        <w:rPr>
          <w:rFonts w:ascii="Arial" w:cs="Arial" w:eastAsia="Arial" w:hAnsi="Arial"/>
          <w:sz w:val="16"/>
          <w:szCs w:val="16"/>
          <w:color w:val="auto"/>
        </w:rPr>
        <w:t xml:space="preserve"> in an amount up to the amount by which such Non-Extending Lender’s Revolving Credit Exposure exceeds such Non-Extending Lender’s Commitments after giving effect to such Commitment reduction and (b) on any date following the Non-Extended Commitment Termination Date until the Extended Commitment Termination Date, the Borrower shall be permitted to request a Dollar Loan to be made ratably among the Extending Lenders in accordance with </w:t>
      </w:r>
      <w:r>
        <w:rPr>
          <w:rFonts w:ascii="Arial" w:cs="Arial" w:eastAsia="Arial" w:hAnsi="Arial"/>
          <w:sz w:val="16"/>
          <w:szCs w:val="16"/>
          <w:u w:val="single" w:color="auto"/>
          <w:color w:val="auto"/>
        </w:rPr>
        <w:t>Sections 2.02</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2.17(c)</w:t>
      </w:r>
      <w:r>
        <w:rPr>
          <w:rFonts w:ascii="Arial" w:cs="Arial" w:eastAsia="Arial" w:hAnsi="Arial"/>
          <w:sz w:val="16"/>
          <w:szCs w:val="16"/>
          <w:color w:val="auto"/>
        </w:rPr>
        <w:t xml:space="preserve"> in an amount up to the Revolving Credit Exposure of each Non-Extending Lender, in each case, so long as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46" w:lineRule="exact"/>
        <w:rPr>
          <w:sz w:val="20"/>
          <w:szCs w:val="20"/>
          <w:color w:val="auto"/>
        </w:rPr>
      </w:pPr>
    </w:p>
    <w:p>
      <w:pPr>
        <w:ind w:right="80" w:firstLine="443"/>
        <w:spacing w:after="0" w:line="287" w:lineRule="auto"/>
        <w:tabs>
          <w:tab w:leader="none" w:pos="697"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All or any part of each Non-Extending Lender’s participation in Letters of Credit and Swingline Loans shall be reallocated on (A) any date on which the Commitment of such Non-Extending Lender is reduced or terminated pursuant to Section 2.08(f) and (B) on the Non-Extended Commitment Termination Date, in each case, among the Extending Lenders in accordance with their respective Applicable Dollar Percentages and Applicable Multicurrency Percentages after giving effect to the reduction of the aggregate Commitments, but only to the extent that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to exceed such Extending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122" w:lineRule="exact"/>
        <w:rPr>
          <w:rFonts w:ascii="Arial" w:cs="Arial" w:eastAsia="Arial" w:hAnsi="Arial"/>
          <w:sz w:val="16"/>
          <w:szCs w:val="16"/>
          <w:color w:val="auto"/>
        </w:rPr>
      </w:pPr>
    </w:p>
    <w:p>
      <w:pPr>
        <w:ind w:left="-460" w:right="20" w:firstLine="921"/>
        <w:spacing w:after="0" w:line="294" w:lineRule="auto"/>
        <w:tabs>
          <w:tab w:leader="none" w:pos="701" w:val="left"/>
        </w:tabs>
        <w:numPr>
          <w:ilvl w:val="0"/>
          <w:numId w:val="436"/>
        </w:numPr>
        <w:rPr>
          <w:rFonts w:ascii="Arial" w:cs="Arial" w:eastAsia="Arial" w:hAnsi="Arial"/>
          <w:sz w:val="16"/>
          <w:szCs w:val="16"/>
          <w:color w:val="auto"/>
        </w:rPr>
      </w:pPr>
      <w:r>
        <w:rPr>
          <w:rFonts w:ascii="Arial" w:cs="Arial" w:eastAsia="Arial" w:hAnsi="Arial"/>
          <w:sz w:val="16"/>
          <w:szCs w:val="16"/>
          <w:u w:val="single" w:color="auto"/>
          <w:color w:val="auto"/>
        </w:rPr>
        <w:t>Cash Collateral; Repayment of Swingline Loans</w:t>
      </w:r>
      <w:r>
        <w:rPr>
          <w:rFonts w:ascii="Arial" w:cs="Arial" w:eastAsia="Arial" w:hAnsi="Arial"/>
          <w:sz w:val="16"/>
          <w:szCs w:val="16"/>
          <w:color w:val="auto"/>
        </w:rPr>
        <w:t xml:space="preserve">. If any Loan related to the reduction or termination of a Non-Extending Lender’s Commitment prior to the Non-Extended Commitment Termination Date described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or any reallocation described in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above cannot, or can only partially, be effected, the Borrower shall, not later than (i) with respect to any reduction or termination of a Non-Extending Lender’s Commitment pursuant to </w:t>
      </w:r>
      <w:r>
        <w:rPr>
          <w:rFonts w:ascii="Arial" w:cs="Arial" w:eastAsia="Arial" w:hAnsi="Arial"/>
          <w:sz w:val="16"/>
          <w:szCs w:val="16"/>
          <w:u w:val="single" w:color="auto"/>
          <w:color w:val="auto"/>
        </w:rPr>
        <w:t>Section 2.08(f)</w:t>
      </w:r>
      <w:r>
        <w:rPr>
          <w:rFonts w:ascii="Arial" w:cs="Arial" w:eastAsia="Arial" w:hAnsi="Arial"/>
          <w:sz w:val="16"/>
          <w:szCs w:val="16"/>
          <w:color w:val="auto"/>
        </w:rPr>
        <w:t>, the date of such Commitment reduction or termination or, (ii) with respect to any reallocation of participations in Letters of Credit and Swingline Loans on the Non-Extended Commitment Termination Date, the Non-Extended Commitment Termination Date, as</w:t>
      </w:r>
    </w:p>
    <w:p>
      <w:pPr>
        <w:spacing w:after="0" w:line="102" w:lineRule="exact"/>
        <w:rPr>
          <w:sz w:val="20"/>
          <w:szCs w:val="20"/>
          <w:color w:val="auto"/>
        </w:rPr>
      </w:pPr>
    </w:p>
    <w:p>
      <w:pPr>
        <w:jc w:val="both"/>
        <w:ind w:left="5400"/>
        <w:spacing w:after="0"/>
        <w:tabs>
          <w:tab w:leader="none" w:pos="896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79" w:right="239" w:bottom="1440" w:gutter="0" w:footer="0" w:header="0"/>
        </w:sectPr>
      </w:pPr>
    </w:p>
    <w:bookmarkStart w:id="409" w:name="page410"/>
    <w:bookmarkEnd w:id="409"/>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case may be, without prejudice to any right or remedy available to it hereunder or under law, (x) prepay Swingline Loans in an amount equal to the amount by which the participation obligations of the Non-Extending Lenders have not been reallocated to the Extending Lenders pursuant to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above, (y) provide Cash Collateral in an amount equal to the amount by which the participation obligations of the Non-Extending Lenders in Letters of Credit have not been reallocated pursuant to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above and (z) prepay any other Loans of a Non-Extending Lender in an amount equal to the amount by which the Revolving Credit Exposure of such Non-Extending Lender after giving effect to any prepayment described in </w:t>
      </w:r>
      <w:r>
        <w:rPr>
          <w:rFonts w:ascii="Arial" w:cs="Arial" w:eastAsia="Arial" w:hAnsi="Arial"/>
          <w:sz w:val="16"/>
          <w:szCs w:val="16"/>
          <w:u w:val="single" w:color="auto"/>
          <w:color w:val="auto"/>
        </w:rPr>
        <w:t>clause (a)(i)(z) above</w:t>
      </w:r>
      <w:r>
        <w:rPr>
          <w:rFonts w:ascii="Arial" w:cs="Arial" w:eastAsia="Arial" w:hAnsi="Arial"/>
          <w:sz w:val="16"/>
          <w:szCs w:val="16"/>
          <w:color w:val="auto"/>
        </w:rPr>
        <w:t xml:space="preserve"> exceeds such Non-Extending Lender’s Commitment after giving effect to any reduction in such Non-Extending Lender’s Commitment.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Assignment and Reallocation of Existing Commitments and Existing Loans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89" w:lineRule="auto"/>
        <w:tabs>
          <w:tab w:leader="none" w:pos="1152"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On the Effective Date, the Borrower shall (A) prepay the outstanding Loans and (B) simultaneously borrow new Loans in an amount equal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(x) the prepayment to, and borrowing from, any Existing Lender shall be effected by book entry to the extent that any portion of the amount prepaid to such Lender will be subsequently borrowed from such Lender and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this Agreement and each other Loan Document, will be as set forth opposite such Person’s name on </w:t>
      </w:r>
      <w:r>
        <w:rPr>
          <w:rFonts w:ascii="Arial" w:cs="Arial" w:eastAsia="Arial" w:hAnsi="Arial"/>
          <w:sz w:val="16"/>
          <w:szCs w:val="16"/>
          <w:u w:val="single" w:color="auto"/>
          <w:color w:val="auto"/>
        </w:rPr>
        <w:t>Schedule 1.01(b)</w:t>
      </w:r>
      <w:r>
        <w:rPr>
          <w:rFonts w:ascii="Arial" w:cs="Arial" w:eastAsia="Arial" w:hAnsi="Arial"/>
          <w:sz w:val="16"/>
          <w:szCs w:val="16"/>
          <w:color w:val="auto"/>
        </w:rPr>
        <w:t>. Concurrently therewith, the Existing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118" w:lineRule="exact"/>
        <w:rPr>
          <w:rFonts w:ascii="Arial" w:cs="Arial" w:eastAsia="Arial" w:hAnsi="Arial"/>
          <w:sz w:val="16"/>
          <w:szCs w:val="16"/>
          <w:color w:val="auto"/>
        </w:rPr>
      </w:pPr>
    </w:p>
    <w:p>
      <w:pPr>
        <w:ind w:right="40" w:firstLine="921"/>
        <w:spacing w:after="0" w:line="314" w:lineRule="auto"/>
        <w:tabs>
          <w:tab w:leader="none" w:pos="1162" w:val="left"/>
        </w:tabs>
        <w:numPr>
          <w:ilvl w:val="0"/>
          <w:numId w:val="437"/>
        </w:numPr>
        <w:rPr>
          <w:rFonts w:ascii="Arial" w:cs="Arial" w:eastAsia="Arial" w:hAnsi="Arial"/>
          <w:sz w:val="15"/>
          <w:szCs w:val="15"/>
          <w:color w:val="auto"/>
        </w:rPr>
      </w:pPr>
      <w:r>
        <w:rPr>
          <w:rFonts w:ascii="Arial" w:cs="Arial" w:eastAsia="Arial" w:hAnsi="Arial"/>
          <w:sz w:val="15"/>
          <w:szCs w:val="15"/>
          <w:color w:val="auto"/>
        </w:rPr>
        <w:t>Each of the Lenders hereby acknowledges and agrees that (i) no Lender nor the Administrative Agent has made any representations or warranties or assumed any responsibility with respect to (A) any statements, warranties or representations made in or in connection with this Agreement or the execution, legality, validity, enforceability, genuineness or sufficiency of this Agreement, the Existing Credit Agreement or any other Loan Document or (B) the financial condition of any Obligor or the performance by any Obligor of its obligations hereunder or under any other Loan Document; (ii) it has received such information as it has deemed appropriate to make its own credit analysis and decision to enter into this Agreement; and (iii) it has made and continues to make its own credit decisions in taking or not taking action under this Agreement, independently and without reliance upon the Administrative Agent or any other Lender.</w:t>
      </w:r>
    </w:p>
    <w:p>
      <w:pPr>
        <w:spacing w:after="0" w:line="9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10" w:name="page411"/>
    <w:bookmarkEnd w:id="410"/>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90" w:lineRule="exact"/>
        <w:rPr>
          <w:sz w:val="20"/>
          <w:szCs w:val="20"/>
          <w:color w:val="auto"/>
        </w:rPr>
      </w:pPr>
    </w:p>
    <w:p>
      <w:pPr>
        <w:jc w:val="both"/>
        <w:ind w:right="100" w:firstLine="913"/>
        <w:spacing w:after="0" w:line="298"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13"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20"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1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90" w:lineRule="exact"/>
        <w:rPr>
          <w:sz w:val="20"/>
          <w:szCs w:val="20"/>
          <w:color w:val="auto"/>
        </w:rPr>
      </w:pPr>
    </w:p>
    <w:p>
      <w:pPr>
        <w:jc w:val="both"/>
        <w:ind w:right="160" w:firstLine="921"/>
        <w:spacing w:after="0" w:line="298" w:lineRule="auto"/>
        <w:tabs>
          <w:tab w:leader="none" w:pos="1152"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9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11" w:name="page412"/>
    <w:bookmarkEnd w:id="411"/>
    <w:p>
      <w:pPr>
        <w:ind w:firstLine="921"/>
        <w:spacing w:after="0" w:line="294" w:lineRule="auto"/>
        <w:tabs>
          <w:tab w:leader="none" w:pos="1161" w:val="left"/>
        </w:tabs>
        <w:numPr>
          <w:ilvl w:val="0"/>
          <w:numId w:val="4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Material Adverse Change</w:t>
      </w:r>
      <w:r>
        <w:rPr>
          <w:rFonts w:ascii="Arial" w:cs="Arial" w:eastAsia="Arial" w:hAnsi="Arial"/>
          <w:sz w:val="16"/>
          <w:szCs w:val="16"/>
          <w:color w:val="auto"/>
        </w:rPr>
        <w:t>. Since the date of the most recent Applicable Financial Statements, there has not been any event, development or circumstance (herein, a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16"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43" w:lineRule="exact"/>
        <w:rPr>
          <w:sz w:val="20"/>
          <w:szCs w:val="20"/>
          <w:color w:val="auto"/>
        </w:rPr>
      </w:pPr>
    </w:p>
    <w:p>
      <w:pPr>
        <w:jc w:val="both"/>
        <w:ind w:right="80" w:firstLine="913"/>
        <w:spacing w:after="0" w:line="255"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43" w:lineRule="exact"/>
        <w:rPr>
          <w:sz w:val="20"/>
          <w:szCs w:val="20"/>
          <w:color w:val="auto"/>
        </w:rPr>
      </w:pPr>
    </w:p>
    <w:p>
      <w:pPr>
        <w:jc w:val="both"/>
        <w:ind w:right="140" w:firstLine="913"/>
        <w:spacing w:after="0" w:line="25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43"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ERISA</w:t>
      </w:r>
      <w:r>
        <w:rPr>
          <w:rFonts w:ascii="Arial" w:cs="Arial" w:eastAsia="Arial" w:hAnsi="Arial"/>
          <w:sz w:val="16"/>
          <w:szCs w:val="16"/>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85"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Disclosure</w:t>
      </w:r>
      <w:r>
        <w:rPr>
          <w:rFonts w:ascii="Arial" w:cs="Arial" w:eastAsia="Arial" w:hAnsi="Arial"/>
          <w:sz w:val="16"/>
          <w:szCs w:val="16"/>
          <w:color w:val="auto"/>
        </w:rPr>
        <w:t>. As of the date hereof,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date hereof,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12" w:name="page413"/>
    <w:bookmarkEnd w:id="41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Borrower represents only that such information was prepared in good faith based upon assumptions believed to be reasonable at the time.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Investment Company Act; Margin Regulations</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68" w:lineRule="auto"/>
        <w:tabs>
          <w:tab w:leader="none" w:pos="1152"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Status as Business Development Company</w:t>
      </w:r>
      <w:r>
        <w:rPr>
          <w:rFonts w:ascii="Arial" w:cs="Arial" w:eastAsia="Arial" w:hAnsi="Arial"/>
          <w:sz w:val="18"/>
          <w:szCs w:val="18"/>
          <w:color w:val="auto"/>
        </w:rPr>
        <w:t>. The Borrower has elected to be regulated as a “business development company” within the meaning of the Investment Company Act and qualifies as a RIC.</w:t>
      </w:r>
    </w:p>
    <w:p>
      <w:pPr>
        <w:spacing w:after="0" w:line="131" w:lineRule="exact"/>
        <w:rPr>
          <w:rFonts w:ascii="Arial" w:cs="Arial" w:eastAsia="Arial" w:hAnsi="Arial"/>
          <w:sz w:val="18"/>
          <w:szCs w:val="18"/>
          <w:color w:val="auto"/>
        </w:rPr>
      </w:pPr>
    </w:p>
    <w:p>
      <w:pPr>
        <w:ind w:right="220" w:firstLine="921"/>
        <w:spacing w:after="0" w:line="298" w:lineRule="auto"/>
        <w:tabs>
          <w:tab w:leader="none" w:pos="1161" w:val="left"/>
        </w:tabs>
        <w:numPr>
          <w:ilvl w:val="0"/>
          <w:numId w:val="440"/>
        </w:numPr>
        <w:rPr>
          <w:rFonts w:ascii="Arial" w:cs="Arial" w:eastAsia="Arial" w:hAnsi="Arial"/>
          <w:sz w:val="16"/>
          <w:szCs w:val="16"/>
          <w:color w:val="auto"/>
        </w:rPr>
      </w:pPr>
      <w:r>
        <w:rPr>
          <w:rFonts w:ascii="Arial" w:cs="Arial" w:eastAsia="Arial" w:hAnsi="Arial"/>
          <w:sz w:val="16"/>
          <w:szCs w:val="16"/>
          <w:u w:val="single" w:color="auto"/>
          <w:color w:val="auto"/>
        </w:rPr>
        <w:t>Compliance with Investment Company Act</w:t>
      </w:r>
      <w:r>
        <w:rPr>
          <w:rFonts w:ascii="Arial" w:cs="Arial" w:eastAsia="Arial" w:hAnsi="Arial"/>
          <w:sz w:val="16"/>
          <w:szCs w:val="16"/>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12" w:lineRule="exact"/>
        <w:rPr>
          <w:rFonts w:ascii="Arial" w:cs="Arial" w:eastAsia="Arial" w:hAnsi="Arial"/>
          <w:sz w:val="16"/>
          <w:szCs w:val="16"/>
          <w:color w:val="auto"/>
        </w:rPr>
      </w:pPr>
    </w:p>
    <w:p>
      <w:pPr>
        <w:ind w:right="500" w:firstLine="921"/>
        <w:spacing w:after="0" w:line="332" w:lineRule="auto"/>
        <w:tabs>
          <w:tab w:leader="none" w:pos="1152" w:val="left"/>
        </w:tabs>
        <w:numPr>
          <w:ilvl w:val="0"/>
          <w:numId w:val="440"/>
        </w:numPr>
        <w:rPr>
          <w:rFonts w:ascii="Arial" w:cs="Arial" w:eastAsia="Arial" w:hAnsi="Arial"/>
          <w:sz w:val="16"/>
          <w:szCs w:val="16"/>
          <w:color w:val="auto"/>
        </w:rPr>
      </w:pPr>
      <w:r>
        <w:rPr>
          <w:rFonts w:ascii="Arial" w:cs="Arial" w:eastAsia="Arial" w:hAnsi="Arial"/>
          <w:sz w:val="16"/>
          <w:szCs w:val="16"/>
          <w:u w:val="single" w:color="auto"/>
          <w:color w:val="auto"/>
        </w:rPr>
        <w:t>Investment Policies</w:t>
      </w:r>
      <w:r>
        <w:rPr>
          <w:rFonts w:ascii="Arial" w:cs="Arial" w:eastAsia="Arial" w:hAnsi="Arial"/>
          <w:sz w:val="16"/>
          <w:szCs w:val="16"/>
          <w:color w:val="auto"/>
        </w:rPr>
        <w:t>. The Borrower is in compliance in all respects with the Investment Policies (after giving effect to any Permitted Policy Amendments), except to the extent that the failure to so comply could not reasonably be expected to have a Material Adverse Effect.</w:t>
      </w:r>
    </w:p>
    <w:p>
      <w:pPr>
        <w:spacing w:after="0" w:line="85" w:lineRule="exact"/>
        <w:rPr>
          <w:rFonts w:ascii="Arial" w:cs="Arial" w:eastAsia="Arial" w:hAnsi="Arial"/>
          <w:sz w:val="16"/>
          <w:szCs w:val="16"/>
          <w:color w:val="auto"/>
        </w:rPr>
      </w:pPr>
    </w:p>
    <w:p>
      <w:pPr>
        <w:ind w:right="160" w:firstLine="921"/>
        <w:spacing w:after="0" w:line="259" w:lineRule="auto"/>
        <w:tabs>
          <w:tab w:leader="none" w:pos="1161"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Use of Credit</w:t>
      </w:r>
      <w:r>
        <w:rPr>
          <w:rFonts w:ascii="Arial" w:cs="Arial" w:eastAsia="Arial" w:hAnsi="Arial"/>
          <w:sz w:val="18"/>
          <w:szCs w:val="18"/>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Material Agreements and Liens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55" w:lineRule="auto"/>
        <w:tabs>
          <w:tab w:leader="none" w:pos="1152"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Material Agreements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right="100" w:firstLine="921"/>
        <w:spacing w:after="0" w:line="306" w:lineRule="auto"/>
        <w:tabs>
          <w:tab w:leader="none" w:pos="1161" w:val="left"/>
        </w:tabs>
        <w:numPr>
          <w:ilvl w:val="0"/>
          <w:numId w:val="441"/>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w:t>
      </w:r>
    </w:p>
    <w:p>
      <w:pPr>
        <w:spacing w:after="0" w:line="93"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13" w:name="page414"/>
    <w:bookmarkEnd w:id="4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3.12. </w:t>
      </w:r>
      <w:r>
        <w:rPr>
          <w:rFonts w:ascii="Arial" w:cs="Arial" w:eastAsia="Arial" w:hAnsi="Arial"/>
          <w:sz w:val="18"/>
          <w:szCs w:val="18"/>
          <w:u w:val="single" w:color="auto"/>
          <w:color w:val="auto"/>
        </w:rPr>
        <w:t>Subsidiaries and Investments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3.12(a)</w:t>
      </w:r>
      <w:r>
        <w:rPr>
          <w:rFonts w:ascii="Arial" w:cs="Arial" w:eastAsia="Arial" w:hAnsi="Arial"/>
          <w:sz w:val="18"/>
          <w:szCs w:val="18"/>
          <w:color w:val="auto"/>
        </w:rPr>
        <w:t xml:space="preserve"> is a list of the Borrower’s Subsidiaries as of the Original Effective Date.</w:t>
      </w:r>
    </w:p>
    <w:p>
      <w:pPr>
        <w:spacing w:after="0" w:line="171" w:lineRule="exact"/>
        <w:rPr>
          <w:rFonts w:ascii="Arial" w:cs="Arial" w:eastAsia="Arial" w:hAnsi="Arial"/>
          <w:sz w:val="18"/>
          <w:szCs w:val="18"/>
          <w:color w:val="auto"/>
        </w:rPr>
      </w:pPr>
    </w:p>
    <w:p>
      <w:pPr>
        <w:ind w:right="260" w:firstLine="921"/>
        <w:spacing w:after="0" w:line="294" w:lineRule="auto"/>
        <w:tabs>
          <w:tab w:leader="none" w:pos="1161" w:val="left"/>
        </w:tabs>
        <w:numPr>
          <w:ilvl w:val="0"/>
          <w:numId w:val="442"/>
        </w:numPr>
        <w:rPr>
          <w:rFonts w:ascii="Arial" w:cs="Arial" w:eastAsia="Arial" w:hAnsi="Arial"/>
          <w:sz w:val="16"/>
          <w:szCs w:val="16"/>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Schedule 3.12(b)</w:t>
      </w:r>
      <w:r>
        <w:rPr>
          <w:rFonts w:ascii="Arial" w:cs="Arial" w:eastAsia="Arial" w:hAnsi="Arial"/>
          <w:sz w:val="16"/>
          <w:szCs w:val="16"/>
          <w:color w:val="auto"/>
        </w:rPr>
        <w:t xml:space="preserve"> is a complete and correct list, as of the Original Effective Date, of all Investments (other than Investments of the types referred to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Arial" w:cs="Arial" w:eastAsia="Arial" w:hAnsi="Arial"/>
          <w:sz w:val="16"/>
          <w:szCs w:val="16"/>
          <w:u w:val="single" w:color="auto"/>
          <w:color w:val="auto"/>
        </w:rPr>
        <w:t>Schedule 3.12</w:t>
      </w:r>
      <w:r>
        <w:rPr>
          <w:rFonts w:ascii="Arial" w:cs="Arial" w:eastAsia="Arial" w:hAnsi="Arial"/>
          <w:sz w:val="16"/>
          <w:szCs w:val="16"/>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90" w:lineRule="exact"/>
        <w:rPr>
          <w:sz w:val="20"/>
          <w:szCs w:val="20"/>
          <w:color w:val="auto"/>
        </w:rPr>
      </w:pPr>
    </w:p>
    <w:p>
      <w:pPr>
        <w:ind w:right="260" w:firstLine="921"/>
        <w:spacing w:after="0" w:line="259" w:lineRule="auto"/>
        <w:tabs>
          <w:tab w:leader="none" w:pos="1152"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Title Generally</w:t>
      </w:r>
      <w:r>
        <w:rPr>
          <w:rFonts w:ascii="Arial" w:cs="Arial" w:eastAsia="Arial" w:hAnsi="Arial"/>
          <w:sz w:val="18"/>
          <w:szCs w:val="18"/>
          <w:color w:val="auto"/>
        </w:rPr>
        <w:t>. Each of the Borrower and the Subsidiary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40" w:lineRule="exact"/>
        <w:rPr>
          <w:rFonts w:ascii="Arial" w:cs="Arial" w:eastAsia="Arial" w:hAnsi="Arial"/>
          <w:sz w:val="18"/>
          <w:szCs w:val="18"/>
          <w:color w:val="auto"/>
        </w:rPr>
      </w:pPr>
    </w:p>
    <w:p>
      <w:pPr>
        <w:ind w:right="80" w:firstLine="921"/>
        <w:spacing w:after="0" w:line="256" w:lineRule="auto"/>
        <w:tabs>
          <w:tab w:leader="none" w:pos="1161"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43"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Affiliate Agreements</w:t>
      </w:r>
      <w:r>
        <w:rPr>
          <w:rFonts w:ascii="Arial" w:cs="Arial" w:eastAsia="Arial" w:hAnsi="Arial"/>
          <w:sz w:val="16"/>
          <w:szCs w:val="16"/>
          <w:color w:val="auto"/>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107"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OFAC</w:t>
      </w:r>
      <w:r>
        <w:rPr>
          <w:rFonts w:ascii="Arial" w:cs="Arial" w:eastAsia="Arial" w:hAnsi="Arial"/>
          <w:sz w:val="16"/>
          <w:szCs w:val="16"/>
          <w:color w:val="auto"/>
        </w:rPr>
        <w:t>. Neither the Borrower nor any of its Subsidiaries (a)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(b) engages in any dealings or transactions prohibited by Section 2 of such executive order, or is otherwise associated with any such person in any manner violative of Section 2 of such executive order, or (c) is a person on the list of Specially Designated Nationals and Blocked Persons or subject to the limitations or prohibitions under (A) any other U.S. Department of Treasury’s Office of Foreign Assets Control regulation or executive order or (B) any international economic sanction administered or enforced by the United Nations Security Counsel, Her Majesty’s Treasury or the European Union.</w:t>
      </w:r>
    </w:p>
    <w:p>
      <w:pPr>
        <w:spacing w:after="0" w:line="118"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Patriot Act</w:t>
      </w:r>
      <w:r>
        <w:rPr>
          <w:rFonts w:ascii="Arial" w:cs="Arial" w:eastAsia="Arial" w:hAnsi="Arial"/>
          <w:sz w:val="18"/>
          <w:szCs w:val="18"/>
          <w:color w:val="auto"/>
        </w:rPr>
        <w:t>. Each of the Borrower and its Subsidiaries is in compliance with (a) the Trading with the Enemy Act, as amended, and each of the foreign assets</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14" w:name="page415"/>
    <w:bookmarkEnd w:id="41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will be used, directly or indirectly, (A)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or (B) in violation of any regulations promulgated by the United Nations Security Counsel, Her Majesty’s Treasury or the European Union.</w:t>
      </w:r>
    </w:p>
    <w:p>
      <w:pPr>
        <w:spacing w:after="0" w:line="120"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CONDITIONS</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effectiveness of this Agreement and of the obligations of the Lenders to make Loans and of the Issuing Bank to issue Letters of Credit hereunder shall not become effective until completion of each of the following conditions precedent (unless a condition shall have been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59" w:lineRule="exact"/>
        <w:rPr>
          <w:sz w:val="20"/>
          <w:szCs w:val="20"/>
          <w:color w:val="auto"/>
        </w:rPr>
      </w:pPr>
    </w:p>
    <w:p>
      <w:pPr>
        <w:ind w:right="80" w:firstLine="921"/>
        <w:spacing w:after="0" w:line="268" w:lineRule="auto"/>
        <w:tabs>
          <w:tab w:leader="none" w:pos="1152" w:val="left"/>
        </w:tabs>
        <w:numPr>
          <w:ilvl w:val="1"/>
          <w:numId w:val="444"/>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Administrative Agent shall have received each of the following documents, each of which shall be satisfactory to the Administrative Agent (and to the extent specified below to each Lender) in form and substance:</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08"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Executed Counterparts</w:t>
      </w:r>
      <w:r>
        <w:rPr>
          <w:rFonts w:ascii="Arial" w:cs="Arial" w:eastAsia="Arial" w:hAnsi="Arial"/>
          <w:sz w:val="18"/>
          <w:szCs w:val="18"/>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156"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Opinion of Counsel to the Borrower</w:t>
      </w:r>
      <w:r>
        <w:rPr>
          <w:rFonts w:ascii="Arial" w:cs="Arial" w:eastAsia="Arial" w:hAnsi="Arial"/>
          <w:sz w:val="16"/>
          <w:szCs w:val="16"/>
          <w:color w:val="auto"/>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31" w:lineRule="exact"/>
        <w:rPr>
          <w:rFonts w:ascii="Arial" w:cs="Arial" w:eastAsia="Arial" w:hAnsi="Arial"/>
          <w:sz w:val="16"/>
          <w:szCs w:val="16"/>
          <w:color w:val="auto"/>
        </w:rPr>
      </w:pPr>
    </w:p>
    <w:p>
      <w:pPr>
        <w:ind w:left="460" w:right="580" w:firstLine="443"/>
        <w:spacing w:after="0" w:line="268" w:lineRule="auto"/>
        <w:tabs>
          <w:tab w:leader="none" w:pos="1205"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Corporate Documents</w:t>
      </w:r>
      <w:r>
        <w:rPr>
          <w:rFonts w:ascii="Arial" w:cs="Arial" w:eastAsia="Arial" w:hAnsi="Arial"/>
          <w:sz w:val="18"/>
          <w:szCs w:val="18"/>
          <w:color w:val="auto"/>
        </w:rPr>
        <w:t>. Such documents and certificates as the Administrative Agent or its counsel may reasonably request relating to the organization,</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15" w:name="page416"/>
    <w:bookmarkEnd w:id="415"/>
    <w:p>
      <w:pPr>
        <w:ind w:left="46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51" w:lineRule="exact"/>
        <w:rPr>
          <w:sz w:val="20"/>
          <w:szCs w:val="20"/>
          <w:color w:val="auto"/>
        </w:rPr>
      </w:pPr>
    </w:p>
    <w:p>
      <w:pPr>
        <w:ind w:left="460" w:right="540" w:firstLine="443"/>
        <w:spacing w:after="0" w:line="332" w:lineRule="auto"/>
        <w:tabs>
          <w:tab w:leader="none" w:pos="1195" w:val="left"/>
        </w:tabs>
        <w:numPr>
          <w:ilvl w:val="0"/>
          <w:numId w:val="446"/>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85" w:lineRule="exact"/>
        <w:rPr>
          <w:sz w:val="20"/>
          <w:szCs w:val="20"/>
          <w:color w:val="auto"/>
        </w:rPr>
      </w:pPr>
    </w:p>
    <w:p>
      <w:pPr>
        <w:ind w:right="320" w:firstLine="921"/>
        <w:spacing w:after="0" w:line="332" w:lineRule="auto"/>
        <w:tabs>
          <w:tab w:leader="none" w:pos="1161" w:val="left"/>
        </w:tabs>
        <w:numPr>
          <w:ilvl w:val="0"/>
          <w:numId w:val="447"/>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Each Credit Event</w:t>
      </w:r>
      <w:r>
        <w:rPr>
          <w:rFonts w:ascii="Arial" w:cs="Arial" w:eastAsia="Arial" w:hAnsi="Arial"/>
          <w:sz w:val="16"/>
          <w:szCs w:val="16"/>
          <w:color w:val="auto"/>
        </w:rPr>
        <w:t>. The obligation of each Lender to make any Loan, and of the Issuing Bank to issue, amend, renew or extend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is additionally subject to the satisfaction of the following conditions:</w:t>
      </w:r>
    </w:p>
    <w:p>
      <w:pPr>
        <w:spacing w:after="0" w:line="84" w:lineRule="exact"/>
        <w:rPr>
          <w:sz w:val="20"/>
          <w:szCs w:val="20"/>
          <w:color w:val="auto"/>
        </w:rPr>
      </w:pPr>
    </w:p>
    <w:p>
      <w:pPr>
        <w:ind w:right="120" w:firstLine="921"/>
        <w:spacing w:after="0" w:line="256" w:lineRule="auto"/>
        <w:tabs>
          <w:tab w:leader="none" w:pos="115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43" w:lineRule="exact"/>
        <w:rPr>
          <w:rFonts w:ascii="Arial" w:cs="Arial" w:eastAsia="Arial" w:hAnsi="Arial"/>
          <w:sz w:val="18"/>
          <w:szCs w:val="18"/>
          <w:color w:val="auto"/>
        </w:rPr>
      </w:pPr>
    </w:p>
    <w:p>
      <w:pPr>
        <w:ind w:right="380" w:firstLine="921"/>
        <w:spacing w:after="0" w:line="268" w:lineRule="auto"/>
        <w:tabs>
          <w:tab w:leader="none" w:pos="116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amendment, renewal or extension of such Letter of Credit, as applicable, no Default shall have occurred and be continuing; and</w:t>
      </w:r>
    </w:p>
    <w:p>
      <w:pPr>
        <w:spacing w:after="0" w:line="131" w:lineRule="exact"/>
        <w:rPr>
          <w:rFonts w:ascii="Arial" w:cs="Arial" w:eastAsia="Arial" w:hAnsi="Arial"/>
          <w:sz w:val="18"/>
          <w:szCs w:val="18"/>
          <w:color w:val="auto"/>
        </w:rPr>
      </w:pPr>
    </w:p>
    <w:p>
      <w:pPr>
        <w:ind w:firstLine="921"/>
        <w:spacing w:after="0" w:line="298" w:lineRule="auto"/>
        <w:tabs>
          <w:tab w:leader="none" w:pos="1152" w:val="left"/>
        </w:tabs>
        <w:numPr>
          <w:ilvl w:val="0"/>
          <w:numId w:val="448"/>
        </w:numPr>
        <w:rPr>
          <w:rFonts w:ascii="Arial" w:cs="Arial" w:eastAsia="Arial" w:hAnsi="Arial"/>
          <w:sz w:val="16"/>
          <w:szCs w:val="16"/>
          <w:color w:val="auto"/>
        </w:rPr>
      </w:pPr>
      <w:r>
        <w:rPr>
          <w:rFonts w:ascii="Arial" w:cs="Arial" w:eastAsia="Arial" w:hAnsi="Arial"/>
          <w:sz w:val="16"/>
          <w:szCs w:val="16"/>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113"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171"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w:t>
      </w:r>
    </w:p>
    <w:p>
      <w:pPr>
        <w:spacing w:after="0" w:line="7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Disbursements shall have been reimbursed, the Borrower covenants and agrees with the Lenders that: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The Borrower will furnish to the Administrative Agent and each Lender:</w:t>
      </w:r>
    </w:p>
    <w:p>
      <w:pPr>
        <w:spacing w:after="0" w:line="113" w:lineRule="exact"/>
        <w:rPr>
          <w:sz w:val="20"/>
          <w:szCs w:val="20"/>
          <w:color w:val="auto"/>
        </w:rPr>
      </w:pPr>
    </w:p>
    <w:p>
      <w:pPr>
        <w:ind w:right="20" w:firstLine="921"/>
        <w:spacing w:after="0" w:line="291" w:lineRule="auto"/>
        <w:tabs>
          <w:tab w:leader="none" w:pos="1152" w:val="left"/>
        </w:tabs>
        <w:numPr>
          <w:ilvl w:val="1"/>
          <w:numId w:val="449"/>
        </w:numPr>
        <w:rPr>
          <w:rFonts w:ascii="Arial" w:cs="Arial" w:eastAsia="Arial" w:hAnsi="Arial"/>
          <w:sz w:val="16"/>
          <w:szCs w:val="16"/>
          <w:color w:val="auto"/>
        </w:rPr>
      </w:pPr>
      <w:r>
        <w:rPr>
          <w:rFonts w:ascii="Arial" w:cs="Arial" w:eastAsia="Arial" w:hAnsi="Arial"/>
          <w:sz w:val="16"/>
          <w:szCs w:val="16"/>
          <w:color w:val="auto"/>
        </w:rPr>
        <w:t xml:space="preserve">within 90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may be fulfilled by providing to the Administrative Agent and the Lenders the report of the Borrower to the SEC on Form 10-K for the applicable fiscal year;</w:t>
      </w:r>
    </w:p>
    <w:p>
      <w:pPr>
        <w:spacing w:after="0" w:line="120" w:lineRule="exact"/>
        <w:rPr>
          <w:rFonts w:ascii="Arial" w:cs="Arial" w:eastAsia="Arial" w:hAnsi="Arial"/>
          <w:sz w:val="16"/>
          <w:szCs w:val="16"/>
          <w:color w:val="auto"/>
        </w:rPr>
      </w:pPr>
    </w:p>
    <w:p>
      <w:pPr>
        <w:ind w:right="80" w:firstLine="921"/>
        <w:spacing w:after="0" w:line="312" w:lineRule="auto"/>
        <w:tabs>
          <w:tab w:leader="none" w:pos="1162" w:val="left"/>
        </w:tabs>
        <w:numPr>
          <w:ilvl w:val="1"/>
          <w:numId w:val="449"/>
        </w:numPr>
        <w:rPr>
          <w:rFonts w:ascii="Arial" w:cs="Arial" w:eastAsia="Arial" w:hAnsi="Arial"/>
          <w:sz w:val="15"/>
          <w:szCs w:val="15"/>
          <w:color w:val="auto"/>
        </w:rPr>
      </w:pPr>
      <w:r>
        <w:rPr>
          <w:rFonts w:ascii="Arial" w:cs="Arial" w:eastAsia="Arial" w:hAnsi="Arial"/>
          <w:sz w:val="15"/>
          <w:szCs w:val="15"/>
          <w:color w:val="auto"/>
        </w:rPr>
        <w:t xml:space="preserve">within 45 days after the end of each of the first three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requirements set forth in this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may be fulfilled by providing to the Lenders the report of the Borrower to the SEC on Form 10-Q for the applicable quarterly period;</w:t>
      </w:r>
    </w:p>
    <w:p>
      <w:pPr>
        <w:spacing w:after="0" w:line="105" w:lineRule="exact"/>
        <w:rPr>
          <w:rFonts w:ascii="Arial" w:cs="Arial" w:eastAsia="Arial" w:hAnsi="Arial"/>
          <w:sz w:val="15"/>
          <w:szCs w:val="15"/>
          <w:color w:val="auto"/>
        </w:rPr>
      </w:pPr>
    </w:p>
    <w:p>
      <w:pPr>
        <w:ind w:left="1160" w:hanging="239"/>
        <w:spacing w:after="0"/>
        <w:tabs>
          <w:tab w:leader="none" w:pos="116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 xml:space="preserve">concurrently with any delivery of financial statements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 certificate of a Financial Officer of the Borrower</w:t>
      </w:r>
    </w:p>
    <w:p>
      <w:pPr>
        <w:spacing w:after="0" w:line="38" w:lineRule="exact"/>
        <w:rPr>
          <w:rFonts w:ascii="Arial" w:cs="Arial" w:eastAsia="Arial" w:hAnsi="Arial"/>
          <w:sz w:val="16"/>
          <w:szCs w:val="16"/>
          <w:color w:val="auto"/>
        </w:rPr>
      </w:pPr>
    </w:p>
    <w:p>
      <w:pPr>
        <w:ind w:right="20" w:firstLine="8"/>
        <w:spacing w:after="0" w:line="292" w:lineRule="auto"/>
        <w:tabs>
          <w:tab w:leader="none" w:pos="21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 xml:space="preserve">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6.07</w:t>
      </w:r>
      <w:r>
        <w:rPr>
          <w:rFonts w:ascii="Arial" w:cs="Arial" w:eastAsia="Arial" w:hAnsi="Arial"/>
          <w:sz w:val="16"/>
          <w:szCs w:val="16"/>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16" w:lineRule="exact"/>
        <w:rPr>
          <w:rFonts w:ascii="Arial" w:cs="Arial" w:eastAsia="Arial" w:hAnsi="Arial"/>
          <w:sz w:val="16"/>
          <w:szCs w:val="16"/>
          <w:color w:val="auto"/>
        </w:rPr>
      </w:pPr>
    </w:p>
    <w:p>
      <w:pPr>
        <w:ind w:right="500" w:firstLine="921"/>
        <w:spacing w:after="0" w:line="332" w:lineRule="auto"/>
        <w:tabs>
          <w:tab w:leader="none" w:pos="1162" w:val="left"/>
        </w:tabs>
        <w:numPr>
          <w:ilvl w:val="1"/>
          <w:numId w:val="450"/>
        </w:numPr>
        <w:rPr>
          <w:rFonts w:ascii="Arial" w:cs="Arial" w:eastAsia="Arial" w:hAnsi="Arial"/>
          <w:sz w:val="16"/>
          <w:szCs w:val="16"/>
          <w:color w:val="auto"/>
        </w:rPr>
      </w:pPr>
      <w:r>
        <w:rPr>
          <w:rFonts w:ascii="Arial" w:cs="Arial" w:eastAsia="Arial" w:hAnsi="Arial"/>
          <w:sz w:val="16"/>
          <w:szCs w:val="16"/>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7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17" w:name="page418"/>
    <w:bookmarkEnd w:id="417"/>
    <w:p>
      <w:pPr>
        <w:ind w:right="160" w:firstLine="921"/>
        <w:spacing w:after="0" w:line="298" w:lineRule="auto"/>
        <w:tabs>
          <w:tab w:leader="none" w:pos="1152" w:val="left"/>
        </w:tabs>
        <w:numPr>
          <w:ilvl w:val="0"/>
          <w:numId w:val="4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but no later than five Business Days after the Borrower shall at any time have knowledge that there is a Borrowing Base Deficiency, a Borrowing Base Certificate as at the date the Borrower has knowledge of such Borrowing Base Deficiency indicating the amount of the Borrowing Base Deficiency as at the date the Borrower obtained knowledge of such deficiency and the amount of the Borrowing Base Deficiency as of the date not earlier than one Business Day prior to the date the Borrowing Base Certificate is delivered pursuant to this paragraph;</w:t>
      </w:r>
    </w:p>
    <w:p>
      <w:pPr>
        <w:spacing w:after="0" w:line="112" w:lineRule="exact"/>
        <w:rPr>
          <w:rFonts w:ascii="Arial" w:cs="Arial" w:eastAsia="Arial" w:hAnsi="Arial"/>
          <w:sz w:val="16"/>
          <w:szCs w:val="16"/>
          <w:color w:val="auto"/>
        </w:rPr>
      </w:pPr>
    </w:p>
    <w:p>
      <w:pPr>
        <w:ind w:right="40" w:firstLine="921"/>
        <w:spacing w:after="0" w:line="259" w:lineRule="auto"/>
        <w:tabs>
          <w:tab w:leader="none" w:pos="113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40" w:lineRule="exact"/>
        <w:rPr>
          <w:rFonts w:ascii="Arial" w:cs="Arial" w:eastAsia="Arial" w:hAnsi="Arial"/>
          <w:sz w:val="18"/>
          <w:szCs w:val="18"/>
          <w:color w:val="auto"/>
        </w:rPr>
      </w:pPr>
    </w:p>
    <w:p>
      <w:pPr>
        <w:jc w:val="both"/>
        <w:ind w:right="380" w:firstLine="921"/>
        <w:spacing w:after="0" w:line="259" w:lineRule="auto"/>
        <w:tabs>
          <w:tab w:leader="none" w:pos="116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40" w:lineRule="exact"/>
        <w:rPr>
          <w:rFonts w:ascii="Arial" w:cs="Arial" w:eastAsia="Arial" w:hAnsi="Arial"/>
          <w:sz w:val="18"/>
          <w:szCs w:val="18"/>
          <w:color w:val="auto"/>
        </w:rPr>
      </w:pPr>
    </w:p>
    <w:p>
      <w:pPr>
        <w:ind w:firstLine="921"/>
        <w:spacing w:after="0" w:line="259" w:lineRule="auto"/>
        <w:tabs>
          <w:tab w:leader="none" w:pos="116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40" w:lineRule="exact"/>
        <w:rPr>
          <w:rFonts w:ascii="Arial" w:cs="Arial" w:eastAsia="Arial" w:hAnsi="Arial"/>
          <w:sz w:val="18"/>
          <w:szCs w:val="18"/>
          <w:color w:val="auto"/>
        </w:rPr>
      </w:pPr>
    </w:p>
    <w:p>
      <w:pPr>
        <w:ind w:right="160" w:firstLine="921"/>
        <w:spacing w:after="0" w:line="289" w:lineRule="auto"/>
        <w:tabs>
          <w:tab w:leader="none" w:pos="1123" w:val="left"/>
        </w:tabs>
        <w:numPr>
          <w:ilvl w:val="0"/>
          <w:numId w:val="451"/>
        </w:numPr>
        <w:rPr>
          <w:rFonts w:ascii="Arial" w:cs="Arial" w:eastAsia="Arial" w:hAnsi="Arial"/>
          <w:sz w:val="16"/>
          <w:szCs w:val="16"/>
          <w:color w:val="auto"/>
        </w:rPr>
      </w:pPr>
      <w:r>
        <w:rPr>
          <w:rFonts w:ascii="Arial" w:cs="Arial" w:eastAsia="Arial" w:hAnsi="Arial"/>
          <w:sz w:val="16"/>
          <w:szCs w:val="16"/>
          <w:color w:val="auto"/>
        </w:rPr>
        <w:t xml:space="preserve">Borrower and each Lender acknowledge that certain of the Lenders may be Public Lenders and, if documents or notices required to be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otherwise are being distributed through IntraLinks/IntraAgency, SyndTrak or another relevant website or other information platform (the “</w:t>
      </w:r>
      <w:r>
        <w:rPr>
          <w:rFonts w:ascii="Arial" w:cs="Arial" w:eastAsia="Arial" w:hAnsi="Arial"/>
          <w:sz w:val="16"/>
          <w:szCs w:val="16"/>
          <w:u w:val="single" w:color="auto"/>
          <w:color w:val="auto"/>
        </w:rPr>
        <w:t>Platform</w:t>
      </w:r>
      <w:r>
        <w:rPr>
          <w:rFonts w:ascii="Arial" w:cs="Arial" w:eastAsia="Arial" w:hAnsi="Arial"/>
          <w:sz w:val="16"/>
          <w:szCs w:val="16"/>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this Agreement).</w:t>
      </w:r>
    </w:p>
    <w:p>
      <w:pPr>
        <w:spacing w:after="0" w:line="118" w:lineRule="exact"/>
        <w:rPr>
          <w:rFonts w:ascii="Arial" w:cs="Arial" w:eastAsia="Arial" w:hAnsi="Arial"/>
          <w:sz w:val="16"/>
          <w:szCs w:val="16"/>
          <w:color w:val="auto"/>
        </w:rPr>
      </w:pPr>
    </w:p>
    <w:p>
      <w:pPr>
        <w:ind w:right="20" w:firstLine="921"/>
        <w:spacing w:after="0" w:line="306" w:lineRule="auto"/>
        <w:tabs>
          <w:tab w:leader="none" w:pos="1123" w:val="left"/>
        </w:tabs>
        <w:numPr>
          <w:ilvl w:val="0"/>
          <w:numId w:val="45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the requirements to deliver documents set forth in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will be fulfilled by filing by the Borrower of the applicable documents for public availability on the SEC’s Electronic Data Gathering and Retrieval system;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notify the Administrative Agent (by telecopier or electronic mail) of the posting of any such documents.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and each Lender prompt written notice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5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18" w:name="page419"/>
    <w:bookmarkEnd w:id="418"/>
    <w:p>
      <w:pPr>
        <w:ind w:left="1160" w:hanging="239"/>
        <w:spacing w:after="0"/>
        <w:tabs>
          <w:tab w:leader="none" w:pos="11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occurrence of any Default;</w:t>
      </w:r>
    </w:p>
    <w:p>
      <w:pPr>
        <w:spacing w:after="0" w:line="171" w:lineRule="exact"/>
        <w:rPr>
          <w:rFonts w:ascii="Arial" w:cs="Arial" w:eastAsia="Arial" w:hAnsi="Arial"/>
          <w:sz w:val="18"/>
          <w:szCs w:val="18"/>
          <w:color w:val="auto"/>
        </w:rPr>
      </w:pPr>
    </w:p>
    <w:p>
      <w:pPr>
        <w:ind w:right="440" w:firstLine="921"/>
        <w:spacing w:after="0" w:line="332" w:lineRule="auto"/>
        <w:tabs>
          <w:tab w:leader="none" w:pos="1162"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85" w:lineRule="exact"/>
        <w:rPr>
          <w:rFonts w:ascii="Arial" w:cs="Arial" w:eastAsia="Arial" w:hAnsi="Arial"/>
          <w:sz w:val="16"/>
          <w:szCs w:val="16"/>
          <w:color w:val="auto"/>
        </w:rPr>
      </w:pPr>
    </w:p>
    <w:p>
      <w:pPr>
        <w:ind w:right="340" w:firstLine="921"/>
        <w:spacing w:after="0" w:line="268" w:lineRule="auto"/>
        <w:tabs>
          <w:tab w:leader="none" w:pos="115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Borrower and its Subsidiaries in an aggregate amount exceeding $15,000,000;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85"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43"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16"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Maintenance of Properties; Insurance</w:t>
      </w:r>
      <w:r>
        <w:rPr>
          <w:rFonts w:ascii="Arial" w:cs="Arial" w:eastAsia="Arial" w:hAnsi="Arial"/>
          <w:sz w:val="16"/>
          <w:szCs w:val="16"/>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13"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Books and Records; Inspection and Audit Rights</w:t>
      </w:r>
      <w:r>
        <w:rPr>
          <w:rFonts w:ascii="Arial" w:cs="Arial" w:eastAsia="Arial" w:hAnsi="Arial"/>
          <w:sz w:val="16"/>
          <w:szCs w:val="16"/>
          <w:color w:val="auto"/>
        </w:rPr>
        <w:t>. The Borrower will, and will cause each of its Subsidiaries to, keep books of record and account in accordance with GAAP. 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w:t>
      </w:r>
    </w:p>
    <w:p>
      <w:pPr>
        <w:spacing w:after="0" w:line="99" w:lineRule="exact"/>
        <w:rPr>
          <w:sz w:val="20"/>
          <w:szCs w:val="20"/>
          <w:color w:val="auto"/>
        </w:rPr>
      </w:pPr>
    </w:p>
    <w:p>
      <w:pPr>
        <w:ind w:left="5860"/>
        <w:spacing w:after="0"/>
        <w:tabs>
          <w:tab w:leader="none" w:pos="9420" w:val="left"/>
        </w:tabs>
        <w:rPr>
          <w:sz w:val="20"/>
          <w:szCs w:val="20"/>
          <w:color w:val="auto"/>
        </w:rPr>
      </w:pPr>
      <w:r>
        <w:rPr>
          <w:rFonts w:ascii="Arial" w:cs="Arial" w:eastAsia="Arial" w:hAnsi="Arial"/>
          <w:sz w:val="15"/>
          <w:szCs w:val="15"/>
          <w:color w:val="auto"/>
        </w:rPr>
        <w:t>80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19" w:name="page420"/>
    <w:bookmarkEnd w:id="419"/>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accountants, all at such reasonable times and as often as reasonably requested, in each case, to the extent such inspection or requests for such information are reasonable and such information can be provided or discussed without violation o flaw, rule, regulation or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such Obligor shall be entitled to have its representatives and advisors present during any inspection of its books and records.</w:t>
      </w:r>
    </w:p>
    <w:p>
      <w:pPr>
        <w:spacing w:after="0" w:line="107"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Certain Obligations Respecting Subsidiaries; Further Assurances</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294" w:lineRule="auto"/>
        <w:tabs>
          <w:tab w:leader="none" w:pos="1152" w:val="left"/>
        </w:tabs>
        <w:numPr>
          <w:ilvl w:val="0"/>
          <w:numId w:val="453"/>
        </w:numPr>
        <w:rPr>
          <w:rFonts w:ascii="Arial" w:cs="Arial" w:eastAsia="Arial" w:hAnsi="Arial"/>
          <w:sz w:val="16"/>
          <w:szCs w:val="16"/>
          <w:color w:val="auto"/>
        </w:rPr>
      </w:pPr>
      <w:r>
        <w:rPr>
          <w:rFonts w:ascii="Arial" w:cs="Arial" w:eastAsia="Arial" w:hAnsi="Arial"/>
          <w:sz w:val="16"/>
          <w:szCs w:val="16"/>
          <w:u w:val="single" w:color="auto"/>
          <w:color w:val="auto"/>
        </w:rPr>
        <w:t>Subsidiary Guarantors</w:t>
      </w:r>
      <w:r>
        <w:rPr>
          <w:rFonts w:ascii="Arial" w:cs="Arial" w:eastAsia="Arial" w:hAnsi="Arial"/>
          <w:sz w:val="16"/>
          <w:szCs w:val="16"/>
          <w:color w:val="auto"/>
        </w:rPr>
        <w:t xml:space="preserve">.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upon the Effective Date or as the Administrative Agent shall have requested.</w:t>
      </w:r>
    </w:p>
    <w:p>
      <w:pPr>
        <w:spacing w:after="0" w:line="115" w:lineRule="exact"/>
        <w:rPr>
          <w:rFonts w:ascii="Arial" w:cs="Arial" w:eastAsia="Arial" w:hAnsi="Arial"/>
          <w:sz w:val="16"/>
          <w:szCs w:val="16"/>
          <w:color w:val="auto"/>
        </w:rPr>
      </w:pPr>
    </w:p>
    <w:p>
      <w:pPr>
        <w:ind w:right="60" w:firstLine="921"/>
        <w:spacing w:after="0" w:line="268" w:lineRule="auto"/>
        <w:tabs>
          <w:tab w:leader="none" w:pos="1161"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Ownership of Subsidiaries</w:t>
      </w:r>
      <w:r>
        <w:rPr>
          <w:rFonts w:ascii="Arial" w:cs="Arial" w:eastAsia="Arial" w:hAnsi="Arial"/>
          <w:sz w:val="18"/>
          <w:szCs w:val="18"/>
          <w:color w:val="auto"/>
        </w:rPr>
        <w:t>. The Borrower will, and will cause each of its Subsidiaries to, take such action from time to time as shall be necessary to ensure that each of its Subsidiaries is a wholly owned Subsidiary.</w:t>
      </w:r>
    </w:p>
    <w:p>
      <w:pPr>
        <w:spacing w:after="0" w:line="131" w:lineRule="exact"/>
        <w:rPr>
          <w:rFonts w:ascii="Arial" w:cs="Arial" w:eastAsia="Arial" w:hAnsi="Arial"/>
          <w:sz w:val="18"/>
          <w:szCs w:val="18"/>
          <w:color w:val="auto"/>
        </w:rPr>
      </w:pPr>
    </w:p>
    <w:p>
      <w:pPr>
        <w:ind w:right="40" w:firstLine="921"/>
        <w:spacing w:after="0" w:line="288" w:lineRule="auto"/>
        <w:tabs>
          <w:tab w:leader="none" w:pos="1152" w:val="left"/>
        </w:tabs>
        <w:numPr>
          <w:ilvl w:val="0"/>
          <w:numId w:val="453"/>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security interest or Lien shall be subject to the relevant requirements of the Security Documents, (ii) in the case of any Portfolio Investment consisting of a Bank Loan (as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that does not constitute all of the credit extended to the underlying borrower under the relevant underlying</w:t>
      </w:r>
    </w:p>
    <w:p>
      <w:pPr>
        <w:spacing w:after="0" w:line="106"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20" w:name="page421"/>
    <w:bookmarkEnd w:id="420"/>
    <w:p>
      <w:pPr>
        <w:ind w:right="1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w:t>
      </w:r>
    </w:p>
    <w:p>
      <w:pPr>
        <w:spacing w:after="0" w:line="5" w:lineRule="exact"/>
        <w:rPr>
          <w:sz w:val="20"/>
          <w:szCs w:val="20"/>
          <w:color w:val="auto"/>
        </w:rPr>
      </w:pPr>
    </w:p>
    <w:p>
      <w:pPr>
        <w:ind w:right="160" w:firstLine="8"/>
        <w:spacing w:after="0" w:line="302" w:lineRule="auto"/>
        <w:tabs>
          <w:tab w:leader="none" w:pos="297"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09"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Borrower will use the proceeds of the Loans only for general corporate purposes of the Borrower in the ordinary course of business,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Administrative Agent nor any Lender shall have any responsibility as to the use of any of such proceeds. No part of the proceeds of any Loan will be used in violation of applicable law or, directly or indirectly, for the purpose, whether immediate, incidental or ultimate, of buying or carrying any Margin Stock. Margin Stock shall be purchased by the Obligors only with the proceeds of Indebtedness not directly or indirectly secured by Margin Stock, or with the proceeds of equity capital of the Borrower.</w:t>
      </w:r>
    </w:p>
    <w:p>
      <w:pPr>
        <w:spacing w:after="0" w:line="14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Status of RIC and BDC</w:t>
      </w:r>
      <w:r>
        <w:rPr>
          <w:rFonts w:ascii="Arial" w:cs="Arial" w:eastAsia="Arial" w:hAnsi="Arial"/>
          <w:sz w:val="18"/>
          <w:szCs w:val="18"/>
          <w:color w:val="auto"/>
        </w:rPr>
        <w:t>. The Borrower shall at all times, subject to applicable grace periods set forth in the Code, maintain its status as a RIC under the Code, and as a “business development company” under the Investment Company Act.</w:t>
      </w:r>
    </w:p>
    <w:p>
      <w:pPr>
        <w:spacing w:after="0" w:line="132"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Investment Policies</w:t>
      </w:r>
      <w:r>
        <w:rPr>
          <w:rFonts w:ascii="Arial" w:cs="Arial" w:eastAsia="Arial" w:hAnsi="Arial"/>
          <w:sz w:val="18"/>
          <w:szCs w:val="18"/>
          <w:color w:val="auto"/>
        </w:rPr>
        <w:t>. The Borrower shall at all times be in compliance in all material respects with its Investment Policies (after giving effect to any Permitted Policy Amendments).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Portfolio Valuation and Diversification Etc</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56" w:lineRule="auto"/>
        <w:tabs>
          <w:tab w:leader="none" w:pos="1152"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Industry Classification Groups</w:t>
      </w:r>
      <w:r>
        <w:rPr>
          <w:rFonts w:ascii="Arial" w:cs="Arial" w:eastAsia="Arial" w:hAnsi="Arial"/>
          <w:sz w:val="18"/>
          <w:szCs w:val="18"/>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and each Lender, to create up to three additional industry classification groups for purposes of this Agreement.</w:t>
      </w:r>
    </w:p>
    <w:p>
      <w:pPr>
        <w:spacing w:after="0" w:line="171" w:lineRule="exact"/>
        <w:rPr>
          <w:sz w:val="20"/>
          <w:szCs w:val="20"/>
          <w:color w:val="auto"/>
        </w:rPr>
      </w:pPr>
    </w:p>
    <w:p>
      <w:pPr>
        <w:ind w:left="1160" w:hanging="239"/>
        <w:spacing w:after="0"/>
        <w:tabs>
          <w:tab w:leader="none" w:pos="1160" w:val="left"/>
        </w:tabs>
        <w:numPr>
          <w:ilvl w:val="1"/>
          <w:numId w:val="456"/>
        </w:numPr>
        <w:rPr>
          <w:rFonts w:ascii="Arial" w:cs="Arial" w:eastAsia="Arial" w:hAnsi="Arial"/>
          <w:sz w:val="18"/>
          <w:szCs w:val="18"/>
          <w:color w:val="auto"/>
        </w:rPr>
      </w:pPr>
      <w:r>
        <w:rPr>
          <w:rFonts w:ascii="Arial" w:cs="Arial" w:eastAsia="Arial" w:hAnsi="Arial"/>
          <w:sz w:val="18"/>
          <w:szCs w:val="18"/>
          <w:u w:val="single" w:color="auto"/>
          <w:color w:val="auto"/>
        </w:rPr>
        <w:t>Portfolio Valuation Etc</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98" w:lineRule="auto"/>
        <w:tabs>
          <w:tab w:leader="none" w:pos="1108"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Settlement Date Basis</w:t>
      </w:r>
      <w:r>
        <w:rPr>
          <w:rFonts w:ascii="Arial" w:cs="Arial" w:eastAsia="Arial" w:hAnsi="Arial"/>
          <w:sz w:val="16"/>
          <w:szCs w:val="16"/>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investment shall be included as a Portfolio Investment to the extent it has not been paid for in full.</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Determination of Values</w:t>
      </w:r>
      <w:r>
        <w:rPr>
          <w:rFonts w:ascii="Arial" w:cs="Arial" w:eastAsia="Arial" w:hAnsi="Arial"/>
          <w:sz w:val="16"/>
          <w:szCs w:val="16"/>
          <w:color w:val="auto"/>
        </w:rPr>
        <w:t>. The Borrower will conduct reviews of the value to be assigned to each of its Portfolio Investments as follows:</w:t>
      </w:r>
    </w:p>
    <w:p>
      <w:pPr>
        <w:spacing w:after="0" w:line="113" w:lineRule="exact"/>
        <w:rPr>
          <w:rFonts w:ascii="Arial" w:cs="Arial" w:eastAsia="Arial" w:hAnsi="Arial"/>
          <w:sz w:val="16"/>
          <w:szCs w:val="16"/>
          <w:color w:val="auto"/>
        </w:rPr>
      </w:pPr>
    </w:p>
    <w:p>
      <w:pPr>
        <w:ind w:left="920" w:right="40" w:firstLine="421"/>
        <w:spacing w:after="0" w:line="306" w:lineRule="auto"/>
        <w:tabs>
          <w:tab w:leader="none" w:pos="1627" w:val="left"/>
        </w:tabs>
        <w:numPr>
          <w:ilvl w:val="2"/>
          <w:numId w:val="457"/>
        </w:numPr>
        <w:rPr>
          <w:rFonts w:ascii="Arial" w:cs="Arial" w:eastAsia="Arial" w:hAnsi="Arial"/>
          <w:sz w:val="16"/>
          <w:szCs w:val="16"/>
          <w:color w:val="auto"/>
        </w:rPr>
      </w:pPr>
      <w:r>
        <w:rPr>
          <w:rFonts w:ascii="Arial" w:cs="Arial" w:eastAsia="Arial" w:hAnsi="Arial"/>
          <w:sz w:val="16"/>
          <w:szCs w:val="16"/>
          <w:u w:val="single" w:color="auto"/>
          <w:color w:val="auto"/>
        </w:rPr>
        <w:t>Quoted Investments—External Review</w:t>
      </w:r>
      <w:r>
        <w:rPr>
          <w:rFonts w:ascii="Arial" w:cs="Arial" w:eastAsia="Arial" w:hAnsi="Arial"/>
          <w:sz w:val="16"/>
          <w:szCs w:val="16"/>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25" w:lineRule="exact"/>
        <w:rPr>
          <w:rFonts w:ascii="Arial" w:cs="Arial" w:eastAsia="Arial" w:hAnsi="Arial"/>
          <w:sz w:val="16"/>
          <w:szCs w:val="16"/>
          <w:color w:val="auto"/>
        </w:rPr>
      </w:pPr>
    </w:p>
    <w:p>
      <w:pPr>
        <w:ind w:left="1500" w:right="360" w:firstLine="389"/>
        <w:spacing w:after="0" w:line="268" w:lineRule="auto"/>
        <w:tabs>
          <w:tab w:leader="none" w:pos="2185" w:val="left"/>
        </w:tabs>
        <w:numPr>
          <w:ilvl w:val="3"/>
          <w:numId w:val="457"/>
        </w:numPr>
        <w:rPr>
          <w:rFonts w:ascii="Arial" w:cs="Arial" w:eastAsia="Arial" w:hAnsi="Arial"/>
          <w:sz w:val="18"/>
          <w:szCs w:val="18"/>
          <w:color w:val="auto"/>
        </w:rPr>
      </w:pPr>
      <w:r>
        <w:rPr>
          <w:rFonts w:ascii="Arial" w:cs="Arial" w:eastAsia="Arial" w:hAnsi="Arial"/>
          <w:sz w:val="18"/>
          <w:szCs w:val="18"/>
          <w:color w:val="auto"/>
        </w:rPr>
        <w:t>in the case of public and 144A securities, the average of the bid prices as determined by two Approved Dealers selected by the Borrower,</w:t>
      </w:r>
    </w:p>
    <w:p>
      <w:pPr>
        <w:spacing w:after="0" w:line="50" w:lineRule="exact"/>
        <w:rPr>
          <w:rFonts w:ascii="Arial" w:cs="Arial" w:eastAsia="Arial" w:hAnsi="Arial"/>
          <w:sz w:val="18"/>
          <w:szCs w:val="18"/>
          <w:color w:val="auto"/>
        </w:rPr>
      </w:pPr>
    </w:p>
    <w:p>
      <w:pPr>
        <w:ind w:left="2140" w:hanging="251"/>
        <w:spacing w:after="0"/>
        <w:tabs>
          <w:tab w:leader="none" w:pos="2140" w:val="left"/>
        </w:tabs>
        <w:numPr>
          <w:ilvl w:val="3"/>
          <w:numId w:val="457"/>
        </w:numPr>
        <w:rPr>
          <w:rFonts w:ascii="Arial" w:cs="Arial" w:eastAsia="Arial" w:hAnsi="Arial"/>
          <w:sz w:val="18"/>
          <w:szCs w:val="18"/>
          <w:color w:val="auto"/>
        </w:rPr>
      </w:pPr>
      <w:r>
        <w:rPr>
          <w:rFonts w:ascii="Arial" w:cs="Arial" w:eastAsia="Arial" w:hAnsi="Arial"/>
          <w:sz w:val="18"/>
          <w:szCs w:val="18"/>
          <w:color w:val="auto"/>
        </w:rPr>
        <w:t>in the case of bank loans, the bid price as determined by one Approved Dealer selected by the Borrower,</w:t>
      </w:r>
    </w:p>
    <w:p>
      <w:pPr>
        <w:spacing w:after="0" w:line="90" w:lineRule="exact"/>
        <w:rPr>
          <w:rFonts w:ascii="Arial" w:cs="Arial" w:eastAsia="Arial" w:hAnsi="Arial"/>
          <w:sz w:val="18"/>
          <w:szCs w:val="18"/>
          <w:color w:val="auto"/>
        </w:rPr>
      </w:pPr>
    </w:p>
    <w:p>
      <w:pPr>
        <w:ind w:left="1500" w:right="100" w:firstLine="389"/>
        <w:spacing w:after="0" w:line="268" w:lineRule="auto"/>
        <w:tabs>
          <w:tab w:leader="none" w:pos="2146" w:val="left"/>
        </w:tabs>
        <w:numPr>
          <w:ilvl w:val="3"/>
          <w:numId w:val="457"/>
        </w:numPr>
        <w:rPr>
          <w:rFonts w:ascii="Arial" w:cs="Arial" w:eastAsia="Arial" w:hAnsi="Arial"/>
          <w:sz w:val="18"/>
          <w:szCs w:val="18"/>
          <w:color w:val="auto"/>
        </w:rPr>
      </w:pPr>
      <w:r>
        <w:rPr>
          <w:rFonts w:ascii="Arial" w:cs="Arial" w:eastAsia="Arial" w:hAnsi="Arial"/>
          <w:sz w:val="18"/>
          <w:szCs w:val="18"/>
          <w:color w:val="auto"/>
        </w:rPr>
        <w:t>in the case of any Portfolio Investment traded on an exchange, the closing price for such Portfolio Investment most recently posted on such exchange, and</w:t>
      </w:r>
    </w:p>
    <w:p>
      <w:pPr>
        <w:spacing w:after="0" w:line="50" w:lineRule="exact"/>
        <w:rPr>
          <w:rFonts w:ascii="Arial" w:cs="Arial" w:eastAsia="Arial" w:hAnsi="Arial"/>
          <w:sz w:val="18"/>
          <w:szCs w:val="18"/>
          <w:color w:val="auto"/>
        </w:rPr>
      </w:pPr>
    </w:p>
    <w:p>
      <w:pPr>
        <w:ind w:left="2120" w:hanging="231"/>
        <w:spacing w:after="0"/>
        <w:tabs>
          <w:tab w:leader="none" w:pos="2120" w:val="left"/>
        </w:tabs>
        <w:numPr>
          <w:ilvl w:val="3"/>
          <w:numId w:val="457"/>
        </w:numPr>
        <w:rPr>
          <w:rFonts w:ascii="Arial" w:cs="Arial" w:eastAsia="Arial" w:hAnsi="Arial"/>
          <w:sz w:val="16"/>
          <w:szCs w:val="16"/>
          <w:color w:val="auto"/>
        </w:rPr>
      </w:pPr>
      <w:r>
        <w:rPr>
          <w:rFonts w:ascii="Arial" w:cs="Arial" w:eastAsia="Arial" w:hAnsi="Arial"/>
          <w:sz w:val="16"/>
          <w:szCs w:val="16"/>
          <w:color w:val="auto"/>
        </w:rPr>
        <w:t>in the case of any other Portfolio Investment, the fair market value thereof as determined by an Approved Pricing Service; and</w:t>
      </w:r>
    </w:p>
    <w:p>
      <w:pPr>
        <w:spacing w:after="0" w:line="113" w:lineRule="exact"/>
        <w:rPr>
          <w:rFonts w:ascii="Arial" w:cs="Arial" w:eastAsia="Arial" w:hAnsi="Arial"/>
          <w:sz w:val="16"/>
          <w:szCs w:val="16"/>
          <w:color w:val="auto"/>
        </w:rPr>
      </w:pPr>
    </w:p>
    <w:p>
      <w:pPr>
        <w:ind w:left="920" w:right="60" w:firstLine="421"/>
        <w:spacing w:after="0" w:line="323" w:lineRule="auto"/>
        <w:tabs>
          <w:tab w:leader="none" w:pos="1618" w:val="left"/>
        </w:tabs>
        <w:numPr>
          <w:ilvl w:val="2"/>
          <w:numId w:val="457"/>
        </w:numPr>
        <w:rPr>
          <w:rFonts w:ascii="Arial" w:cs="Arial" w:eastAsia="Arial" w:hAnsi="Arial"/>
          <w:sz w:val="15"/>
          <w:szCs w:val="15"/>
          <w:color w:val="auto"/>
        </w:rPr>
      </w:pPr>
      <w:r>
        <w:rPr>
          <w:rFonts w:ascii="Arial" w:cs="Arial" w:eastAsia="Arial" w:hAnsi="Arial"/>
          <w:sz w:val="15"/>
          <w:szCs w:val="15"/>
          <w:u w:val="single" w:color="auto"/>
          <w:color w:val="auto"/>
        </w:rPr>
        <w:t>Unquoted Investments- External Review</w:t>
      </w:r>
      <w:r>
        <w:rPr>
          <w:rFonts w:ascii="Arial" w:cs="Arial" w:eastAsia="Arial" w:hAnsi="Arial"/>
          <w:sz w:val="15"/>
          <w:szCs w:val="15"/>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Arial" w:cs="Arial" w:eastAsia="Arial" w:hAnsi="Arial"/>
          <w:sz w:val="15"/>
          <w:szCs w:val="15"/>
          <w:u w:val="single" w:color="auto"/>
          <w:color w:val="auto"/>
        </w:rPr>
        <w:t>Testing Quarter</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6" w:lineRule="exact"/>
        <w:rPr>
          <w:rFonts w:ascii="Arial" w:cs="Arial" w:eastAsia="Arial" w:hAnsi="Arial"/>
          <w:sz w:val="15"/>
          <w:szCs w:val="15"/>
          <w:color w:val="auto"/>
        </w:rPr>
      </w:pPr>
    </w:p>
    <w:p>
      <w:pPr>
        <w:ind w:left="2140" w:hanging="251"/>
        <w:spacing w:after="0"/>
        <w:tabs>
          <w:tab w:leader="none" w:pos="2140" w:val="left"/>
        </w:tabs>
        <w:numPr>
          <w:ilvl w:val="3"/>
          <w:numId w:val="458"/>
        </w:numPr>
        <w:rPr>
          <w:rFonts w:ascii="Arial" w:cs="Arial" w:eastAsia="Arial" w:hAnsi="Arial"/>
          <w:sz w:val="18"/>
          <w:szCs w:val="18"/>
          <w:color w:val="auto"/>
        </w:rPr>
      </w:pPr>
      <w:r>
        <w:rPr>
          <w:rFonts w:ascii="Arial" w:cs="Arial" w:eastAsia="Arial" w:hAnsi="Arial"/>
          <w:sz w:val="18"/>
          <w:szCs w:val="18"/>
          <w:color w:val="auto"/>
        </w:rPr>
        <w:t>the Value of any such Portfolio Investment (i.e., a Portfolio Investment for which market quotations are not readily</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available) acquired</w:t>
      </w:r>
    </w:p>
    <w:p>
      <w:pPr>
        <w:spacing w:after="0" w:line="15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22" w:name="page423"/>
    <w:bookmarkEnd w:id="422"/>
    <w:p>
      <w:pPr>
        <w:jc w:val="both"/>
        <w:ind w:left="30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as at the last day of the next succeeding Testing Quarter with respect to such Portfolio Investment;</w:t>
      </w:r>
    </w:p>
    <w:p>
      <w:pPr>
        <w:spacing w:after="0" w:line="59" w:lineRule="exact"/>
        <w:rPr>
          <w:sz w:val="20"/>
          <w:szCs w:val="20"/>
          <w:color w:val="auto"/>
        </w:rPr>
      </w:pPr>
    </w:p>
    <w:p>
      <w:pPr>
        <w:ind w:left="300" w:firstLine="389"/>
        <w:spacing w:after="0" w:line="289" w:lineRule="auto"/>
        <w:tabs>
          <w:tab w:leader="none" w:pos="946" w:val="left"/>
        </w:tabs>
        <w:numPr>
          <w:ilvl w:val="1"/>
          <w:numId w:val="459"/>
        </w:numPr>
        <w:rPr>
          <w:rFonts w:ascii="Arial" w:cs="Arial" w:eastAsia="Arial" w:hAnsi="Arial"/>
          <w:sz w:val="16"/>
          <w:szCs w:val="16"/>
          <w:color w:val="auto"/>
        </w:rPr>
      </w:pPr>
      <w:r>
        <w:rPr>
          <w:rFonts w:ascii="Arial" w:cs="Arial" w:eastAsia="Arial" w:hAnsi="Arial"/>
          <w:sz w:val="16"/>
          <w:szCs w:val="16"/>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37" w:lineRule="exact"/>
        <w:rPr>
          <w:rFonts w:ascii="Arial" w:cs="Arial" w:eastAsia="Arial" w:hAnsi="Arial"/>
          <w:sz w:val="16"/>
          <w:szCs w:val="16"/>
          <w:color w:val="auto"/>
        </w:rPr>
      </w:pPr>
    </w:p>
    <w:p>
      <w:pPr>
        <w:ind w:left="300" w:right="280" w:firstLine="389"/>
        <w:spacing w:after="0" w:line="332" w:lineRule="auto"/>
        <w:tabs>
          <w:tab w:leader="none" w:pos="936" w:val="left"/>
        </w:tabs>
        <w:numPr>
          <w:ilvl w:val="1"/>
          <w:numId w:val="459"/>
        </w:numPr>
        <w:rPr>
          <w:rFonts w:ascii="Arial" w:cs="Arial" w:eastAsia="Arial" w:hAnsi="Arial"/>
          <w:sz w:val="16"/>
          <w:szCs w:val="16"/>
          <w:color w:val="auto"/>
        </w:rPr>
      </w:pPr>
      <w:r>
        <w:rPr>
          <w:rFonts w:ascii="Arial" w:cs="Arial" w:eastAsia="Arial" w:hAnsi="Arial"/>
          <w:sz w:val="16"/>
          <w:szCs w:val="16"/>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4" w:lineRule="exact"/>
        <w:rPr>
          <w:rFonts w:ascii="Arial" w:cs="Arial" w:eastAsia="Arial" w:hAnsi="Arial"/>
          <w:sz w:val="16"/>
          <w:szCs w:val="16"/>
          <w:color w:val="auto"/>
        </w:rPr>
      </w:pPr>
    </w:p>
    <w:p>
      <w:pPr>
        <w:ind w:left="-280" w:right="60" w:firstLine="421"/>
        <w:spacing w:after="0" w:line="288" w:lineRule="auto"/>
        <w:tabs>
          <w:tab w:leader="none" w:pos="418" w:val="left"/>
        </w:tabs>
        <w:numPr>
          <w:ilvl w:val="0"/>
          <w:numId w:val="460"/>
        </w:numPr>
        <w:rPr>
          <w:rFonts w:ascii="Arial" w:cs="Arial" w:eastAsia="Arial" w:hAnsi="Arial"/>
          <w:sz w:val="16"/>
          <w:szCs w:val="16"/>
          <w:color w:val="auto"/>
        </w:rPr>
      </w:pPr>
      <w:r>
        <w:rPr>
          <w:rFonts w:ascii="Arial" w:cs="Arial" w:eastAsia="Arial" w:hAnsi="Arial"/>
          <w:sz w:val="16"/>
          <w:szCs w:val="16"/>
          <w:u w:val="single" w:color="auto"/>
          <w:color w:val="auto"/>
        </w:rPr>
        <w:t>Internal Review</w:t>
      </w:r>
      <w:r>
        <w:rPr>
          <w:rFonts w:ascii="Arial" w:cs="Arial" w:eastAsia="Arial" w:hAnsi="Arial"/>
          <w:sz w:val="16"/>
          <w:szCs w:val="16"/>
          <w:color w:val="auto"/>
        </w:rPr>
        <w:t xml:space="preserve">. The Borrower shall conduct internal reviews of all Portfolio Investments at least once each calendar week which shall take into account any events of which the Borrower has knowledge that adversely affect the value of the Portfolio Investments. If the value of any Portfolio Investment as most recently determined by the Borrower pursuant to this </w:t>
      </w:r>
      <w:r>
        <w:rPr>
          <w:rFonts w:ascii="Arial" w:cs="Arial" w:eastAsia="Arial" w:hAnsi="Arial"/>
          <w:sz w:val="16"/>
          <w:szCs w:val="16"/>
          <w:u w:val="single" w:color="auto"/>
          <w:color w:val="auto"/>
        </w:rPr>
        <w:t>Section 5.12(b)(ii)(C)</w:t>
      </w:r>
      <w:r>
        <w:rPr>
          <w:rFonts w:ascii="Arial" w:cs="Arial" w:eastAsia="Arial" w:hAnsi="Arial"/>
          <w:sz w:val="16"/>
          <w:szCs w:val="16"/>
          <w:color w:val="auto"/>
        </w:rPr>
        <w:t xml:space="preserve"> is lower than the value of such Portfolio Investment as most recently determined pursuant to </w:t>
      </w:r>
      <w:r>
        <w:rPr>
          <w:rFonts w:ascii="Arial" w:cs="Arial" w:eastAsia="Arial" w:hAnsi="Arial"/>
          <w:sz w:val="16"/>
          <w:szCs w:val="16"/>
          <w:u w:val="single" w:color="auto"/>
          <w:color w:val="auto"/>
        </w:rPr>
        <w:t>Section 5.12(b)(ii)(A)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such lower value shall be deemed to be the “Value” of such Portfolio Investment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38" w:lineRule="exact"/>
        <w:rPr>
          <w:rFonts w:ascii="Arial" w:cs="Arial" w:eastAsia="Arial" w:hAnsi="Arial"/>
          <w:sz w:val="16"/>
          <w:szCs w:val="16"/>
          <w:color w:val="auto"/>
        </w:rPr>
      </w:pPr>
    </w:p>
    <w:p>
      <w:pPr>
        <w:ind w:left="-280" w:right="60" w:firstLine="421"/>
        <w:spacing w:after="0" w:line="332" w:lineRule="auto"/>
        <w:tabs>
          <w:tab w:leader="none" w:pos="427" w:val="left"/>
        </w:tabs>
        <w:numPr>
          <w:ilvl w:val="0"/>
          <w:numId w:val="460"/>
        </w:numPr>
        <w:rPr>
          <w:rFonts w:ascii="Arial" w:cs="Arial" w:eastAsia="Arial" w:hAnsi="Arial"/>
          <w:sz w:val="16"/>
          <w:szCs w:val="16"/>
          <w:color w:val="auto"/>
        </w:rPr>
      </w:pPr>
      <w:r>
        <w:rPr>
          <w:rFonts w:ascii="Arial" w:cs="Arial" w:eastAsia="Arial" w:hAnsi="Arial"/>
          <w:sz w:val="16"/>
          <w:szCs w:val="16"/>
          <w:u w:val="single" w:color="auto"/>
          <w:color w:val="auto"/>
        </w:rPr>
        <w:t>Failure to Determine Values</w:t>
      </w:r>
      <w:r>
        <w:rPr>
          <w:rFonts w:ascii="Arial" w:cs="Arial" w:eastAsia="Arial" w:hAnsi="Arial"/>
          <w:sz w:val="16"/>
          <w:szCs w:val="16"/>
          <w:color w:val="auto"/>
        </w:rPr>
        <w:t xml:space="preserve">. If the Borrower shall fail to (x) determine the value of any Portfolio Investment as at any date pursuant to the requirements of the foregoing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then the “Value” of such Portfolio Investment as at such date shall be deemed to be zero.</w:t>
      </w:r>
    </w:p>
    <w:p>
      <w:pPr>
        <w:spacing w:after="0" w:line="72" w:lineRule="exact"/>
        <w:rPr>
          <w:sz w:val="20"/>
          <w:szCs w:val="20"/>
          <w:color w:val="auto"/>
        </w:rPr>
      </w:pPr>
    </w:p>
    <w:p>
      <w:pPr>
        <w:jc w:val="both"/>
        <w:ind w:left="4660"/>
        <w:spacing w:after="0"/>
        <w:tabs>
          <w:tab w:leader="none" w:pos="82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79" w:right="239" w:bottom="1440" w:gutter="0" w:footer="0" w:header="0"/>
        </w:sectPr>
      </w:pPr>
    </w:p>
    <w:bookmarkStart w:id="423" w:name="page424"/>
    <w:bookmarkEnd w:id="423"/>
    <w:p>
      <w:pPr>
        <w:ind w:left="400" w:hanging="259"/>
        <w:spacing w:after="0"/>
        <w:tabs>
          <w:tab w:leader="none" w:pos="400"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Testing of Values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00" w:right="40" w:firstLine="389"/>
        <w:spacing w:after="0" w:line="254" w:lineRule="auto"/>
        <w:tabs>
          <w:tab w:leader="none" w:pos="94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For the second calendar month immediately following the end of each fiscal quarter (the last such fiscal quarter is referred to herein as, the “</w:t>
      </w:r>
      <w:r>
        <w:rPr>
          <w:rFonts w:ascii="Arial" w:cs="Arial" w:eastAsia="Arial" w:hAnsi="Arial"/>
          <w:sz w:val="18"/>
          <w:szCs w:val="18"/>
          <w:u w:val="single" w:color="auto"/>
          <w:color w:val="auto"/>
        </w:rPr>
        <w:t>Testing Period</w:t>
      </w:r>
      <w:r>
        <w:rPr>
          <w:rFonts w:ascii="Arial" w:cs="Arial" w:eastAsia="Arial" w:hAnsi="Arial"/>
          <w:sz w:val="18"/>
          <w:szCs w:val="18"/>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If there is a difference between the Borrower’s valuation and the Approved Third-Party Appraiser’s valuation of any Unquoted Investment, the Value of such Unquoted Investment for Borrowing Base purposes shall be established as set forth in </w:t>
      </w:r>
      <w:r>
        <w:rPr>
          <w:rFonts w:ascii="Arial" w:cs="Arial" w:eastAsia="Arial" w:hAnsi="Arial"/>
          <w:sz w:val="18"/>
          <w:szCs w:val="18"/>
          <w:u w:val="single" w:color="auto"/>
          <w:color w:val="auto"/>
        </w:rPr>
        <w:t>sub-clause (F)</w:t>
      </w:r>
      <w:r>
        <w:rPr>
          <w:rFonts w:ascii="Arial" w:cs="Arial" w:eastAsia="Arial" w:hAnsi="Arial"/>
          <w:sz w:val="18"/>
          <w:szCs w:val="18"/>
          <w:color w:val="auto"/>
        </w:rPr>
        <w:t xml:space="preserve"> below.</w:t>
      </w:r>
    </w:p>
    <w:p>
      <w:pPr>
        <w:spacing w:after="0" w:line="63" w:lineRule="exact"/>
        <w:rPr>
          <w:rFonts w:ascii="Arial" w:cs="Arial" w:eastAsia="Arial" w:hAnsi="Arial"/>
          <w:sz w:val="18"/>
          <w:szCs w:val="18"/>
          <w:color w:val="auto"/>
        </w:rPr>
      </w:pPr>
    </w:p>
    <w:p>
      <w:pPr>
        <w:ind w:left="300" w:right="40" w:firstLine="389"/>
        <w:spacing w:after="0" w:line="286" w:lineRule="auto"/>
        <w:tabs>
          <w:tab w:leader="none" w:pos="946" w:val="left"/>
        </w:tabs>
        <w:numPr>
          <w:ilvl w:val="1"/>
          <w:numId w:val="461"/>
        </w:numPr>
        <w:rPr>
          <w:rFonts w:ascii="Arial" w:cs="Arial" w:eastAsia="Arial" w:hAnsi="Arial"/>
          <w:sz w:val="16"/>
          <w:szCs w:val="16"/>
          <w:color w:val="auto"/>
        </w:rPr>
      </w:pPr>
      <w:r>
        <w:rPr>
          <w:rFonts w:ascii="Arial" w:cs="Arial" w:eastAsia="Arial" w:hAnsi="Arial"/>
          <w:sz w:val="16"/>
          <w:szCs w:val="16"/>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6"/>
          <w:szCs w:val="16"/>
          <w:u w:val="single" w:color="auto"/>
          <w:color w:val="auto"/>
        </w:rPr>
        <w:t>Administrative Agent Appraisal Testing Period</w:t>
      </w:r>
      <w:r>
        <w:rPr>
          <w:rFonts w:ascii="Arial" w:cs="Arial" w:eastAsia="Arial" w:hAnsi="Arial"/>
          <w:sz w:val="16"/>
          <w:szCs w:val="16"/>
          <w:color w:val="auto"/>
        </w:rPr>
        <w:t>”) and would be reflected in the Borrowing Base Certificate for such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Approved Third-Party Appraiser delivers such valuation at least seven (7) Business Days before the 20</w:t>
      </w:r>
      <w:r>
        <w:rPr>
          <w:rFonts w:ascii="Arial" w:cs="Arial" w:eastAsia="Arial" w:hAnsi="Arial"/>
          <w:sz w:val="10"/>
          <w:szCs w:val="10"/>
          <w:color w:val="auto"/>
        </w:rPr>
        <w:t>th</w:t>
      </w:r>
      <w:r>
        <w:rPr>
          <w:rFonts w:ascii="Arial" w:cs="Arial" w:eastAsia="Arial" w:hAnsi="Arial"/>
          <w:sz w:val="16"/>
          <w:szCs w:val="16"/>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43" w:lineRule="exact"/>
        <w:rPr>
          <w:sz w:val="20"/>
          <w:szCs w:val="20"/>
          <w:color w:val="auto"/>
        </w:rPr>
      </w:pPr>
    </w:p>
    <w:p>
      <w:pPr>
        <w:ind w:left="300" w:right="320"/>
        <w:spacing w:after="0" w:line="268" w:lineRule="auto"/>
        <w:rPr>
          <w:sz w:val="20"/>
          <w:szCs w:val="20"/>
          <w:color w:val="auto"/>
        </w:rPr>
      </w:pPr>
      <w:r>
        <w:rPr>
          <w:rFonts w:ascii="Arial" w:cs="Arial" w:eastAsia="Arial" w:hAnsi="Arial"/>
          <w:sz w:val="18"/>
          <w:szCs w:val="18"/>
          <w:color w:val="auto"/>
        </w:rPr>
        <w:t xml:space="preserve">For the avoidance of doubt, all calculations of value pursuant to this </w:t>
      </w:r>
      <w:r>
        <w:rPr>
          <w:rFonts w:ascii="Arial" w:cs="Arial" w:eastAsia="Arial" w:hAnsi="Arial"/>
          <w:sz w:val="18"/>
          <w:szCs w:val="18"/>
          <w:u w:val="single" w:color="auto"/>
          <w:color w:val="auto"/>
        </w:rPr>
        <w:t>Section 5.12(b)(ii)(E)</w:t>
      </w:r>
      <w:r>
        <w:rPr>
          <w:rFonts w:ascii="Arial" w:cs="Arial" w:eastAsia="Arial" w:hAnsi="Arial"/>
          <w:sz w:val="18"/>
          <w:szCs w:val="18"/>
          <w:color w:val="auto"/>
        </w:rPr>
        <w:t xml:space="preserve"> shall be determined without application of the Advance Rates.</w:t>
      </w:r>
    </w:p>
    <w:p>
      <w:pPr>
        <w:spacing w:after="0" w:line="51" w:lineRule="exact"/>
        <w:rPr>
          <w:sz w:val="20"/>
          <w:szCs w:val="20"/>
          <w:color w:val="auto"/>
        </w:rPr>
      </w:pPr>
    </w:p>
    <w:p>
      <w:pPr>
        <w:ind w:left="-280" w:right="120" w:firstLine="421"/>
        <w:spacing w:after="0" w:line="259" w:lineRule="auto"/>
        <w:tabs>
          <w:tab w:leader="none" w:pos="398"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Valuation Dispute Resolution</w:t>
      </w:r>
      <w:r>
        <w:rPr>
          <w:rFonts w:ascii="Arial" w:cs="Arial" w:eastAsia="Arial" w:hAnsi="Arial"/>
          <w:sz w:val="18"/>
          <w:szCs w:val="18"/>
          <w:color w:val="auto"/>
        </w:rPr>
        <w:t>. Notwithstanding the foregoing, the Administrative Agent shall at any time have the right to request any Unquoted Investment be independently valued by an Approved Third-Party Appraiser selected by the Administrative Agent. There shall be no limit on the number of</w:t>
      </w:r>
    </w:p>
    <w:p>
      <w:pPr>
        <w:spacing w:after="0" w:line="127" w:lineRule="exact"/>
        <w:rPr>
          <w:sz w:val="20"/>
          <w:szCs w:val="20"/>
          <w:color w:val="auto"/>
        </w:rPr>
      </w:pPr>
    </w:p>
    <w:p>
      <w:pPr>
        <w:jc w:val="both"/>
        <w:ind w:left="4660"/>
        <w:spacing w:after="0"/>
        <w:tabs>
          <w:tab w:leader="none" w:pos="82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80" w:right="239" w:bottom="1440" w:gutter="0" w:footer="0" w:header="0"/>
        </w:sectPr>
      </w:pPr>
    </w:p>
    <w:bookmarkStart w:id="424" w:name="page425"/>
    <w:bookmarkEnd w:id="424"/>
    <w:p>
      <w:pPr>
        <w:ind w:left="920" w:right="18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appraisals requested by the Administrative Agent and the costs of any such valuation shall be at the expense of the Borrower. If the difference between the Borrower’s valuation pursuant to </w:t>
      </w:r>
      <w:r>
        <w:rPr>
          <w:rFonts w:ascii="Arial" w:cs="Arial" w:eastAsia="Arial" w:hAnsi="Arial"/>
          <w:sz w:val="15"/>
          <w:szCs w:val="15"/>
          <w:u w:val="single" w:color="auto"/>
          <w:color w:val="auto"/>
        </w:rPr>
        <w:t>Section 5.12(b)(ii)(B)</w:t>
      </w:r>
      <w:r>
        <w:rPr>
          <w:rFonts w:ascii="Arial" w:cs="Arial" w:eastAsia="Arial" w:hAnsi="Arial"/>
          <w:sz w:val="15"/>
          <w:szCs w:val="15"/>
          <w:color w:val="auto"/>
        </w:rPr>
        <w:t xml:space="preserve"> and the valuation of any Approved Third-Party Appraiser selected by the Administrative Agent pursuant to </w:t>
      </w:r>
      <w:r>
        <w:rPr>
          <w:rFonts w:ascii="Arial" w:cs="Arial" w:eastAsia="Arial" w:hAnsi="Arial"/>
          <w:sz w:val="15"/>
          <w:szCs w:val="15"/>
          <w:u w:val="single" w:color="auto"/>
          <w:color w:val="auto"/>
        </w:rPr>
        <w:t>Section 5.12(b)(ii)(E)</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(F)</w:t>
      </w:r>
      <w:r>
        <w:rPr>
          <w:rFonts w:ascii="Arial" w:cs="Arial" w:eastAsia="Arial" w:hAnsi="Arial"/>
          <w:sz w:val="15"/>
          <w:szCs w:val="15"/>
          <w:color w:val="auto"/>
        </w:rPr>
        <w:t xml:space="preserve"> is (1) less than 5% of the value thereof, then the Borrower’s valuation shall be used,</w:t>
      </w:r>
    </w:p>
    <w:p>
      <w:pPr>
        <w:spacing w:after="0" w:line="1" w:lineRule="exact"/>
        <w:rPr>
          <w:sz w:val="20"/>
          <w:szCs w:val="20"/>
          <w:color w:val="auto"/>
        </w:rPr>
      </w:pPr>
    </w:p>
    <w:p>
      <w:pPr>
        <w:ind w:left="920" w:right="100" w:firstLine="1"/>
        <w:spacing w:after="0" w:line="253" w:lineRule="auto"/>
        <w:tabs>
          <w:tab w:leader="none" w:pos="1169" w:val="left"/>
        </w:tabs>
        <w:numPr>
          <w:ilvl w:val="0"/>
          <w:numId w:val="463"/>
        </w:numPr>
        <w:rPr>
          <w:rFonts w:ascii="Arial" w:cs="Arial" w:eastAsia="Arial" w:hAnsi="Arial"/>
          <w:sz w:val="18"/>
          <w:szCs w:val="18"/>
          <w:color w:val="auto"/>
        </w:rPr>
      </w:pPr>
      <w:r>
        <w:rPr>
          <w:rFonts w:ascii="Arial" w:cs="Arial" w:eastAsia="Arial" w:hAnsi="Arial"/>
          <w:sz w:val="18"/>
          <w:szCs w:val="18"/>
          <w:color w:val="auto"/>
        </w:rPr>
        <w:t>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45" w:lineRule="exact"/>
        <w:rPr>
          <w:sz w:val="20"/>
          <w:szCs w:val="20"/>
          <w:color w:val="auto"/>
        </w:rPr>
      </w:pPr>
    </w:p>
    <w:p>
      <w:pPr>
        <w:jc w:val="both"/>
        <w:ind w:right="20" w:firstLine="921"/>
        <w:spacing w:after="0" w:line="259" w:lineRule="auto"/>
        <w:tabs>
          <w:tab w:leader="none" w:pos="1152"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RIC Diversification Requirements</w:t>
      </w:r>
      <w:r>
        <w:rPr>
          <w:rFonts w:ascii="Arial" w:cs="Arial" w:eastAsia="Arial" w:hAnsi="Arial"/>
          <w:sz w:val="18"/>
          <w:szCs w:val="18"/>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40" w:lineRule="exact"/>
        <w:rPr>
          <w:sz w:val="20"/>
          <w:szCs w:val="20"/>
          <w:color w:val="auto"/>
        </w:rPr>
      </w:pPr>
    </w:p>
    <w:p>
      <w:pPr>
        <w:jc w:val="both"/>
        <w:ind w:right="500" w:firstLine="913"/>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Calculation of Borrowing Base</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or the last paragraph of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59" w:lineRule="exact"/>
        <w:rPr>
          <w:sz w:val="20"/>
          <w:szCs w:val="20"/>
          <w:color w:val="auto"/>
        </w:rPr>
      </w:pPr>
    </w:p>
    <w:p>
      <w:pPr>
        <w:ind w:right="60" w:firstLine="921"/>
        <w:spacing w:after="0" w:line="255" w:lineRule="auto"/>
        <w:tabs>
          <w:tab w:leader="none" w:pos="1152"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in a consolidated group of corporations or other entities (collectively, a “</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in accordance with GAAP, that exceeds 10% of Shareholders’ Equity of the Borrower (which, for purposes of this calculation shall exclude the aggregate amount of investments in, and advances to, Financing Subsidiaries) shall be 50% of the Advance Rate otherwise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Portfolio Investments in a single Consolidated Group designated by the Borrower to the Administrative Agent such 10% figure shall be increased to 12.5%;</w:t>
      </w:r>
    </w:p>
    <w:p>
      <w:pPr>
        <w:spacing w:after="0" w:line="142" w:lineRule="exact"/>
        <w:rPr>
          <w:rFonts w:ascii="Arial" w:cs="Arial" w:eastAsia="Arial" w:hAnsi="Arial"/>
          <w:sz w:val="18"/>
          <w:szCs w:val="18"/>
          <w:color w:val="auto"/>
        </w:rPr>
      </w:pPr>
    </w:p>
    <w:p>
      <w:pPr>
        <w:ind w:right="120" w:firstLine="921"/>
        <w:spacing w:after="0" w:line="259" w:lineRule="auto"/>
        <w:tabs>
          <w:tab w:leader="none" w:pos="1162"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of all issuers in a Consolidated Group exceeding 20% of Shareholders’ Equity of the Borrower (which, for purposes of this calculation shall exclude the aggregate amount of investments in, and advances to, Financing Subsidiaries) shall be 0%;</w:t>
      </w:r>
    </w:p>
    <w:p>
      <w:pPr>
        <w:spacing w:after="0" w:line="140" w:lineRule="exact"/>
        <w:rPr>
          <w:rFonts w:ascii="Arial" w:cs="Arial" w:eastAsia="Arial" w:hAnsi="Arial"/>
          <w:sz w:val="18"/>
          <w:szCs w:val="18"/>
          <w:color w:val="auto"/>
        </w:rPr>
      </w:pPr>
    </w:p>
    <w:p>
      <w:pPr>
        <w:ind w:right="60" w:firstLine="921"/>
        <w:spacing w:after="0" w:line="298" w:lineRule="auto"/>
        <w:tabs>
          <w:tab w:leader="none" w:pos="1152" w:val="left"/>
        </w:tabs>
        <w:numPr>
          <w:ilvl w:val="0"/>
          <w:numId w:val="465"/>
        </w:numPr>
        <w:rPr>
          <w:rFonts w:ascii="Arial" w:cs="Arial" w:eastAsia="Arial" w:hAnsi="Arial"/>
          <w:sz w:val="16"/>
          <w:szCs w:val="16"/>
          <w:color w:val="auto"/>
        </w:rPr>
      </w:pPr>
      <w:r>
        <w:rPr>
          <w:rFonts w:ascii="Arial" w:cs="Arial" w:eastAsia="Arial" w:hAnsi="Arial"/>
          <w:sz w:val="16"/>
          <w:szCs w:val="16"/>
          <w:color w:val="auto"/>
        </w:rPr>
        <w:t xml:space="preserve">the Advance Rate applicable to that portion of the aggregate Value of the Portfolio Investments in any single Industry Classification Group that exceeds 20% of Shareholders’ Equity of the Borrower (which for purposes of this calculation shall exclude the aggregate amount of investments in, and advances to, Financing Subsidiaries) shall be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Portfolio Investments in a single Industry Classification Group from time to time designated by the Borrower to the Administrative Agent such 20% figure shall</w:t>
      </w:r>
    </w:p>
    <w:p>
      <w:pPr>
        <w:spacing w:after="0" w:line="9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25" w:name="page426"/>
    <w:bookmarkEnd w:id="425"/>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increased to 30% and, accordingly, only to the extent that the Value for such single Industry Classification Group exceeds 30% of the Shareholders’ Equity shall the Advance Rate applicable to such excess Value be 0%;</w:t>
      </w:r>
    </w:p>
    <w:p>
      <w:pPr>
        <w:spacing w:after="0" w:line="132" w:lineRule="exact"/>
        <w:rPr>
          <w:sz w:val="20"/>
          <w:szCs w:val="20"/>
          <w:color w:val="auto"/>
        </w:rPr>
      </w:pPr>
    </w:p>
    <w:p>
      <w:pPr>
        <w:ind w:right="180" w:firstLine="921"/>
        <w:spacing w:after="0" w:line="306" w:lineRule="auto"/>
        <w:tabs>
          <w:tab w:leader="none" w:pos="1162" w:val="left"/>
        </w:tabs>
        <w:numPr>
          <w:ilvl w:val="0"/>
          <w:numId w:val="466"/>
        </w:numPr>
        <w:rPr>
          <w:rFonts w:ascii="Arial" w:cs="Arial" w:eastAsia="Arial" w:hAnsi="Arial"/>
          <w:sz w:val="16"/>
          <w:szCs w:val="16"/>
          <w:color w:val="auto"/>
        </w:rPr>
      </w:pPr>
      <w:r>
        <w:rPr>
          <w:rFonts w:ascii="Arial" w:cs="Arial" w:eastAsia="Arial" w:hAnsi="Arial"/>
          <w:sz w:val="16"/>
          <w:szCs w:val="16"/>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06" w:lineRule="exact"/>
        <w:rPr>
          <w:rFonts w:ascii="Arial" w:cs="Arial" w:eastAsia="Arial" w:hAnsi="Arial"/>
          <w:sz w:val="16"/>
          <w:szCs w:val="16"/>
          <w:color w:val="auto"/>
        </w:rPr>
      </w:pPr>
    </w:p>
    <w:p>
      <w:pPr>
        <w:ind w:right="600" w:firstLine="921"/>
        <w:spacing w:after="0" w:line="268" w:lineRule="auto"/>
        <w:tabs>
          <w:tab w:leader="none" w:pos="115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31" w:lineRule="exact"/>
        <w:rPr>
          <w:rFonts w:ascii="Arial" w:cs="Arial" w:eastAsia="Arial" w:hAnsi="Arial"/>
          <w:sz w:val="18"/>
          <w:szCs w:val="18"/>
          <w:color w:val="auto"/>
        </w:rPr>
      </w:pPr>
    </w:p>
    <w:p>
      <w:pPr>
        <w:ind w:right="40" w:firstLine="921"/>
        <w:spacing w:after="0" w:line="268" w:lineRule="auto"/>
        <w:tabs>
          <w:tab w:leader="none" w:pos="113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Equity Interests shall not exceed 10% (it being understood that in no event shall Equity Interests of Financing Subsidiaries be included in the Borrowing Base);</w:t>
      </w:r>
    </w:p>
    <w:p>
      <w:pPr>
        <w:spacing w:after="0" w:line="131" w:lineRule="exact"/>
        <w:rPr>
          <w:rFonts w:ascii="Arial" w:cs="Arial" w:eastAsia="Arial" w:hAnsi="Arial"/>
          <w:sz w:val="18"/>
          <w:szCs w:val="18"/>
          <w:color w:val="auto"/>
        </w:rPr>
      </w:pPr>
    </w:p>
    <w:p>
      <w:pPr>
        <w:jc w:val="both"/>
        <w:ind w:right="100" w:firstLine="921"/>
        <w:spacing w:after="0" w:line="259" w:lineRule="auto"/>
        <w:tabs>
          <w:tab w:leader="none" w:pos="116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 and</w:t>
      </w:r>
    </w:p>
    <w:p>
      <w:pPr>
        <w:spacing w:after="0" w:line="140" w:lineRule="exact"/>
        <w:rPr>
          <w:rFonts w:ascii="Arial" w:cs="Arial" w:eastAsia="Arial" w:hAnsi="Arial"/>
          <w:sz w:val="18"/>
          <w:szCs w:val="18"/>
          <w:color w:val="auto"/>
        </w:rPr>
      </w:pPr>
    </w:p>
    <w:p>
      <w:pPr>
        <w:ind w:right="460" w:firstLine="921"/>
        <w:spacing w:after="0" w:line="259" w:lineRule="auto"/>
        <w:tabs>
          <w:tab w:leader="none" w:pos="116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following meanings:</w:t>
      </w:r>
    </w:p>
    <w:p>
      <w:pPr>
        <w:spacing w:after="0" w:line="171"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means, as to any Portfolio Investment and subject to adjustment as provided in </w:t>
      </w: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the following percentages with respect to such Portfolio Investment: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Portfolio Investment</w:t>
            </w:r>
          </w:p>
        </w:tc>
        <w:tc>
          <w:tcPr>
            <w:tcW w:w="4620" w:type="dxa"/>
            <w:vAlign w:val="bottom"/>
          </w:tcPr>
          <w:p>
            <w:pPr>
              <w:spacing w:after="0"/>
              <w:rPr>
                <w:sz w:val="14"/>
                <w:szCs w:val="14"/>
                <w:color w:val="auto"/>
              </w:rPr>
            </w:pPr>
          </w:p>
        </w:tc>
        <w:tc>
          <w:tcPr>
            <w:tcW w:w="1820" w:type="dxa"/>
            <w:vAlign w:val="bottom"/>
            <w:gridSpan w:val="3"/>
          </w:tcPr>
          <w:p>
            <w:pPr>
              <w:jc w:val="right"/>
              <w:ind w:right="480"/>
              <w:spacing w:after="0"/>
              <w:rPr>
                <w:sz w:val="20"/>
                <w:szCs w:val="20"/>
                <w:color w:val="auto"/>
              </w:rPr>
            </w:pPr>
            <w:r>
              <w:rPr>
                <w:rFonts w:ascii="Arial" w:cs="Arial" w:eastAsia="Arial" w:hAnsi="Arial"/>
                <w:sz w:val="14"/>
                <w:szCs w:val="14"/>
                <w:color w:val="auto"/>
              </w:rPr>
              <w:t>Quoted</w:t>
            </w:r>
          </w:p>
        </w:tc>
        <w:tc>
          <w:tcPr>
            <w:tcW w:w="2440" w:type="dxa"/>
            <w:vAlign w:val="bottom"/>
            <w:gridSpan w:val="4"/>
          </w:tcPr>
          <w:p>
            <w:pPr>
              <w:ind w:left="340"/>
              <w:spacing w:after="0"/>
              <w:rPr>
                <w:sz w:val="20"/>
                <w:szCs w:val="20"/>
                <w:color w:val="auto"/>
              </w:rPr>
            </w:pPr>
            <w:r>
              <w:rPr>
                <w:rFonts w:ascii="Arial" w:cs="Arial" w:eastAsia="Arial" w:hAnsi="Arial"/>
                <w:sz w:val="14"/>
                <w:szCs w:val="14"/>
                <w:color w:val="auto"/>
              </w:rPr>
              <w:t>Unquoted</w:t>
            </w:r>
          </w:p>
        </w:tc>
        <w:tc>
          <w:tcPr>
            <w:tcW w:w="0" w:type="dxa"/>
            <w:vAlign w:val="bottom"/>
          </w:tcPr>
          <w:p>
            <w:pPr>
              <w:spacing w:after="0"/>
              <w:rPr>
                <w:sz w:val="1"/>
                <w:szCs w:val="1"/>
                <w:color w:val="auto"/>
              </w:rPr>
            </w:pPr>
          </w:p>
        </w:tc>
      </w:tr>
      <w:tr>
        <w:trPr>
          <w:trHeight w:val="20"/>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Cash, Cash Equivalents and Short-Term U.S. Government Securities</w:t>
            </w:r>
          </w:p>
        </w:tc>
        <w:tc>
          <w:tcPr>
            <w:tcW w:w="9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100%</w:t>
            </w:r>
          </w:p>
        </w:tc>
        <w:tc>
          <w:tcPr>
            <w:tcW w:w="3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Long-Term U.S. Government Securities</w:t>
            </w: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rPr>
              <w:t>95%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First Lien Bank Loans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Performing Unitranche Loans</w:t>
            </w: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Second Lien Bank Loans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Performing Cash Pay High Yield Securities</w:t>
            </w: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rPr>
              <w:t>70%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Cash Pay Mezzanine Investments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Performing Non-Cash Pay High Yield Securities</w:t>
            </w: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rPr>
              <w:t>60%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Non-Cash Pay Mezzanine Investments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Non-Performing First Lien Bank Loans</w:t>
            </w: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rPr>
              <w:t>45%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Unitranche Loans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780" w:type="dxa"/>
            <w:vAlign w:val="bottom"/>
            <w:gridSpan w:val="2"/>
          </w:tcPr>
          <w:p>
            <w:pPr>
              <w:ind w:left="4480"/>
              <w:spacing w:after="0"/>
              <w:rPr>
                <w:sz w:val="20"/>
                <w:szCs w:val="20"/>
                <w:color w:val="auto"/>
              </w:rPr>
            </w:pPr>
            <w:r>
              <w:rPr>
                <w:rFonts w:ascii="Arial" w:cs="Arial" w:eastAsia="Arial" w:hAnsi="Arial"/>
                <w:sz w:val="18"/>
                <w:szCs w:val="18"/>
                <w:color w:val="auto"/>
              </w:rPr>
              <w:t>87</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3"/>
          </w:tcPr>
          <w:p>
            <w:pPr>
              <w:ind w:left="120"/>
              <w:spacing w:after="0"/>
              <w:rPr>
                <w:sz w:val="20"/>
                <w:szCs w:val="20"/>
                <w:color w:val="auto"/>
              </w:rPr>
            </w:pPr>
            <w:r>
              <w:rPr>
                <w:rFonts w:ascii="Arial" w:cs="Arial" w:eastAsia="Arial" w:hAnsi="Arial"/>
                <w:sz w:val="18"/>
                <w:szCs w:val="18"/>
                <w:i w:val="1"/>
                <w:iCs w:val="1"/>
                <w:color w:val="auto"/>
                <w:w w:val="87"/>
              </w:rPr>
              <w:t>Revolving Credit Agreement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426" w:name="page427"/>
    <w:bookmarkEnd w:id="4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Second Lien Bank Loans</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Non-Performing High Yield Securities</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Cash Pay Mezzanine Investments</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Performing Common Equity (and zero cost or penny warrants with performing debt)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Common Equity</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Structured Finance Obligations and Finance Leases</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Loans</w:t>
      </w:r>
      <w:r>
        <w:rPr>
          <w:rFonts w:ascii="Arial" w:cs="Arial" w:eastAsia="Arial" w:hAnsi="Arial"/>
          <w:sz w:val="18"/>
          <w:szCs w:val="18"/>
          <w:color w:val="auto"/>
        </w:rPr>
        <w:t>” means debt obligations (including term loans,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w:t>
      </w:r>
    </w:p>
    <w:p>
      <w:pPr>
        <w:spacing w:after="0" w:line="140" w:lineRule="exact"/>
        <w:rPr>
          <w:sz w:val="20"/>
          <w:szCs w:val="20"/>
          <w:color w:val="auto"/>
        </w:rPr>
      </w:pPr>
    </w:p>
    <w:p>
      <w:pPr>
        <w:ind w:right="5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Lease</w:t>
      </w:r>
      <w:r>
        <w:rPr>
          <w:rFonts w:ascii="Arial" w:cs="Arial" w:eastAsia="Arial" w:hAnsi="Arial"/>
          <w:sz w:val="18"/>
          <w:szCs w:val="18"/>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32" w:lineRule="exact"/>
        <w:rPr>
          <w:sz w:val="20"/>
          <w:szCs w:val="20"/>
          <w:color w:val="auto"/>
        </w:rPr>
      </w:pPr>
    </w:p>
    <w:p>
      <w:pPr>
        <w:jc w:val="both"/>
        <w:ind w:right="18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First Lien Bank Loan</w:t>
      </w:r>
      <w:r>
        <w:rPr>
          <w:rFonts w:ascii="Arial" w:cs="Arial" w:eastAsia="Arial" w:hAnsi="Arial"/>
          <w:sz w:val="15"/>
          <w:szCs w:val="15"/>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6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Yield Securities</w:t>
      </w:r>
      <w:r>
        <w:rPr>
          <w:rFonts w:ascii="Arial" w:cs="Arial" w:eastAsia="Arial" w:hAnsi="Arial"/>
          <w:sz w:val="18"/>
          <w:szCs w:val="18"/>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40" w:lineRule="exact"/>
        <w:rPr>
          <w:sz w:val="20"/>
          <w:szCs w:val="20"/>
          <w:color w:val="auto"/>
        </w:rPr>
      </w:pPr>
    </w:p>
    <w:p>
      <w:pPr>
        <w:ind w:right="10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U.S. Government Securities</w:t>
      </w:r>
      <w:r>
        <w:rPr>
          <w:rFonts w:ascii="Arial" w:cs="Arial" w:eastAsia="Arial" w:hAnsi="Arial"/>
          <w:sz w:val="18"/>
          <w:szCs w:val="18"/>
          <w:color w:val="auto"/>
        </w:rPr>
        <w:t>” means U.S. Government Securities maturing more than one year from the applicable date of determination.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Mezzanine Investments</w:t>
      </w:r>
      <w:r>
        <w:rPr>
          <w:rFonts w:ascii="Arial" w:cs="Arial" w:eastAsia="Arial" w:hAnsi="Arial"/>
          <w:sz w:val="18"/>
          <w:szCs w:val="18"/>
          <w:color w:val="auto"/>
        </w:rPr>
        <w:t>” means debt Securities (including convertible debt Securities (other than the “in-the-money” equity component</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thereof)) and Preferred Stock in each case (a) issued by public or private issuers, (b) issued without registration under the Securities Act, (c) not issued pursuant to Rule 144A under the Securities Act (or any successor</w:t>
      </w:r>
    </w:p>
    <w:p>
      <w:pPr>
        <w:spacing w:after="0" w:line="124"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8" w:right="23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thereunder), (d) that are not Cash Equivalents and (e) contractually subordinated in right of payment to other debt of the same issuer.</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Common Equity</w:t>
      </w:r>
      <w:r>
        <w:rPr>
          <w:rFonts w:ascii="Arial" w:cs="Arial" w:eastAsia="Arial" w:hAnsi="Arial"/>
          <w:sz w:val="18"/>
          <w:szCs w:val="18"/>
          <w:color w:val="auto"/>
        </w:rPr>
        <w:t>” means Capital Stock (other than Preferred Stock) and warrants of an issuer having any debt outstanding that is non-Performing.</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First Lien Bank Loans</w:t>
      </w:r>
      <w:r>
        <w:rPr>
          <w:rFonts w:ascii="Arial" w:cs="Arial" w:eastAsia="Arial" w:hAnsi="Arial"/>
          <w:sz w:val="18"/>
          <w:szCs w:val="18"/>
          <w:color w:val="auto"/>
        </w:rPr>
        <w:t>” means First Lien Bank Loans other than Performing First Lien Bank Loans.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High Yield Securities</w:t>
      </w:r>
      <w:r>
        <w:rPr>
          <w:rFonts w:ascii="Arial" w:cs="Arial" w:eastAsia="Arial" w:hAnsi="Arial"/>
          <w:sz w:val="18"/>
          <w:szCs w:val="18"/>
          <w:color w:val="auto"/>
        </w:rPr>
        <w:t>” means High Yield Securities other than Performing High Yield Securities.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Mezzanine Investments</w:t>
      </w:r>
      <w:r>
        <w:rPr>
          <w:rFonts w:ascii="Arial" w:cs="Arial" w:eastAsia="Arial" w:hAnsi="Arial"/>
          <w:sz w:val="18"/>
          <w:szCs w:val="18"/>
          <w:color w:val="auto"/>
        </w:rPr>
        <w:t>” means Mezzanine Investments other than Performing Mezzanine Investments.</w:t>
      </w:r>
    </w:p>
    <w:p>
      <w:pPr>
        <w:spacing w:after="0" w:line="17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Portfolio Investment</w:t>
      </w:r>
      <w:r>
        <w:rPr>
          <w:rFonts w:ascii="Arial" w:cs="Arial" w:eastAsia="Arial" w:hAnsi="Arial"/>
          <w:sz w:val="18"/>
          <w:szCs w:val="18"/>
          <w:color w:val="auto"/>
        </w:rPr>
        <w:t>” means Portfolio Investments for which the issuer is in default of any payment obligations of principal or interest in respect thereof after the expiration of any applicable grace period.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Second Lien Bank Loans</w:t>
      </w:r>
      <w:r>
        <w:rPr>
          <w:rFonts w:ascii="Arial" w:cs="Arial" w:eastAsia="Arial" w:hAnsi="Arial"/>
          <w:sz w:val="18"/>
          <w:szCs w:val="18"/>
          <w:color w:val="auto"/>
        </w:rPr>
        <w:t>” means Second Lien Bank Loans other than Performing Second Lien Bank Loans.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Unitranche Loans</w:t>
      </w:r>
      <w:r>
        <w:rPr>
          <w:rFonts w:ascii="Arial" w:cs="Arial" w:eastAsia="Arial" w:hAnsi="Arial"/>
          <w:sz w:val="18"/>
          <w:szCs w:val="18"/>
          <w:color w:val="auto"/>
        </w:rPr>
        <w:t>” means Unitranche Loans other than Performing Unitranche Loans.</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w:t>
      </w:r>
      <w:r>
        <w:rPr>
          <w:rFonts w:ascii="Arial" w:cs="Arial" w:eastAsia="Arial" w:hAnsi="Arial"/>
          <w:sz w:val="18"/>
          <w:szCs w:val="18"/>
          <w:color w:val="auto"/>
        </w:rPr>
        <w:t>”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4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High Yield Securities</w:t>
      </w:r>
      <w:r>
        <w:rPr>
          <w:rFonts w:ascii="Arial" w:cs="Arial" w:eastAsia="Arial" w:hAnsi="Arial"/>
          <w:sz w:val="18"/>
          <w:szCs w:val="18"/>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Mezzanine Investments</w:t>
      </w:r>
      <w:r>
        <w:rPr>
          <w:rFonts w:ascii="Arial" w:cs="Arial" w:eastAsia="Arial" w:hAnsi="Arial"/>
          <w:sz w:val="18"/>
          <w:szCs w:val="18"/>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Common Equity</w:t>
      </w:r>
      <w:r>
        <w:rPr>
          <w:rFonts w:ascii="Arial" w:cs="Arial" w:eastAsia="Arial" w:hAnsi="Arial"/>
          <w:sz w:val="16"/>
          <w:szCs w:val="16"/>
          <w:color w:val="auto"/>
        </w:rPr>
        <w:t>” means Capital Stock (other than Preferred Stock) and warrants of an issuer all of whose outstanding debt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Performing.</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First Lien Bank Loans</w:t>
      </w:r>
      <w:r>
        <w:rPr>
          <w:rFonts w:ascii="Arial" w:cs="Arial" w:eastAsia="Arial" w:hAnsi="Arial"/>
          <w:sz w:val="18"/>
          <w:szCs w:val="18"/>
          <w:color w:val="auto"/>
        </w:rPr>
        <w:t>” means First Lien Bank Loans which are Performing.</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28" w:name="page429"/>
    <w:bookmarkEnd w:id="428"/>
    <w:p>
      <w:pPr>
        <w:ind w:left="920" w:right="140"/>
        <w:spacing w:after="0" w:line="3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Performing Non-Cash Pay High Yield Securities</w:t>
      </w:r>
      <w:r>
        <w:rPr>
          <w:rFonts w:ascii="Arial" w:cs="Arial" w:eastAsia="Arial" w:hAnsi="Arial"/>
          <w:sz w:val="16"/>
          <w:szCs w:val="16"/>
          <w:color w:val="auto"/>
        </w:rPr>
        <w:t>” means Performing High Yield Securities other than Performing Cash Pay High Yield Securities. “</w:t>
      </w:r>
      <w:r>
        <w:rPr>
          <w:rFonts w:ascii="Arial" w:cs="Arial" w:eastAsia="Arial" w:hAnsi="Arial"/>
          <w:sz w:val="16"/>
          <w:szCs w:val="16"/>
          <w:u w:val="single" w:color="auto"/>
          <w:color w:val="auto"/>
        </w:rPr>
        <w:t>Performing Non-Cash Pay Mezzanine Investments</w:t>
      </w:r>
      <w:r>
        <w:rPr>
          <w:rFonts w:ascii="Arial" w:cs="Arial" w:eastAsia="Arial" w:hAnsi="Arial"/>
          <w:sz w:val="16"/>
          <w:szCs w:val="16"/>
          <w:color w:val="auto"/>
        </w:rPr>
        <w:t>” means Performing Mezzanine Investments other than Performing Cash Pay Mezzanine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Second Lien Bank Loans</w:t>
      </w:r>
      <w:r>
        <w:rPr>
          <w:rFonts w:ascii="Arial" w:cs="Arial" w:eastAsia="Arial" w:hAnsi="Arial"/>
          <w:sz w:val="18"/>
          <w:szCs w:val="18"/>
          <w:color w:val="auto"/>
        </w:rPr>
        <w:t>” means Second Lien Bank Loans which are Performing.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as applied to the Capital Stock of any Person, means Capital Stock of such Person of any class or classes (however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designated) that ranks prior, as to the payment of dividends or as to the distribution of assets upon any voluntary or involuntary liquidation, dissolution or winding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of such Person, to any shares (or other interests) of other Capital Stock of such Person, and shall include, without limitation, cumulative preferred,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cumulative preferred, participating preferred and convertible preferred Capital Stock.</w:t>
      </w:r>
    </w:p>
    <w:p>
      <w:pPr>
        <w:spacing w:after="0" w:line="16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Bank Loan</w:t>
      </w:r>
      <w:r>
        <w:rPr>
          <w:rFonts w:ascii="Arial" w:cs="Arial" w:eastAsia="Arial" w:hAnsi="Arial"/>
          <w:sz w:val="18"/>
          <w:szCs w:val="18"/>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32" w:lineRule="exact"/>
        <w:rPr>
          <w:sz w:val="20"/>
          <w:szCs w:val="20"/>
          <w:color w:val="auto"/>
        </w:rPr>
      </w:pPr>
    </w:p>
    <w:p>
      <w:pPr>
        <w:ind w:right="2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Short-Term U.S. Government Securities</w:t>
      </w:r>
      <w:r>
        <w:rPr>
          <w:rFonts w:ascii="Arial" w:cs="Arial" w:eastAsia="Arial" w:hAnsi="Arial"/>
          <w:sz w:val="16"/>
          <w:szCs w:val="16"/>
          <w:color w:val="auto"/>
        </w:rPr>
        <w:t>” means U.S. Government Securities maturing within one year of the applicable date of determination.</w:t>
      </w:r>
    </w:p>
    <w:p>
      <w:pPr>
        <w:spacing w:after="0" w:line="194" w:lineRule="exact"/>
        <w:rPr>
          <w:sz w:val="20"/>
          <w:szCs w:val="20"/>
          <w:color w:val="auto"/>
        </w:rPr>
      </w:pPr>
    </w:p>
    <w:p>
      <w:pPr>
        <w:ind w:right="3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Unitranche Loan</w:t>
      </w:r>
      <w:r>
        <w:rPr>
          <w:rFonts w:ascii="Arial" w:cs="Arial" w:eastAsia="Arial" w:hAnsi="Arial"/>
          <w:sz w:val="18"/>
          <w:szCs w:val="18"/>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29" w:name="page430"/>
    <w:bookmarkEnd w:id="42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Portfolio Investment, the lower of:</w:t>
      </w:r>
    </w:p>
    <w:p>
      <w:pPr>
        <w:spacing w:after="0" w:line="90" w:lineRule="exact"/>
        <w:rPr>
          <w:sz w:val="20"/>
          <w:szCs w:val="20"/>
          <w:color w:val="auto"/>
        </w:rPr>
      </w:pPr>
    </w:p>
    <w:p>
      <w:pPr>
        <w:ind w:left="1120" w:hanging="217"/>
        <w:spacing w:after="0"/>
        <w:tabs>
          <w:tab w:leader="none" w:pos="11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the most recent internal market value as determined pursuant to </w:t>
      </w:r>
      <w:r>
        <w:rPr>
          <w:rFonts w:ascii="Arial" w:cs="Arial" w:eastAsia="Arial" w:hAnsi="Arial"/>
          <w:sz w:val="18"/>
          <w:szCs w:val="18"/>
          <w:u w:val="single" w:color="auto"/>
          <w:color w:val="auto"/>
        </w:rPr>
        <w:t>Section 5.12(b)(ii)(C)</w:t>
      </w:r>
      <w:r>
        <w:rPr>
          <w:rFonts w:ascii="Arial" w:cs="Arial" w:eastAsia="Arial" w:hAnsi="Arial"/>
          <w:sz w:val="18"/>
          <w:szCs w:val="18"/>
          <w:color w:val="auto"/>
        </w:rPr>
        <w:t xml:space="preserv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the most recent external market value as determined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17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59"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Subject to the last sentence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the Borrower will not, nor will it permit any of the Subsidiary Guarantors to, create, incur, assume or permit to exist any Indebtedness, except:</w:t>
      </w:r>
    </w:p>
    <w:p>
      <w:pPr>
        <w:spacing w:after="0" w:line="51" w:lineRule="exact"/>
        <w:rPr>
          <w:sz w:val="20"/>
          <w:szCs w:val="20"/>
          <w:color w:val="auto"/>
        </w:rPr>
      </w:pPr>
    </w:p>
    <w:p>
      <w:pPr>
        <w:ind w:left="1160" w:hanging="239"/>
        <w:spacing w:after="0"/>
        <w:tabs>
          <w:tab w:leader="none" w:pos="11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Indebtedness created hereunder;</w:t>
      </w:r>
    </w:p>
    <w:p>
      <w:pPr>
        <w:spacing w:after="0" w:line="171" w:lineRule="exact"/>
        <w:rPr>
          <w:rFonts w:ascii="Arial" w:cs="Arial" w:eastAsia="Arial" w:hAnsi="Arial"/>
          <w:sz w:val="18"/>
          <w:szCs w:val="18"/>
          <w:color w:val="auto"/>
        </w:rPr>
      </w:pPr>
    </w:p>
    <w:p>
      <w:pPr>
        <w:ind w:right="220" w:firstLine="921"/>
        <w:spacing w:after="0" w:line="323" w:lineRule="auto"/>
        <w:tabs>
          <w:tab w:leader="none" w:pos="1162" w:val="left"/>
        </w:tabs>
        <w:numPr>
          <w:ilvl w:val="0"/>
          <w:numId w:val="468"/>
        </w:numPr>
        <w:rPr>
          <w:rFonts w:ascii="Arial" w:cs="Arial" w:eastAsia="Arial" w:hAnsi="Arial"/>
          <w:sz w:val="15"/>
          <w:szCs w:val="15"/>
          <w:color w:val="auto"/>
        </w:rPr>
      </w:pPr>
      <w:r>
        <w:rPr>
          <w:rFonts w:ascii="Arial" w:cs="Arial" w:eastAsia="Arial" w:hAnsi="Arial"/>
          <w:sz w:val="15"/>
          <w:szCs w:val="15"/>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Arial" w:cs="Arial" w:eastAsia="Arial" w:hAnsi="Arial"/>
          <w:sz w:val="15"/>
          <w:szCs w:val="15"/>
          <w:u w:val="single" w:color="auto"/>
          <w:color w:val="auto"/>
        </w:rPr>
        <w:t>Section 6.07(b)</w:t>
      </w:r>
      <w:r>
        <w:rPr>
          <w:rFonts w:ascii="Arial" w:cs="Arial" w:eastAsia="Arial" w:hAnsi="Arial"/>
          <w:sz w:val="15"/>
          <w:szCs w:val="15"/>
          <w:color w:val="auto"/>
        </w:rPr>
        <w:t>, and (iii) prior to and immediately after giving effect to the incurrence of any Secured Longer-Term Indebtedness, the Covered Debt Amount does not or would not exceed the Borrowing Base then in effect;</w:t>
      </w:r>
    </w:p>
    <w:p>
      <w:pPr>
        <w:spacing w:after="0" w:line="97" w:lineRule="exact"/>
        <w:rPr>
          <w:rFonts w:ascii="Arial" w:cs="Arial" w:eastAsia="Arial" w:hAnsi="Arial"/>
          <w:sz w:val="15"/>
          <w:szCs w:val="15"/>
          <w:color w:val="auto"/>
        </w:rPr>
      </w:pPr>
    </w:p>
    <w:p>
      <w:pPr>
        <w:ind w:left="1160" w:hanging="239"/>
        <w:spacing w:after="0"/>
        <w:tabs>
          <w:tab w:leader="none" w:pos="11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Other Permitted Indebtedness;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Guarantees of Indebtedness otherwise permitted hereunder;</w:t>
      </w:r>
    </w:p>
    <w:p>
      <w:pPr>
        <w:spacing w:after="0" w:line="171" w:lineRule="exact"/>
        <w:rPr>
          <w:rFonts w:ascii="Arial" w:cs="Arial" w:eastAsia="Arial" w:hAnsi="Arial"/>
          <w:sz w:val="18"/>
          <w:szCs w:val="18"/>
          <w:color w:val="auto"/>
        </w:rPr>
      </w:pPr>
    </w:p>
    <w:p>
      <w:pPr>
        <w:ind w:right="640" w:firstLine="921"/>
        <w:spacing w:after="0" w:line="268" w:lineRule="auto"/>
        <w:tabs>
          <w:tab w:leader="none" w:pos="1152"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Indebtedness of any Obligor owing to any other Obligor or, if such Indebtedness is subject to subordination terms and conditions that are satisfactory to the Administrative Agent, any other Subsidiary of the Borrower;</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Indebtedness of Financing Subsidiaries;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repurchase obligations arising in the ordinary course of business with respect to U.S. Government Securities;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obligations payable to clearing agencies, brokers or dealers in connection with the purchase or sale of securities in the ordinary course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5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30" w:name="page431"/>
    <w:bookmarkEnd w:id="430"/>
    <w:p>
      <w:pPr>
        <w:ind w:right="540" w:firstLine="921"/>
        <w:spacing w:after="0" w:line="305" w:lineRule="auto"/>
        <w:tabs>
          <w:tab w:leader="none" w:pos="1123" w:val="left"/>
        </w:tabs>
        <w:numPr>
          <w:ilvl w:val="1"/>
          <w:numId w:val="46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Shorter-Term Indebtedness and Unsecured Shorter-Term Indebtedness so long as (i) no Default exists at the time of the incurrence thereof, (ii) the aggregate amount (determined at the time of the incurrence of such Indebtedness) of such Indebtedness does not exceed the greater of</w:t>
      </w:r>
    </w:p>
    <w:p>
      <w:pPr>
        <w:ind w:right="180" w:firstLine="8"/>
        <w:spacing w:after="0" w:line="302" w:lineRule="auto"/>
        <w:tabs>
          <w:tab w:leader="none" w:pos="288" w:val="left"/>
        </w:tabs>
        <w:numPr>
          <w:ilvl w:val="0"/>
          <w:numId w:val="470"/>
        </w:numPr>
        <w:rPr>
          <w:rFonts w:ascii="Arial" w:cs="Arial" w:eastAsia="Arial" w:hAnsi="Arial"/>
          <w:sz w:val="16"/>
          <w:szCs w:val="16"/>
          <w:color w:val="auto"/>
        </w:rPr>
      </w:pPr>
      <w:r>
        <w:rPr>
          <w:rFonts w:ascii="Arial" w:cs="Arial" w:eastAsia="Arial" w:hAnsi="Arial"/>
          <w:sz w:val="16"/>
          <w:szCs w:val="16"/>
          <w:color w:val="auto"/>
        </w:rPr>
        <w:t xml:space="preserve">$20,000,000 and (B) 5% of Shareholders’ Equity, (iii) the aggregate amount of such Indebtedness, taken together with other then-outstanding Indebtedness, does not exceed the amount required to comply with the provisions of </w:t>
      </w:r>
      <w:r>
        <w:rPr>
          <w:rFonts w:ascii="Arial" w:cs="Arial" w:eastAsia="Arial" w:hAnsi="Arial"/>
          <w:sz w:val="16"/>
          <w:szCs w:val="16"/>
          <w:u w:val="single" w:color="auto"/>
          <w:color w:val="auto"/>
        </w:rPr>
        <w:t>Sections 6.07(b)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and (iv) prior to and immediately after giving effect to the incurrence of any such Indebtedness, the Covered Debt Amount does not or would not exceed the Borrowing Base then in effect;</w:t>
      </w:r>
    </w:p>
    <w:p>
      <w:pPr>
        <w:spacing w:after="0" w:line="109" w:lineRule="exact"/>
        <w:rPr>
          <w:rFonts w:ascii="Arial" w:cs="Arial" w:eastAsia="Arial" w:hAnsi="Arial"/>
          <w:sz w:val="16"/>
          <w:szCs w:val="16"/>
          <w:color w:val="auto"/>
        </w:rPr>
      </w:pPr>
    </w:p>
    <w:p>
      <w:pPr>
        <w:ind w:left="1140" w:hanging="219"/>
        <w:spacing w:after="0"/>
        <w:tabs>
          <w:tab w:leader="none" w:pos="114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obligations (including Guarantees) in respect of Standard Securitization Undertakings;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Permitted SBIC Guarantees;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Indebtedness under any Capital Call Facility not to exceed $300,000,000 in the aggregate; and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other Indebtedness not to exceed $2,000,000 at any time.</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40" w:lineRule="exact"/>
        <w:rPr>
          <w:sz w:val="20"/>
          <w:szCs w:val="20"/>
          <w:color w:val="auto"/>
        </w:rPr>
      </w:pPr>
    </w:p>
    <w:p>
      <w:pPr>
        <w:ind w:left="1160" w:hanging="239"/>
        <w:spacing w:after="0"/>
        <w:tabs>
          <w:tab w:leader="none" w:pos="1160" w:val="left"/>
        </w:tabs>
        <w:numPr>
          <w:ilvl w:val="1"/>
          <w:numId w:val="471"/>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existing on the Original Effective Date and set forth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8" w:lineRule="exact"/>
        <w:rPr>
          <w:rFonts w:ascii="Arial" w:cs="Arial" w:eastAsia="Arial" w:hAnsi="Arial"/>
          <w:sz w:val="16"/>
          <w:szCs w:val="16"/>
          <w:color w:val="auto"/>
        </w:rPr>
      </w:pPr>
    </w:p>
    <w:p>
      <w:pPr>
        <w:ind w:right="320" w:firstLine="8"/>
        <w:spacing w:after="0" w:line="255" w:lineRule="auto"/>
        <w:tabs>
          <w:tab w:leader="none" w:pos="21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no such Lien shall extend to any other property or asset of the Borrower or any of the Subsidiary Guarantors, and (ii) any such Lien shall secure only those obligations which it secures on the Original Effective Date and extensions, renewals and replacements thereof that do not increase the outstanding principal amount thereof;</w:t>
      </w:r>
    </w:p>
    <w:p>
      <w:pPr>
        <w:spacing w:after="0" w:line="144" w:lineRule="exact"/>
        <w:rPr>
          <w:rFonts w:ascii="Arial" w:cs="Arial" w:eastAsia="Arial" w:hAnsi="Arial"/>
          <w:sz w:val="18"/>
          <w:szCs w:val="18"/>
          <w:color w:val="auto"/>
        </w:rPr>
      </w:pPr>
    </w:p>
    <w:p>
      <w:pPr>
        <w:ind w:right="120" w:firstLine="921"/>
        <w:spacing w:after="0" w:line="268" w:lineRule="auto"/>
        <w:tabs>
          <w:tab w:leader="none" w:pos="1162" w:val="left"/>
        </w:tabs>
        <w:numPr>
          <w:ilvl w:val="1"/>
          <w:numId w:val="472"/>
        </w:numPr>
        <w:rPr>
          <w:rFonts w:ascii="Arial" w:cs="Arial" w:eastAsia="Arial" w:hAnsi="Arial"/>
          <w:sz w:val="18"/>
          <w:szCs w:val="18"/>
          <w:color w:val="auto"/>
        </w:rPr>
      </w:pPr>
      <w:r>
        <w:rPr>
          <w:rFonts w:ascii="Arial" w:cs="Arial" w:eastAsia="Arial" w:hAnsi="Arial"/>
          <w:sz w:val="18"/>
          <w:szCs w:val="18"/>
          <w:color w:val="auto"/>
        </w:rPr>
        <w:t xml:space="preserve">Liens created pursuant to this Agreement (including </w:t>
      </w:r>
      <w:r>
        <w:rPr>
          <w:rFonts w:ascii="Arial" w:cs="Arial" w:eastAsia="Arial" w:hAnsi="Arial"/>
          <w:sz w:val="18"/>
          <w:szCs w:val="18"/>
          <w:u w:val="single" w:color="auto"/>
          <w:color w:val="auto"/>
        </w:rPr>
        <w:t>Section 2.19</w:t>
      </w:r>
      <w:r>
        <w:rPr>
          <w:rFonts w:ascii="Arial" w:cs="Arial" w:eastAsia="Arial" w:hAnsi="Arial"/>
          <w:sz w:val="18"/>
          <w:szCs w:val="18"/>
          <w:color w:val="auto"/>
        </w:rPr>
        <w:t>) or any of the Security Documents (including Liens in favor of the Designated Indebtedness Holders (as defined in the Guarantee and Security Agreement));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Liens on the assets of a Financing Subsidiary securing obligations of such Financing Subsidiary;</w:t>
      </w:r>
    </w:p>
    <w:p>
      <w:pPr>
        <w:spacing w:after="0" w:line="171" w:lineRule="exact"/>
        <w:rPr>
          <w:rFonts w:ascii="Arial" w:cs="Arial" w:eastAsia="Arial" w:hAnsi="Arial"/>
          <w:sz w:val="18"/>
          <w:szCs w:val="18"/>
          <w:color w:val="auto"/>
        </w:rPr>
      </w:pPr>
    </w:p>
    <w:p>
      <w:pPr>
        <w:ind w:right="100" w:firstLine="921"/>
        <w:spacing w:after="0" w:line="268" w:lineRule="auto"/>
        <w:tabs>
          <w:tab w:leader="none" w:pos="1162" w:val="left"/>
        </w:tabs>
        <w:numPr>
          <w:ilvl w:val="1"/>
          <w:numId w:val="472"/>
        </w:numPr>
        <w:rPr>
          <w:rFonts w:ascii="Arial" w:cs="Arial" w:eastAsia="Arial" w:hAnsi="Arial"/>
          <w:sz w:val="18"/>
          <w:szCs w:val="18"/>
          <w:color w:val="auto"/>
        </w:rPr>
      </w:pPr>
      <w:r>
        <w:rPr>
          <w:rFonts w:ascii="Arial" w:cs="Arial" w:eastAsia="Arial" w:hAnsi="Arial"/>
          <w:sz w:val="18"/>
          <w:szCs w:val="18"/>
          <w:color w:val="auto"/>
        </w:rPr>
        <w:t>Liens on Special Equity Interests included in the Portfolio Investments of the Borrower but only to the extent securing obligations in the manner provided in the definition of “</w:t>
      </w:r>
      <w:r>
        <w:rPr>
          <w:rFonts w:ascii="Arial" w:cs="Arial" w:eastAsia="Arial" w:hAnsi="Arial"/>
          <w:sz w:val="18"/>
          <w:szCs w:val="18"/>
          <w:u w:val="single" w:color="auto"/>
          <w:color w:val="auto"/>
        </w:rPr>
        <w:t>Special Equity Interests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40" w:firstLine="921"/>
        <w:spacing w:after="0" w:line="306" w:lineRule="auto"/>
        <w:tabs>
          <w:tab w:leader="none" w:pos="1152" w:val="left"/>
        </w:tabs>
        <w:numPr>
          <w:ilvl w:val="1"/>
          <w:numId w:val="472"/>
        </w:numPr>
        <w:rPr>
          <w:rFonts w:ascii="Arial" w:cs="Arial" w:eastAsia="Arial" w:hAnsi="Arial"/>
          <w:sz w:val="16"/>
          <w:szCs w:val="16"/>
          <w:color w:val="auto"/>
        </w:rPr>
      </w:pPr>
      <w:r>
        <w:rPr>
          <w:rFonts w:ascii="Arial" w:cs="Arial" w:eastAsia="Arial" w:hAnsi="Arial"/>
          <w:sz w:val="16"/>
          <w:szCs w:val="16"/>
          <w:color w:val="auto"/>
        </w:rPr>
        <w:t>Liens securing Indebtedness or other obligations in an aggregate principal amount not exceeding $10,000,000 at any one time outstanding (which may cover Portfolio Investments, but only to the extent released from the Lien in favor of the Collateral Agent pursuant to Section 10.03 of the Guarantee and Security Agreement), so long as at the time of incurrence of such Indebtedness or other obligations, the aggregate amount of Indebtedness</w:t>
      </w:r>
    </w:p>
    <w:p>
      <w:pPr>
        <w:spacing w:after="0" w:line="93"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31" w:name="page432"/>
    <w:bookmarkEnd w:id="431"/>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permitted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does not exceed the lesser of (i) the Borrowing Base and (ii) the amount required to comply with the provisions of </w:t>
      </w:r>
      <w:r>
        <w:rPr>
          <w:rFonts w:ascii="Arial" w:cs="Arial" w:eastAsia="Arial" w:hAnsi="Arial"/>
          <w:sz w:val="18"/>
          <w:szCs w:val="18"/>
          <w:u w:val="single" w:color="auto"/>
          <w:color w:val="auto"/>
        </w:rPr>
        <w:t>Section 6.07(b)</w:t>
      </w:r>
      <w:r>
        <w:rPr>
          <w:rFonts w:ascii="Arial" w:cs="Arial" w:eastAsia="Arial" w:hAnsi="Arial"/>
          <w:sz w:val="18"/>
          <w:szCs w:val="18"/>
          <w:color w:val="auto"/>
        </w:rPr>
        <w:t>;</w:t>
      </w:r>
    </w:p>
    <w:p>
      <w:pPr>
        <w:spacing w:after="0" w:line="132" w:lineRule="exact"/>
        <w:rPr>
          <w:sz w:val="20"/>
          <w:szCs w:val="20"/>
          <w:color w:val="auto"/>
        </w:rPr>
      </w:pPr>
    </w:p>
    <w:p>
      <w:pPr>
        <w:ind w:left="1140" w:hanging="219"/>
        <w:spacing w:after="0"/>
        <w:tabs>
          <w:tab w:leader="none" w:pos="11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Liens on Equity Interests in any SBIC Subsidiary created in favor of the SBA;</w:t>
      </w:r>
    </w:p>
    <w:p>
      <w:pPr>
        <w:spacing w:after="0" w:line="171" w:lineRule="exact"/>
        <w:rPr>
          <w:rFonts w:ascii="Arial" w:cs="Arial" w:eastAsia="Arial" w:hAnsi="Arial"/>
          <w:sz w:val="18"/>
          <w:szCs w:val="18"/>
          <w:color w:val="auto"/>
        </w:rPr>
      </w:pPr>
    </w:p>
    <w:p>
      <w:pPr>
        <w:ind w:right="600" w:firstLine="921"/>
        <w:spacing w:after="0" w:line="332" w:lineRule="auto"/>
        <w:tabs>
          <w:tab w:leader="none" w:pos="1162" w:val="left"/>
        </w:tabs>
        <w:numPr>
          <w:ilvl w:val="0"/>
          <w:numId w:val="473"/>
        </w:numPr>
        <w:rPr>
          <w:rFonts w:ascii="Arial" w:cs="Arial" w:eastAsia="Arial" w:hAnsi="Arial"/>
          <w:sz w:val="16"/>
          <w:szCs w:val="16"/>
          <w:color w:val="auto"/>
        </w:rPr>
      </w:pPr>
      <w:r>
        <w:rPr>
          <w:rFonts w:ascii="Arial" w:cs="Arial" w:eastAsia="Arial" w:hAnsi="Arial"/>
          <w:sz w:val="16"/>
          <w:szCs w:val="16"/>
          <w:color w:val="auto"/>
        </w:rPr>
        <w:t>Liens created pursuant to any Capital Call Facility permitted hereunder; provided that such Liens do not constitute Liens on any Portfolio Investments, Cash or other property, in each case that constitute Collateral hereunder or are included in the Borrowing Base hereunder;</w:t>
      </w:r>
    </w:p>
    <w:p>
      <w:pPr>
        <w:spacing w:after="0" w:line="85" w:lineRule="exact"/>
        <w:rPr>
          <w:rFonts w:ascii="Arial" w:cs="Arial" w:eastAsia="Arial" w:hAnsi="Arial"/>
          <w:sz w:val="16"/>
          <w:szCs w:val="16"/>
          <w:color w:val="auto"/>
        </w:rPr>
      </w:pPr>
    </w:p>
    <w:p>
      <w:pPr>
        <w:ind w:right="100" w:firstLine="921"/>
        <w:spacing w:after="0" w:line="268" w:lineRule="auto"/>
        <w:tabs>
          <w:tab w:leader="none" w:pos="112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xml:space="preserve">Liens securing Hedging Agreements permitted under </w:t>
      </w:r>
      <w:r>
        <w:rPr>
          <w:rFonts w:ascii="Arial" w:cs="Arial" w:eastAsia="Arial" w:hAnsi="Arial"/>
          <w:sz w:val="18"/>
          <w:szCs w:val="18"/>
          <w:u w:val="single" w:color="auto"/>
          <w:color w:val="auto"/>
        </w:rPr>
        <w:t>Section 6.04(c)</w:t>
      </w:r>
      <w:r>
        <w:rPr>
          <w:rFonts w:ascii="Arial" w:cs="Arial" w:eastAsia="Arial" w:hAnsi="Arial"/>
          <w:sz w:val="18"/>
          <w:szCs w:val="18"/>
          <w:color w:val="auto"/>
        </w:rPr>
        <w:t xml:space="preserve"> and not otherwise permitted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in an aggregate amount not to exceed $5,000,000 at any time; and</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Liens securing repurchase obligations arising in the ordinary course of business with respect to U.S. Government Securities.</w:t>
      </w:r>
    </w:p>
    <w:p>
      <w:pPr>
        <w:spacing w:after="0" w:line="171" w:lineRule="exact"/>
        <w:rPr>
          <w:sz w:val="20"/>
          <w:szCs w:val="20"/>
          <w:color w:val="auto"/>
        </w:rPr>
      </w:pPr>
    </w:p>
    <w:p>
      <w:pPr>
        <w:ind w:right="120" w:firstLine="913"/>
        <w:spacing w:after="0" w:line="301"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u w:val="single" w:color="auto"/>
          <w:color w:val="auto"/>
        </w:rPr>
        <w:t>Fundamental Changes</w:t>
      </w:r>
      <w:r>
        <w:rPr>
          <w:rFonts w:ascii="Arial" w:cs="Arial" w:eastAsia="Arial" w:hAnsi="Arial"/>
          <w:sz w:val="15"/>
          <w:szCs w:val="15"/>
          <w:color w:val="auto"/>
        </w:rPr>
        <w:t xml:space="preserve">.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5"/>
          <w:szCs w:val="15"/>
          <w:u w:val="single" w:color="auto"/>
          <w:color w:val="auto"/>
        </w:rPr>
        <w:t>clauses</w:t>
      </w:r>
    </w:p>
    <w:p>
      <w:pPr>
        <w:spacing w:after="0" w:line="4" w:lineRule="exact"/>
        <w:rPr>
          <w:sz w:val="20"/>
          <w:szCs w:val="20"/>
          <w:color w:val="auto"/>
        </w:rPr>
      </w:pPr>
    </w:p>
    <w:p>
      <w:pPr>
        <w:ind w:left="260" w:hanging="252"/>
        <w:spacing w:after="0"/>
        <w:tabs>
          <w:tab w:leader="none" w:pos="260" w:val="left"/>
        </w:tabs>
        <w:numPr>
          <w:ilvl w:val="0"/>
          <w:numId w:val="474"/>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below, Portfolio Investments.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foregoing provisions of this Section:</w:t>
      </w:r>
    </w:p>
    <w:p>
      <w:pPr>
        <w:spacing w:after="0" w:line="90" w:lineRule="exact"/>
        <w:rPr>
          <w:sz w:val="20"/>
          <w:szCs w:val="20"/>
          <w:color w:val="auto"/>
        </w:rPr>
      </w:pPr>
    </w:p>
    <w:p>
      <w:pPr>
        <w:ind w:right="40" w:firstLine="921"/>
        <w:spacing w:after="0" w:line="259" w:lineRule="auto"/>
        <w:tabs>
          <w:tab w:leader="none" w:pos="1152" w:val="left"/>
        </w:tabs>
        <w:numPr>
          <w:ilvl w:val="0"/>
          <w:numId w:val="475"/>
        </w:numPr>
        <w:rPr>
          <w:rFonts w:ascii="Arial" w:cs="Arial" w:eastAsia="Arial" w:hAnsi="Arial"/>
          <w:sz w:val="18"/>
          <w:szCs w:val="18"/>
          <w:color w:val="auto"/>
        </w:rPr>
      </w:pPr>
      <w:r>
        <w:rPr>
          <w:rFonts w:ascii="Arial" w:cs="Arial" w:eastAsia="Arial" w:hAnsi="Arial"/>
          <w:sz w:val="18"/>
          <w:szCs w:val="18"/>
          <w:color w:val="auto"/>
        </w:rPr>
        <w:t xml:space="preserve">any Subsidiary Guarantor of the Borrower may be merged or consolidated with or into the Borrower or any 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transaction shall be between a Subsidiary Guarantor and a wholly owned Subsidiary Guarantor, the wholly owned Subsidiary Guarantor shall be the continuing or surviving corporation;</w:t>
      </w:r>
    </w:p>
    <w:p>
      <w:pPr>
        <w:spacing w:after="0" w:line="140"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any Subsidiary Guarantor of the Borrower may sell, lease, transfer or otherwise dispose of any or all of its assets (upon voluntary liquidation or otherwise) to the Borrower or any wholly owned Subsidiary Guarantor of the Borrower;</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32" w:name="page433"/>
    <w:bookmarkEnd w:id="432"/>
    <w:p>
      <w:pPr>
        <w:ind w:right="480" w:firstLine="921"/>
        <w:spacing w:after="0" w:line="268" w:lineRule="auto"/>
        <w:tabs>
          <w:tab w:leader="none" w:pos="1152" w:val="left"/>
        </w:tabs>
        <w:numPr>
          <w:ilvl w:val="0"/>
          <w:numId w:val="4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capital stock of any Subsidiary of the Borrower may be sold, transferred or otherwise disposed of to the Borrower or any wholly owned Subsidiary Guarantor of the Borrower;</w:t>
      </w:r>
    </w:p>
    <w:p>
      <w:pPr>
        <w:spacing w:after="0" w:line="131" w:lineRule="exact"/>
        <w:rPr>
          <w:rFonts w:ascii="Arial" w:cs="Arial" w:eastAsia="Arial" w:hAnsi="Arial"/>
          <w:sz w:val="18"/>
          <w:szCs w:val="18"/>
          <w:color w:val="auto"/>
        </w:rPr>
      </w:pPr>
    </w:p>
    <w:p>
      <w:pPr>
        <w:ind w:right="120" w:firstLine="921"/>
        <w:spacing w:after="0" w:line="259" w:lineRule="auto"/>
        <w:tabs>
          <w:tab w:leader="none" w:pos="116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the Covered Debt Amount does not exceed the Borrowing Base;</w:t>
      </w:r>
    </w:p>
    <w:p>
      <w:pPr>
        <w:spacing w:after="0" w:line="140" w:lineRule="exact"/>
        <w:rPr>
          <w:rFonts w:ascii="Arial" w:cs="Arial" w:eastAsia="Arial" w:hAnsi="Arial"/>
          <w:sz w:val="18"/>
          <w:szCs w:val="18"/>
          <w:color w:val="auto"/>
        </w:rPr>
      </w:pPr>
    </w:p>
    <w:p>
      <w:pPr>
        <w:ind w:right="100" w:firstLine="921"/>
        <w:spacing w:after="0" w:line="294" w:lineRule="auto"/>
        <w:tabs>
          <w:tab w:leader="none" w:pos="1152" w:val="left"/>
        </w:tabs>
        <w:numPr>
          <w:ilvl w:val="0"/>
          <w:numId w:val="476"/>
        </w:numPr>
        <w:rPr>
          <w:rFonts w:ascii="Arial" w:cs="Arial" w:eastAsia="Arial" w:hAnsi="Arial"/>
          <w:sz w:val="16"/>
          <w:szCs w:val="16"/>
          <w:color w:val="auto"/>
        </w:rPr>
      </w:pPr>
      <w:r>
        <w:rPr>
          <w:rFonts w:ascii="Arial" w:cs="Arial" w:eastAsia="Arial" w:hAnsi="Arial"/>
          <w:sz w:val="16"/>
          <w:szCs w:val="16"/>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15" w:lineRule="exact"/>
        <w:rPr>
          <w:rFonts w:ascii="Arial" w:cs="Arial" w:eastAsia="Arial" w:hAnsi="Arial"/>
          <w:sz w:val="16"/>
          <w:szCs w:val="16"/>
          <w:color w:val="auto"/>
        </w:rPr>
      </w:pPr>
    </w:p>
    <w:p>
      <w:pPr>
        <w:ind w:right="60" w:firstLine="921"/>
        <w:spacing w:after="0" w:line="268" w:lineRule="auto"/>
        <w:tabs>
          <w:tab w:leader="none" w:pos="113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Borrower may merge or consolidate with any other Person so long as (i) the Borrower is the continuing or surviving entity in such transaction and (ii) at the time thereof and after giving effect thereto, no Default shall have occurred or be continuing; and</w:t>
      </w:r>
    </w:p>
    <w:p>
      <w:pPr>
        <w:spacing w:after="0" w:line="131"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Investments</w:t>
      </w:r>
      <w:r>
        <w:rPr>
          <w:rFonts w:ascii="Arial" w:cs="Arial" w:eastAsia="Arial" w:hAnsi="Arial"/>
          <w:sz w:val="16"/>
          <w:szCs w:val="16"/>
          <w:color w:val="auto"/>
        </w:rPr>
        <w:t>. The Borrower will not, nor will it permit any of the Subsidiary Guarantors to, acquire, make or enter into, or hold,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Investments except:</w:t>
      </w:r>
    </w:p>
    <w:p>
      <w:pPr>
        <w:spacing w:after="0" w:line="84" w:lineRule="exact"/>
        <w:rPr>
          <w:sz w:val="20"/>
          <w:szCs w:val="20"/>
          <w:color w:val="auto"/>
        </w:rPr>
      </w:pPr>
    </w:p>
    <w:p>
      <w:pPr>
        <w:ind w:left="1160" w:hanging="239"/>
        <w:spacing w:after="0"/>
        <w:tabs>
          <w:tab w:leader="none" w:pos="11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operating deposit accounts with banks;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Investments by the Borrower and the Subsidiary Guarantors in the Borrower and the Subsidiary Guarantors;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Hedging Agreements entered into in the ordinary course of the Borrower’s financial planning and not for speculative purposes;</w:t>
      </w:r>
    </w:p>
    <w:p>
      <w:pPr>
        <w:spacing w:after="0" w:line="171"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477"/>
        </w:numPr>
        <w:rPr>
          <w:rFonts w:ascii="Arial" w:cs="Arial" w:eastAsia="Arial" w:hAnsi="Arial"/>
          <w:sz w:val="18"/>
          <w:szCs w:val="18"/>
          <w:color w:val="auto"/>
        </w:rPr>
      </w:pPr>
      <w:r>
        <w:rPr>
          <w:rFonts w:ascii="Arial" w:cs="Arial" w:eastAsia="Arial" w:hAnsi="Arial"/>
          <w:sz w:val="18"/>
          <w:szCs w:val="18"/>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31" w:lineRule="exact"/>
        <w:rPr>
          <w:rFonts w:ascii="Arial" w:cs="Arial" w:eastAsia="Arial" w:hAnsi="Arial"/>
          <w:sz w:val="18"/>
          <w:szCs w:val="18"/>
          <w:color w:val="auto"/>
        </w:rPr>
      </w:pPr>
    </w:p>
    <w:p>
      <w:pPr>
        <w:ind w:right="540" w:firstLine="921"/>
        <w:spacing w:after="0" w:line="332" w:lineRule="auto"/>
        <w:tabs>
          <w:tab w:leader="none" w:pos="1152" w:val="left"/>
        </w:tabs>
        <w:numPr>
          <w:ilvl w:val="0"/>
          <w:numId w:val="477"/>
        </w:numPr>
        <w:rPr>
          <w:rFonts w:ascii="Arial" w:cs="Arial" w:eastAsia="Arial" w:hAnsi="Arial"/>
          <w:sz w:val="16"/>
          <w:szCs w:val="16"/>
          <w:color w:val="auto"/>
        </w:rPr>
      </w:pPr>
      <w:r>
        <w:rPr>
          <w:rFonts w:ascii="Arial" w:cs="Arial" w:eastAsia="Arial" w:hAnsi="Arial"/>
          <w:sz w:val="16"/>
          <w:szCs w:val="16"/>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that occur after the Extended Commitment</w:t>
      </w:r>
    </w:p>
    <w:p>
      <w:pPr>
        <w:spacing w:after="0" w:line="7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33" w:name="page434"/>
    <w:bookmarkEnd w:id="43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Termination Date and (y) all Investments under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below that occur after the Extended Commitment Termination Date, shall not exceed $10,000,000 in the aggregate;</w:t>
      </w:r>
    </w:p>
    <w:p>
      <w:pPr>
        <w:spacing w:after="0" w:line="132" w:lineRule="exact"/>
        <w:rPr>
          <w:sz w:val="20"/>
          <w:szCs w:val="20"/>
          <w:color w:val="auto"/>
        </w:rPr>
      </w:pPr>
    </w:p>
    <w:p>
      <w:pPr>
        <w:ind w:left="1140" w:hanging="219"/>
        <w:spacing w:after="0"/>
        <w:tabs>
          <w:tab w:leader="none" w:pos="1140" w:val="left"/>
        </w:tabs>
        <w:numPr>
          <w:ilvl w:val="1"/>
          <w:numId w:val="478"/>
        </w:numPr>
        <w:rPr>
          <w:rFonts w:ascii="Arial" w:cs="Arial" w:eastAsia="Arial" w:hAnsi="Arial"/>
          <w:sz w:val="16"/>
          <w:szCs w:val="16"/>
          <w:color w:val="auto"/>
        </w:rPr>
      </w:pPr>
      <w:r>
        <w:rPr>
          <w:rFonts w:ascii="Arial" w:cs="Arial" w:eastAsia="Arial" w:hAnsi="Arial"/>
          <w:sz w:val="16"/>
          <w:szCs w:val="16"/>
          <w:color w:val="auto"/>
        </w:rPr>
        <w:t xml:space="preserve">additional Investments up to but not exceeding $15,000,000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sum of (x) all Investments under this </w:t>
      </w:r>
      <w:r>
        <w:rPr>
          <w:rFonts w:ascii="Arial" w:cs="Arial" w:eastAsia="Arial" w:hAnsi="Arial"/>
          <w:sz w:val="16"/>
          <w:szCs w:val="16"/>
          <w:u w:val="single" w:color="auto"/>
          <w:color w:val="auto"/>
        </w:rPr>
        <w:t>clause</w:t>
      </w:r>
    </w:p>
    <w:p>
      <w:pPr>
        <w:spacing w:after="0" w:line="38" w:lineRule="exact"/>
        <w:rPr>
          <w:rFonts w:ascii="Arial" w:cs="Arial" w:eastAsia="Arial" w:hAnsi="Arial"/>
          <w:sz w:val="16"/>
          <w:szCs w:val="16"/>
          <w:color w:val="auto"/>
        </w:rPr>
      </w:pPr>
    </w:p>
    <w:p>
      <w:pPr>
        <w:ind w:right="600" w:firstLine="8"/>
        <w:spacing w:after="0" w:line="261" w:lineRule="auto"/>
        <w:tabs>
          <w:tab w:leader="none" w:pos="219" w:val="left"/>
        </w:tabs>
        <w:numPr>
          <w:ilvl w:val="0"/>
          <w:numId w:val="479"/>
        </w:numPr>
        <w:rPr>
          <w:rFonts w:ascii="Arial" w:cs="Arial" w:eastAsia="Arial" w:hAnsi="Arial"/>
          <w:sz w:val="18"/>
          <w:szCs w:val="18"/>
          <w:u w:val="single" w:color="auto"/>
          <w:color w:val="auto"/>
        </w:rPr>
      </w:pPr>
      <w:r>
        <w:rPr>
          <w:rFonts w:ascii="Arial" w:cs="Arial" w:eastAsia="Arial" w:hAnsi="Arial"/>
          <w:sz w:val="18"/>
          <w:szCs w:val="18"/>
          <w:color w:val="auto"/>
        </w:rPr>
        <w:t xml:space="preserve">that occur after the Extended Commitment Termination Date and (y) all Investments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that occur after the Extended Commitment Termination Date, shall not exceed $10,000,000 in the aggregate;</w:t>
      </w:r>
    </w:p>
    <w:p>
      <w:pPr>
        <w:spacing w:after="0" w:line="137" w:lineRule="exact"/>
        <w:rPr>
          <w:rFonts w:ascii="Arial" w:cs="Arial" w:eastAsia="Arial" w:hAnsi="Arial"/>
          <w:sz w:val="18"/>
          <w:szCs w:val="18"/>
          <w:u w:val="single" w:color="auto"/>
          <w:color w:val="auto"/>
        </w:rPr>
      </w:pPr>
    </w:p>
    <w:p>
      <w:pPr>
        <w:ind w:left="1160" w:hanging="239"/>
        <w:spacing w:after="0"/>
        <w:tabs>
          <w:tab w:leader="none" w:pos="116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 xml:space="preserve">Investments described on </w:t>
      </w:r>
      <w:r>
        <w:rPr>
          <w:rFonts w:ascii="Arial" w:cs="Arial" w:eastAsia="Arial" w:hAnsi="Arial"/>
          <w:sz w:val="18"/>
          <w:szCs w:val="18"/>
          <w:u w:val="single" w:color="auto"/>
          <w:color w:val="auto"/>
        </w:rPr>
        <w:t>Schedule 3.12(b)</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Investments by a Financing Subsidiary; and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 xml:space="preserve">Investments in the form of Guarantees permitted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amount of dividends, distributions or other payments received in cash in respect of such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44"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nor will it permit any of the Subsidiary Guarantors to, declare or make, or agree to pay or make, directly or indirectly, any Restricted Payment, except that the Borrower may declare and pay:</w:t>
      </w:r>
    </w:p>
    <w:p>
      <w:pPr>
        <w:spacing w:after="0" w:line="51" w:lineRule="exact"/>
        <w:rPr>
          <w:sz w:val="20"/>
          <w:szCs w:val="20"/>
          <w:color w:val="auto"/>
        </w:rPr>
      </w:pPr>
    </w:p>
    <w:p>
      <w:pPr>
        <w:ind w:left="1160" w:hanging="239"/>
        <w:spacing w:after="0"/>
        <w:tabs>
          <w:tab w:leader="none" w:pos="116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dividends with respect to the capital stock of the Borrower payable solely in additional shares of the Borrower’s common stock;</w:t>
      </w:r>
    </w:p>
    <w:p>
      <w:pPr>
        <w:spacing w:after="0" w:line="171" w:lineRule="exact"/>
        <w:rPr>
          <w:rFonts w:ascii="Arial" w:cs="Arial" w:eastAsia="Arial" w:hAnsi="Arial"/>
          <w:sz w:val="18"/>
          <w:szCs w:val="18"/>
          <w:color w:val="auto"/>
        </w:rPr>
      </w:pPr>
    </w:p>
    <w:p>
      <w:pPr>
        <w:jc w:val="both"/>
        <w:ind w:right="60" w:firstLine="921"/>
        <w:spacing w:after="0" w:line="259" w:lineRule="auto"/>
        <w:tabs>
          <w:tab w:leader="none" w:pos="1162" w:val="left"/>
        </w:tabs>
        <w:numPr>
          <w:ilvl w:val="1"/>
          <w:numId w:val="480"/>
        </w:numPr>
        <w:rPr>
          <w:rFonts w:ascii="Arial" w:cs="Arial" w:eastAsia="Arial" w:hAnsi="Arial"/>
          <w:sz w:val="18"/>
          <w:szCs w:val="18"/>
          <w:color w:val="auto"/>
        </w:rPr>
      </w:pPr>
      <w:r>
        <w:rPr>
          <w:rFonts w:ascii="Arial" w:cs="Arial" w:eastAsia="Arial" w:hAnsi="Arial"/>
          <w:sz w:val="18"/>
          <w:szCs w:val="18"/>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40" w:lineRule="exact"/>
        <w:rPr>
          <w:rFonts w:ascii="Arial" w:cs="Arial" w:eastAsia="Arial" w:hAnsi="Arial"/>
          <w:sz w:val="18"/>
          <w:szCs w:val="18"/>
          <w:color w:val="auto"/>
        </w:rPr>
      </w:pPr>
    </w:p>
    <w:p>
      <w:pPr>
        <w:jc w:val="both"/>
        <w:ind w:right="280" w:firstLine="921"/>
        <w:spacing w:after="0" w:line="357" w:lineRule="auto"/>
        <w:tabs>
          <w:tab w:leader="none" w:pos="1152" w:val="left"/>
        </w:tabs>
        <w:numPr>
          <w:ilvl w:val="1"/>
          <w:numId w:val="480"/>
        </w:numPr>
        <w:rPr>
          <w:rFonts w:ascii="Arial" w:cs="Arial" w:eastAsia="Arial" w:hAnsi="Arial"/>
          <w:sz w:val="15"/>
          <w:szCs w:val="15"/>
          <w:color w:val="auto"/>
        </w:rPr>
      </w:pPr>
      <w:r>
        <w:rPr>
          <w:rFonts w:ascii="Arial" w:cs="Arial" w:eastAsia="Arial" w:hAnsi="Arial"/>
          <w:sz w:val="15"/>
          <w:szCs w:val="15"/>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so long as on the date of such Restricted Payment and after giving effect thereto:</w:t>
      </w:r>
    </w:p>
    <w:p>
      <w:pPr>
        <w:ind w:left="1120" w:hanging="217"/>
        <w:spacing w:after="0"/>
        <w:tabs>
          <w:tab w:leader="none" w:pos="11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result therefrom; and</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34" w:name="page435"/>
    <w:bookmarkEnd w:id="434"/>
    <w:p>
      <w:pPr>
        <w:ind w:left="460" w:right="40" w:firstLine="443"/>
        <w:spacing w:after="0" w:line="294" w:lineRule="auto"/>
        <w:tabs>
          <w:tab w:leader="none" w:pos="1157" w:val="left"/>
        </w:tabs>
        <w:numPr>
          <w:ilvl w:val="1"/>
          <w:numId w:val="4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aggregate amount of Restricted Payments made during any taxable year of the Borrower after the date hereof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not exceed the difference of (x) an amount equal to 10% of the taxable income of the Borrower for such taxable year determined under section 852(b)(2) of the Code, but without regard to </w:t>
      </w:r>
      <w:r>
        <w:rPr>
          <w:rFonts w:ascii="Arial" w:cs="Arial" w:eastAsia="Arial" w:hAnsi="Arial"/>
          <w:sz w:val="16"/>
          <w:szCs w:val="16"/>
          <w:u w:val="single" w:color="auto"/>
          <w:color w:val="auto"/>
        </w:rPr>
        <w:t>subparagraphs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thereof,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the amount, if any, by which dividends and distributions made during such taxable year pursuant to the foregoing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such foregoing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for such taxable year.</w:t>
      </w:r>
    </w:p>
    <w:p>
      <w:pPr>
        <w:spacing w:after="0" w:line="115" w:lineRule="exact"/>
        <w:rPr>
          <w:rFonts w:ascii="Arial" w:cs="Arial" w:eastAsia="Arial" w:hAnsi="Arial"/>
          <w:sz w:val="16"/>
          <w:szCs w:val="16"/>
          <w:color w:val="auto"/>
        </w:rPr>
      </w:pPr>
    </w:p>
    <w:p>
      <w:pPr>
        <w:ind w:right="220" w:firstLine="921"/>
        <w:spacing w:after="0" w:line="302" w:lineRule="auto"/>
        <w:tabs>
          <w:tab w:leader="none" w:pos="1162" w:val="left"/>
        </w:tabs>
        <w:numPr>
          <w:ilvl w:val="1"/>
          <w:numId w:val="483"/>
        </w:numPr>
        <w:rPr>
          <w:rFonts w:ascii="Arial" w:cs="Arial" w:eastAsia="Arial" w:hAnsi="Arial"/>
          <w:sz w:val="15"/>
          <w:szCs w:val="15"/>
          <w:color w:val="auto"/>
        </w:rPr>
      </w:pPr>
      <w:r>
        <w:rPr>
          <w:rFonts w:ascii="Arial" w:cs="Arial" w:eastAsia="Arial" w:hAnsi="Arial"/>
          <w:sz w:val="15"/>
          <w:szCs w:val="15"/>
          <w:color w:val="auto"/>
        </w:rPr>
        <w:t xml:space="preserve">other Restricted Payments so long as (i) on the date of such other Restricted Payment and after giving effect thereto (x) the Covered Debt Amount does not exceed 90% of the Borrowing Base and (y) no Default shall have occurred and be continuing or would result therefrom and (ii) on the date of such other Restricted Payment the Borrower delivers to the Administrative Agent and each Lender a Borrowing Base Certificate as at such date demonstrating compliance with </w:t>
      </w:r>
      <w:r>
        <w:rPr>
          <w:rFonts w:ascii="Arial" w:cs="Arial" w:eastAsia="Arial" w:hAnsi="Arial"/>
          <w:sz w:val="15"/>
          <w:szCs w:val="15"/>
          <w:u w:val="single" w:color="auto"/>
          <w:color w:val="auto"/>
        </w:rPr>
        <w:t>subclause (x)</w:t>
      </w:r>
      <w:r>
        <w:rPr>
          <w:rFonts w:ascii="Arial" w:cs="Arial" w:eastAsia="Arial" w:hAnsi="Arial"/>
          <w:sz w:val="15"/>
          <w:szCs w:val="15"/>
          <w:color w:val="auto"/>
        </w:rPr>
        <w:t xml:space="preserve"> after giving effect to such Restricted Payment. For purposes of preparing such Borrowing Base Certificate, (A) the fair market value of Portfolio Investments for which market quotations are readily available shall be the most recent quotation available for such Portfolio Investment and</w:t>
      </w:r>
    </w:p>
    <w:p>
      <w:pPr>
        <w:spacing w:after="0" w:line="1" w:lineRule="exact"/>
        <w:rPr>
          <w:rFonts w:ascii="Arial" w:cs="Arial" w:eastAsia="Arial" w:hAnsi="Arial"/>
          <w:sz w:val="15"/>
          <w:szCs w:val="15"/>
          <w:color w:val="auto"/>
        </w:rPr>
      </w:pPr>
    </w:p>
    <w:p>
      <w:pPr>
        <w:ind w:right="180" w:firstLine="8"/>
        <w:spacing w:after="0" w:line="254" w:lineRule="auto"/>
        <w:tabs>
          <w:tab w:leader="none" w:pos="278" w:val="left"/>
        </w:tabs>
        <w:numPr>
          <w:ilvl w:val="0"/>
          <w:numId w:val="484"/>
        </w:numPr>
        <w:rPr>
          <w:rFonts w:ascii="Arial" w:cs="Arial" w:eastAsia="Arial" w:hAnsi="Arial"/>
          <w:sz w:val="18"/>
          <w:szCs w:val="18"/>
          <w:color w:val="auto"/>
        </w:rPr>
      </w:pPr>
      <w:r>
        <w:rPr>
          <w:rFonts w:ascii="Arial" w:cs="Arial" w:eastAsia="Arial" w:hAnsi="Arial"/>
          <w:sz w:val="18"/>
          <w:szCs w:val="18"/>
          <w:color w:val="auto"/>
        </w:rPr>
        <w:t xml:space="preserve">the fair market value of Portfolio Investments for which market quotations are not readily available shall be the Value set forth in the Borrowing Base Certificate most recently delivered by the Borrower to the Administrative Agent and the Lenders pursuant to </w:t>
      </w:r>
      <w:r>
        <w:rPr>
          <w:rFonts w:ascii="Arial" w:cs="Arial" w:eastAsia="Arial" w:hAnsi="Arial"/>
          <w:sz w:val="18"/>
          <w:szCs w:val="18"/>
          <w:u w:val="single" w:color="auto"/>
          <w:color w:val="auto"/>
        </w:rPr>
        <w:t>Section 5.01(d)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reduce the Value of any Portfolio Investment referred to in this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to the extent necessary to take into account any events of which the Borrower has knowledge that adversely affect the value of such Portfolio Investment.</w:t>
      </w:r>
    </w:p>
    <w:p>
      <w:pPr>
        <w:spacing w:after="0" w:line="144"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Nothing herein shall be deemed to prohibit the payment of Restricted Payments by any Subsidiary of the Borrower to the Borrower or to any other Subsidiary Guarantor.</w:t>
      </w:r>
    </w:p>
    <w:p>
      <w:pPr>
        <w:spacing w:after="0" w:line="132"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Certain Restrictions on Subsidiaries</w:t>
      </w:r>
      <w:r>
        <w:rPr>
          <w:rFonts w:ascii="Arial" w:cs="Arial" w:eastAsia="Arial" w:hAnsi="Arial"/>
          <w:sz w:val="16"/>
          <w:szCs w:val="16"/>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06"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35" w:name="page436"/>
    <w:bookmarkEnd w:id="43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6.07. </w:t>
      </w:r>
      <w:r>
        <w:rPr>
          <w:rFonts w:ascii="Arial" w:cs="Arial" w:eastAsia="Arial" w:hAnsi="Arial"/>
          <w:sz w:val="18"/>
          <w:szCs w:val="18"/>
          <w:u w:val="single" w:color="auto"/>
          <w:color w:val="auto"/>
        </w:rPr>
        <w:t>Certain Financial Covenants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56" w:lineRule="auto"/>
        <w:tabs>
          <w:tab w:leader="none" w:pos="1152"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Minimum Shareholders’ Equity</w:t>
      </w:r>
      <w:r>
        <w:rPr>
          <w:rFonts w:ascii="Arial" w:cs="Arial" w:eastAsia="Arial" w:hAnsi="Arial"/>
          <w:sz w:val="18"/>
          <w:szCs w:val="18"/>
          <w:color w:val="auto"/>
        </w:rPr>
        <w:t xml:space="preserve">. The Borrower will not permit Shareholders’ Equity at the last day of any fiscal quarter of the Borrower to be less than $205,000,000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25% of the net proceeds of the sale of Equity Interests by the Borrower and its Subsidiaries after August 23, 2012 (including, without limitation, any drawings on the capital commitments of its equity holders) (other than proceeds of sales of Equity Interests by and among the Borrower and its Subsidiaries).</w:t>
      </w:r>
    </w:p>
    <w:p>
      <w:pPr>
        <w:spacing w:after="0" w:line="143" w:lineRule="exact"/>
        <w:rPr>
          <w:rFonts w:ascii="Arial" w:cs="Arial" w:eastAsia="Arial" w:hAnsi="Arial"/>
          <w:sz w:val="18"/>
          <w:szCs w:val="18"/>
          <w:color w:val="auto"/>
        </w:rPr>
      </w:pPr>
    </w:p>
    <w:p>
      <w:pPr>
        <w:ind w:right="40" w:firstLine="921"/>
        <w:spacing w:after="0" w:line="268" w:lineRule="auto"/>
        <w:tabs>
          <w:tab w:leader="none" w:pos="1161"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Asset Coverage Ratio</w:t>
      </w:r>
      <w:r>
        <w:rPr>
          <w:rFonts w:ascii="Arial" w:cs="Arial" w:eastAsia="Arial" w:hAnsi="Arial"/>
          <w:sz w:val="18"/>
          <w:szCs w:val="18"/>
          <w:color w:val="auto"/>
        </w:rPr>
        <w:t>. The Borrower will not permit the Asset Coverage Ratio at the last day of any fiscal quarter of the Borrower to be less than 2.00 to 1 at any time.</w:t>
      </w:r>
    </w:p>
    <w:p>
      <w:pPr>
        <w:spacing w:after="0" w:line="131" w:lineRule="exact"/>
        <w:rPr>
          <w:rFonts w:ascii="Arial" w:cs="Arial" w:eastAsia="Arial" w:hAnsi="Arial"/>
          <w:sz w:val="18"/>
          <w:szCs w:val="18"/>
          <w:color w:val="auto"/>
        </w:rPr>
      </w:pPr>
    </w:p>
    <w:p>
      <w:pPr>
        <w:ind w:firstLine="921"/>
        <w:spacing w:after="0" w:line="255" w:lineRule="auto"/>
        <w:tabs>
          <w:tab w:leader="none" w:pos="1152"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Liquidity Test</w:t>
      </w:r>
      <w:r>
        <w:rPr>
          <w:rFonts w:ascii="Arial" w:cs="Arial" w:eastAsia="Arial" w:hAnsi="Arial"/>
          <w:sz w:val="18"/>
          <w:szCs w:val="18"/>
          <w:color w:val="auto"/>
        </w:rPr>
        <w:t xml:space="preserve">. The Borrower will not permit (a) the sum of (i) the aggregate Value of the Portfolio Investments that are Cash (excluding Cash Collateral for outstanding Letters of Credit) or that can be converted to Cash in fewer than 10 Business Days without more than a 5% change in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amount of Relevant Available Funds that can be converted to Cash in fewer than 10 Business Days, to be less than (b) 10% of the Covered Debt Amount, for more than 30 consecutive Business Days during any period when the Adjusted Covered Debt Balance is greater than 90% of the Adjusted Borrowing Base.</w:t>
      </w:r>
    </w:p>
    <w:p>
      <w:pPr>
        <w:spacing w:after="0" w:line="143"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(d) the transactions provided in the Affiliate Agreements, (e) transactions described on </w:t>
      </w:r>
      <w:r>
        <w:rPr>
          <w:rFonts w:ascii="Arial" w:cs="Arial" w:eastAsia="Arial" w:hAnsi="Arial"/>
          <w:sz w:val="16"/>
          <w:szCs w:val="16"/>
          <w:u w:val="single" w:color="auto"/>
          <w:color w:val="auto"/>
        </w:rPr>
        <w:t>Schedule 6.08</w:t>
      </w:r>
      <w:r>
        <w:rPr>
          <w:rFonts w:ascii="Arial" w:cs="Arial" w:eastAsia="Arial" w:hAnsi="Arial"/>
          <w:sz w:val="16"/>
          <w:szCs w:val="16"/>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not less favorable to the Obligors than could be obtained at the time on an arm’s-length basis from unrelated third parties.</w:t>
      </w:r>
    </w:p>
    <w:p>
      <w:pPr>
        <w:spacing w:after="0" w:line="118"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40" w:lineRule="exact"/>
        <w:rPr>
          <w:sz w:val="20"/>
          <w:szCs w:val="20"/>
          <w:color w:val="auto"/>
        </w:rPr>
      </w:pPr>
    </w:p>
    <w:p>
      <w:pPr>
        <w:ind w:right="320" w:firstLine="913"/>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No Further Negative Pledge</w:t>
      </w:r>
      <w:r>
        <w:rPr>
          <w:rFonts w:ascii="Arial" w:cs="Arial" w:eastAsia="Arial" w:hAnsi="Arial"/>
          <w:sz w:val="18"/>
          <w:szCs w:val="18"/>
          <w:color w:val="auto"/>
        </w:rPr>
        <w:t xml:space="preserve">. The Borrower will not, and will not permit any of the Subsidiary Guarantors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8"/>
          <w:szCs w:val="18"/>
          <w:u w:val="single" w:color="auto"/>
          <w:color w:val="auto"/>
        </w:rPr>
        <w:t>Section 6.01(b) or (i)</w:t>
      </w:r>
      <w:r>
        <w:rPr>
          <w:rFonts w:ascii="Arial" w:cs="Arial" w:eastAsia="Arial" w:hAnsi="Arial"/>
          <w:sz w:val="18"/>
          <w:szCs w:val="18"/>
          <w:color w:val="auto"/>
        </w:rPr>
        <w:t>; (b) covenants in</w:t>
      </w:r>
    </w:p>
    <w:p>
      <w:pPr>
        <w:spacing w:after="0" w:line="12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36" w:name="page437"/>
    <w:bookmarkEnd w:id="436"/>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documents creating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Modifications of Longer-Term Indebtedness Documents</w:t>
      </w:r>
      <w:r>
        <w:rPr>
          <w:rFonts w:ascii="Arial" w:cs="Arial" w:eastAsia="Arial" w:hAnsi="Arial"/>
          <w:sz w:val="16"/>
          <w:szCs w:val="16"/>
          <w:color w:val="auto"/>
        </w:rPr>
        <w:t>. The Borrower will not consent to any modification, supplement or waiver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ind w:right="40" w:firstLine="921"/>
        <w:spacing w:after="0" w:line="288" w:lineRule="auto"/>
        <w:tabs>
          <w:tab w:leader="none" w:pos="1152" w:val="left"/>
        </w:tabs>
        <w:numPr>
          <w:ilvl w:val="0"/>
          <w:numId w:val="486"/>
        </w:numPr>
        <w:rPr>
          <w:rFonts w:ascii="Arial" w:cs="Arial" w:eastAsia="Arial" w:hAnsi="Arial"/>
          <w:sz w:val="16"/>
          <w:szCs w:val="16"/>
          <w:color w:val="auto"/>
        </w:rPr>
      </w:pPr>
      <w:r>
        <w:rPr>
          <w:rFonts w:ascii="Arial" w:cs="Arial" w:eastAsia="Arial" w:hAnsi="Arial"/>
          <w:sz w:val="16"/>
          <w:szCs w:val="16"/>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Agreement, unless (i) in the case of Secured Longer 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19" w:lineRule="exact"/>
        <w:rPr>
          <w:rFonts w:ascii="Arial" w:cs="Arial" w:eastAsia="Arial" w:hAnsi="Arial"/>
          <w:sz w:val="16"/>
          <w:szCs w:val="16"/>
          <w:color w:val="auto"/>
        </w:rPr>
      </w:pPr>
    </w:p>
    <w:p>
      <w:pPr>
        <w:ind w:right="240" w:firstLine="921"/>
        <w:spacing w:after="0" w:line="259" w:lineRule="auto"/>
        <w:tabs>
          <w:tab w:leader="none" w:pos="116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4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Payments of Longer-Term Indebtedness</w:t>
      </w:r>
      <w:r>
        <w:rPr>
          <w:rFonts w:ascii="Arial" w:cs="Arial" w:eastAsia="Arial" w:hAnsi="Arial"/>
          <w:sz w:val="16"/>
          <w:szCs w:val="16"/>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or Unsecured Longer-Term Indebtedness (other than the refinancing of Secured Longer-Term Indebtedness or Unsecured Longer-Term Indebtedness with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except for (a) regularly scheduled payments, prepayments or redemptions of principal and interest in respect thereof required pursuant to the instruments evidencing such Indebtedness, (it being understood that none of: (w) the conversion features under convertible notes; (x) the triggering and/or settlement thereof; or (y) any cash</w:t>
      </w:r>
    </w:p>
    <w:p>
      <w:pPr>
        <w:spacing w:after="0" w:line="10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37" w:name="page438"/>
    <w:bookmarkEnd w:id="43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 made in respect thereof, shall constitute a “regularly scheduled payment, prepayment or redemption of principal and interest” within the meaning of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(b) so long as no Default shall exist or be continuing, any payment that, if treated as a Restricted Payment for purposes of </w:t>
      </w:r>
      <w:r>
        <w:rPr>
          <w:rFonts w:ascii="Arial" w:cs="Arial" w:eastAsia="Arial" w:hAnsi="Arial"/>
          <w:sz w:val="18"/>
          <w:szCs w:val="18"/>
          <w:u w:val="single" w:color="auto"/>
          <w:color w:val="auto"/>
        </w:rPr>
        <w:t>Section 6.05(d)</w:t>
      </w:r>
      <w:r>
        <w:rPr>
          <w:rFonts w:ascii="Arial" w:cs="Arial" w:eastAsia="Arial" w:hAnsi="Arial"/>
          <w:sz w:val="18"/>
          <w:szCs w:val="18"/>
          <w:color w:val="auto"/>
        </w:rPr>
        <w:t xml:space="preserve">, would be permitted to be made pursuant to the provisions set forth in </w:t>
      </w:r>
      <w:r>
        <w:rPr>
          <w:rFonts w:ascii="Arial" w:cs="Arial" w:eastAsia="Arial" w:hAnsi="Arial"/>
          <w:sz w:val="18"/>
          <w:szCs w:val="18"/>
          <w:u w:val="single" w:color="auto"/>
          <w:color w:val="auto"/>
        </w:rPr>
        <w:t>Section 6.05(d)</w:t>
      </w:r>
      <w:r>
        <w:rPr>
          <w:rFonts w:ascii="Arial" w:cs="Arial" w:eastAsia="Arial" w:hAnsi="Arial"/>
          <w:sz w:val="18"/>
          <w:szCs w:val="18"/>
          <w:color w:val="auto"/>
        </w:rPr>
        <w:t xml:space="preserve">; and (c) 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and (ii) no Default shall exist or be continuing.</w:t>
      </w:r>
    </w:p>
    <w:p>
      <w:pPr>
        <w:spacing w:after="0" w:line="143"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Accounting Changes</w:t>
      </w:r>
      <w:r>
        <w:rPr>
          <w:rFonts w:ascii="Arial" w:cs="Arial" w:eastAsia="Arial" w:hAnsi="Arial"/>
          <w:sz w:val="16"/>
          <w:szCs w:val="16"/>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85"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SBIC Guarantee</w:t>
      </w:r>
      <w:r>
        <w:rPr>
          <w:rFonts w:ascii="Arial" w:cs="Arial" w:eastAsia="Arial" w:hAnsi="Arial"/>
          <w:sz w:val="18"/>
          <w:szCs w:val="18"/>
          <w:color w:val="auto"/>
        </w:rPr>
        <w:t>. The Borrower will not, nor will it permit any of its Subsidiaries to, cause or permit the occurrence of any event or condition that would result in any recourse to any Obligor under any Permitted SBIC Guarantee.</w:t>
      </w:r>
    </w:p>
    <w:p>
      <w:pPr>
        <w:spacing w:after="0" w:line="29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u w:val="single" w:color="auto"/>
          <w:color w:val="auto"/>
        </w:rPr>
        <w:t>EVENTS OF DEFAULT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90" w:lineRule="exact"/>
        <w:rPr>
          <w:sz w:val="20"/>
          <w:szCs w:val="20"/>
          <w:color w:val="auto"/>
        </w:rPr>
      </w:pPr>
    </w:p>
    <w:p>
      <w:pPr>
        <w:ind w:right="120" w:firstLine="921"/>
        <w:spacing w:after="0" w:line="256" w:lineRule="auto"/>
        <w:tabs>
          <w:tab w:leader="none" w:pos="1152"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on the Extended Commitment Termination Date or as required by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on the date so required;</w:t>
      </w:r>
    </w:p>
    <w:p>
      <w:pPr>
        <w:spacing w:after="0" w:line="143" w:lineRule="exact"/>
        <w:rPr>
          <w:rFonts w:ascii="Arial" w:cs="Arial" w:eastAsia="Arial" w:hAnsi="Arial"/>
          <w:sz w:val="18"/>
          <w:szCs w:val="18"/>
          <w:color w:val="auto"/>
        </w:rPr>
      </w:pPr>
    </w:p>
    <w:p>
      <w:pPr>
        <w:ind w:right="200" w:firstLine="921"/>
        <w:spacing w:after="0" w:line="259" w:lineRule="auto"/>
        <w:tabs>
          <w:tab w:leader="none" w:pos="1162"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xml:space="preserve">the Borrower shall fail to pay any interest on any Loan or any fee or any other amount (other than an amount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40" w:lineRule="exact"/>
        <w:rPr>
          <w:rFonts w:ascii="Arial" w:cs="Arial" w:eastAsia="Arial" w:hAnsi="Arial"/>
          <w:sz w:val="18"/>
          <w:szCs w:val="18"/>
          <w:color w:val="auto"/>
        </w:rPr>
      </w:pPr>
    </w:p>
    <w:p>
      <w:pPr>
        <w:ind w:right="60" w:firstLine="921"/>
        <w:spacing w:after="0" w:line="256" w:lineRule="auto"/>
        <w:tabs>
          <w:tab w:leader="none" w:pos="1152"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43"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xml:space="preserve">the Borrower shall fail to observe or perform any covenant, condition or agreement contained in (i)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(with respect to the Borrower’s existence) or </w:t>
      </w:r>
      <w:r>
        <w:rPr>
          <w:rFonts w:ascii="Arial" w:cs="Arial" w:eastAsia="Arial" w:hAnsi="Arial"/>
          <w:sz w:val="18"/>
          <w:szCs w:val="18"/>
          <w:u w:val="single" w:color="auto"/>
          <w:color w:val="auto"/>
        </w:rPr>
        <w:t>Sections 5.08(a)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any Obligor shall default in the performance of any of its obligations contained in Sections 3 and 7 of the Guarantee and Security Agreement or</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38" w:name="page439"/>
    <w:bookmarkEnd w:id="438"/>
    <w:p>
      <w:pPr>
        <w:ind w:right="140" w:firstLine="8"/>
        <w:spacing w:after="0" w:line="268" w:lineRule="auto"/>
        <w:tabs>
          <w:tab w:leader="none" w:pos="258"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Sections 5.01(e)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5.02</w:t>
      </w:r>
      <w:r>
        <w:rPr>
          <w:rFonts w:ascii="Arial" w:cs="Arial" w:eastAsia="Arial" w:hAnsi="Arial"/>
          <w:sz w:val="18"/>
          <w:szCs w:val="18"/>
          <w:color w:val="auto"/>
        </w:rPr>
        <w:t xml:space="preserve"> and such failure shall continue unremedied for a period of five or more days after notice thereof by the Administrative Agent (given at the request of any Lender) to the Borrower;</w:t>
      </w:r>
    </w:p>
    <w:p>
      <w:pPr>
        <w:spacing w:after="0" w:line="131" w:lineRule="exact"/>
        <w:rPr>
          <w:rFonts w:ascii="Arial" w:cs="Arial" w:eastAsia="Arial" w:hAnsi="Arial"/>
          <w:sz w:val="18"/>
          <w:szCs w:val="18"/>
          <w:color w:val="auto"/>
        </w:rPr>
      </w:pPr>
    </w:p>
    <w:p>
      <w:pPr>
        <w:ind w:right="20" w:firstLine="921"/>
        <w:spacing w:after="0" w:line="294" w:lineRule="auto"/>
        <w:tabs>
          <w:tab w:leader="none" w:pos="1152" w:val="left"/>
        </w:tabs>
        <w:numPr>
          <w:ilvl w:val="1"/>
          <w:numId w:val="488"/>
        </w:numPr>
        <w:rPr>
          <w:rFonts w:ascii="Arial" w:cs="Arial" w:eastAsia="Arial" w:hAnsi="Arial"/>
          <w:sz w:val="16"/>
          <w:szCs w:val="16"/>
          <w:color w:val="auto"/>
        </w:rPr>
      </w:pPr>
      <w:r>
        <w:rPr>
          <w:rFonts w:ascii="Arial" w:cs="Arial" w:eastAsia="Arial" w:hAnsi="Arial"/>
          <w:sz w:val="16"/>
          <w:szCs w:val="16"/>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6"/>
          <w:szCs w:val="16"/>
          <w:u w:val="single" w:color="auto"/>
          <w:color w:val="auto"/>
        </w:rPr>
        <w:t>Section 5.01(e)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15" w:lineRule="exact"/>
        <w:rPr>
          <w:rFonts w:ascii="Arial" w:cs="Arial" w:eastAsia="Arial" w:hAnsi="Arial"/>
          <w:sz w:val="16"/>
          <w:szCs w:val="16"/>
          <w:color w:val="auto"/>
        </w:rPr>
      </w:pPr>
    </w:p>
    <w:p>
      <w:pPr>
        <w:ind w:right="100" w:firstLine="921"/>
        <w:spacing w:after="0" w:line="306" w:lineRule="auto"/>
        <w:tabs>
          <w:tab w:leader="none" w:pos="1132" w:val="left"/>
        </w:tabs>
        <w:numPr>
          <w:ilvl w:val="1"/>
          <w:numId w:val="488"/>
        </w:numPr>
        <w:rPr>
          <w:rFonts w:ascii="Arial" w:cs="Arial" w:eastAsia="Arial" w:hAnsi="Arial"/>
          <w:sz w:val="16"/>
          <w:szCs w:val="16"/>
          <w:color w:val="auto"/>
        </w:rPr>
      </w:pPr>
      <w:r>
        <w:rPr>
          <w:rFonts w:ascii="Arial" w:cs="Arial" w:eastAsia="Arial" w:hAnsi="Arial"/>
          <w:sz w:val="16"/>
          <w:szCs w:val="16"/>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w:t>
      </w:r>
      <w:r>
        <w:rPr>
          <w:rFonts w:ascii="Arial" w:cs="Arial" w:eastAsia="Arial" w:hAnsi="Arial"/>
          <w:sz w:val="16"/>
          <w:szCs w:val="16"/>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06" w:lineRule="exact"/>
        <w:rPr>
          <w:rFonts w:ascii="Arial" w:cs="Arial" w:eastAsia="Arial" w:hAnsi="Arial"/>
          <w:sz w:val="16"/>
          <w:szCs w:val="16"/>
          <w:color w:val="auto"/>
        </w:rPr>
      </w:pPr>
    </w:p>
    <w:p>
      <w:pPr>
        <w:ind w:right="260" w:firstLine="921"/>
        <w:spacing w:after="0" w:line="332" w:lineRule="auto"/>
        <w:tabs>
          <w:tab w:leader="none" w:pos="1162" w:val="left"/>
        </w:tabs>
        <w:numPr>
          <w:ilvl w:val="1"/>
          <w:numId w:val="488"/>
        </w:numPr>
        <w:rPr>
          <w:rFonts w:ascii="Arial" w:cs="Arial" w:eastAsia="Arial" w:hAnsi="Arial"/>
          <w:sz w:val="16"/>
          <w:szCs w:val="16"/>
          <w:color w:val="auto"/>
        </w:rPr>
      </w:pPr>
      <w:r>
        <w:rPr>
          <w:rFonts w:ascii="Arial" w:cs="Arial" w:eastAsia="Arial" w:hAnsi="Arial"/>
          <w:sz w:val="16"/>
          <w:szCs w:val="16"/>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85" w:lineRule="exact"/>
        <w:rPr>
          <w:rFonts w:ascii="Arial" w:cs="Arial" w:eastAsia="Arial" w:hAnsi="Arial"/>
          <w:sz w:val="16"/>
          <w:szCs w:val="16"/>
          <w:color w:val="auto"/>
        </w:rPr>
      </w:pPr>
    </w:p>
    <w:p>
      <w:pPr>
        <w:ind w:firstLine="921"/>
        <w:spacing w:after="0" w:line="291" w:lineRule="auto"/>
        <w:tabs>
          <w:tab w:leader="none" w:pos="1162" w:val="left"/>
        </w:tabs>
        <w:numPr>
          <w:ilvl w:val="1"/>
          <w:numId w:val="488"/>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20" w:lineRule="exact"/>
        <w:rPr>
          <w:rFonts w:ascii="Arial" w:cs="Arial" w:eastAsia="Arial" w:hAnsi="Arial"/>
          <w:sz w:val="16"/>
          <w:szCs w:val="16"/>
          <w:color w:val="auto"/>
        </w:rPr>
      </w:pPr>
    </w:p>
    <w:p>
      <w:pPr>
        <w:ind w:right="20" w:firstLine="921"/>
        <w:spacing w:after="0" w:line="254" w:lineRule="auto"/>
        <w:tabs>
          <w:tab w:leader="none" w:pos="1123"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44" w:lineRule="exact"/>
        <w:rPr>
          <w:rFonts w:ascii="Arial" w:cs="Arial" w:eastAsia="Arial" w:hAnsi="Arial"/>
          <w:sz w:val="18"/>
          <w:szCs w:val="18"/>
          <w:color w:val="auto"/>
        </w:rPr>
      </w:pPr>
    </w:p>
    <w:p>
      <w:pPr>
        <w:ind w:left="1140" w:hanging="219"/>
        <w:spacing w:after="0"/>
        <w:tabs>
          <w:tab w:leader="none" w:pos="1140" w:val="left"/>
        </w:tabs>
        <w:numPr>
          <w:ilvl w:val="1"/>
          <w:numId w:val="488"/>
        </w:numPr>
        <w:rPr>
          <w:rFonts w:ascii="Arial" w:cs="Arial" w:eastAsia="Arial" w:hAnsi="Arial"/>
          <w:sz w:val="16"/>
          <w:szCs w:val="16"/>
          <w:color w:val="auto"/>
        </w:rPr>
      </w:pPr>
      <w:r>
        <w:rPr>
          <w:rFonts w:ascii="Arial" w:cs="Arial" w:eastAsia="Arial" w:hAnsi="Arial"/>
          <w:sz w:val="16"/>
          <w:szCs w:val="16"/>
          <w:color w:val="auto"/>
        </w:rPr>
        <w:t>the Borrower or any of its Subsidiaries (other than Immaterial Subsidiaries) shall (i) voluntarily commence any proceeding or file any petition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seeking</w:t>
      </w:r>
    </w:p>
    <w:p>
      <w:pPr>
        <w:spacing w:after="0" w:line="151"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39" w:name="page440"/>
    <w:bookmarkEnd w:id="4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liquidation, reorganization or other relief under any Federal, state or foreign bankruptcy, insolvency, receivership or similar law now or hereafter in effect,</w:t>
      </w:r>
    </w:p>
    <w:p>
      <w:pPr>
        <w:spacing w:after="0" w:line="38" w:lineRule="exact"/>
        <w:rPr>
          <w:sz w:val="20"/>
          <w:szCs w:val="20"/>
          <w:color w:val="auto"/>
        </w:rPr>
      </w:pPr>
    </w:p>
    <w:p>
      <w:pPr>
        <w:ind w:right="180" w:firstLine="8"/>
        <w:spacing w:after="0" w:line="295" w:lineRule="auto"/>
        <w:tabs>
          <w:tab w:leader="none" w:pos="258" w:val="left"/>
        </w:tabs>
        <w:numPr>
          <w:ilvl w:val="0"/>
          <w:numId w:val="489"/>
        </w:numPr>
        <w:rPr>
          <w:rFonts w:ascii="Arial" w:cs="Arial" w:eastAsia="Arial" w:hAnsi="Arial"/>
          <w:sz w:val="16"/>
          <w:szCs w:val="16"/>
          <w:color w:val="auto"/>
        </w:rPr>
      </w:pPr>
      <w:r>
        <w:rPr>
          <w:rFonts w:ascii="Arial" w:cs="Arial" w:eastAsia="Arial" w:hAnsi="Arial"/>
          <w:sz w:val="16"/>
          <w:szCs w:val="16"/>
          <w:color w:val="auto"/>
        </w:rPr>
        <w:t xml:space="preserve">consent to the institution of, or fail to contest in a timely and appropriate manner, any proceeding or petition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15" w:lineRule="exact"/>
        <w:rPr>
          <w:rFonts w:ascii="Arial" w:cs="Arial" w:eastAsia="Arial" w:hAnsi="Arial"/>
          <w:sz w:val="16"/>
          <w:szCs w:val="16"/>
          <w:color w:val="auto"/>
        </w:rPr>
      </w:pPr>
    </w:p>
    <w:p>
      <w:pPr>
        <w:ind w:right="60" w:firstLine="921"/>
        <w:spacing w:after="0" w:line="268" w:lineRule="auto"/>
        <w:tabs>
          <w:tab w:leader="none" w:pos="1162"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Borrower or any of its Subsidiaries (other than Immaterial Subsidiaries) shall become unable, admit in writing its inability or fail generally to pay its debts as they become due;</w:t>
      </w:r>
    </w:p>
    <w:p>
      <w:pPr>
        <w:spacing w:after="0" w:line="131" w:lineRule="exact"/>
        <w:rPr>
          <w:rFonts w:ascii="Arial" w:cs="Arial" w:eastAsia="Arial" w:hAnsi="Arial"/>
          <w:sz w:val="18"/>
          <w:szCs w:val="18"/>
          <w:color w:val="auto"/>
        </w:rPr>
      </w:pPr>
    </w:p>
    <w:p>
      <w:pPr>
        <w:ind w:right="60" w:firstLine="921"/>
        <w:spacing w:after="0" w:line="256" w:lineRule="auto"/>
        <w:tabs>
          <w:tab w:leader="none" w:pos="1123" w:val="left"/>
        </w:tabs>
        <w:numPr>
          <w:ilvl w:val="1"/>
          <w:numId w:val="489"/>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$25,000,000 shall be rendered against the Borrower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43" w:lineRule="exact"/>
        <w:rPr>
          <w:rFonts w:ascii="Arial" w:cs="Arial" w:eastAsia="Arial" w:hAnsi="Arial"/>
          <w:sz w:val="18"/>
          <w:szCs w:val="18"/>
          <w:color w:val="auto"/>
        </w:rPr>
      </w:pPr>
    </w:p>
    <w:p>
      <w:pPr>
        <w:ind w:right="260" w:firstLine="921"/>
        <w:spacing w:after="0" w:line="268" w:lineRule="auto"/>
        <w:tabs>
          <w:tab w:leader="none" w:pos="121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Borrower shall cease to be managed by the External Manager or an Affiliate thereof;</w:t>
      </w:r>
    </w:p>
    <w:p>
      <w:pPr>
        <w:spacing w:after="0" w:line="171" w:lineRule="exact"/>
        <w:rPr>
          <w:rFonts w:ascii="Arial" w:cs="Arial" w:eastAsia="Arial" w:hAnsi="Arial"/>
          <w:sz w:val="18"/>
          <w:szCs w:val="18"/>
          <w:color w:val="auto"/>
        </w:rPr>
      </w:pPr>
    </w:p>
    <w:p>
      <w:pPr>
        <w:ind w:right="140" w:firstLine="921"/>
        <w:spacing w:after="0" w:line="323" w:lineRule="auto"/>
        <w:tabs>
          <w:tab w:leader="none" w:pos="1162" w:val="left"/>
        </w:tabs>
        <w:numPr>
          <w:ilvl w:val="1"/>
          <w:numId w:val="489"/>
        </w:numPr>
        <w:rPr>
          <w:rFonts w:ascii="Arial" w:cs="Arial" w:eastAsia="Arial" w:hAnsi="Arial"/>
          <w:sz w:val="15"/>
          <w:szCs w:val="15"/>
          <w:color w:val="auto"/>
        </w:rPr>
      </w:pPr>
      <w:r>
        <w:rPr>
          <w:rFonts w:ascii="Arial" w:cs="Arial" w:eastAsia="Arial" w:hAnsi="Arial"/>
          <w:sz w:val="15"/>
          <w:szCs w:val="15"/>
          <w:color w:val="auto"/>
        </w:rPr>
        <w:t>if, prior to the Extended Final Maturity Date, both of the principals of the External Manager (who initially will be Alan Waxman and Joshua Easterly) fail to remain actively involved in the investment activities of the Borrower and the other investment vehicles managed by TPG Capital,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97" w:lineRule="exact"/>
        <w:rPr>
          <w:rFonts w:ascii="Arial" w:cs="Arial" w:eastAsia="Arial" w:hAnsi="Arial"/>
          <w:sz w:val="15"/>
          <w:szCs w:val="15"/>
          <w:color w:val="auto"/>
        </w:rPr>
      </w:pPr>
    </w:p>
    <w:p>
      <w:pPr>
        <w:ind w:right="80" w:firstLine="921"/>
        <w:spacing w:after="0" w:line="294" w:lineRule="auto"/>
        <w:tabs>
          <w:tab w:leader="none" w:pos="1162" w:val="left"/>
        </w:tabs>
        <w:numPr>
          <w:ilvl w:val="1"/>
          <w:numId w:val="489"/>
        </w:numPr>
        <w:rPr>
          <w:rFonts w:ascii="Arial" w:cs="Arial" w:eastAsia="Arial" w:hAnsi="Arial"/>
          <w:sz w:val="16"/>
          <w:szCs w:val="16"/>
          <w:color w:val="auto"/>
        </w:rPr>
      </w:pPr>
      <w:r>
        <w:rPr>
          <w:rFonts w:ascii="Arial" w:cs="Arial" w:eastAsia="Arial" w:hAnsi="Arial"/>
          <w:sz w:val="16"/>
          <w:szCs w:val="16"/>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02"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40" w:name="page441"/>
    <w:bookmarkEnd w:id="440"/>
    <w:p>
      <w:pPr>
        <w:ind w:right="80" w:firstLine="921"/>
        <w:spacing w:after="0" w:line="268" w:lineRule="auto"/>
        <w:tabs>
          <w:tab w:leader="none" w:pos="1132" w:val="left"/>
        </w:tabs>
        <w:numPr>
          <w:ilvl w:val="0"/>
          <w:numId w:val="4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31" w:lineRule="exact"/>
        <w:rPr>
          <w:rFonts w:ascii="Arial" w:cs="Arial" w:eastAsia="Arial" w:hAnsi="Arial"/>
          <w:sz w:val="18"/>
          <w:szCs w:val="18"/>
          <w:color w:val="auto"/>
        </w:rPr>
      </w:pPr>
    </w:p>
    <w:p>
      <w:pPr>
        <w:ind w:right="140" w:firstLine="921"/>
        <w:spacing w:after="0" w:line="259" w:lineRule="auto"/>
        <w:tabs>
          <w:tab w:leader="none" w:pos="1142"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the Obligors shall at any time, without the consent of the Required Lenders fail to comply with the covenant contained in </w:t>
      </w:r>
      <w:r>
        <w:rPr>
          <w:rFonts w:ascii="Arial" w:cs="Arial" w:eastAsia="Arial" w:hAnsi="Arial"/>
          <w:sz w:val="18"/>
          <w:szCs w:val="18"/>
          <w:u w:val="single" w:color="auto"/>
          <w:color w:val="auto"/>
        </w:rPr>
        <w:t>Section 5.11</w:t>
      </w:r>
      <w:r>
        <w:rPr>
          <w:rFonts w:ascii="Arial" w:cs="Arial" w:eastAsia="Arial" w:hAnsi="Arial"/>
          <w:sz w:val="18"/>
          <w:szCs w:val="18"/>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40" w:lineRule="exact"/>
        <w:rPr>
          <w:rFonts w:ascii="Arial" w:cs="Arial" w:eastAsia="Arial" w:hAnsi="Arial"/>
          <w:sz w:val="18"/>
          <w:szCs w:val="18"/>
          <w:color w:val="auto"/>
        </w:rPr>
      </w:pPr>
    </w:p>
    <w:p>
      <w:pPr>
        <w:ind w:right="360" w:firstLine="921"/>
        <w:spacing w:after="0" w:line="268" w:lineRule="auto"/>
        <w:tabs>
          <w:tab w:leader="none" w:pos="112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Borrower or any of its Subsidiaries shall cause or permit the occurrence of any condition or event that would result in any recourse to any Obligor under any Permitted SBIC Guarantee;</w:t>
      </w:r>
    </w:p>
    <w:p>
      <w:pPr>
        <w:spacing w:after="0" w:line="132"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 xml:space="preserve">then, and in every such event (other than an event with respect to the Borrower described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(j)</w:t>
      </w:r>
      <w:r>
        <w:rPr>
          <w:rFonts w:ascii="Arial" w:cs="Arial" w:eastAsia="Arial" w:hAnsi="Arial"/>
          <w:sz w:val="15"/>
          <w:szCs w:val="15"/>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5"/>
          <w:szCs w:val="15"/>
          <w:u w:val="single" w:color="auto"/>
          <w:color w:val="auto"/>
        </w:rPr>
        <w:t>clause</w:t>
      </w:r>
    </w:p>
    <w:p>
      <w:pPr>
        <w:spacing w:after="0" w:line="5" w:lineRule="exact"/>
        <w:rPr>
          <w:sz w:val="20"/>
          <w:szCs w:val="20"/>
          <w:color w:val="auto"/>
        </w:rPr>
      </w:pPr>
    </w:p>
    <w:p>
      <w:pPr>
        <w:ind w:right="20" w:firstLine="8"/>
        <w:spacing w:after="0" w:line="255" w:lineRule="auto"/>
        <w:tabs>
          <w:tab w:leader="none" w:pos="210" w:val="left"/>
        </w:tabs>
        <w:numPr>
          <w:ilvl w:val="0"/>
          <w:numId w:val="491"/>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44"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this Article.</w:t>
      </w:r>
    </w:p>
    <w:p>
      <w:pPr>
        <w:spacing w:after="0" w:line="120" w:lineRule="exact"/>
        <w:rPr>
          <w:sz w:val="20"/>
          <w:szCs w:val="20"/>
          <w:color w:val="auto"/>
        </w:rPr>
      </w:pPr>
    </w:p>
    <w:p>
      <w:pPr>
        <w:ind w:right="560" w:firstLine="913"/>
        <w:spacing w:after="0" w:line="332" w:lineRule="auto"/>
        <w:rPr>
          <w:sz w:val="20"/>
          <w:szCs w:val="20"/>
          <w:color w:val="auto"/>
        </w:rPr>
      </w:pPr>
      <w:r>
        <w:rPr>
          <w:rFonts w:ascii="Arial" w:cs="Arial" w:eastAsia="Arial" w:hAnsi="Arial"/>
          <w:sz w:val="16"/>
          <w:szCs w:val="16"/>
          <w:color w:val="auto"/>
        </w:rPr>
        <w:t>Notwithstanding anything to the contrary contained herein, on the CAM Exchange Date, to the extent not otherwise prohibited by law, (a) the Lenders shall automatically and without further act be deemed to have exchanged interests in the Designated Obligations</w:t>
      </w:r>
    </w:p>
    <w:p>
      <w:pPr>
        <w:spacing w:after="0" w:line="72"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41" w:name="page442"/>
    <w:bookmarkEnd w:id="44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171" w:lineRule="exact"/>
        <w:rPr>
          <w:sz w:val="20"/>
          <w:szCs w:val="20"/>
          <w:color w:val="auto"/>
        </w:rPr>
      </w:pPr>
    </w:p>
    <w:p>
      <w:pPr>
        <w:jc w:val="both"/>
        <w:ind w:firstLine="913"/>
        <w:spacing w:after="0" w:line="303"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u w:val="single" w:color="auto"/>
          <w:color w:val="auto"/>
        </w:rPr>
        <w:t>Appointment of the Administrative Agent</w:t>
      </w:r>
      <w:r>
        <w:rPr>
          <w:rFonts w:ascii="Arial" w:cs="Arial" w:eastAsia="Arial" w:hAnsi="Arial"/>
          <w:sz w:val="15"/>
          <w:szCs w:val="15"/>
          <w:color w:val="auto"/>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Each of the Lenders and the Issuing Bank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4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Capacity as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30"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42" w:name="page443"/>
    <w:bookmarkEnd w:id="442"/>
    <w:p>
      <w:pPr>
        <w:ind w:right="4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8.03. </w:t>
      </w:r>
      <w:r>
        <w:rPr>
          <w:rFonts w:ascii="Arial" w:cs="Arial" w:eastAsia="Arial" w:hAnsi="Arial"/>
          <w:sz w:val="16"/>
          <w:szCs w:val="16"/>
          <w:u w:val="single" w:color="auto"/>
          <w:color w:val="auto"/>
        </w:rPr>
        <w:t>Limitation of Duties; Exculpation</w:t>
      </w:r>
      <w:r>
        <w:rPr>
          <w:rFonts w:ascii="Arial" w:cs="Arial" w:eastAsia="Arial" w:hAnsi="Arial"/>
          <w:sz w:val="16"/>
          <w:szCs w:val="16"/>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or therein, other than to confirm receipt of items expressly required to be delivered to the Administrative Agent.</w:t>
      </w:r>
    </w:p>
    <w:p>
      <w:pPr>
        <w:spacing w:after="0" w:line="126"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Reliance</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0"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Sub-Agents</w:t>
      </w:r>
      <w:r>
        <w:rPr>
          <w:rFonts w:ascii="Arial" w:cs="Arial" w:eastAsia="Arial" w:hAnsi="Arial"/>
          <w:sz w:val="16"/>
          <w:szCs w:val="16"/>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w:t>
      </w:r>
    </w:p>
    <w:p>
      <w:pPr>
        <w:spacing w:after="0" w:line="107"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43" w:name="page444"/>
    <w:bookmarkEnd w:id="4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acted with fraud, gross negligence or willful misconduct in the selection of such sub-agents.</w:t>
      </w:r>
    </w:p>
    <w:p>
      <w:pPr>
        <w:spacing w:after="0" w:line="171"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Resignation; Successor Administrative Agent</w:t>
      </w:r>
      <w:r>
        <w:rPr>
          <w:rFonts w:ascii="Arial" w:cs="Arial" w:eastAsia="Arial" w:hAnsi="Arial"/>
          <w:sz w:val="16"/>
          <w:szCs w:val="16"/>
          <w:color w:val="auto"/>
        </w:rPr>
        <w:t xml:space="preserve">. The Administrative Agent may resign at any 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its benefit in respect of any actions taken or omitted to be taken by it while it was acting as Administrative Agent.</w:t>
      </w:r>
    </w:p>
    <w:p>
      <w:pPr>
        <w:spacing w:after="0" w:line="12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Any resignation by SunTrust as Administrative Agent pursuant to this Section shall also constitute its resignation as Issuing Bank and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20"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Reliance by Lenders</w:t>
      </w:r>
      <w:r>
        <w:rPr>
          <w:rFonts w:ascii="Arial" w:cs="Arial" w:eastAsia="Arial" w:hAnsi="Arial"/>
          <w:sz w:val="16"/>
          <w:szCs w:val="16"/>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w:t>
      </w:r>
    </w:p>
    <w:p>
      <w:pPr>
        <w:spacing w:after="0" w:line="107"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44" w:name="page445"/>
    <w:bookmarkEnd w:id="44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40" w:lineRule="exact"/>
        <w:rPr>
          <w:sz w:val="20"/>
          <w:szCs w:val="20"/>
          <w:color w:val="auto"/>
        </w:rPr>
      </w:pPr>
    </w:p>
    <w:p>
      <w:pPr>
        <w:ind w:right="180" w:firstLine="913"/>
        <w:spacing w:after="0" w:line="289"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Modifications to Loan Documents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 Electronic Communications</w:t>
      </w:r>
      <w:r>
        <w:rPr>
          <w:rFonts w:ascii="Arial" w:cs="Arial" w:eastAsia="Arial" w:hAnsi="Arial"/>
          <w:sz w:val="18"/>
          <w:szCs w:val="18"/>
          <w:color w:val="auto"/>
        </w:rPr>
        <w:t>.</w:t>
      </w:r>
    </w:p>
    <w:p>
      <w:pPr>
        <w:spacing w:after="0" w:line="90" w:lineRule="exact"/>
        <w:rPr>
          <w:sz w:val="20"/>
          <w:szCs w:val="20"/>
          <w:color w:val="auto"/>
        </w:rPr>
      </w:pPr>
    </w:p>
    <w:p>
      <w:pPr>
        <w:ind w:right="140" w:firstLine="921"/>
        <w:spacing w:after="0" w:line="259" w:lineRule="auto"/>
        <w:tabs>
          <w:tab w:leader="none" w:pos="1152"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if to the Borrower, to it at:</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888 Seventh Avenue, 35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Alan Kirshenbaum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Telecopy Number: (212) 430-7509</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(212) 430-4109</w:t>
      </w:r>
    </w:p>
    <w:p>
      <w:pPr>
        <w:spacing w:after="0" w:line="151"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45" w:name="page446"/>
    <w:bookmarkEnd w:id="445"/>
    <w:p>
      <w:pPr>
        <w:ind w:left="1480" w:hanging="567"/>
        <w:spacing w:after="0"/>
        <w:tabs>
          <w:tab w:leader="none" w:pos="14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Administrative Agent or Swingline Lender, to it at:</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3333 Peachtree Road, 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Doug Kennedy</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Telecopy Number: (404) 739-7390</w:t>
      </w:r>
    </w:p>
    <w:p>
      <w:pPr>
        <w:spacing w:after="0" w:line="8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Agency Services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Telecopy Number: (404) 658-4906</w:t>
      </w:r>
    </w:p>
    <w:p>
      <w:pPr>
        <w:spacing w:after="0" w:line="84" w:lineRule="exact"/>
        <w:rPr>
          <w:sz w:val="20"/>
          <w:szCs w:val="20"/>
          <w:color w:val="auto"/>
        </w:rPr>
      </w:pPr>
    </w:p>
    <w:p>
      <w:pPr>
        <w:ind w:left="1480" w:hanging="567"/>
        <w:spacing w:after="0"/>
        <w:tabs>
          <w:tab w:leader="none" w:pos="14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if to the Issuing Bank, to it at:</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Telecopy Number: (404) 658-4906</w:t>
      </w:r>
    </w:p>
    <w:p>
      <w:pPr>
        <w:spacing w:after="0" w:line="84" w:lineRule="exact"/>
        <w:rPr>
          <w:sz w:val="20"/>
          <w:szCs w:val="20"/>
          <w:color w:val="auto"/>
        </w:rPr>
      </w:pPr>
    </w:p>
    <w:p>
      <w:pPr>
        <w:ind w:left="1480" w:hanging="567"/>
        <w:spacing w:after="0"/>
        <w:tabs>
          <w:tab w:leader="none" w:pos="14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171"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43" w:lineRule="exact"/>
        <w:rPr>
          <w:sz w:val="20"/>
          <w:szCs w:val="20"/>
          <w:color w:val="auto"/>
        </w:rPr>
      </w:pPr>
    </w:p>
    <w:p>
      <w:pPr>
        <w:ind w:right="40" w:firstLine="921"/>
        <w:spacing w:after="0" w:line="291" w:lineRule="auto"/>
        <w:tabs>
          <w:tab w:leader="none" w:pos="1161" w:val="left"/>
        </w:tabs>
        <w:numPr>
          <w:ilvl w:val="0"/>
          <w:numId w:val="497"/>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Issuing Bank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20" w:lineRule="exact"/>
        <w:rPr>
          <w:sz w:val="20"/>
          <w:szCs w:val="20"/>
          <w:color w:val="auto"/>
        </w:rPr>
      </w:pPr>
    </w:p>
    <w:p>
      <w:pPr>
        <w:ind w:right="80" w:firstLine="921"/>
        <w:spacing w:after="0" w:line="268" w:lineRule="auto"/>
        <w:tabs>
          <w:tab w:leader="none" w:pos="1123" w:val="left"/>
        </w:tabs>
        <w:numPr>
          <w:ilvl w:val="0"/>
          <w:numId w:val="498"/>
        </w:numPr>
        <w:rPr>
          <w:rFonts w:ascii="Arial" w:cs="Arial" w:eastAsia="Arial" w:hAnsi="Arial"/>
          <w:sz w:val="18"/>
          <w:szCs w:val="18"/>
          <w:color w:val="auto"/>
        </w:rPr>
      </w:pPr>
      <w:r>
        <w:rPr>
          <w:rFonts w:ascii="Arial" w:cs="Arial" w:eastAsia="Arial" w:hAnsi="Arial"/>
          <w:sz w:val="18"/>
          <w:szCs w:val="18"/>
          <w:color w:val="auto"/>
        </w:rPr>
        <w:t>Notices and other communications sent to an e-mail address shall be deemed received upon the sender’s receipt of an acknowledgement from the intended recipient (such as</w:t>
      </w:r>
    </w:p>
    <w:p>
      <w:pPr>
        <w:spacing w:after="0" w:line="118"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46" w:name="page447"/>
    <w:bookmarkEnd w:id="44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w:t>
      </w:r>
    </w:p>
    <w:p>
      <w:pPr>
        <w:spacing w:after="0" w:line="14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20" w:lineRule="exact"/>
        <w:rPr>
          <w:sz w:val="20"/>
          <w:szCs w:val="20"/>
          <w:color w:val="auto"/>
        </w:rPr>
      </w:pPr>
    </w:p>
    <w:p>
      <w:pPr>
        <w:ind w:right="60" w:firstLine="921"/>
        <w:spacing w:after="0" w:line="289" w:lineRule="auto"/>
        <w:tabs>
          <w:tab w:leader="none" w:pos="1152" w:val="left"/>
        </w:tabs>
        <w:numPr>
          <w:ilvl w:val="0"/>
          <w:numId w:val="499"/>
        </w:numPr>
        <w:rPr>
          <w:rFonts w:ascii="Arial" w:cs="Arial" w:eastAsia="Arial" w:hAnsi="Arial"/>
          <w:sz w:val="16"/>
          <w:szCs w:val="16"/>
          <w:color w:val="auto"/>
        </w:rPr>
      </w:pPr>
      <w:r>
        <w:rPr>
          <w:rFonts w:ascii="Arial" w:cs="Arial" w:eastAsia="Arial" w:hAnsi="Arial"/>
          <w:sz w:val="16"/>
          <w:szCs w:val="16"/>
          <w:u w:val="single" w:color="auto"/>
          <w:color w:val="auto"/>
        </w:rPr>
        <w:t>Private Side Information Contacts</w:t>
      </w:r>
      <w:r>
        <w:rPr>
          <w:rFonts w:ascii="Arial" w:cs="Arial" w:eastAsia="Arial" w:hAnsi="Arial"/>
          <w:sz w:val="16"/>
          <w:szCs w:val="16"/>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18" w:lineRule="exact"/>
        <w:rPr>
          <w:rFonts w:ascii="Arial" w:cs="Arial" w:eastAsia="Arial" w:hAnsi="Arial"/>
          <w:sz w:val="16"/>
          <w:szCs w:val="16"/>
          <w:color w:val="auto"/>
        </w:rPr>
      </w:pPr>
    </w:p>
    <w:p>
      <w:pPr>
        <w:ind w:right="180" w:firstLine="921"/>
        <w:spacing w:after="0" w:line="256" w:lineRule="auto"/>
        <w:tabs>
          <w:tab w:leader="none" w:pos="1161"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t>Documents to be Delivered under Sections 5.01 and 5.12(a)</w:t>
      </w:r>
      <w:r>
        <w:rPr>
          <w:rFonts w:ascii="Arial" w:cs="Arial" w:eastAsia="Arial" w:hAnsi="Arial"/>
          <w:sz w:val="18"/>
          <w:szCs w:val="18"/>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5.12(a)</w:t>
      </w:r>
      <w:r>
        <w:rPr>
          <w:rFonts w:ascii="Arial" w:cs="Arial" w:eastAsia="Arial" w:hAnsi="Arial"/>
          <w:sz w:val="18"/>
          <w:szCs w:val="18"/>
          <w:color w:val="auto"/>
        </w:rPr>
        <w:t xml:space="preserve"> by delivering one hard copy thereof to the Administrative Agent and either an electronic copy or a notice identifying the website where such information is located for posting by the Administrative Agent on Intralinks™ or such</w:t>
      </w:r>
    </w:p>
    <w:p>
      <w:pPr>
        <w:spacing w:after="0" w:line="130"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47" w:name="page448"/>
    <w:bookmarkEnd w:id="4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equivalent website;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have no responsibility to maintain access to Intralinks™ or an equivalent website.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8" w:lineRule="auto"/>
        <w:tabs>
          <w:tab w:leader="none" w:pos="1152" w:val="left"/>
        </w:tabs>
        <w:numPr>
          <w:ilvl w:val="1"/>
          <w:numId w:val="500"/>
        </w:numPr>
        <w:rPr>
          <w:rFonts w:ascii="Arial" w:cs="Arial" w:eastAsia="Arial" w:hAnsi="Arial"/>
          <w:sz w:val="16"/>
          <w:szCs w:val="16"/>
          <w:color w:val="auto"/>
        </w:rPr>
      </w:pPr>
      <w:r>
        <w:rPr>
          <w:rFonts w:ascii="Arial" w:cs="Arial" w:eastAsia="Arial" w:hAnsi="Arial"/>
          <w:sz w:val="16"/>
          <w:szCs w:val="16"/>
          <w:u w:val="single" w:color="auto"/>
          <w:color w:val="auto"/>
        </w:rPr>
        <w:t>No Deemed Waivers Remedies Cumulative</w:t>
      </w:r>
      <w:r>
        <w:rPr>
          <w:rFonts w:ascii="Arial" w:cs="Arial" w:eastAsia="Arial" w:hAnsi="Arial"/>
          <w:sz w:val="16"/>
          <w:szCs w:val="16"/>
          <w:color w:val="auto"/>
        </w:rPr>
        <w:t xml:space="preserve">. No failure or delay by the Administrative Agent the Issuing Bank, the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the Swingline Lender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the Swingline Lender, any Lender or the Issuing Bank may have had notice or knowledge of such Default at the time.</w:t>
      </w:r>
    </w:p>
    <w:p>
      <w:pPr>
        <w:spacing w:after="0" w:line="119" w:lineRule="exact"/>
        <w:rPr>
          <w:rFonts w:ascii="Arial" w:cs="Arial" w:eastAsia="Arial" w:hAnsi="Arial"/>
          <w:sz w:val="16"/>
          <w:szCs w:val="16"/>
          <w:color w:val="auto"/>
        </w:rPr>
      </w:pPr>
    </w:p>
    <w:p>
      <w:pPr>
        <w:ind w:right="100" w:firstLine="921"/>
        <w:spacing w:after="0" w:line="259" w:lineRule="auto"/>
        <w:tabs>
          <w:tab w:leader="none" w:pos="1161" w:val="left"/>
        </w:tabs>
        <w:numPr>
          <w:ilvl w:val="1"/>
          <w:numId w:val="500"/>
        </w:numPr>
        <w:rPr>
          <w:rFonts w:ascii="Arial" w:cs="Arial" w:eastAsia="Arial" w:hAnsi="Arial"/>
          <w:sz w:val="18"/>
          <w:szCs w:val="18"/>
          <w:color w:val="auto"/>
        </w:rPr>
      </w:pPr>
      <w:r>
        <w:rPr>
          <w:rFonts w:ascii="Arial" w:cs="Arial" w:eastAsia="Arial" w:hAnsi="Arial"/>
          <w:sz w:val="18"/>
          <w:szCs w:val="18"/>
          <w:u w:val="single" w:color="auto"/>
          <w:color w:val="auto"/>
        </w:rPr>
        <w:t>Amendments to this Agreement</w:t>
      </w:r>
      <w:r>
        <w:rPr>
          <w:rFonts w:ascii="Arial" w:cs="Arial" w:eastAsia="Arial" w:hAnsi="Arial"/>
          <w:sz w:val="18"/>
          <w:szCs w:val="18"/>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written consent of such Lender,</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57" w:val="left"/>
        </w:tabs>
        <w:numPr>
          <w:ilvl w:val="0"/>
          <w:numId w:val="501"/>
        </w:numPr>
        <w:rPr>
          <w:rFonts w:ascii="Arial" w:cs="Arial" w:eastAsia="Arial" w:hAnsi="Arial"/>
          <w:sz w:val="18"/>
          <w:szCs w:val="18"/>
          <w:color w:val="auto"/>
        </w:rPr>
      </w:pPr>
      <w:r>
        <w:rPr>
          <w:rFonts w:ascii="Arial" w:cs="Arial" w:eastAsia="Arial" w:hAnsi="Arial"/>
          <w:sz w:val="18"/>
          <w:szCs w:val="18"/>
          <w:color w:val="auto"/>
        </w:rPr>
        <w:t>reduce the principal amount of any Loan or LC Disbursement or reduce the rate of interest thereon, or reduce any fees payable hereunder, without the written consent of each Lender affected thereby,</w:t>
      </w:r>
    </w:p>
    <w:p>
      <w:pPr>
        <w:spacing w:after="0" w:line="50" w:lineRule="exact"/>
        <w:rPr>
          <w:rFonts w:ascii="Arial" w:cs="Arial" w:eastAsia="Arial" w:hAnsi="Arial"/>
          <w:sz w:val="18"/>
          <w:szCs w:val="18"/>
          <w:color w:val="auto"/>
        </w:rPr>
      </w:pPr>
    </w:p>
    <w:p>
      <w:pPr>
        <w:ind w:left="460" w:right="220" w:firstLine="443"/>
        <w:spacing w:after="0" w:line="259" w:lineRule="auto"/>
        <w:tabs>
          <w:tab w:leader="none" w:pos="1205" w:val="left"/>
        </w:tabs>
        <w:numPr>
          <w:ilvl w:val="0"/>
          <w:numId w:val="501"/>
        </w:numPr>
        <w:rPr>
          <w:rFonts w:ascii="Arial" w:cs="Arial" w:eastAsia="Arial" w:hAnsi="Arial"/>
          <w:sz w:val="18"/>
          <w:szCs w:val="18"/>
          <w:color w:val="auto"/>
        </w:rPr>
      </w:pPr>
      <w:r>
        <w:rPr>
          <w:rFonts w:ascii="Arial" w:cs="Arial" w:eastAsia="Arial" w:hAnsi="Arial"/>
          <w:sz w:val="18"/>
          <w:szCs w:val="18"/>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96"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a manner that would alter the pro rata sharing of payments required thereby without the written consent of each Lender affected thereby, or</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change any of the provisions of this Section or the definition of the term “Required Lenders” or any other provision hereof specifying the number or percentage of Lenders required to waive, amend or modify any rights hereunder or make any</w:t>
      </w:r>
    </w:p>
    <w:p>
      <w:pPr>
        <w:spacing w:after="0" w:line="118"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48" w:name="page449"/>
    <w:bookmarkEnd w:id="4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determination or grant any consent hereunder, without the written consent of each Lender affected thereby;</w:t>
      </w:r>
    </w:p>
    <w:p>
      <w:pPr>
        <w:spacing w:after="0" w:line="17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(x)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and</w:t>
      </w:r>
    </w:p>
    <w:p>
      <w:pPr>
        <w:ind w:right="80" w:firstLine="8"/>
        <w:spacing w:after="0" w:line="281" w:lineRule="auto"/>
        <w:tabs>
          <w:tab w:leader="none" w:pos="249" w:val="left"/>
        </w:tabs>
        <w:numPr>
          <w:ilvl w:val="0"/>
          <w:numId w:val="502"/>
        </w:numPr>
        <w:rPr>
          <w:rFonts w:ascii="Arial" w:cs="Arial" w:eastAsia="Arial" w:hAnsi="Arial"/>
          <w:sz w:val="16"/>
          <w:szCs w:val="16"/>
          <w:color w:val="auto"/>
        </w:rPr>
      </w:pPr>
      <w:r>
        <w:rPr>
          <w:rFonts w:ascii="Arial" w:cs="Arial" w:eastAsia="Arial" w:hAnsi="Arial"/>
          <w:sz w:val="16"/>
          <w:szCs w:val="16"/>
          <w:color w:val="auto"/>
        </w:rPr>
        <w:t xml:space="preserve">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Arial" w:cs="Arial" w:eastAsia="Arial" w:hAnsi="Arial"/>
          <w:sz w:val="16"/>
          <w:szCs w:val="16"/>
          <w:u w:val="single" w:color="auto"/>
          <w:color w:val="auto"/>
        </w:rPr>
        <w:t>Section 5.12(b)(ii)</w:t>
      </w:r>
    </w:p>
    <w:p>
      <w:pPr>
        <w:spacing w:after="0" w:line="1" w:lineRule="exact"/>
        <w:rPr>
          <w:rFonts w:ascii="Arial" w:cs="Arial" w:eastAsia="Arial" w:hAnsi="Arial"/>
          <w:sz w:val="16"/>
          <w:szCs w:val="16"/>
          <w:color w:val="auto"/>
        </w:rPr>
      </w:pPr>
    </w:p>
    <w:p>
      <w:pPr>
        <w:ind w:right="32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but including changes to the provisions of </w:t>
      </w:r>
      <w:r>
        <w:rPr>
          <w:rFonts w:ascii="Arial" w:cs="Arial" w:eastAsia="Arial" w:hAnsi="Arial"/>
          <w:sz w:val="16"/>
          <w:szCs w:val="16"/>
          <w:u w:val="single" w:color="auto"/>
          <w:color w:val="auto"/>
        </w:rPr>
        <w:t>Section 5.12(c)(ii)</w:t>
      </w:r>
      <w:r>
        <w:rPr>
          <w:rFonts w:ascii="Arial" w:cs="Arial" w:eastAsia="Arial" w:hAnsi="Arial"/>
          <w:sz w:val="16"/>
          <w:szCs w:val="16"/>
          <w:color w:val="auto"/>
        </w:rPr>
        <w:t xml:space="preserve"> and the definitions set forth in Section 5.13), and (B) for any release of any material portion of the Collateral other than for fair value or as otherwise permitted hereunder or under the other Loan Documents.</w:t>
      </w:r>
    </w:p>
    <w:p>
      <w:pPr>
        <w:spacing w:after="0" w:line="93"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w:t>
      </w:r>
    </w:p>
    <w:p>
      <w:pPr>
        <w:spacing w:after="0" w:line="107" w:lineRule="exact"/>
        <w:rPr>
          <w:sz w:val="20"/>
          <w:szCs w:val="20"/>
          <w:color w:val="auto"/>
        </w:rPr>
      </w:pPr>
    </w:p>
    <w:p>
      <w:pPr>
        <w:ind w:right="20" w:firstLine="921"/>
        <w:spacing w:after="0" w:line="286" w:lineRule="auto"/>
        <w:tabs>
          <w:tab w:leader="none" w:pos="1152" w:val="left"/>
        </w:tabs>
        <w:numPr>
          <w:ilvl w:val="0"/>
          <w:numId w:val="503"/>
        </w:numPr>
        <w:rPr>
          <w:rFonts w:ascii="Arial" w:cs="Arial" w:eastAsia="Arial" w:hAnsi="Arial"/>
          <w:sz w:val="16"/>
          <w:szCs w:val="16"/>
          <w:color w:val="auto"/>
        </w:rPr>
      </w:pPr>
      <w:r>
        <w:rPr>
          <w:rFonts w:ascii="Arial" w:cs="Arial" w:eastAsia="Arial" w:hAnsi="Arial"/>
          <w:sz w:val="16"/>
          <w:szCs w:val="16"/>
          <w:u w:val="single" w:color="auto"/>
          <w:color w:val="auto"/>
        </w:rPr>
        <w:t>Amendments to Security Documents</w:t>
      </w:r>
      <w:r>
        <w:rPr>
          <w:rFonts w:ascii="Arial" w:cs="Arial" w:eastAsia="Arial" w:hAnsi="Arial"/>
          <w:sz w:val="16"/>
          <w:szCs w:val="16"/>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6"/>
          <w:szCs w:val="16"/>
          <w:u w:val="single" w:color="auto"/>
          <w:color w:val="auto"/>
        </w:rPr>
        <w:t>Section 2.08(e)</w:t>
      </w:r>
      <w:r>
        <w:rPr>
          <w:rFonts w:ascii="Arial" w:cs="Arial" w:eastAsia="Arial" w:hAnsi="Arial"/>
          <w:sz w:val="16"/>
          <w:szCs w:val="16"/>
          <w:color w:val="auto"/>
        </w:rPr>
        <w:t xml:space="preserve"> to an amount not greater than $956,250,000) except pursuant to an agreement or agreements in writing entered into by the Borrower, and by the Collateral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to release any Lien covering property (and to release any such guarantor) that is the subject of either a disposition of property permitted hereunder or a disposition to which the Required Lenders have consented.</w:t>
      </w:r>
    </w:p>
    <w:p>
      <w:pPr>
        <w:spacing w:after="0" w:line="124" w:lineRule="exact"/>
        <w:rPr>
          <w:rFonts w:ascii="Arial" w:cs="Arial" w:eastAsia="Arial" w:hAnsi="Arial"/>
          <w:sz w:val="16"/>
          <w:szCs w:val="16"/>
          <w:color w:val="auto"/>
        </w:rPr>
      </w:pPr>
    </w:p>
    <w:p>
      <w:pPr>
        <w:ind w:right="20" w:firstLine="921"/>
        <w:spacing w:after="0" w:line="256" w:lineRule="auto"/>
        <w:tabs>
          <w:tab w:leader="none" w:pos="1161" w:val="left"/>
        </w:tabs>
        <w:numPr>
          <w:ilvl w:val="0"/>
          <w:numId w:val="503"/>
        </w:numPr>
        <w:rPr>
          <w:rFonts w:ascii="Arial" w:cs="Arial" w:eastAsia="Arial" w:hAnsi="Arial"/>
          <w:sz w:val="18"/>
          <w:szCs w:val="18"/>
          <w:color w:val="auto"/>
        </w:rPr>
      </w:pPr>
      <w:r>
        <w:rPr>
          <w:rFonts w:ascii="Arial" w:cs="Arial" w:eastAsia="Arial" w:hAnsi="Arial"/>
          <w:sz w:val="18"/>
          <w:szCs w:val="18"/>
          <w:u w:val="single" w:color="auto"/>
          <w:color w:val="auto"/>
        </w:rPr>
        <w:t>Replacement of Non-Consenting Lender</w:t>
      </w:r>
      <w:r>
        <w:rPr>
          <w:rFonts w:ascii="Arial" w:cs="Arial" w:eastAsia="Arial" w:hAnsi="Arial"/>
          <w:sz w:val="18"/>
          <w:szCs w:val="18"/>
          <w:color w:val="auto"/>
        </w:rPr>
        <w:t xml:space="preserve">. If, in connection with any proposed change, waiver, discharge or termination to any of the provisions of this Agreement as contemplated by this </w:t>
      </w:r>
      <w:r>
        <w:rPr>
          <w:rFonts w:ascii="Arial" w:cs="Arial" w:eastAsia="Arial" w:hAnsi="Arial"/>
          <w:sz w:val="18"/>
          <w:szCs w:val="18"/>
          <w:u w:val="single" w:color="auto"/>
          <w:color w:val="auto"/>
        </w:rPr>
        <w:t>Section 9.02</w:t>
      </w:r>
      <w:r>
        <w:rPr>
          <w:rFonts w:ascii="Arial" w:cs="Arial" w:eastAsia="Arial" w:hAnsi="Arial"/>
          <w:sz w:val="18"/>
          <w:szCs w:val="18"/>
          <w:color w:val="auto"/>
        </w:rPr>
        <w:t>,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w:t>
      </w:r>
    </w:p>
    <w:p>
      <w:pPr>
        <w:spacing w:after="0" w:line="130"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49" w:name="page450"/>
    <w:bookmarkEnd w:id="44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its sole cost and expense, to replace each such Non-Consenting Lender or Lenders with one or more replacement Lenders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so long as at the time of such replacement, each such replacement Lender consents to the proposed change, waiver, discharge or termination.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86" w:lineRule="auto"/>
        <w:tabs>
          <w:tab w:leader="none" w:pos="1152" w:val="left"/>
        </w:tabs>
        <w:numPr>
          <w:ilvl w:val="0"/>
          <w:numId w:val="504"/>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(iii) all documented out-of-pocket expenses incurred by the Administrative Agent, the Issuing Bank, the Swingline Lender or any Lender, including the reasonable and documented fees, charges and disbursements of one outside counsel for the Administrative Agent, the Issuing Bank and the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20" w:lineRule="exact"/>
        <w:rPr>
          <w:rFonts w:ascii="Arial" w:cs="Arial" w:eastAsia="Arial" w:hAnsi="Arial"/>
          <w:sz w:val="16"/>
          <w:szCs w:val="16"/>
          <w:color w:val="auto"/>
        </w:rPr>
      </w:pPr>
    </w:p>
    <w:p>
      <w:pPr>
        <w:ind w:right="60" w:firstLine="921"/>
        <w:spacing w:after="0" w:line="287" w:lineRule="auto"/>
        <w:tabs>
          <w:tab w:leader="none" w:pos="1161" w:val="left"/>
        </w:tabs>
        <w:numPr>
          <w:ilvl w:val="0"/>
          <w:numId w:val="504"/>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the Issuing Bank, the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w:t>
      </w:r>
    </w:p>
    <w:p>
      <w:pPr>
        <w:spacing w:after="0" w:line="109" w:lineRule="exact"/>
        <w:rPr>
          <w:sz w:val="20"/>
          <w:szCs w:val="20"/>
          <w:color w:val="auto"/>
        </w:rPr>
      </w:pPr>
    </w:p>
    <w:p>
      <w:pPr>
        <w:jc w:val="both"/>
        <w:ind w:left="5840"/>
        <w:spacing w:after="0"/>
        <w:tabs>
          <w:tab w:leader="none" w:pos="94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50" w:name="page451"/>
    <w:bookmarkEnd w:id="450"/>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Taxes or Other Taxes which shall only be indemnified by the Borrower to the extent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willful misconduct or gross negligence of such Indemnitee. Notwithstanding the foregoing, it is understood and agreed that indemnification for Taxes is subject to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27"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shall not be deemed to impair or affect the Obligations of the Borrower under the preceding provisions of this subsection.</w:t>
      </w:r>
    </w:p>
    <w:p>
      <w:pPr>
        <w:spacing w:after="0" w:line="140" w:lineRule="exact"/>
        <w:rPr>
          <w:sz w:val="20"/>
          <w:szCs w:val="20"/>
          <w:color w:val="auto"/>
        </w:rPr>
      </w:pPr>
    </w:p>
    <w:p>
      <w:pPr>
        <w:ind w:right="80" w:firstLine="921"/>
        <w:spacing w:after="0" w:line="294" w:lineRule="auto"/>
        <w:tabs>
          <w:tab w:leader="none" w:pos="1152" w:val="left"/>
        </w:tabs>
        <w:numPr>
          <w:ilvl w:val="0"/>
          <w:numId w:val="505"/>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fails to pay any amount required to be paid by it to the Administrative Agent, the Issuing Bank or the Swingline Lender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115" w:lineRule="exact"/>
        <w:rPr>
          <w:rFonts w:ascii="Arial" w:cs="Arial" w:eastAsia="Arial" w:hAnsi="Arial"/>
          <w:sz w:val="16"/>
          <w:szCs w:val="16"/>
          <w:color w:val="auto"/>
        </w:rPr>
      </w:pPr>
    </w:p>
    <w:p>
      <w:pPr>
        <w:ind w:right="100" w:firstLine="921"/>
        <w:spacing w:after="0" w:line="290" w:lineRule="auto"/>
        <w:tabs>
          <w:tab w:leader="none" w:pos="1161" w:val="left"/>
        </w:tabs>
        <w:numPr>
          <w:ilvl w:val="0"/>
          <w:numId w:val="505"/>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05"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51" w:name="page452"/>
    <w:bookmarkEnd w:id="451"/>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 </w:t>
      </w: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written demand therefor.</w:t>
      </w:r>
    </w:p>
    <w:p>
      <w:pPr>
        <w:spacing w:after="0" w:line="171" w:lineRule="exact"/>
        <w:rPr>
          <w:sz w:val="20"/>
          <w:szCs w:val="20"/>
          <w:color w:val="auto"/>
        </w:rPr>
      </w:pPr>
    </w:p>
    <w:p>
      <w:pPr>
        <w:ind w:left="17"/>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90" w:lineRule="exact"/>
        <w:rPr>
          <w:sz w:val="20"/>
          <w:szCs w:val="20"/>
          <w:color w:val="auto"/>
        </w:rPr>
      </w:pPr>
    </w:p>
    <w:p>
      <w:pPr>
        <w:ind w:left="-903" w:right="20" w:firstLine="921"/>
        <w:spacing w:after="0" w:line="289" w:lineRule="auto"/>
        <w:tabs>
          <w:tab w:leader="none" w:pos="249" w:val="left"/>
        </w:tabs>
        <w:numPr>
          <w:ilvl w:val="1"/>
          <w:numId w:val="506"/>
        </w:numPr>
        <w:rPr>
          <w:rFonts w:ascii="Arial" w:cs="Arial" w:eastAsia="Arial" w:hAnsi="Arial"/>
          <w:sz w:val="16"/>
          <w:szCs w:val="16"/>
          <w:color w:val="auto"/>
        </w:rPr>
      </w:pPr>
      <w:r>
        <w:rPr>
          <w:rFonts w:ascii="Arial" w:cs="Arial" w:eastAsia="Arial" w:hAnsi="Arial"/>
          <w:sz w:val="16"/>
          <w:szCs w:val="16"/>
          <w:u w:val="single" w:color="auto"/>
          <w:color w:val="auto"/>
        </w:rPr>
        <w:t>Assignments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118" w:lineRule="exact"/>
        <w:rPr>
          <w:rFonts w:ascii="Arial" w:cs="Arial" w:eastAsia="Arial" w:hAnsi="Arial"/>
          <w:sz w:val="16"/>
          <w:szCs w:val="16"/>
          <w:color w:val="auto"/>
        </w:rPr>
      </w:pPr>
    </w:p>
    <w:p>
      <w:pPr>
        <w:ind w:left="257" w:hanging="239"/>
        <w:spacing w:after="0"/>
        <w:tabs>
          <w:tab w:leader="none" w:pos="257" w:val="left"/>
        </w:tabs>
        <w:numPr>
          <w:ilvl w:val="1"/>
          <w:numId w:val="506"/>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3" w:right="100" w:firstLine="443"/>
        <w:spacing w:after="0" w:line="306" w:lineRule="auto"/>
        <w:tabs>
          <w:tab w:leader="none" w:pos="205" w:val="left"/>
        </w:tabs>
        <w:numPr>
          <w:ilvl w:val="0"/>
          <w:numId w:val="507"/>
        </w:numPr>
        <w:rPr>
          <w:rFonts w:ascii="Arial" w:cs="Arial" w:eastAsia="Arial" w:hAnsi="Arial"/>
          <w:sz w:val="16"/>
          <w:szCs w:val="16"/>
          <w:color w:val="auto"/>
        </w:rPr>
      </w:pPr>
      <w:r>
        <w:rPr>
          <w:rFonts w:ascii="Arial" w:cs="Arial" w:eastAsia="Arial" w:hAnsi="Arial"/>
          <w:sz w:val="16"/>
          <w:szCs w:val="16"/>
          <w:u w:val="single" w:color="auto"/>
          <w:color w:val="auto"/>
        </w:rPr>
        <w:t>Assignments Generally</w:t>
      </w:r>
      <w:r>
        <w:rPr>
          <w:rFonts w:ascii="Arial" w:cs="Arial" w:eastAsia="Arial" w:hAnsi="Arial"/>
          <w:sz w:val="16"/>
          <w:szCs w:val="16"/>
          <w:color w:val="auto"/>
        </w:rPr>
        <w:t xml:space="preserve">. Subject to the conditions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any Lender may assign to one or more assignees (other than natural persons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25" w:lineRule="exact"/>
        <w:rPr>
          <w:rFonts w:ascii="Arial" w:cs="Arial" w:eastAsia="Arial" w:hAnsi="Arial"/>
          <w:sz w:val="16"/>
          <w:szCs w:val="16"/>
          <w:color w:val="auto"/>
        </w:rPr>
      </w:pPr>
    </w:p>
    <w:p>
      <w:pPr>
        <w:jc w:val="both"/>
        <w:ind w:left="17" w:right="180" w:firstLine="421"/>
        <w:spacing w:after="0" w:line="256" w:lineRule="auto"/>
        <w:tabs>
          <w:tab w:leader="none" w:pos="725" w:val="left"/>
        </w:tabs>
        <w:numPr>
          <w:ilvl w:val="2"/>
          <w:numId w:val="507"/>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62" w:lineRule="exact"/>
        <w:rPr>
          <w:rFonts w:ascii="Arial" w:cs="Arial" w:eastAsia="Arial" w:hAnsi="Arial"/>
          <w:sz w:val="18"/>
          <w:szCs w:val="18"/>
          <w:color w:val="auto"/>
        </w:rPr>
      </w:pPr>
    </w:p>
    <w:p>
      <w:pPr>
        <w:ind w:left="17" w:right="40" w:firstLine="421"/>
        <w:spacing w:after="0" w:line="268" w:lineRule="auto"/>
        <w:tabs>
          <w:tab w:leader="none" w:pos="715" w:val="left"/>
        </w:tabs>
        <w:numPr>
          <w:ilvl w:val="2"/>
          <w:numId w:val="507"/>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or Issuing Bank shall be required for an assignment by a Lender to an Affiliate of such Lender.</w:t>
      </w:r>
    </w:p>
    <w:p>
      <w:pPr>
        <w:spacing w:after="0" w:line="50" w:lineRule="exact"/>
        <w:rPr>
          <w:rFonts w:ascii="Arial" w:cs="Arial" w:eastAsia="Arial" w:hAnsi="Arial"/>
          <w:sz w:val="18"/>
          <w:szCs w:val="18"/>
          <w:color w:val="auto"/>
        </w:rPr>
      </w:pPr>
    </w:p>
    <w:p>
      <w:pPr>
        <w:ind w:left="257" w:hanging="257"/>
        <w:spacing w:after="0"/>
        <w:tabs>
          <w:tab w:leader="none" w:pos="257" w:val="left"/>
        </w:tabs>
        <w:numPr>
          <w:ilvl w:val="1"/>
          <w:numId w:val="507"/>
        </w:numPr>
        <w:rPr>
          <w:rFonts w:ascii="Arial" w:cs="Arial" w:eastAsia="Arial" w:hAnsi="Arial"/>
          <w:sz w:val="18"/>
          <w:szCs w:val="18"/>
          <w:color w:val="auto"/>
        </w:rPr>
      </w:pPr>
      <w:r>
        <w:rPr>
          <w:rFonts w:ascii="Arial" w:cs="Arial" w:eastAsia="Arial" w:hAnsi="Arial"/>
          <w:sz w:val="18"/>
          <w:szCs w:val="18"/>
          <w:u w:val="single" w:color="auto"/>
          <w:color w:val="auto"/>
        </w:rPr>
        <w:t>Certain Conditions to Assignments</w:t>
      </w:r>
      <w:r>
        <w:rPr>
          <w:rFonts w:ascii="Arial" w:cs="Arial" w:eastAsia="Arial" w:hAnsi="Arial"/>
          <w:sz w:val="18"/>
          <w:szCs w:val="18"/>
          <w:color w:val="auto"/>
        </w:rPr>
        <w:t>. Assignments shall be subject to the following additional conditions:</w:t>
      </w:r>
    </w:p>
    <w:p>
      <w:pPr>
        <w:spacing w:after="0" w:line="90" w:lineRule="exact"/>
        <w:rPr>
          <w:rFonts w:ascii="Arial" w:cs="Arial" w:eastAsia="Arial" w:hAnsi="Arial"/>
          <w:sz w:val="18"/>
          <w:szCs w:val="18"/>
          <w:color w:val="auto"/>
        </w:rPr>
      </w:pPr>
    </w:p>
    <w:p>
      <w:pPr>
        <w:ind w:left="17" w:right="60" w:firstLine="421"/>
        <w:spacing w:after="0" w:line="256" w:lineRule="auto"/>
        <w:tabs>
          <w:tab w:leader="none" w:pos="725" w:val="left"/>
        </w:tabs>
        <w:numPr>
          <w:ilvl w:val="2"/>
          <w:numId w:val="507"/>
        </w:numPr>
        <w:rPr>
          <w:rFonts w:ascii="Arial" w:cs="Arial" w:eastAsia="Arial" w:hAnsi="Arial"/>
          <w:sz w:val="18"/>
          <w:szCs w:val="18"/>
          <w:color w:val="auto"/>
        </w:rPr>
      </w:pPr>
      <w:r>
        <w:rPr>
          <w:rFonts w:ascii="Arial" w:cs="Arial" w:eastAsia="Arial" w:hAnsi="Arial"/>
          <w:sz w:val="18"/>
          <w:szCs w:val="18"/>
          <w:color w:val="auto"/>
        </w:rPr>
        <w:t>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w:t>
      </w:r>
    </w:p>
    <w:p>
      <w:pPr>
        <w:spacing w:after="0" w:line="130" w:lineRule="exact"/>
        <w:rPr>
          <w:sz w:val="20"/>
          <w:szCs w:val="20"/>
          <w:color w:val="auto"/>
        </w:rPr>
      </w:pPr>
    </w:p>
    <w:p>
      <w:pPr>
        <w:jc w:val="both"/>
        <w:ind w:left="4917"/>
        <w:spacing w:after="0"/>
        <w:tabs>
          <w:tab w:leader="none" w:pos="8517"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452" w:name="page453"/>
    <w:bookmarkEnd w:id="452"/>
    <w:p>
      <w:pPr>
        <w:ind w:left="17"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shall not be less than U.S. $5,000,000 unless each of the Borrower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Borrower shall be required if an Event of Default has occurred and is continuing;</w:t>
      </w:r>
    </w:p>
    <w:p>
      <w:pPr>
        <w:spacing w:after="0" w:line="51" w:lineRule="exact"/>
        <w:rPr>
          <w:sz w:val="20"/>
          <w:szCs w:val="20"/>
          <w:color w:val="auto"/>
        </w:rPr>
      </w:pPr>
    </w:p>
    <w:p>
      <w:pPr>
        <w:ind w:left="17" w:right="20" w:firstLine="421"/>
        <w:spacing w:after="0" w:line="332" w:lineRule="auto"/>
        <w:tabs>
          <w:tab w:leader="none" w:pos="715" w:val="left"/>
        </w:tabs>
        <w:numPr>
          <w:ilvl w:val="1"/>
          <w:numId w:val="508"/>
        </w:numPr>
        <w:rPr>
          <w:rFonts w:ascii="Arial" w:cs="Arial" w:eastAsia="Arial" w:hAnsi="Arial"/>
          <w:sz w:val="16"/>
          <w:szCs w:val="16"/>
          <w:color w:val="auto"/>
        </w:rPr>
      </w:pPr>
      <w:r>
        <w:rPr>
          <w:rFonts w:ascii="Arial" w:cs="Arial" w:eastAsia="Arial" w:hAnsi="Arial"/>
          <w:sz w:val="16"/>
          <w:szCs w:val="16"/>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4" w:lineRule="exact"/>
        <w:rPr>
          <w:rFonts w:ascii="Arial" w:cs="Arial" w:eastAsia="Arial" w:hAnsi="Arial"/>
          <w:sz w:val="16"/>
          <w:szCs w:val="16"/>
          <w:color w:val="auto"/>
        </w:rPr>
      </w:pPr>
    </w:p>
    <w:p>
      <w:pPr>
        <w:ind w:left="17" w:right="240" w:firstLine="421"/>
        <w:spacing w:after="0" w:line="306" w:lineRule="auto"/>
        <w:tabs>
          <w:tab w:leader="none" w:pos="715" w:val="left"/>
        </w:tabs>
        <w:numPr>
          <w:ilvl w:val="1"/>
          <w:numId w:val="508"/>
        </w:numPr>
        <w:rPr>
          <w:rFonts w:ascii="Arial" w:cs="Arial" w:eastAsia="Arial" w:hAnsi="Arial"/>
          <w:sz w:val="16"/>
          <w:szCs w:val="16"/>
          <w:color w:val="auto"/>
        </w:rPr>
      </w:pPr>
      <w:r>
        <w:rPr>
          <w:rFonts w:ascii="Arial" w:cs="Arial" w:eastAsia="Arial" w:hAnsi="Arial"/>
          <w:sz w:val="16"/>
          <w:szCs w:val="16"/>
          <w:color w:val="auto"/>
        </w:rPr>
        <w:t xml:space="preserve">the parties to each assignment shall execute and deliver to the Administrative Agent an Assignment and Assumption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together with a processing and recordation fee of U.S. $3,500 (which fee shall not be payable in connection with an assignment to a Lender or to an Affiliate of a Lender), for which the Borrower and the Guarantors shall not be obligated;</w:t>
      </w:r>
    </w:p>
    <w:p>
      <w:pPr>
        <w:spacing w:after="0" w:line="25" w:lineRule="exact"/>
        <w:rPr>
          <w:rFonts w:ascii="Arial" w:cs="Arial" w:eastAsia="Arial" w:hAnsi="Arial"/>
          <w:sz w:val="16"/>
          <w:szCs w:val="16"/>
          <w:color w:val="auto"/>
        </w:rPr>
      </w:pPr>
    </w:p>
    <w:p>
      <w:pPr>
        <w:ind w:left="17" w:right="620" w:firstLine="421"/>
        <w:spacing w:after="0" w:line="268" w:lineRule="auto"/>
        <w:tabs>
          <w:tab w:leader="none" w:pos="725"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assignee, if it shall not already be a Lender of the applicable Class, shall deliver to the Administrative Agent an Administrative Questionnaire; and</w:t>
      </w:r>
    </w:p>
    <w:p>
      <w:pPr>
        <w:spacing w:after="0" w:line="50" w:lineRule="exact"/>
        <w:rPr>
          <w:rFonts w:ascii="Arial" w:cs="Arial" w:eastAsia="Arial" w:hAnsi="Arial"/>
          <w:sz w:val="18"/>
          <w:szCs w:val="18"/>
          <w:color w:val="auto"/>
        </w:rPr>
      </w:pPr>
    </w:p>
    <w:p>
      <w:pPr>
        <w:ind w:left="697" w:hanging="259"/>
        <w:spacing w:after="0"/>
        <w:tabs>
          <w:tab w:leader="none" w:pos="697"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assignee shall deliver to the Borrower and the Administrative Agent those documents specified in Section 2.16(f).</w:t>
      </w:r>
    </w:p>
    <w:p>
      <w:pPr>
        <w:spacing w:after="0" w:line="90" w:lineRule="exact"/>
        <w:rPr>
          <w:rFonts w:ascii="Arial" w:cs="Arial" w:eastAsia="Arial" w:hAnsi="Arial"/>
          <w:sz w:val="18"/>
          <w:szCs w:val="18"/>
          <w:color w:val="auto"/>
        </w:rPr>
      </w:pPr>
    </w:p>
    <w:p>
      <w:pPr>
        <w:ind w:left="-443" w:right="80" w:firstLine="443"/>
        <w:spacing w:after="0" w:line="285" w:lineRule="auto"/>
        <w:tabs>
          <w:tab w:leader="none" w:pos="303" w:val="left"/>
        </w:tabs>
        <w:numPr>
          <w:ilvl w:val="0"/>
          <w:numId w:val="509"/>
        </w:numPr>
        <w:rPr>
          <w:rFonts w:ascii="Arial" w:cs="Arial" w:eastAsia="Arial" w:hAnsi="Arial"/>
          <w:sz w:val="16"/>
          <w:szCs w:val="16"/>
          <w:color w:val="auto"/>
        </w:rPr>
      </w:pPr>
      <w:r>
        <w:rPr>
          <w:rFonts w:ascii="Arial" w:cs="Arial" w:eastAsia="Arial" w:hAnsi="Arial"/>
          <w:sz w:val="16"/>
          <w:szCs w:val="16"/>
          <w:u w:val="single" w:color="auto"/>
          <w:color w:val="auto"/>
        </w:rPr>
        <w:t>Effectiveness of Assignments</w:t>
      </w:r>
      <w:r>
        <w:rPr>
          <w:rFonts w:ascii="Arial" w:cs="Arial" w:eastAsia="Arial" w:hAnsi="Arial"/>
          <w:sz w:val="16"/>
          <w:szCs w:val="16"/>
          <w:color w:val="auto"/>
        </w:rPr>
        <w:t xml:space="preserve">. Subject to acceptance and recording thereof pursuant to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6"/>
          <w:szCs w:val="16"/>
          <w:u w:val="single" w:color="auto"/>
          <w:color w:val="auto"/>
        </w:rPr>
        <w:t>Section 9.04(b)(ii)</w:t>
      </w:r>
      <w:r>
        <w:rPr>
          <w:rFonts w:ascii="Arial" w:cs="Arial" w:eastAsia="Arial" w:hAnsi="Arial"/>
          <w:sz w:val="16"/>
          <w:szCs w:val="16"/>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w:t>
      </w:r>
    </w:p>
    <w:p>
      <w:pPr>
        <w:spacing w:after="0" w:line="115" w:lineRule="exact"/>
        <w:rPr>
          <w:sz w:val="20"/>
          <w:szCs w:val="20"/>
          <w:color w:val="auto"/>
        </w:rPr>
      </w:pPr>
    </w:p>
    <w:p>
      <w:pPr>
        <w:jc w:val="both"/>
        <w:ind w:left="4917"/>
        <w:spacing w:after="0"/>
        <w:tabs>
          <w:tab w:leader="none" w:pos="8517"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79" w:right="239" w:bottom="1440" w:gutter="0" w:footer="0" w:header="0"/>
        </w:sectPr>
      </w:pPr>
    </w:p>
    <w:bookmarkStart w:id="453" w:name="page454"/>
    <w:bookmarkEnd w:id="453"/>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to (x) pay and satisfy in full all payment liabilities then owed by such Defaulting Lender to Administrative Agent, Issuing Bank,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16" w:lineRule="exact"/>
        <w:rPr>
          <w:sz w:val="20"/>
          <w:szCs w:val="20"/>
          <w:color w:val="auto"/>
        </w:rPr>
      </w:pPr>
    </w:p>
    <w:p>
      <w:pPr>
        <w:ind w:left="-460" w:right="40" w:firstLine="921"/>
        <w:spacing w:after="0" w:line="290" w:lineRule="auto"/>
        <w:tabs>
          <w:tab w:leader="none" w:pos="692" w:val="left"/>
        </w:tabs>
        <w:numPr>
          <w:ilvl w:val="0"/>
          <w:numId w:val="510"/>
        </w:numPr>
        <w:rPr>
          <w:rFonts w:ascii="Arial" w:cs="Arial" w:eastAsia="Arial" w:hAnsi="Arial"/>
          <w:sz w:val="16"/>
          <w:szCs w:val="16"/>
          <w:color w:val="auto"/>
        </w:rPr>
      </w:pPr>
      <w:r>
        <w:rPr>
          <w:rFonts w:ascii="Arial" w:cs="Arial" w:eastAsia="Arial" w:hAnsi="Arial"/>
          <w:sz w:val="16"/>
          <w:szCs w:val="16"/>
          <w:u w:val="single" w:color="auto"/>
          <w:color w:val="auto"/>
        </w:rPr>
        <w:t>Maintenance of Registers by Administrative Agent</w:t>
      </w:r>
      <w:r>
        <w:rPr>
          <w:rFonts w:ascii="Arial" w:cs="Arial" w:eastAsia="Arial" w:hAnsi="Arial"/>
          <w:sz w:val="16"/>
          <w:szCs w:val="16"/>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6"/>
          <w:szCs w:val="16"/>
          <w:u w:val="single" w:color="auto"/>
          <w:color w:val="auto"/>
        </w:rPr>
        <w:t>Registers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Registers shall be conclusive absent manifest error, and the 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118" w:lineRule="exact"/>
        <w:rPr>
          <w:rFonts w:ascii="Arial" w:cs="Arial" w:eastAsia="Arial" w:hAnsi="Arial"/>
          <w:sz w:val="16"/>
          <w:szCs w:val="16"/>
          <w:color w:val="auto"/>
        </w:rPr>
      </w:pPr>
    </w:p>
    <w:p>
      <w:pPr>
        <w:ind w:left="-460" w:right="200" w:firstLine="921"/>
        <w:spacing w:after="0" w:line="294" w:lineRule="auto"/>
        <w:tabs>
          <w:tab w:leader="none" w:pos="701" w:val="left"/>
        </w:tabs>
        <w:numPr>
          <w:ilvl w:val="0"/>
          <w:numId w:val="510"/>
        </w:numPr>
        <w:rPr>
          <w:rFonts w:ascii="Arial" w:cs="Arial" w:eastAsia="Arial" w:hAnsi="Arial"/>
          <w:sz w:val="16"/>
          <w:szCs w:val="16"/>
          <w:color w:val="auto"/>
        </w:rPr>
      </w:pPr>
      <w:r>
        <w:rPr>
          <w:rFonts w:ascii="Arial" w:cs="Arial" w:eastAsia="Arial" w:hAnsi="Arial"/>
          <w:sz w:val="16"/>
          <w:szCs w:val="16"/>
          <w:u w:val="single" w:color="auto"/>
          <w:color w:val="auto"/>
        </w:rPr>
        <w:t>Acceptance of Assignments by Administrative Agent</w:t>
      </w:r>
      <w:r>
        <w:rPr>
          <w:rFonts w:ascii="Arial" w:cs="Arial" w:eastAsia="Arial" w:hAnsi="Arial"/>
          <w:sz w:val="16"/>
          <w:szCs w:val="16"/>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any written consent to such assignment required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15" w:lineRule="exact"/>
        <w:rPr>
          <w:rFonts w:ascii="Arial" w:cs="Arial" w:eastAsia="Arial" w:hAnsi="Arial"/>
          <w:sz w:val="16"/>
          <w:szCs w:val="16"/>
          <w:color w:val="auto"/>
        </w:rPr>
      </w:pPr>
    </w:p>
    <w:p>
      <w:pPr>
        <w:ind w:left="-460" w:right="40" w:firstLine="921"/>
        <w:spacing w:after="0" w:line="288" w:lineRule="auto"/>
        <w:tabs>
          <w:tab w:leader="none" w:pos="692" w:val="left"/>
        </w:tabs>
        <w:numPr>
          <w:ilvl w:val="0"/>
          <w:numId w:val="510"/>
        </w:numPr>
        <w:rPr>
          <w:rFonts w:ascii="Arial" w:cs="Arial" w:eastAsia="Arial" w:hAnsi="Arial"/>
          <w:sz w:val="16"/>
          <w:szCs w:val="16"/>
          <w:color w:val="auto"/>
        </w:rPr>
      </w:pPr>
      <w:r>
        <w:rPr>
          <w:rFonts w:ascii="Arial" w:cs="Arial" w:eastAsia="Arial" w:hAnsi="Arial"/>
          <w:sz w:val="16"/>
          <w:szCs w:val="16"/>
          <w:u w:val="single" w:color="auto"/>
          <w:color w:val="auto"/>
        </w:rPr>
        <w:t>Special Purposes Vehicles</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w:t>
      </w:r>
    </w:p>
    <w:p>
      <w:pPr>
        <w:spacing w:after="0" w:line="106" w:lineRule="exact"/>
        <w:rPr>
          <w:sz w:val="20"/>
          <w:szCs w:val="20"/>
          <w:color w:val="auto"/>
        </w:rPr>
      </w:pPr>
    </w:p>
    <w:p>
      <w:pPr>
        <w:jc w:val="both"/>
        <w:ind w:left="5360"/>
        <w:spacing w:after="0"/>
        <w:tabs>
          <w:tab w:leader="none" w:pos="89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454" w:name="page455"/>
    <w:bookmarkEnd w:id="45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8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6"/>
          <w:szCs w:val="16"/>
          <w:u w:val="single" w:color="auto"/>
          <w:color w:val="auto"/>
        </w:rPr>
        <w:t>paragraph (1)</w:t>
      </w:r>
      <w:r>
        <w:rPr>
          <w:rFonts w:ascii="Arial" w:cs="Arial" w:eastAsia="Arial" w:hAnsi="Arial"/>
          <w:sz w:val="16"/>
          <w:szCs w:val="16"/>
          <w:color w:val="auto"/>
        </w:rPr>
        <w:t xml:space="preserve"> below, and (ii) disclose on a confidential basis (in the same manner described in </w:t>
      </w:r>
      <w:r>
        <w:rPr>
          <w:rFonts w:ascii="Arial" w:cs="Arial" w:eastAsia="Arial" w:hAnsi="Arial"/>
          <w:sz w:val="16"/>
          <w:szCs w:val="16"/>
          <w:u w:val="single" w:color="auto"/>
          <w:color w:val="auto"/>
        </w:rPr>
        <w:t>Section 9.13(b)</w:t>
      </w:r>
      <w:r>
        <w:rPr>
          <w:rFonts w:ascii="Arial" w:cs="Arial" w:eastAsia="Arial" w:hAnsi="Arial"/>
          <w:sz w:val="16"/>
          <w:szCs w:val="16"/>
          <w:color w:val="auto"/>
        </w:rPr>
        <w:t>) any non-public information relating to its Loans to any rating agency, commercial paper dealer or provider of a surety, guarantee or credit or liquidity enhancement to such SPC.</w:t>
      </w:r>
    </w:p>
    <w:p>
      <w:pPr>
        <w:spacing w:after="0" w:line="121" w:lineRule="exact"/>
        <w:rPr>
          <w:sz w:val="20"/>
          <w:szCs w:val="20"/>
          <w:color w:val="auto"/>
        </w:rPr>
      </w:pPr>
    </w:p>
    <w:p>
      <w:pPr>
        <w:ind w:right="40" w:firstLine="921"/>
        <w:spacing w:after="0" w:line="286" w:lineRule="auto"/>
        <w:tabs>
          <w:tab w:leader="none" w:pos="1132" w:val="left"/>
        </w:tabs>
        <w:numPr>
          <w:ilvl w:val="0"/>
          <w:numId w:val="511"/>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with the consent of the Borrower (such consent not to be unreasonably withheld or delayed),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Subject to</w:t>
      </w:r>
    </w:p>
    <w:p>
      <w:pPr>
        <w:spacing w:after="0" w:line="111"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55" w:name="page456"/>
    <w:bookmarkEnd w:id="455"/>
    <w:p>
      <w:pPr>
        <w:ind w:right="40"/>
        <w:spacing w:after="0" w:line="285"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(g)</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not be entitled to receive any greater payment under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Participant shall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 notified of the participation granted to such Participant and such Participant shall have complied with the requirements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if such Participant is a Lender.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provided such Participant agrees to be subject to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4" w:lineRule="exact"/>
        <w:rPr>
          <w:sz w:val="20"/>
          <w:szCs w:val="20"/>
          <w:color w:val="auto"/>
        </w:rPr>
      </w:pPr>
    </w:p>
    <w:p>
      <w:pPr>
        <w:ind w:right="20" w:firstLine="921"/>
        <w:spacing w:after="0" w:line="283" w:lineRule="auto"/>
        <w:tabs>
          <w:tab w:leader="none" w:pos="1161" w:val="left"/>
        </w:tabs>
        <w:numPr>
          <w:ilvl w:val="0"/>
          <w:numId w:val="512"/>
        </w:numPr>
        <w:rPr>
          <w:rFonts w:ascii="Arial" w:cs="Arial" w:eastAsia="Arial" w:hAnsi="Arial"/>
          <w:sz w:val="16"/>
          <w:szCs w:val="16"/>
          <w:color w:val="auto"/>
        </w:rPr>
      </w:pPr>
      <w:r>
        <w:rPr>
          <w:rFonts w:ascii="Arial" w:cs="Arial" w:eastAsia="Arial" w:hAnsi="Arial"/>
          <w:sz w:val="16"/>
          <w:szCs w:val="16"/>
          <w:u w:val="single" w:color="auto"/>
          <w:color w:val="auto"/>
        </w:rPr>
        <w:t>Limitations on Rights of Participants</w:t>
      </w:r>
      <w:r>
        <w:rPr>
          <w:rFonts w:ascii="Arial" w:cs="Arial" w:eastAsia="Arial" w:hAnsi="Arial"/>
          <w:sz w:val="16"/>
          <w:szCs w:val="16"/>
          <w:color w:val="auto"/>
        </w:rPr>
        <w:t xml:space="preserve">. A Participant shall not be entitled to receive any greater payment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 notified of the participation sold to such Participant and such Participant agrees, for the benefit of the Borrower, to comply with </w:t>
      </w:r>
      <w:r>
        <w:rPr>
          <w:rFonts w:ascii="Arial" w:cs="Arial" w:eastAsia="Arial" w:hAnsi="Arial"/>
          <w:sz w:val="16"/>
          <w:szCs w:val="16"/>
          <w:u w:val="single" w:color="auto"/>
          <w:color w:val="auto"/>
        </w:rPr>
        <w:t>paragraphs (e)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though it were a Lender and in the case of a Participant claiming exemption for portfolio interest under</w:t>
      </w:r>
    </w:p>
    <w:p>
      <w:pPr>
        <w:spacing w:after="0" w:line="2" w:lineRule="exact"/>
        <w:rPr>
          <w:rFonts w:ascii="Arial" w:cs="Arial" w:eastAsia="Arial" w:hAnsi="Arial"/>
          <w:sz w:val="16"/>
          <w:szCs w:val="16"/>
          <w:color w:val="auto"/>
        </w:rPr>
      </w:pPr>
    </w:p>
    <w:p>
      <w:pPr>
        <w:ind w:right="140"/>
        <w:spacing w:after="0" w:line="323" w:lineRule="auto"/>
        <w:rPr>
          <w:rFonts w:ascii="Arial" w:cs="Arial" w:eastAsia="Arial" w:hAnsi="Arial"/>
          <w:sz w:val="16"/>
          <w:szCs w:val="16"/>
          <w:color w:val="auto"/>
        </w:rPr>
      </w:pPr>
      <w:r>
        <w:rPr>
          <w:rFonts w:ascii="Arial" w:cs="Arial" w:eastAsia="Arial" w:hAnsi="Arial"/>
          <w:sz w:val="16"/>
          <w:szCs w:val="16"/>
          <w:color w:val="auto"/>
        </w:rPr>
        <w:t>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92" w:lineRule="exact"/>
        <w:rPr>
          <w:rFonts w:ascii="Arial" w:cs="Arial" w:eastAsia="Arial" w:hAnsi="Arial"/>
          <w:sz w:val="16"/>
          <w:szCs w:val="16"/>
          <w:color w:val="auto"/>
        </w:rPr>
      </w:pPr>
    </w:p>
    <w:p>
      <w:pPr>
        <w:ind w:right="60" w:firstLine="921"/>
        <w:spacing w:after="0" w:line="306" w:lineRule="auto"/>
        <w:tabs>
          <w:tab w:leader="none" w:pos="1161" w:val="left"/>
        </w:tabs>
        <w:numPr>
          <w:ilvl w:val="0"/>
          <w:numId w:val="512"/>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w:t>
      </w:r>
    </w:p>
    <w:p>
      <w:pPr>
        <w:spacing w:after="0" w:line="93"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56" w:name="page457"/>
    <w:bookmarkEnd w:id="4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shall release a Lender from any of its obligations hereunder or substitute any such assignee for such Lender as a party hereto.</w:t>
      </w:r>
    </w:p>
    <w:p>
      <w:pPr>
        <w:spacing w:after="0" w:line="171" w:lineRule="exact"/>
        <w:rPr>
          <w:sz w:val="20"/>
          <w:szCs w:val="20"/>
          <w:color w:val="auto"/>
        </w:rPr>
      </w:pPr>
    </w:p>
    <w:p>
      <w:pPr>
        <w:ind w:right="120" w:firstLine="921"/>
        <w:spacing w:after="0" w:line="332" w:lineRule="auto"/>
        <w:tabs>
          <w:tab w:leader="none" w:pos="1122" w:val="left"/>
        </w:tabs>
        <w:numPr>
          <w:ilvl w:val="0"/>
          <w:numId w:val="513"/>
        </w:numPr>
        <w:rPr>
          <w:rFonts w:ascii="Arial" w:cs="Arial" w:eastAsia="Arial" w:hAnsi="Arial"/>
          <w:sz w:val="16"/>
          <w:szCs w:val="16"/>
          <w:color w:val="auto"/>
        </w:rPr>
      </w:pPr>
      <w:r>
        <w:rPr>
          <w:rFonts w:ascii="Arial" w:cs="Arial" w:eastAsia="Arial" w:hAnsi="Arial"/>
          <w:sz w:val="16"/>
          <w:szCs w:val="16"/>
          <w:u w:val="single" w:color="auto"/>
          <w:color w:val="auto"/>
        </w:rPr>
        <w:t>No Assignments to the Borrower or Affiliates</w:t>
      </w:r>
      <w:r>
        <w:rPr>
          <w:rFonts w:ascii="Arial" w:cs="Arial" w:eastAsia="Arial" w:hAnsi="Arial"/>
          <w:sz w:val="16"/>
          <w:szCs w:val="16"/>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8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89" w:lineRule="auto"/>
        <w:tabs>
          <w:tab w:leader="none" w:pos="1152"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18" w:lineRule="exact"/>
        <w:rPr>
          <w:rFonts w:ascii="Arial" w:cs="Arial" w:eastAsia="Arial" w:hAnsi="Arial"/>
          <w:sz w:val="16"/>
          <w:szCs w:val="16"/>
          <w:color w:val="auto"/>
        </w:rPr>
      </w:pPr>
    </w:p>
    <w:p>
      <w:pPr>
        <w:ind w:right="140" w:firstLine="921"/>
        <w:spacing w:after="0" w:line="256" w:lineRule="auto"/>
        <w:tabs>
          <w:tab w:leader="none" w:pos="1161"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Electronic Execution of Assignments</w:t>
      </w:r>
      <w:r>
        <w:rPr>
          <w:rFonts w:ascii="Arial" w:cs="Arial" w:eastAsia="Arial" w:hAnsi="Arial"/>
          <w:sz w:val="18"/>
          <w:szCs w:val="18"/>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w:t>
      </w:r>
    </w:p>
    <w:p>
      <w:pPr>
        <w:spacing w:after="0" w:line="130"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57" w:name="page458"/>
    <w:bookmarkEnd w:id="4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 the New York State Electronic Signatures and Records Act, or any other similar state laws based on the Uniform Electronic Transactions Act.</w:t>
      </w:r>
    </w:p>
    <w:p>
      <w:pPr>
        <w:spacing w:after="0" w:line="194"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07"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6"/>
          <w:szCs w:val="16"/>
          <w:u w:val="single" w:color="auto"/>
          <w:color w:val="auto"/>
        </w:rPr>
        <w:t>Sections 2.17(d)</w:t>
      </w:r>
      <w:r>
        <w:rPr>
          <w:rFonts w:ascii="Arial" w:cs="Arial" w:eastAsia="Arial" w:hAnsi="Arial"/>
          <w:sz w:val="16"/>
          <w:szCs w:val="16"/>
          <w:color w:val="auto"/>
        </w:rPr>
        <w:t xml:space="preserve"> and, pending such payment, shall be segregated by such Defaulting Lender from its other funds and deemed held in trust for the benefit of Administrative Agent, the Issuing Bank,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 of the State of New York.</w:t>
      </w:r>
    </w:p>
    <w:p>
      <w:pPr>
        <w:spacing w:after="0" w:line="171" w:lineRule="exact"/>
        <w:rPr>
          <w:rFonts w:ascii="Arial" w:cs="Arial" w:eastAsia="Arial" w:hAnsi="Arial"/>
          <w:sz w:val="18"/>
          <w:szCs w:val="18"/>
          <w:color w:val="auto"/>
        </w:rPr>
      </w:pPr>
    </w:p>
    <w:p>
      <w:pPr>
        <w:ind w:right="60" w:firstLine="921"/>
        <w:spacing w:after="0" w:line="253" w:lineRule="auto"/>
        <w:tabs>
          <w:tab w:leader="none" w:pos="1161"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w:t>
      </w:r>
    </w:p>
    <w:p>
      <w:pPr>
        <w:spacing w:after="0" w:line="132"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58" w:name="page459"/>
    <w:bookmarkEnd w:id="4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 relating to this Agreement against the Borrower or its properties in the courts of any jurisdiction.</w:t>
      </w:r>
    </w:p>
    <w:p>
      <w:pPr>
        <w:spacing w:after="0" w:line="171" w:lineRule="exact"/>
        <w:rPr>
          <w:sz w:val="20"/>
          <w:szCs w:val="20"/>
          <w:color w:val="auto"/>
        </w:rPr>
      </w:pPr>
    </w:p>
    <w:p>
      <w:pPr>
        <w:jc w:val="both"/>
        <w:ind w:right="380" w:firstLine="921"/>
        <w:spacing w:after="0" w:line="298" w:lineRule="auto"/>
        <w:tabs>
          <w:tab w:leader="none" w:pos="1152" w:val="left"/>
        </w:tabs>
        <w:numPr>
          <w:ilvl w:val="0"/>
          <w:numId w:val="516"/>
        </w:numPr>
        <w:rPr>
          <w:rFonts w:ascii="Arial" w:cs="Arial" w:eastAsia="Arial" w:hAnsi="Arial"/>
          <w:sz w:val="16"/>
          <w:szCs w:val="16"/>
          <w:color w:val="auto"/>
        </w:rPr>
      </w:pPr>
      <w:r>
        <w:rPr>
          <w:rFonts w:ascii="Arial" w:cs="Arial" w:eastAsia="Arial" w:hAnsi="Arial"/>
          <w:sz w:val="16"/>
          <w:szCs w:val="16"/>
          <w:u w:val="single" w:color="auto"/>
          <w:color w:val="auto"/>
        </w:rPr>
        <w:t>Waiver of Venue</w:t>
      </w:r>
      <w:r>
        <w:rPr>
          <w:rFonts w:ascii="Arial" w:cs="Arial" w:eastAsia="Arial" w:hAnsi="Arial"/>
          <w:sz w:val="16"/>
          <w:szCs w:val="16"/>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12" w:lineRule="exact"/>
        <w:rPr>
          <w:rFonts w:ascii="Arial" w:cs="Arial" w:eastAsia="Arial" w:hAnsi="Arial"/>
          <w:sz w:val="16"/>
          <w:szCs w:val="16"/>
          <w:color w:val="auto"/>
        </w:rPr>
      </w:pPr>
    </w:p>
    <w:p>
      <w:pPr>
        <w:ind w:right="60" w:firstLine="921"/>
        <w:spacing w:after="0" w:line="256" w:lineRule="auto"/>
        <w:tabs>
          <w:tab w:leader="none" w:pos="1161"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to this Agreement (i) irrevocably consents to service of process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and (ii) agrees that service as provided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43"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4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This is an international loan transaction in which the specification of Dollars or any Foreign Currency, as the case may be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and payment in New York City or the country of the Specified Currency, as the case may be (the “</w:t>
      </w:r>
      <w:r>
        <w:rPr>
          <w:rFonts w:ascii="Arial" w:cs="Arial" w:eastAsia="Arial" w:hAnsi="Arial"/>
          <w:sz w:val="16"/>
          <w:szCs w:val="16"/>
          <w:u w:val="single" w:color="auto"/>
          <w:color w:val="auto"/>
        </w:rPr>
        <w:t>Specified Place</w:t>
      </w:r>
      <w:r>
        <w:rPr>
          <w:rFonts w:ascii="Arial" w:cs="Arial" w:eastAsia="Arial" w:hAnsi="Arial"/>
          <w:sz w:val="16"/>
          <w:szCs w:val="16"/>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6"/>
          <w:szCs w:val="16"/>
          <w:u w:val="single" w:color="auto"/>
          <w:color w:val="auto"/>
        </w:rPr>
        <w:t>Second Currency</w:t>
      </w:r>
      <w:r>
        <w:rPr>
          <w:rFonts w:ascii="Arial" w:cs="Arial" w:eastAsia="Arial" w:hAnsi="Arial"/>
          <w:sz w:val="16"/>
          <w:szCs w:val="16"/>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w:t>
      </w:r>
    </w:p>
    <w:p>
      <w:pPr>
        <w:spacing w:after="0" w:line="109"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59" w:name="page460"/>
    <w:bookmarkEnd w:id="45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 (in this Section called an “</w:t>
      </w:r>
      <w:r>
        <w:rPr>
          <w:rFonts w:ascii="Arial" w:cs="Arial" w:eastAsia="Arial" w:hAnsi="Arial"/>
          <w:sz w:val="16"/>
          <w:szCs w:val="16"/>
          <w:u w:val="single" w:color="auto"/>
          <w:color w:val="auto"/>
        </w:rPr>
        <w:t>Entitled Person</w:t>
      </w:r>
      <w:r>
        <w:rPr>
          <w:rFonts w:ascii="Arial" w:cs="Arial" w:eastAsia="Arial" w:hAnsi="Arial"/>
          <w:sz w:val="16"/>
          <w:szCs w:val="16"/>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2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Treatment of Certain Information; No Fiduciary Duty; Confidentiality</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5" w:lineRule="auto"/>
        <w:tabs>
          <w:tab w:leader="none" w:pos="1152" w:val="left"/>
        </w:tabs>
        <w:numPr>
          <w:ilvl w:val="0"/>
          <w:numId w:val="517"/>
        </w:numPr>
        <w:rPr>
          <w:rFonts w:ascii="Arial" w:cs="Arial" w:eastAsia="Arial" w:hAnsi="Arial"/>
          <w:sz w:val="16"/>
          <w:szCs w:val="16"/>
          <w:color w:val="auto"/>
        </w:rPr>
      </w:pPr>
      <w:r>
        <w:rPr>
          <w:rFonts w:ascii="Arial" w:cs="Arial" w:eastAsia="Arial" w:hAnsi="Arial"/>
          <w:sz w:val="16"/>
          <w:szCs w:val="16"/>
          <w:u w:val="single" w:color="auto"/>
          <w:color w:val="auto"/>
        </w:rPr>
        <w:t>Treatment of Certain Information</w:t>
      </w:r>
      <w:r>
        <w:rPr>
          <w:rFonts w:ascii="Arial" w:cs="Arial" w:eastAsia="Arial" w:hAnsi="Arial"/>
          <w:sz w:val="16"/>
          <w:szCs w:val="16"/>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w:t>
      </w:r>
    </w:p>
    <w:p>
      <w:pPr>
        <w:spacing w:after="0" w:line="108"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60" w:name="page461"/>
    <w:bookmarkEnd w:id="460"/>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47" w:lineRule="exact"/>
        <w:rPr>
          <w:sz w:val="20"/>
          <w:szCs w:val="20"/>
          <w:color w:val="auto"/>
        </w:rPr>
      </w:pPr>
    </w:p>
    <w:p>
      <w:pPr>
        <w:ind w:right="20" w:firstLine="921"/>
        <w:spacing w:after="0" w:line="285" w:lineRule="auto"/>
        <w:tabs>
          <w:tab w:leader="none" w:pos="1161"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Lenders, the Swingline Lender and the Issuing Bank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128"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 by the Borrower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07"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61" w:name="page462"/>
    <w:bookmarkEnd w:id="46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9.14.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Borrower that pursuant to the requirements of the USA PATRIOT Act (Title</w:t>
      </w:r>
    </w:p>
    <w:p>
      <w:pPr>
        <w:spacing w:after="0" w:line="38" w:lineRule="exact"/>
        <w:rPr>
          <w:sz w:val="20"/>
          <w:szCs w:val="20"/>
          <w:color w:val="auto"/>
        </w:rPr>
      </w:pPr>
    </w:p>
    <w:p>
      <w:pPr>
        <w:ind w:right="160" w:firstLine="8"/>
        <w:spacing w:after="0" w:line="255" w:lineRule="auto"/>
        <w:tabs>
          <w:tab w:leader="none" w:pos="219" w:val="left"/>
        </w:tabs>
        <w:numPr>
          <w:ilvl w:val="0"/>
          <w:numId w:val="519"/>
        </w:numPr>
        <w:rPr>
          <w:rFonts w:ascii="Arial" w:cs="Arial" w:eastAsia="Arial" w:hAnsi="Arial"/>
          <w:sz w:val="18"/>
          <w:szCs w:val="18"/>
          <w:color w:val="auto"/>
        </w:rPr>
      </w:pPr>
      <w:r>
        <w:rPr>
          <w:rFonts w:ascii="Arial" w:cs="Arial" w:eastAsia="Arial" w:hAnsi="Arial"/>
          <w:sz w:val="18"/>
          <w:szCs w:val="18"/>
          <w:color w:val="auto"/>
        </w:rPr>
        <w:t>of Pub. L. 107-56 (signed into law October 26, 2001)), it is required to obtain, verify and record information that identifies the Borrower and each other Obligor, which information includes the name and address of the Borrower and each other Obligor and other information that will allow such Lender to identify the Borrower and each other Obligor in accordance with said Act.</w:t>
      </w:r>
    </w:p>
    <w:p>
      <w:pPr>
        <w:spacing w:after="0" w:line="144"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Effect of Amendment and Restatement of the Existing Credit Agreement</w:t>
      </w:r>
      <w:r>
        <w:rPr>
          <w:rFonts w:ascii="Arial" w:cs="Arial" w:eastAsia="Arial" w:hAnsi="Arial"/>
          <w:sz w:val="16"/>
          <w:szCs w:val="16"/>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1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Reaffirmation of Guarantee and Security Agreement</w:t>
      </w:r>
      <w:r>
        <w:rPr>
          <w:rFonts w:ascii="Arial" w:cs="Arial" w:eastAsia="Arial" w:hAnsi="Arial"/>
          <w:sz w:val="18"/>
          <w:szCs w:val="18"/>
          <w:color w:val="auto"/>
        </w:rPr>
        <w:t>. TC Lending, LLC hereby consents to the terms of this Agreement, confirms that its Guarantee under the Guarantee and Security Agreement remains unaltered and in full force and effect and hereby reaffirms, ratifies and confirms the terms and conditions of the Guarantee and Security Agreement.</w:t>
      </w:r>
    </w:p>
    <w:p>
      <w:pPr>
        <w:spacing w:after="0" w:line="127"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62" w:name="page463"/>
    <w:bookmarkEnd w:id="462"/>
    <w:p>
      <w:pPr>
        <w:ind w:right="2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Joshua Easterly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Co-Chief Executive Officer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9" w:right="239" w:bottom="1440" w:gutter="0" w:footer="0" w:header="0"/>
        </w:sectPr>
      </w:pPr>
    </w:p>
    <w:bookmarkStart w:id="463" w:name="page464"/>
    <w:bookmarkEnd w:id="46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 as Administrative Agent,</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Swingline Lender, Issuing Bank and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David Bennett</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79" w:right="239" w:bottom="1440" w:gutter="0" w:footer="0" w:header="0"/>
        </w:sectPr>
      </w:pPr>
    </w:p>
    <w:bookmarkStart w:id="464" w:name="page465"/>
    <w:bookmarkEnd w:id="46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Jacob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Jacob Garcia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80" w:right="239" w:bottom="1440" w:gutter="0" w:footer="0" w:header="0"/>
        </w:sectPr>
      </w:pPr>
    </w:p>
    <w:bookmarkStart w:id="465" w:name="page466"/>
    <w:bookmarkEnd w:id="46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BANK PLC,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Noam Azachi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Noam Azachi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80" w:right="239" w:bottom="1440" w:gutter="0" w:footer="0" w:header="0"/>
        </w:sectPr>
      </w:pPr>
    </w:p>
    <w:bookmarkStart w:id="466" w:name="page467"/>
    <w:bookmarkEnd w:id="46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 FINANCE LLC,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Renee M.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Renee M. Singer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80" w:right="239" w:bottom="1440" w:gutter="0" w:footer="0" w:header="0"/>
        </w:sectPr>
      </w:pPr>
    </w:p>
    <w:bookmarkStart w:id="467" w:name="page468"/>
    <w:bookmarkEnd w:id="46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Eros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Eros Marshall</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79" w:right="239" w:bottom="1440" w:gutter="0" w:footer="0" w:header="0"/>
        </w:sectPr>
      </w:pPr>
    </w:p>
    <w:bookmarkStart w:id="468" w:name="page469"/>
    <w:bookmarkEnd w:id="46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Mark Walton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79" w:right="239" w:bottom="1440" w:gutter="0" w:footer="0" w:header="0"/>
        </w:sectPr>
      </w:pPr>
    </w:p>
    <w:bookmarkStart w:id="469" w:name="page470"/>
    <w:bookmarkEnd w:id="46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 Morgan Chase Bank N.A.,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Matthew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Matthew Griffith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80" w:right="239" w:bottom="1440" w:gutter="0" w:footer="0" w:header="0"/>
        </w:sectPr>
      </w:pPr>
    </w:p>
    <w:bookmarkStart w:id="470" w:name="page471"/>
    <w:bookmarkEnd w:id="47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Lloyds Bank plc,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Stephen Giacolone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Stephen Giacolone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Assistant Vice President – G011</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McClellan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Dennis McClellan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Assistant Vice President – M040</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80" w:right="239" w:bottom="1440" w:gutter="0" w:footer="0" w:header="0"/>
        </w:sectPr>
      </w:pPr>
    </w:p>
    <w:bookmarkStart w:id="471" w:name="page472"/>
    <w:bookmarkEnd w:id="47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BANK, N.A.,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Kelly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Kelly Chin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80" w:right="239" w:bottom="1440" w:gutter="0" w:footer="0" w:header="0"/>
        </w:sectPr>
      </w:pPr>
    </w:p>
    <w:bookmarkStart w:id="472" w:name="page473"/>
    <w:bookmarkEnd w:id="47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Janet B. Nolin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Janet B. Nolin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79" w:right="239" w:bottom="1440" w:gutter="0" w:footer="0" w:header="0"/>
        </w:sectPr>
      </w:pPr>
    </w:p>
    <w:bookmarkStart w:id="473" w:name="page474"/>
    <w:bookmarkEnd w:id="47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Agreed and acknowledged solely with respect to section 9.16:</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TC LENDING,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Joshua Easterly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79" w:right="239" w:bottom="1440" w:gutter="0" w:footer="0" w:header="0"/>
        </w:sectPr>
      </w:pPr>
    </w:p>
    <w:bookmarkStart w:id="474" w:name="page475"/>
    <w:bookmarkEnd w:id="47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960" w:type="dxa"/>
            <w:vAlign w:val="bottom"/>
            <w:gridSpan w:val="3"/>
          </w:tcPr>
          <w:p>
            <w:pPr>
              <w:ind w:left="1120"/>
              <w:spacing w:after="0"/>
              <w:rPr>
                <w:sz w:val="20"/>
                <w:szCs w:val="20"/>
                <w:color w:val="auto"/>
              </w:rPr>
            </w:pPr>
            <w:r>
              <w:rPr>
                <w:rFonts w:ascii="Arial" w:cs="Arial" w:eastAsia="Arial" w:hAnsi="Arial"/>
                <w:sz w:val="18"/>
                <w:szCs w:val="18"/>
                <w:b w:val="1"/>
                <w:bCs w:val="1"/>
                <w:color w:val="auto"/>
              </w:rPr>
              <w:t>SUBSIDIARIES OF TPG SPECIALTY LENDING, INC.</w:t>
            </w:r>
          </w:p>
        </w:tc>
      </w:tr>
      <w:tr>
        <w:trPr>
          <w:trHeight w:val="366"/>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201"/>
        </w:trPr>
        <w:tc>
          <w:tcPr>
            <w:tcW w:w="20" w:type="dxa"/>
            <w:vAlign w:val="bottom"/>
          </w:tcPr>
          <w:p>
            <w:pPr>
              <w:spacing w:after="0"/>
              <w:rPr>
                <w:sz w:val="17"/>
                <w:szCs w:val="17"/>
                <w:color w:val="auto"/>
              </w:rPr>
            </w:pPr>
          </w:p>
        </w:tc>
        <w:tc>
          <w:tcPr>
            <w:tcW w:w="2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TC Lending, LLC</w:t>
            </w:r>
          </w:p>
        </w:tc>
        <w:tc>
          <w:tcPr>
            <w:tcW w:w="3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Delaware</w:t>
            </w: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TPG SL SPV, LLC</w:t>
            </w: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6" w:right="239" w:bottom="1440" w:gutter="0" w:footer="0" w:header="0"/>
        </w:sectPr>
      </w:pPr>
    </w:p>
    <w:bookmarkStart w:id="475" w:name="page476"/>
    <w:bookmarkEnd w:id="475"/>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306" w:lineRule="auto"/>
        <w:tabs>
          <w:tab w:leader="none" w:pos="1480" w:val="left"/>
        </w:tabs>
        <w:numPr>
          <w:ilvl w:val="1"/>
          <w:numId w:val="5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480" w:right="440" w:hanging="567"/>
        <w:spacing w:after="0" w:line="357" w:lineRule="auto"/>
        <w:tabs>
          <w:tab w:leader="none" w:pos="1480" w:val="left"/>
        </w:tabs>
        <w:numPr>
          <w:ilvl w:val="1"/>
          <w:numId w:val="5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2014</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F</w:t>
      </w:r>
      <w:r>
        <w:rPr>
          <w:rFonts w:ascii="Arial" w:cs="Arial" w:eastAsia="Arial" w:hAnsi="Arial"/>
          <w:sz w:val="14"/>
          <w:szCs w:val="14"/>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Michael Fishman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125" w:right="239" w:bottom="1440" w:gutter="0" w:footer="0" w:header="0"/>
        </w:sectPr>
      </w:pPr>
    </w:p>
    <w:bookmarkStart w:id="476" w:name="page477"/>
    <w:bookmarkEnd w:id="476"/>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90" w:lineRule="exact"/>
        <w:rPr>
          <w:sz w:val="20"/>
          <w:szCs w:val="20"/>
          <w:color w:val="auto"/>
        </w:rPr>
      </w:pPr>
    </w:p>
    <w:p>
      <w:pPr>
        <w:ind w:left="900" w:hanging="446"/>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306" w:lineRule="auto"/>
        <w:tabs>
          <w:tab w:leader="none" w:pos="1480" w:val="left"/>
        </w:tabs>
        <w:numPr>
          <w:ilvl w:val="1"/>
          <w:numId w:val="5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480" w:right="440" w:hanging="567"/>
        <w:spacing w:after="0" w:line="357" w:lineRule="auto"/>
        <w:tabs>
          <w:tab w:leader="none" w:pos="1480" w:val="left"/>
        </w:tabs>
        <w:numPr>
          <w:ilvl w:val="1"/>
          <w:numId w:val="5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2014</w:t>
      </w:r>
    </w:p>
    <w:p>
      <w:pPr>
        <w:spacing w:after="0" w:line="320"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OSHUA</w:t>
      </w:r>
      <w:r>
        <w:rPr>
          <w:rFonts w:ascii="Arial" w:cs="Arial" w:eastAsia="Arial" w:hAnsi="Arial"/>
          <w:sz w:val="18"/>
          <w:szCs w:val="18"/>
          <w:color w:val="auto"/>
        </w:rPr>
        <w:t xml:space="preserve"> E</w:t>
      </w:r>
      <w:r>
        <w:rPr>
          <w:rFonts w:ascii="Arial" w:cs="Arial" w:eastAsia="Arial" w:hAnsi="Arial"/>
          <w:sz w:val="14"/>
          <w:szCs w:val="14"/>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Joshua Easterly</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125" w:right="239" w:bottom="1440" w:gutter="0" w:footer="0" w:header="0"/>
        </w:sectPr>
      </w:pPr>
    </w:p>
    <w:bookmarkStart w:id="477" w:name="page478"/>
    <w:bookmarkEnd w:id="477"/>
    <w:p>
      <w:pPr>
        <w:jc w:val="right"/>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Alan Kirshenbaum, certify that:</w:t>
      </w:r>
    </w:p>
    <w:p>
      <w:pPr>
        <w:spacing w:after="0" w:line="90" w:lineRule="exact"/>
        <w:rPr>
          <w:sz w:val="20"/>
          <w:szCs w:val="20"/>
          <w:color w:val="auto"/>
        </w:rPr>
      </w:pPr>
    </w:p>
    <w:p>
      <w:pPr>
        <w:ind w:left="900" w:hanging="446"/>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306" w:lineRule="auto"/>
        <w:tabs>
          <w:tab w:leader="none" w:pos="1480" w:val="left"/>
        </w:tabs>
        <w:numPr>
          <w:ilvl w:val="1"/>
          <w:numId w:val="5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480" w:right="440" w:hanging="567"/>
        <w:spacing w:after="0" w:line="357" w:lineRule="auto"/>
        <w:tabs>
          <w:tab w:leader="none" w:pos="1480" w:val="left"/>
        </w:tabs>
        <w:numPr>
          <w:ilvl w:val="1"/>
          <w:numId w:val="5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2014</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LAN</w:t>
      </w:r>
      <w:r>
        <w:rPr>
          <w:rFonts w:ascii="Arial" w:cs="Arial" w:eastAsia="Arial" w:hAnsi="Arial"/>
          <w:sz w:val="18"/>
          <w:szCs w:val="18"/>
          <w:color w:val="auto"/>
        </w:rPr>
        <w:t xml:space="preserve"> K</w:t>
      </w:r>
      <w:r>
        <w:rPr>
          <w:rFonts w:ascii="Arial" w:cs="Arial" w:eastAsia="Arial" w:hAnsi="Arial"/>
          <w:sz w:val="14"/>
          <w:szCs w:val="14"/>
          <w:color w:val="auto"/>
        </w:rPr>
        <w:t>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Alan Kirshenbaum</w:t>
      </w:r>
    </w:p>
    <w:p>
      <w:pPr>
        <w:spacing w:after="0" w:line="1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78" w:name="page479"/>
    <w:bookmarkEnd w:id="478"/>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connection with the annual report on Form 10-K of TPG Specialty Lending, Inc. (the “Company”) for the annual period ended December 31, 2013, as filed with the Securities and Exchange Commission on the date hereof (the “Report”), Michael Fishman, as Co-Chief Executive Officer of the Company, Joshua Easterly, as Co-Chief Executive Officer of the Company and Alan Kirshenbaum, as Chief Financial Officer of the Company, each hereby certifies, pursuant to 18 U.S.C. § 1350, as adopted pursuant to § 906 of the Sarbanes-Oxley Act of 2002, that, to such officer’s knowledge:</w:t>
      </w:r>
    </w:p>
    <w:p>
      <w:pPr>
        <w:spacing w:after="0" w:line="153" w:lineRule="exact"/>
        <w:rPr>
          <w:sz w:val="20"/>
          <w:szCs w:val="20"/>
          <w:color w:val="auto"/>
        </w:rPr>
      </w:pPr>
    </w:p>
    <w:p>
      <w:pPr>
        <w:ind w:left="900" w:hanging="446"/>
        <w:spacing w:after="0"/>
        <w:tabs>
          <w:tab w:leader="none" w:pos="90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F</w:t>
      </w:r>
      <w:r>
        <w:rPr>
          <w:rFonts w:ascii="Arial" w:cs="Arial" w:eastAsia="Arial" w:hAnsi="Arial"/>
          <w:sz w:val="14"/>
          <w:szCs w:val="14"/>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Fishman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Co-Chief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2014</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OSHUA</w:t>
      </w:r>
      <w:r>
        <w:rPr>
          <w:rFonts w:ascii="Arial" w:cs="Arial" w:eastAsia="Arial" w:hAnsi="Arial"/>
          <w:sz w:val="18"/>
          <w:szCs w:val="18"/>
          <w:color w:val="auto"/>
        </w:rPr>
        <w:t xml:space="preserve"> E</w:t>
      </w:r>
      <w:r>
        <w:rPr>
          <w:rFonts w:ascii="Arial" w:cs="Arial" w:eastAsia="Arial" w:hAnsi="Arial"/>
          <w:sz w:val="14"/>
          <w:szCs w:val="14"/>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Joshua Easterly</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Co-Chief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2014</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LAN</w:t>
      </w:r>
      <w:r>
        <w:rPr>
          <w:rFonts w:ascii="Arial" w:cs="Arial" w:eastAsia="Arial" w:hAnsi="Arial"/>
          <w:sz w:val="18"/>
          <w:szCs w:val="18"/>
          <w:color w:val="auto"/>
        </w:rPr>
        <w:t xml:space="preserve"> K</w:t>
      </w:r>
      <w:r>
        <w:rPr>
          <w:rFonts w:ascii="Arial" w:cs="Arial" w:eastAsia="Arial" w:hAnsi="Arial"/>
          <w:sz w:val="14"/>
          <w:szCs w:val="14"/>
          <w:color w:val="auto"/>
        </w:rPr>
        <w:t>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Alan Kirshenbaum</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2014</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8A92BA"/>
    <w:multiLevelType w:val="hybridMultilevel"/>
    <w:lvl w:ilvl="0">
      <w:lvlJc w:val="left"/>
      <w:lvlText w:val="☒"/>
      <w:numFmt w:val="bullet"/>
      <w:start w:val="1"/>
    </w:lvl>
  </w:abstractNum>
  <w:abstractNum w:abstractNumId="1">
    <w:nsid w:val="6FE95EAC"/>
    <w:multiLevelType w:val="hybridMultilevel"/>
    <w:lvl w:ilvl="0">
      <w:lvlJc w:val="left"/>
      <w:lvlText w:val="☐"/>
      <w:numFmt w:val="bullet"/>
      <w:start w:val="1"/>
    </w:lvl>
  </w:abstractNum>
  <w:abstractNum w:abstractNumId="2">
    <w:nsid w:val="4B697C7A"/>
    <w:multiLevelType w:val="hybridMultilevel"/>
    <w:lvl w:ilvl="0">
      <w:lvlJc w:val="left"/>
      <w:lvlText w:val="•"/>
      <w:numFmt w:val="bullet"/>
      <w:start w:val="1"/>
    </w:lvl>
  </w:abstractNum>
  <w:abstractNum w:abstractNumId="3">
    <w:nsid w:val="51A27AA6"/>
    <w:multiLevelType w:val="hybridMultilevel"/>
    <w:lvl w:ilvl="0">
      <w:lvlJc w:val="left"/>
      <w:lvlText w:val="•"/>
      <w:numFmt w:val="bullet"/>
      <w:start w:val="1"/>
    </w:lvl>
  </w:abstractNum>
  <w:abstractNum w:abstractNumId="4">
    <w:nsid w:val="613183F2"/>
    <w:multiLevelType w:val="hybridMultilevel"/>
    <w:lvl w:ilvl="0">
      <w:lvlJc w:val="left"/>
      <w:lvlText w:val="•"/>
      <w:numFmt w:val="bullet"/>
      <w:start w:val="1"/>
    </w:lvl>
  </w:abstractNum>
  <w:abstractNum w:abstractNumId="5">
    <w:nsid w:val="634102B4"/>
    <w:multiLevelType w:val="hybridMultilevel"/>
    <w:lvl w:ilvl="0">
      <w:lvlJc w:val="left"/>
      <w:lvlText w:val="•"/>
      <w:numFmt w:val="bullet"/>
      <w:start w:val="1"/>
    </w:lvl>
  </w:abstractNum>
  <w:abstractNum w:abstractNumId="6">
    <w:nsid w:val="65BF9DA8"/>
    <w:multiLevelType w:val="hybridMultilevel"/>
    <w:lvl w:ilvl="0">
      <w:lvlJc w:val="left"/>
      <w:lvlText w:val="•"/>
      <w:numFmt w:val="bullet"/>
      <w:start w:val="1"/>
    </w:lvl>
  </w:abstractNum>
  <w:abstractNum w:abstractNumId="7">
    <w:nsid w:val="21A2ECCA"/>
    <w:multiLevelType w:val="hybridMultilevel"/>
    <w:lvl w:ilvl="0">
      <w:lvlJc w:val="left"/>
      <w:lvlText w:val="•"/>
      <w:numFmt w:val="bullet"/>
      <w:start w:val="1"/>
    </w:lvl>
  </w:abstractNum>
  <w:abstractNum w:abstractNumId="8">
    <w:nsid w:val="4D5C4899"/>
    <w:multiLevelType w:val="hybridMultilevel"/>
    <w:lvl w:ilvl="0">
      <w:lvlJc w:val="left"/>
      <w:lvlText w:val="•"/>
      <w:numFmt w:val="bullet"/>
      <w:start w:val="1"/>
    </w:lvl>
  </w:abstractNum>
  <w:abstractNum w:abstractNumId="9">
    <w:nsid w:val="3C3B72B2"/>
    <w:multiLevelType w:val="hybridMultilevel"/>
    <w:lvl w:ilvl="0">
      <w:lvlJc w:val="left"/>
      <w:lvlText w:val="•"/>
      <w:numFmt w:val="bullet"/>
      <w:start w:val="1"/>
    </w:lvl>
  </w:abstractNum>
  <w:abstractNum w:abstractNumId="10">
    <w:nsid w:val="155EC4C2"/>
    <w:multiLevelType w:val="hybridMultilevel"/>
    <w:lvl w:ilvl="0">
      <w:lvlJc w:val="left"/>
      <w:lvlText w:val="•"/>
      <w:numFmt w:val="bullet"/>
      <w:start w:val="1"/>
    </w:lvl>
    <w:lvl w:ilvl="1">
      <w:lvlJc w:val="left"/>
      <w:lvlText w:val="•"/>
      <w:numFmt w:val="bullet"/>
      <w:start w:val="1"/>
    </w:lvl>
  </w:abstractNum>
  <w:abstractNum w:abstractNumId="11">
    <w:nsid w:val="65D2A137"/>
    <w:multiLevelType w:val="hybridMultilevel"/>
    <w:lvl w:ilvl="0">
      <w:lvlJc w:val="left"/>
      <w:lvlText w:val="•"/>
      <w:numFmt w:val="bullet"/>
      <w:start w:val="1"/>
    </w:lvl>
  </w:abstractNum>
  <w:abstractNum w:abstractNumId="12">
    <w:nsid w:val="6EBB1F2A"/>
    <w:multiLevelType w:val="hybridMultilevel"/>
    <w:lvl w:ilvl="0">
      <w:lvlJc w:val="left"/>
      <w:lvlText w:val="•"/>
      <w:numFmt w:val="bullet"/>
      <w:start w:val="1"/>
    </w:lvl>
  </w:abstractNum>
  <w:abstractNum w:abstractNumId="13">
    <w:nsid w:val="6FBF29CB"/>
    <w:multiLevelType w:val="hybridMultilevel"/>
    <w:lvl w:ilvl="0">
      <w:lvlJc w:val="left"/>
      <w:lvlText w:val="(%1)"/>
      <w:numFmt w:val="decimal"/>
      <w:start w:val="1"/>
    </w:lvl>
  </w:abstractNum>
  <w:abstractNum w:abstractNumId="14">
    <w:nsid w:val="550B8808"/>
    <w:multiLevelType w:val="hybridMultilevel"/>
    <w:lvl w:ilvl="0">
      <w:lvlJc w:val="left"/>
      <w:lvlText w:val="(%1)"/>
      <w:numFmt w:val="decimal"/>
      <w:start w:val="1"/>
    </w:lvl>
  </w:abstractNum>
  <w:abstractNum w:abstractNumId="15">
    <w:nsid w:val="34CC3ACF"/>
    <w:multiLevelType w:val="hybridMultilevel"/>
    <w:lvl w:ilvl="0">
      <w:lvlJc w:val="left"/>
      <w:lvlText w:val="•"/>
      <w:numFmt w:val="bullet"/>
      <w:start w:val="1"/>
    </w:lvl>
  </w:abstractNum>
  <w:abstractNum w:abstractNumId="16">
    <w:nsid w:val="4E556261"/>
    <w:multiLevelType w:val="hybridMultilevel"/>
    <w:lvl w:ilvl="0">
      <w:lvlJc w:val="left"/>
      <w:lvlText w:val="(%1)"/>
      <w:numFmt w:val="lowerRoman"/>
      <w:start w:val="2"/>
    </w:lvl>
  </w:abstractNum>
  <w:abstractNum w:abstractNumId="17">
    <w:nsid w:val="4C672FC9"/>
    <w:multiLevelType w:val="hybridMultilevel"/>
    <w:lvl w:ilvl="0">
      <w:lvlJc w:val="left"/>
      <w:lvlText w:val="•"/>
      <w:numFmt w:val="bullet"/>
      <w:start w:val="1"/>
    </w:lvl>
  </w:abstractNum>
  <w:abstractNum w:abstractNumId="18">
    <w:nsid w:val="52A311C3"/>
    <w:multiLevelType w:val="hybridMultilevel"/>
    <w:lvl w:ilvl="0">
      <w:lvlJc w:val="left"/>
      <w:lvlText w:val="(%1)"/>
      <w:numFmt w:val="lowerRoman"/>
      <w:start w:val="1"/>
    </w:lvl>
  </w:abstractNum>
  <w:abstractNum w:abstractNumId="19">
    <w:nsid w:val="44EF6B80"/>
    <w:multiLevelType w:val="hybridMultilevel"/>
    <w:lvl w:ilvl="0">
      <w:lvlJc w:val="left"/>
      <w:lvlText w:val="(%1)"/>
      <w:numFmt w:val="lowerRoman"/>
      <w:start w:val="2"/>
    </w:lvl>
  </w:abstractNum>
  <w:abstractNum w:abstractNumId="20">
    <w:nsid w:val="12FCDE5E"/>
    <w:multiLevelType w:val="hybridMultilevel"/>
    <w:lvl w:ilvl="0">
      <w:lvlJc w:val="left"/>
      <w:lvlText w:val="•"/>
      <w:numFmt w:val="bullet"/>
      <w:start w:val="1"/>
    </w:lvl>
  </w:abstractNum>
  <w:abstractNum w:abstractNumId="21">
    <w:nsid w:val="4A1D606E"/>
    <w:multiLevelType w:val="hybridMultilevel"/>
    <w:lvl w:ilvl="0">
      <w:lvlJc w:val="left"/>
      <w:lvlText w:val="="/>
      <w:numFmt w:val="bullet"/>
      <w:start w:val="1"/>
    </w:lvl>
  </w:abstractNum>
  <w:abstractNum w:abstractNumId="22">
    <w:nsid w:val="4382503"/>
    <w:multiLevelType w:val="hybridMultilevel"/>
    <w:lvl w:ilvl="0">
      <w:lvlJc w:val="left"/>
      <w:lvlText w:val="(%1)"/>
      <w:numFmt w:val="decimal"/>
    </w:lvl>
    <w:lvl w:ilvl="1">
      <w:lvlJc w:val="left"/>
      <w:lvlText w:val="="/>
      <w:numFmt w:val="bullet"/>
      <w:start w:val="1"/>
    </w:lvl>
  </w:abstractNum>
  <w:abstractNum w:abstractNumId="23">
    <w:nsid w:val="59B76E28"/>
    <w:multiLevelType w:val="hybridMultilevel"/>
    <w:lvl w:ilvl="0">
      <w:lvlJc w:val="left"/>
      <w:lvlText w:val="(*)"/>
      <w:numFmt w:val="bullet"/>
      <w:start w:val="1"/>
    </w:lvl>
  </w:abstractNum>
  <w:abstractNum w:abstractNumId="24">
    <w:nsid w:val="4252C2DA"/>
    <w:multiLevelType w:val="hybridMultilevel"/>
    <w:lvl w:ilvl="0">
      <w:lvlJc w:val="left"/>
      <w:lvlText w:val="•"/>
      <w:numFmt w:val="bullet"/>
      <w:start w:val="1"/>
    </w:lvl>
  </w:abstractNum>
  <w:abstractNum w:abstractNumId="25">
    <w:nsid w:val="6A92EF4C"/>
    <w:multiLevelType w:val="hybridMultilevel"/>
    <w:lvl w:ilvl="0">
      <w:lvlJc w:val="left"/>
      <w:lvlText w:val="•"/>
      <w:numFmt w:val="bullet"/>
      <w:start w:val="1"/>
    </w:lvl>
  </w:abstractNum>
  <w:abstractNum w:abstractNumId="26">
    <w:nsid w:val="41ED20D7"/>
    <w:multiLevelType w:val="hybridMultilevel"/>
    <w:lvl w:ilvl="0">
      <w:lvlJc w:val="left"/>
      <w:lvlText w:val="•"/>
      <w:numFmt w:val="bullet"/>
      <w:start w:val="1"/>
    </w:lvl>
  </w:abstractNum>
  <w:abstractNum w:abstractNumId="27">
    <w:nsid w:val="E6B3F6A"/>
    <w:multiLevelType w:val="hybridMultilevel"/>
    <w:lvl w:ilvl="0">
      <w:lvlJc w:val="left"/>
      <w:lvlText w:val="•"/>
      <w:numFmt w:val="bullet"/>
      <w:start w:val="1"/>
    </w:lvl>
  </w:abstractNum>
  <w:abstractNum w:abstractNumId="28">
    <w:nsid w:val="3EB21819"/>
    <w:multiLevelType w:val="hybridMultilevel"/>
    <w:lvl w:ilvl="0">
      <w:lvlJc w:val="left"/>
      <w:lvlText w:val="•"/>
      <w:numFmt w:val="bullet"/>
      <w:start w:val="1"/>
    </w:lvl>
  </w:abstractNum>
  <w:abstractNum w:abstractNumId="29">
    <w:nsid w:val="41531DED"/>
    <w:multiLevelType w:val="hybridMultilevel"/>
    <w:lvl w:ilvl="0">
      <w:lvlJc w:val="left"/>
      <w:lvlText w:val="•"/>
      <w:numFmt w:val="bullet"/>
      <w:start w:val="1"/>
    </w:lvl>
  </w:abstractNum>
  <w:abstractNum w:abstractNumId="30">
    <w:nsid w:val="6353CD2"/>
    <w:multiLevelType w:val="hybridMultilevel"/>
    <w:lvl w:ilvl="0">
      <w:lvlJc w:val="left"/>
      <w:lvlText w:val="•"/>
      <w:numFmt w:val="bullet"/>
      <w:start w:val="1"/>
    </w:lvl>
  </w:abstractNum>
  <w:abstractNum w:abstractNumId="31">
    <w:nsid w:val="683CAAD3"/>
    <w:multiLevelType w:val="hybridMultilevel"/>
    <w:lvl w:ilvl="0">
      <w:lvlJc w:val="left"/>
      <w:lvlText w:val="•"/>
      <w:numFmt w:val="bullet"/>
      <w:start w:val="1"/>
    </w:lvl>
  </w:abstractNum>
  <w:abstractNum w:abstractNumId="32">
    <w:nsid w:val="313C7C99"/>
    <w:multiLevelType w:val="hybridMultilevel"/>
    <w:lvl w:ilvl="0">
      <w:lvlJc w:val="left"/>
      <w:lvlText w:val="•"/>
      <w:numFmt w:val="bullet"/>
      <w:start w:val="1"/>
    </w:lvl>
  </w:abstractNum>
  <w:abstractNum w:abstractNumId="33">
    <w:nsid w:val="519EB94C"/>
    <w:multiLevelType w:val="hybridMultilevel"/>
    <w:lvl w:ilvl="0">
      <w:lvlJc w:val="left"/>
      <w:lvlText w:val="•"/>
      <w:numFmt w:val="bullet"/>
      <w:start w:val="1"/>
    </w:lvl>
  </w:abstractNum>
  <w:abstractNum w:abstractNumId="34">
    <w:nsid w:val="39DF2579"/>
    <w:multiLevelType w:val="hybridMultilevel"/>
    <w:lvl w:ilvl="0">
      <w:lvlJc w:val="left"/>
      <w:lvlText w:val="•"/>
      <w:numFmt w:val="bullet"/>
      <w:start w:val="1"/>
    </w:lvl>
  </w:abstractNum>
  <w:abstractNum w:abstractNumId="35">
    <w:nsid w:val="126E008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6">
    <w:nsid w:val="34DFBC00"/>
    <w:multiLevelType w:val="hybridMultilevel"/>
    <w:lvl w:ilvl="0">
      <w:lvlJc w:val="left"/>
      <w:lvlText w:val="•"/>
      <w:numFmt w:val="bullet"/>
      <w:start w:val="1"/>
    </w:lvl>
  </w:abstractNum>
  <w:abstractNum w:abstractNumId="37">
    <w:nsid w:val="1F9EC322"/>
    <w:multiLevelType w:val="hybridMultilevel"/>
    <w:lvl w:ilvl="0">
      <w:lvlJc w:val="left"/>
      <w:lvlText w:val="•"/>
      <w:numFmt w:val="bullet"/>
      <w:start w:val="1"/>
    </w:lvl>
  </w:abstractNum>
  <w:abstractNum w:abstractNumId="38">
    <w:nsid w:val="3410ED56"/>
    <w:multiLevelType w:val="hybridMultilevel"/>
    <w:lvl w:ilvl="0">
      <w:lvlJc w:val="left"/>
      <w:lvlText w:val="•"/>
      <w:numFmt w:val="bullet"/>
      <w:start w:val="1"/>
    </w:lvl>
    <w:lvl w:ilvl="1">
      <w:lvlJc w:val="left"/>
      <w:lvlText w:val="•"/>
      <w:numFmt w:val="bullet"/>
      <w:start w:val="1"/>
    </w:lvl>
  </w:abstractNum>
  <w:abstractNum w:abstractNumId="39">
    <w:nsid w:val="23C049A"/>
    <w:multiLevelType w:val="hybridMultilevel"/>
    <w:lvl w:ilvl="0">
      <w:lvlJc w:val="left"/>
      <w:lvlText w:val="•"/>
      <w:numFmt w:val="bullet"/>
      <w:start w:val="1"/>
    </w:lvl>
  </w:abstractNum>
  <w:abstractNum w:abstractNumId="40">
    <w:nsid w:val="5BDA35D4"/>
    <w:multiLevelType w:val="hybridMultilevel"/>
    <w:lvl w:ilvl="0">
      <w:lvlJc w:val="left"/>
      <w:lvlText w:val="•"/>
      <w:numFmt w:val="bullet"/>
      <w:start w:val="1"/>
    </w:lvl>
  </w:abstractNum>
  <w:abstractNum w:abstractNumId="41">
    <w:nsid w:val="496FB218"/>
    <w:multiLevelType w:val="hybridMultilevel"/>
    <w:lvl w:ilvl="0">
      <w:lvlJc w:val="left"/>
      <w:lvlText w:val="•"/>
      <w:numFmt w:val="bullet"/>
      <w:start w:val="1"/>
    </w:lvl>
  </w:abstractNum>
  <w:abstractNum w:abstractNumId="42">
    <w:nsid w:val="680EA5D1"/>
    <w:multiLevelType w:val="hybridMultilevel"/>
    <w:lvl w:ilvl="0">
      <w:lvlJc w:val="left"/>
      <w:lvlText w:val="•"/>
      <w:numFmt w:val="bullet"/>
      <w:start w:val="1"/>
    </w:lvl>
    <w:lvl w:ilvl="1">
      <w:lvlJc w:val="left"/>
      <w:lvlText w:val="•"/>
      <w:numFmt w:val="bullet"/>
      <w:start w:val="1"/>
    </w:lvl>
  </w:abstractNum>
  <w:abstractNum w:abstractNumId="43">
    <w:nsid w:val="4A9554FE"/>
    <w:multiLevelType w:val="hybridMultilevel"/>
    <w:lvl w:ilvl="0">
      <w:lvlJc w:val="left"/>
      <w:lvlText w:val="•"/>
      <w:numFmt w:val="bullet"/>
      <w:start w:val="1"/>
    </w:lvl>
  </w:abstractNum>
  <w:abstractNum w:abstractNumId="44">
    <w:nsid w:val="392EDBE4"/>
    <w:multiLevelType w:val="hybridMultilevel"/>
    <w:lvl w:ilvl="0">
      <w:lvlJc w:val="left"/>
      <w:lvlText w:val="•"/>
      <w:numFmt w:val="bullet"/>
      <w:start w:val="1"/>
    </w:lvl>
  </w:abstractNum>
  <w:abstractNum w:abstractNumId="45">
    <w:nsid w:val="3D1A2DD9"/>
    <w:multiLevelType w:val="hybridMultilevel"/>
    <w:lvl w:ilvl="0">
      <w:lvlJc w:val="left"/>
      <w:lvlText w:val="•"/>
      <w:numFmt w:val="bullet"/>
      <w:start w:val="1"/>
    </w:lvl>
  </w:abstractNum>
  <w:abstractNum w:abstractNumId="46">
    <w:nsid w:val="7F618FCD"/>
    <w:multiLevelType w:val="hybridMultilevel"/>
    <w:lvl w:ilvl="0">
      <w:lvlJc w:val="left"/>
      <w:lvlText w:val="•"/>
      <w:numFmt w:val="bullet"/>
      <w:start w:val="1"/>
    </w:lvl>
  </w:abstractNum>
  <w:abstractNum w:abstractNumId="47">
    <w:nsid w:val="7843E45"/>
    <w:multiLevelType w:val="hybridMultilevel"/>
    <w:lvl w:ilvl="0">
      <w:lvlJc w:val="left"/>
      <w:lvlText w:val="•"/>
      <w:numFmt w:val="bullet"/>
      <w:start w:val="1"/>
    </w:lvl>
  </w:abstractNum>
  <w:abstractNum w:abstractNumId="48">
    <w:nsid w:val="9815DA3"/>
    <w:multiLevelType w:val="hybridMultilevel"/>
    <w:lvl w:ilvl="0">
      <w:lvlJc w:val="left"/>
      <w:lvlText w:val="•"/>
      <w:numFmt w:val="bullet"/>
      <w:start w:val="1"/>
    </w:lvl>
  </w:abstractNum>
  <w:abstractNum w:abstractNumId="49">
    <w:nsid w:val="5204A191"/>
    <w:multiLevelType w:val="hybridMultilevel"/>
    <w:lvl w:ilvl="0">
      <w:lvlJc w:val="left"/>
      <w:lvlText w:val="•"/>
      <w:numFmt w:val="bullet"/>
      <w:start w:val="1"/>
    </w:lvl>
  </w:abstractNum>
  <w:abstractNum w:abstractNumId="50">
    <w:nsid w:val="4C73A9C6"/>
    <w:multiLevelType w:val="hybridMultilevel"/>
    <w:lvl w:ilvl="0">
      <w:lvlJc w:val="left"/>
      <w:lvlText w:val="•"/>
      <w:numFmt w:val="bullet"/>
      <w:start w:val="1"/>
    </w:lvl>
  </w:abstractNum>
  <w:abstractNum w:abstractNumId="51">
    <w:nsid w:val="1C7E3C01"/>
    <w:multiLevelType w:val="hybridMultilevel"/>
    <w:lvl w:ilvl="0">
      <w:lvlJc w:val="left"/>
      <w:lvlText w:val="(%1)"/>
      <w:numFmt w:val="decimal"/>
      <w:start w:val="1"/>
    </w:lvl>
  </w:abstractNum>
  <w:abstractNum w:abstractNumId="52">
    <w:nsid w:val="1C2201FF"/>
    <w:multiLevelType w:val="hybridMultilevel"/>
    <w:lvl w:ilvl="0">
      <w:lvlJc w:val="left"/>
      <w:lvlText w:val="(%1)"/>
      <w:numFmt w:val="decimal"/>
      <w:start w:val="1"/>
    </w:lvl>
  </w:abstractNum>
  <w:abstractNum w:abstractNumId="53">
    <w:nsid w:val="50ABCEC9"/>
    <w:multiLevelType w:val="hybridMultilevel"/>
    <w:lvl w:ilvl="0">
      <w:lvlJc w:val="left"/>
      <w:lvlText w:val="(%1)"/>
      <w:numFmt w:val="decimal"/>
      <w:start w:val="1"/>
    </w:lvl>
  </w:abstractNum>
  <w:abstractNum w:abstractNumId="54">
    <w:nsid w:val="7635AA2A"/>
    <w:multiLevelType w:val="hybridMultilevel"/>
    <w:lvl w:ilvl="0">
      <w:lvlJc w:val="left"/>
      <w:lvlText w:val="(%1)"/>
      <w:numFmt w:val="decimal"/>
      <w:start w:val="1"/>
    </w:lvl>
  </w:abstractNum>
  <w:abstractNum w:abstractNumId="55">
    <w:nsid w:val="5E74C4D9"/>
    <w:multiLevelType w:val="hybridMultilevel"/>
    <w:lvl w:ilvl="0">
      <w:lvlJc w:val="left"/>
      <w:lvlText w:val="•"/>
      <w:numFmt w:val="bullet"/>
      <w:start w:val="1"/>
    </w:lvl>
  </w:abstractNum>
  <w:abstractNum w:abstractNumId="56">
    <w:nsid w:val="3B3EBE15"/>
    <w:multiLevelType w:val="hybridMultilevel"/>
    <w:lvl w:ilvl="0">
      <w:lvlJc w:val="left"/>
      <w:lvlText w:val="•"/>
      <w:numFmt w:val="bullet"/>
      <w:start w:val="1"/>
    </w:lvl>
  </w:abstractNum>
  <w:abstractNum w:abstractNumId="57">
    <w:nsid w:val="3822CB01"/>
    <w:multiLevelType w:val="hybridMultilevel"/>
    <w:lvl w:ilvl="0">
      <w:lvlJc w:val="left"/>
      <w:lvlText w:val="•"/>
      <w:numFmt w:val="bullet"/>
      <w:start w:val="1"/>
    </w:lvl>
  </w:abstractNum>
  <w:abstractNum w:abstractNumId="58">
    <w:nsid w:val="6CE00443"/>
    <w:multiLevelType w:val="hybridMultilevel"/>
    <w:lvl w:ilvl="0">
      <w:lvlJc w:val="left"/>
      <w:lvlText w:val="(%1)"/>
      <w:numFmt w:val="decimal"/>
      <w:start w:val="1"/>
    </w:lvl>
  </w:abstractNum>
  <w:abstractNum w:abstractNumId="59">
    <w:nsid w:val="79F0D62F"/>
    <w:multiLevelType w:val="hybridMultilevel"/>
    <w:lvl w:ilvl="0">
      <w:lvlJc w:val="left"/>
      <w:lvlText w:val="•"/>
      <w:numFmt w:val="bullet"/>
      <w:start w:val="1"/>
    </w:lvl>
    <w:lvl w:ilvl="1">
      <w:lvlJc w:val="left"/>
      <w:lvlText w:val="•"/>
      <w:numFmt w:val="bullet"/>
      <w:start w:val="1"/>
    </w:lvl>
  </w:abstractNum>
  <w:abstractNum w:abstractNumId="60">
    <w:nsid w:val="7975E8EE"/>
    <w:multiLevelType w:val="hybridMultilevel"/>
    <w:lvl w:ilvl="0">
      <w:lvlJc w:val="left"/>
      <w:lvlText w:val="•"/>
      <w:numFmt w:val="bullet"/>
      <w:start w:val="1"/>
    </w:lvl>
  </w:abstractNum>
  <w:abstractNum w:abstractNumId="61">
    <w:nsid w:val="73154115"/>
    <w:multiLevelType w:val="hybridMultilevel"/>
    <w:lvl w:ilvl="0">
      <w:lvlJc w:val="left"/>
      <w:lvlText w:val="•"/>
      <w:numFmt w:val="bullet"/>
      <w:start w:val="1"/>
    </w:lvl>
  </w:abstractNum>
  <w:abstractNum w:abstractNumId="62">
    <w:nsid w:val="622D8102"/>
    <w:multiLevelType w:val="hybridMultilevel"/>
    <w:lvl w:ilvl="0">
      <w:lvlJc w:val="left"/>
      <w:lvlText w:val="(%1)"/>
      <w:numFmt w:val="decimal"/>
      <w:start w:val="1"/>
    </w:lvl>
  </w:abstractNum>
  <w:abstractNum w:abstractNumId="63">
    <w:nsid w:val="2AB26587"/>
    <w:multiLevelType w:val="hybridMultilevel"/>
    <w:lvl w:ilvl="0">
      <w:lvlJc w:val="left"/>
      <w:lvlText w:val="•"/>
      <w:numFmt w:val="bullet"/>
      <w:start w:val="1"/>
    </w:lvl>
    <w:lvl w:ilvl="1">
      <w:lvlJc w:val="left"/>
      <w:lvlText w:val="•"/>
      <w:numFmt w:val="bullet"/>
      <w:start w:val="1"/>
    </w:lvl>
  </w:abstractNum>
  <w:abstractNum w:abstractNumId="64">
    <w:nsid w:val="44B3FA61"/>
    <w:multiLevelType w:val="hybridMultilevel"/>
    <w:lvl w:ilvl="0">
      <w:lvlJc w:val="left"/>
      <w:lvlText w:val="•"/>
      <w:numFmt w:val="bullet"/>
      <w:start w:val="1"/>
    </w:lvl>
  </w:abstractNum>
  <w:abstractNum w:abstractNumId="65">
    <w:nsid w:val="1C0CA67C"/>
    <w:multiLevelType w:val="hybridMultilevel"/>
    <w:lvl w:ilvl="0">
      <w:lvlJc w:val="left"/>
      <w:lvlText w:val="•"/>
      <w:numFmt w:val="bullet"/>
      <w:start w:val="1"/>
    </w:lvl>
  </w:abstractNum>
  <w:abstractNum w:abstractNumId="66">
    <w:nsid w:val="3D206613"/>
    <w:multiLevelType w:val="hybridMultilevel"/>
    <w:lvl w:ilvl="0">
      <w:lvlJc w:val="left"/>
      <w:lvlText w:val="(%1)"/>
      <w:numFmt w:val="decimal"/>
      <w:start w:val="1"/>
    </w:lvl>
  </w:abstractNum>
  <w:abstractNum w:abstractNumId="67">
    <w:nsid w:val="7993B662"/>
    <w:multiLevelType w:val="hybridMultilevel"/>
    <w:lvl w:ilvl="0">
      <w:lvlJc w:val="left"/>
      <w:lvlText w:val="•"/>
      <w:numFmt w:val="bullet"/>
      <w:start w:val="1"/>
    </w:lvl>
  </w:abstractNum>
  <w:abstractNum w:abstractNumId="68">
    <w:nsid w:val="3BAB699E"/>
    <w:multiLevelType w:val="hybridMultilevel"/>
    <w:lvl w:ilvl="0">
      <w:lvlJc w:val="left"/>
      <w:lvlText w:val="•"/>
      <w:numFmt w:val="bullet"/>
      <w:start w:val="1"/>
    </w:lvl>
  </w:abstractNum>
  <w:abstractNum w:abstractNumId="69">
    <w:nsid w:val="71315369"/>
    <w:multiLevelType w:val="hybridMultilevel"/>
    <w:lvl w:ilvl="0">
      <w:lvlJc w:val="left"/>
      <w:lvlText w:val="•"/>
      <w:numFmt w:val="bullet"/>
      <w:start w:val="1"/>
    </w:lvl>
  </w:abstractNum>
  <w:abstractNum w:abstractNumId="70">
    <w:nsid w:val="7BCFBAFC"/>
    <w:multiLevelType w:val="hybridMultilevel"/>
    <w:lvl w:ilvl="0">
      <w:lvlJc w:val="left"/>
      <w:lvlText w:val="•"/>
      <w:numFmt w:val="bullet"/>
      <w:start w:val="1"/>
    </w:lvl>
  </w:abstractNum>
  <w:abstractNum w:abstractNumId="71">
    <w:nsid w:val="17859F72"/>
    <w:multiLevelType w:val="hybridMultilevel"/>
    <w:lvl w:ilvl="0">
      <w:lvlJc w:val="left"/>
      <w:lvlText w:val="•"/>
      <w:numFmt w:val="bullet"/>
      <w:start w:val="1"/>
    </w:lvl>
  </w:abstractNum>
  <w:abstractNum w:abstractNumId="72">
    <w:nsid w:val="3AA10581"/>
    <w:multiLevelType w:val="hybridMultilevel"/>
    <w:lvl w:ilvl="0">
      <w:lvlJc w:val="left"/>
      <w:lvlText w:val="•"/>
      <w:numFmt w:val="bullet"/>
      <w:start w:val="1"/>
    </w:lvl>
  </w:abstractNum>
  <w:abstractNum w:abstractNumId="73">
    <w:nsid w:val="63DE60CD"/>
    <w:multiLevelType w:val="hybridMultilevel"/>
    <w:lvl w:ilvl="0">
      <w:lvlJc w:val="left"/>
      <w:lvlText w:val="(%1)"/>
      <w:numFmt w:val="decimal"/>
      <w:start w:val="1"/>
    </w:lvl>
  </w:abstractNum>
  <w:abstractNum w:abstractNumId="74">
    <w:nsid w:val="621AF471"/>
    <w:multiLevelType w:val="hybridMultilevel"/>
    <w:lvl w:ilvl="0">
      <w:lvlJc w:val="left"/>
      <w:lvlText w:val="(%1)"/>
      <w:numFmt w:val="decimal"/>
      <w:start w:val="1"/>
    </w:lvl>
  </w:abstractNum>
  <w:abstractNum w:abstractNumId="75">
    <w:nsid w:val="73CFE165"/>
    <w:multiLevelType w:val="hybridMultilevel"/>
    <w:lvl w:ilvl="0">
      <w:lvlJc w:val="left"/>
      <w:lvlText w:val="(%1)"/>
      <w:numFmt w:val="decimal"/>
      <w:start w:val="1"/>
    </w:lvl>
  </w:abstractNum>
  <w:abstractNum w:abstractNumId="76">
    <w:nsid w:val="20F88EA6"/>
    <w:multiLevelType w:val="hybridMultilevel"/>
    <w:lvl w:ilvl="0">
      <w:lvlJc w:val="left"/>
      <w:lvlText w:val="(%1)"/>
      <w:numFmt w:val="decimal"/>
      <w:start w:val="1"/>
    </w:lvl>
  </w:abstractNum>
  <w:abstractNum w:abstractNumId="77">
    <w:nsid w:val="617C843E"/>
    <w:multiLevelType w:val="hybridMultilevel"/>
    <w:lvl w:ilvl="0">
      <w:lvlJc w:val="left"/>
      <w:lvlText w:val="(%1)"/>
      <w:numFmt w:val="decimal"/>
      <w:start w:val="3"/>
    </w:lvl>
  </w:abstractNum>
  <w:abstractNum w:abstractNumId="78">
    <w:nsid w:val="7B541FAB"/>
    <w:multiLevelType w:val="hybridMultilevel"/>
    <w:lvl w:ilvl="0">
      <w:lvlJc w:val="left"/>
      <w:lvlText w:val="(%1)"/>
      <w:numFmt w:val="decimal"/>
      <w:start w:val="1"/>
    </w:lvl>
  </w:abstractNum>
  <w:abstractNum w:abstractNumId="79">
    <w:nsid w:val="2A79EC49"/>
    <w:multiLevelType w:val="hybridMultilevel"/>
    <w:lvl w:ilvl="0">
      <w:lvlJc w:val="left"/>
      <w:lvlText w:val="%1."/>
      <w:numFmt w:val="decimal"/>
      <w:start w:val="1"/>
    </w:lvl>
  </w:abstractNum>
  <w:abstractNum w:abstractNumId="80">
    <w:nsid w:val="338125CF"/>
    <w:multiLevelType w:val="hybridMultilevel"/>
    <w:lvl w:ilvl="0">
      <w:lvlJc w:val="left"/>
      <w:lvlText w:val="%1."/>
      <w:numFmt w:val="decimal"/>
      <w:start w:val="2"/>
    </w:lvl>
  </w:abstractNum>
  <w:abstractNum w:abstractNumId="81">
    <w:nsid w:val="47C7C971"/>
    <w:multiLevelType w:val="hybridMultilevel"/>
    <w:lvl w:ilvl="0">
      <w:lvlJc w:val="left"/>
      <w:lvlText w:val="•"/>
      <w:numFmt w:val="bullet"/>
      <w:start w:val="1"/>
    </w:lvl>
  </w:abstractNum>
  <w:abstractNum w:abstractNumId="82">
    <w:nsid w:val="46F8284B"/>
    <w:multiLevelType w:val="hybridMultilevel"/>
    <w:lvl w:ilvl="0">
      <w:lvlJc w:val="left"/>
      <w:lvlText w:val="•"/>
      <w:numFmt w:val="bullet"/>
      <w:start w:val="1"/>
    </w:lvl>
  </w:abstractNum>
  <w:abstractNum w:abstractNumId="83">
    <w:nsid w:val="4FA327CE"/>
    <w:multiLevelType w:val="hybridMultilevel"/>
    <w:lvl w:ilvl="0">
      <w:lvlJc w:val="left"/>
      <w:lvlText w:val="•"/>
      <w:numFmt w:val="bullet"/>
      <w:start w:val="1"/>
    </w:lvl>
  </w:abstractNum>
  <w:abstractNum w:abstractNumId="84">
    <w:nsid w:val="1873983A"/>
    <w:multiLevelType w:val="hybridMultilevel"/>
    <w:lvl w:ilvl="0">
      <w:lvlJc w:val="left"/>
      <w:lvlText w:val="%1."/>
      <w:numFmt w:val="decimal"/>
      <w:start w:val="3"/>
    </w:lvl>
  </w:abstractNum>
  <w:abstractNum w:abstractNumId="85">
    <w:nsid w:val="3D2DD275"/>
    <w:multiLevelType w:val="hybridMultilevel"/>
    <w:lvl w:ilvl="0">
      <w:lvlJc w:val="left"/>
      <w:lvlText w:val="(%1)"/>
      <w:numFmt w:val="lowerRoman"/>
      <w:start w:val="1"/>
    </w:lvl>
  </w:abstractNum>
  <w:abstractNum w:abstractNumId="86">
    <w:nsid w:val="2E17ECA7"/>
    <w:multiLevelType w:val="hybridMultilevel"/>
    <w:lvl w:ilvl="0">
      <w:lvlJc w:val="left"/>
      <w:lvlText w:val="(%1)"/>
      <w:numFmt w:val="lowerRoman"/>
      <w:start w:val="2"/>
    </w:lvl>
  </w:abstractNum>
  <w:abstractNum w:abstractNumId="87">
    <w:nsid w:val="53B2564F"/>
    <w:multiLevelType w:val="hybridMultilevel"/>
    <w:lvl w:ilvl="0">
      <w:lvlJc w:val="left"/>
      <w:lvlText w:val="(%1)"/>
      <w:numFmt w:val="decimal"/>
      <w:start w:val="1"/>
    </w:lvl>
  </w:abstractNum>
  <w:abstractNum w:abstractNumId="88">
    <w:nsid w:val="75509D76"/>
    <w:multiLevelType w:val="hybridMultilevel"/>
    <w:lvl w:ilvl="0">
      <w:lvlJc w:val="left"/>
      <w:lvlText w:val="%1."/>
      <w:numFmt w:val="decimal"/>
      <w:start w:val="5"/>
    </w:lvl>
  </w:abstractNum>
  <w:abstractNum w:abstractNumId="89">
    <w:nsid w:val="1AF7F0EA"/>
    <w:multiLevelType w:val="hybridMultilevel"/>
    <w:lvl w:ilvl="0">
      <w:lvlJc w:val="left"/>
      <w:lvlText w:val="%1."/>
      <w:numFmt w:val="decimal"/>
      <w:start w:val="6"/>
    </w:lvl>
  </w:abstractNum>
  <w:abstractNum w:abstractNumId="90">
    <w:nsid w:val="4DA32C7E"/>
    <w:multiLevelType w:val="hybridMultilevel"/>
    <w:lvl w:ilvl="0">
      <w:lvlJc w:val="left"/>
      <w:lvlText w:val="(%1)"/>
      <w:numFmt w:val="decimal"/>
      <w:start w:val="1"/>
    </w:lvl>
  </w:abstractNum>
  <w:abstractNum w:abstractNumId="91">
    <w:nsid w:val="6EC68664"/>
    <w:multiLevelType w:val="hybridMultilevel"/>
    <w:lvl w:ilvl="0">
      <w:lvlJc w:val="left"/>
      <w:lvlText w:val="(%1)"/>
      <w:numFmt w:val="decimal"/>
      <w:start w:val="1"/>
    </w:lvl>
  </w:abstractNum>
  <w:abstractNum w:abstractNumId="92">
    <w:nsid w:val="E0D31FF"/>
    <w:multiLevelType w:val="hybridMultilevel"/>
    <w:lvl w:ilvl="0">
      <w:lvlJc w:val="left"/>
      <w:lvlText w:val="•"/>
      <w:numFmt w:val="bullet"/>
      <w:start w:val="1"/>
    </w:lvl>
    <w:lvl w:ilvl="1">
      <w:lvlJc w:val="left"/>
      <w:lvlText w:val="•"/>
      <w:numFmt w:val="bullet"/>
      <w:start w:val="1"/>
    </w:lvl>
  </w:abstractNum>
  <w:abstractNum w:abstractNumId="93">
    <w:nsid w:val="2FD0AD81"/>
    <w:multiLevelType w:val="hybridMultilevel"/>
    <w:lvl w:ilvl="0">
      <w:lvlJc w:val="left"/>
      <w:lvlText w:val="•"/>
      <w:numFmt w:val="bullet"/>
      <w:start w:val="1"/>
    </w:lvl>
  </w:abstractNum>
  <w:abstractNum w:abstractNumId="94">
    <w:nsid w:val="1978EBEB"/>
    <w:multiLevelType w:val="hybridMultilevel"/>
    <w:lvl w:ilvl="0">
      <w:lvlJc w:val="left"/>
      <w:lvlText w:val="•"/>
      <w:numFmt w:val="bullet"/>
      <w:start w:val="1"/>
    </w:lvl>
  </w:abstractNum>
  <w:abstractNum w:abstractNumId="95">
    <w:nsid w:val="52C12C61"/>
    <w:multiLevelType w:val="hybridMultilevel"/>
    <w:lvl w:ilvl="0">
      <w:lvlJc w:val="left"/>
      <w:lvlText w:val="%1."/>
      <w:numFmt w:val="decimal"/>
      <w:start w:val="8"/>
    </w:lvl>
  </w:abstractNum>
  <w:abstractNum w:abstractNumId="96">
    <w:nsid w:val="4BDD53FD"/>
    <w:multiLevelType w:val="hybridMultilevel"/>
    <w:lvl w:ilvl="0">
      <w:lvlJc w:val="left"/>
      <w:lvlText w:val="(%1)"/>
      <w:numFmt w:val="decimal"/>
      <w:start w:val="1"/>
    </w:lvl>
  </w:abstractNum>
  <w:abstractNum w:abstractNumId="97">
    <w:nsid w:val="569951FE"/>
    <w:multiLevelType w:val="hybridMultilevel"/>
    <w:lvl w:ilvl="0">
      <w:lvlJc w:val="left"/>
      <w:lvlText w:val="(%1)"/>
      <w:numFmt w:val="decimal"/>
      <w:start w:val="1"/>
    </w:lvl>
  </w:abstractNum>
  <w:abstractNum w:abstractNumId="98">
    <w:nsid w:val="4C54E2C3"/>
    <w:multiLevelType w:val="hybridMultilevel"/>
    <w:lvl w:ilvl="0">
      <w:lvlJc w:val="left"/>
      <w:lvlText w:val="(%1)"/>
      <w:numFmt w:val="decimal"/>
      <w:start w:val="1"/>
    </w:lvl>
  </w:abstractNum>
  <w:abstractNum w:abstractNumId="99">
    <w:nsid w:val="788BD9B"/>
    <w:multiLevelType w:val="hybridMultilevel"/>
    <w:lvl w:ilvl="0">
      <w:lvlJc w:val="left"/>
      <w:lvlText w:val="(%1)"/>
      <w:numFmt w:val="decimal"/>
      <w:start w:val="1"/>
    </w:lvl>
  </w:abstractNum>
  <w:abstractNum w:abstractNumId="100">
    <w:nsid w:val="47CAA567"/>
    <w:multiLevelType w:val="hybridMultilevel"/>
    <w:lvl w:ilvl="0">
      <w:lvlJc w:val="left"/>
      <w:lvlText w:val="(%1)"/>
      <w:numFmt w:val="decimal"/>
      <w:start w:val="1"/>
    </w:lvl>
  </w:abstractNum>
  <w:abstractNum w:abstractNumId="101">
    <w:nsid w:val="48249DBF"/>
    <w:multiLevelType w:val="hybridMultilevel"/>
    <w:lvl w:ilvl="0">
      <w:lvlJc w:val="left"/>
      <w:lvlText w:val="(%1)"/>
      <w:numFmt w:val="decimal"/>
      <w:start w:val="1"/>
    </w:lvl>
  </w:abstractNum>
  <w:abstractNum w:abstractNumId="102">
    <w:nsid w:val="1F0E5D0D"/>
    <w:multiLevelType w:val="hybridMultilevel"/>
    <w:lvl w:ilvl="0">
      <w:lvlJc w:val="left"/>
      <w:lvlText w:val="(%1)"/>
      <w:numFmt w:val="decimal"/>
      <w:start w:val="1"/>
    </w:lvl>
  </w:abstractNum>
  <w:abstractNum w:abstractNumId="103">
    <w:nsid w:val="26BAAE9"/>
    <w:multiLevelType w:val="hybridMultilevel"/>
    <w:lvl w:ilvl="0">
      <w:lvlJc w:val="left"/>
      <w:lvlText w:val="(%1)"/>
      <w:numFmt w:val="decimal"/>
      <w:start w:val="1"/>
    </w:lvl>
  </w:abstractNum>
  <w:abstractNum w:abstractNumId="104">
    <w:nsid w:val="2C02FE8C"/>
    <w:multiLevelType w:val="hybridMultilevel"/>
    <w:lvl w:ilvl="0">
      <w:lvlJc w:val="left"/>
      <w:lvlText w:val="(%1)"/>
      <w:numFmt w:val="lowerLetter"/>
      <w:start w:val="1"/>
    </w:lvl>
  </w:abstractNum>
  <w:abstractNum w:abstractNumId="105">
    <w:nsid w:val="129517E"/>
    <w:multiLevelType w:val="hybridMultilevel"/>
    <w:lvl w:ilvl="0">
      <w:lvlJc w:val="left"/>
      <w:lvlText w:val="(%1)"/>
      <w:numFmt w:val="lowerLetter"/>
      <w:start w:val="1"/>
    </w:lvl>
    <w:lvl w:ilvl="1">
      <w:lvlJc w:val="left"/>
      <w:lvlText w:val="(%2)"/>
      <w:numFmt w:val="lowerRoman"/>
      <w:start w:val="1"/>
    </w:lvl>
  </w:abstractNum>
  <w:abstractNum w:abstractNumId="106">
    <w:nsid w:val="763B8C4E"/>
    <w:multiLevelType w:val="hybridMultilevel"/>
    <w:lvl w:ilvl="0">
      <w:lvlJc w:val="left"/>
      <w:lvlText w:val="(%1)"/>
      <w:numFmt w:val="lowerRoman"/>
      <w:start w:val="2"/>
    </w:lvl>
  </w:abstractNum>
  <w:abstractNum w:abstractNumId="107">
    <w:nsid w:val="4CFB8D32"/>
    <w:multiLevelType w:val="hybridMultilevel"/>
    <w:lvl w:ilvl="0">
      <w:lvlJc w:val="left"/>
      <w:lvlText w:val="(%1)"/>
      <w:numFmt w:val="lowerRoman"/>
      <w:start w:val="2"/>
    </w:lvl>
  </w:abstractNum>
  <w:abstractNum w:abstractNumId="108">
    <w:nsid w:val="62A5D5BD"/>
    <w:multiLevelType w:val="hybridMultilevel"/>
    <w:lvl w:ilvl="0">
      <w:lvlJc w:val="left"/>
      <w:lvlText w:val="(%1)"/>
      <w:numFmt w:val="lowerLetter"/>
      <w:start w:val="1"/>
    </w:lvl>
  </w:abstractNum>
  <w:abstractNum w:abstractNumId="109">
    <w:nsid w:val="718FABF9"/>
    <w:multiLevelType w:val="hybridMultilevel"/>
    <w:lvl w:ilvl="0">
      <w:lvlJc w:val="left"/>
      <w:lvlText w:val="(%1)"/>
      <w:numFmt w:val="lowerLetter"/>
      <w:start w:val="1"/>
    </w:lvl>
  </w:abstractNum>
  <w:abstractNum w:abstractNumId="110">
    <w:nsid w:val="7775797C"/>
    <w:multiLevelType w:val="hybridMultilevel"/>
    <w:lvl w:ilvl="0">
      <w:lvlJc w:val="left"/>
      <w:lvlText w:val="(%1)"/>
      <w:numFmt w:val="lowerLetter"/>
      <w:start w:val="8"/>
    </w:lvl>
  </w:abstractNum>
  <w:abstractNum w:abstractNumId="111">
    <w:nsid w:val="1626FB8C"/>
    <w:multiLevelType w:val="hybridMultilevel"/>
    <w:lvl w:ilvl="0">
      <w:lvlJc w:val="left"/>
      <w:lvlText w:val="(%1)"/>
      <w:numFmt w:val="lowerLetter"/>
      <w:start w:val="1"/>
    </w:lvl>
  </w:abstractNum>
  <w:abstractNum w:abstractNumId="112">
    <w:nsid w:val="3957756A"/>
    <w:multiLevelType w:val="hybridMultilevel"/>
    <w:lvl w:ilvl="0">
      <w:lvlJc w:val="left"/>
      <w:lvlText w:val="(%1)"/>
      <w:numFmt w:val="lowerLetter"/>
      <w:start w:val="1"/>
    </w:lvl>
  </w:abstractNum>
  <w:abstractNum w:abstractNumId="113">
    <w:nsid w:val="3E6DA1C7"/>
    <w:multiLevelType w:val="hybridMultilevel"/>
    <w:lvl w:ilvl="0">
      <w:lvlJc w:val="left"/>
      <w:lvlText w:val="%1"/>
      <w:numFmt w:val="upperLetter"/>
      <w:start w:val="1"/>
    </w:lvl>
    <w:lvl w:ilvl="1">
      <w:lvlJc w:val="left"/>
      <w:lvlText w:val="(%2)"/>
      <w:numFmt w:val="lowerLetter"/>
      <w:start w:val="1"/>
    </w:lvl>
  </w:abstractNum>
  <w:abstractNum w:abstractNumId="114">
    <w:nsid w:val="65CA235B"/>
    <w:multiLevelType w:val="hybridMultilevel"/>
    <w:lvl w:ilvl="0">
      <w:lvlJc w:val="left"/>
      <w:lvlText w:val="(%1)"/>
      <w:numFmt w:val="upperLetter"/>
      <w:start w:val="1"/>
    </w:lvl>
    <w:lvl w:ilvl="1">
      <w:lvlJc w:val="left"/>
      <w:lvlText w:val="%2"/>
      <w:numFmt w:val="lowerLetter"/>
      <w:start w:val="1"/>
    </w:lvl>
  </w:abstractNum>
  <w:abstractNum w:abstractNumId="115">
    <w:nsid w:val="51CB0DA4"/>
    <w:multiLevelType w:val="hybridMultilevel"/>
    <w:lvl w:ilvl="0">
      <w:lvlJc w:val="left"/>
      <w:lvlText w:val="(%1)"/>
      <w:numFmt w:val="lowerLetter"/>
      <w:start w:val="10"/>
    </w:lvl>
  </w:abstractNum>
  <w:abstractNum w:abstractNumId="116">
    <w:nsid w:val="7B9B743C"/>
    <w:multiLevelType w:val="hybridMultilevel"/>
    <w:lvl w:ilvl="0">
      <w:lvlJc w:val="left"/>
      <w:lvlText w:val="(%1)"/>
      <w:numFmt w:val="lowerLetter"/>
      <w:start w:val="1"/>
    </w:lvl>
  </w:abstractNum>
  <w:abstractNum w:abstractNumId="117">
    <w:nsid w:val="13E21002"/>
    <w:multiLevelType w:val="hybridMultilevel"/>
    <w:lvl w:ilvl="0">
      <w:lvlJc w:val="left"/>
      <w:lvlText w:val="(%1)"/>
      <w:numFmt w:val="lowerLetter"/>
      <w:start w:val="1"/>
    </w:lvl>
  </w:abstractNum>
  <w:abstractNum w:abstractNumId="118">
    <w:nsid w:val="257D63F4"/>
    <w:multiLevelType w:val="hybridMultilevel"/>
    <w:lvl w:ilvl="0">
      <w:lvlJc w:val="left"/>
      <w:lvlText w:val="(%1)"/>
      <w:numFmt w:val="lowerLetter"/>
      <w:start w:val="3"/>
    </w:lvl>
  </w:abstractNum>
  <w:abstractNum w:abstractNumId="119">
    <w:nsid w:val="70EC11B2"/>
    <w:multiLevelType w:val="hybridMultilevel"/>
    <w:lvl w:ilvl="0">
      <w:lvlJc w:val="left"/>
      <w:lvlText w:val="(%1)"/>
      <w:numFmt w:val="lowerLetter"/>
      <w:start w:val="4"/>
    </w:lvl>
  </w:abstractNum>
  <w:abstractNum w:abstractNumId="120">
    <w:nsid w:val="2EDA00ED"/>
    <w:multiLevelType w:val="hybridMultilevel"/>
    <w:lvl w:ilvl="0">
      <w:lvlJc w:val="left"/>
      <w:lvlText w:val="(%1)"/>
      <w:numFmt w:val="lowerLetter"/>
      <w:start w:val="1"/>
    </w:lvl>
    <w:lvl w:ilvl="1">
      <w:lvlJc w:val="left"/>
      <w:lvlText w:val="(%2)"/>
      <w:numFmt w:val="lowerRoman"/>
      <w:start w:val="1"/>
    </w:lvl>
  </w:abstractNum>
  <w:abstractNum w:abstractNumId="121">
    <w:nsid w:val="73209072"/>
    <w:multiLevelType w:val="hybridMultilevel"/>
    <w:lvl w:ilvl="0">
      <w:lvlJc w:val="left"/>
      <w:lvlText w:val="%1"/>
      <w:numFmt w:val="lowerLetter"/>
      <w:start w:val="1"/>
    </w:lvl>
    <w:lvl w:ilvl="1">
      <w:lvlJc w:val="left"/>
      <w:lvlText w:val="(%2)"/>
      <w:numFmt w:val="lowerRoman"/>
      <w:start w:val="1"/>
    </w:lvl>
  </w:abstractNum>
  <w:abstractNum w:abstractNumId="122">
    <w:nsid w:val="5FB29816"/>
    <w:multiLevelType w:val="hybridMultilevel"/>
    <w:lvl w:ilvl="0">
      <w:lvlJc w:val="left"/>
      <w:lvlText w:val="(%1)"/>
      <w:numFmt w:val="lowerLetter"/>
      <w:start w:val="6"/>
    </w:lvl>
    <w:lvl w:ilvl="1">
      <w:lvlJc w:val="left"/>
      <w:lvlText w:val="(%2)"/>
      <w:numFmt w:val="lowerRoman"/>
      <w:start w:val="1"/>
    </w:lvl>
  </w:abstractNum>
  <w:abstractNum w:abstractNumId="123">
    <w:nsid w:val="3CE732EC"/>
    <w:multiLevelType w:val="hybridMultilevel"/>
    <w:lvl w:ilvl="0">
      <w:lvlJc w:val="left"/>
      <w:lvlText w:val="(%1)"/>
      <w:numFmt w:val="lowerLetter"/>
      <w:start w:val="1"/>
    </w:lvl>
  </w:abstractNum>
  <w:abstractNum w:abstractNumId="124">
    <w:nsid w:val="22F13DF3"/>
    <w:multiLevelType w:val="hybridMultilevel"/>
    <w:lvl w:ilvl="0">
      <w:lvlJc w:val="left"/>
      <w:lvlText w:val="(%1)"/>
      <w:numFmt w:val="lowerLetter"/>
      <w:start w:val="1"/>
    </w:lvl>
  </w:abstractNum>
  <w:abstractNum w:abstractNumId="125">
    <w:nsid w:val="792B8401"/>
    <w:multiLevelType w:val="hybridMultilevel"/>
    <w:lvl w:ilvl="0">
      <w:lvlJc w:val="left"/>
      <w:lvlText w:val="(%1)"/>
      <w:numFmt w:val="lowerRoman"/>
      <w:start w:val="1"/>
    </w:lvl>
  </w:abstractNum>
  <w:abstractNum w:abstractNumId="126">
    <w:nsid w:val="FA85F4D"/>
    <w:multiLevelType w:val="hybridMultilevel"/>
    <w:lvl w:ilvl="0">
      <w:lvlJc w:val="left"/>
      <w:lvlText w:val="(%1)"/>
      <w:numFmt w:val="lowerRoman"/>
      <w:start w:val="4"/>
    </w:lvl>
  </w:abstractNum>
  <w:abstractNum w:abstractNumId="127">
    <w:nsid w:val="6ECE91F0"/>
    <w:multiLevelType w:val="hybridMultilevel"/>
    <w:lvl w:ilvl="0">
      <w:lvlJc w:val="left"/>
      <w:lvlText w:val="(%1)"/>
      <w:numFmt w:val="lowerLetter"/>
      <w:start w:val="2"/>
    </w:lvl>
  </w:abstractNum>
  <w:abstractNum w:abstractNumId="128">
    <w:nsid w:val="4FC4D600"/>
    <w:multiLevelType w:val="hybridMultilevel"/>
    <w:lvl w:ilvl="0">
      <w:lvlJc w:val="left"/>
      <w:lvlText w:val="(%1)"/>
      <w:numFmt w:val="lowerLetter"/>
      <w:start w:val="1"/>
    </w:lvl>
  </w:abstractNum>
  <w:abstractNum w:abstractNumId="129">
    <w:nsid w:val="5BFD4210"/>
    <w:multiLevelType w:val="hybridMultilevel"/>
    <w:lvl w:ilvl="0">
      <w:lvlJc w:val="left"/>
      <w:lvlText w:val="(%1)"/>
      <w:numFmt w:val="lowerLetter"/>
      <w:start w:val="2"/>
    </w:lvl>
  </w:abstractNum>
  <w:abstractNum w:abstractNumId="130">
    <w:nsid w:val="76574F8B"/>
    <w:multiLevelType w:val="hybridMultilevel"/>
    <w:lvl w:ilvl="0">
      <w:lvlJc w:val="left"/>
      <w:lvlText w:val="(%1)"/>
      <w:numFmt w:val="lowerLetter"/>
      <w:start w:val="1"/>
    </w:lvl>
  </w:abstractNum>
  <w:abstractNum w:abstractNumId="131">
    <w:nsid w:val="178F7B67"/>
    <w:multiLevelType w:val="hybridMultilevel"/>
    <w:lvl w:ilvl="0">
      <w:lvlJc w:val="left"/>
      <w:lvlText w:val="(%1)"/>
      <w:numFmt w:val="decimal"/>
      <w:start w:val="1"/>
    </w:lvl>
  </w:abstractNum>
  <w:abstractNum w:abstractNumId="132">
    <w:nsid w:val="2421DFCF"/>
    <w:multiLevelType w:val="hybridMultilevel"/>
    <w:lvl w:ilvl="0">
      <w:lvlJc w:val="left"/>
      <w:lvlText w:val="(%1)"/>
      <w:numFmt w:val="decimal"/>
      <w:start w:val="2"/>
    </w:lvl>
  </w:abstractNum>
  <w:abstractNum w:abstractNumId="133">
    <w:nsid w:val="1565AC99"/>
    <w:multiLevelType w:val="hybridMultilevel"/>
    <w:lvl w:ilvl="0">
      <w:lvlJc w:val="left"/>
      <w:lvlText w:val="(%1)"/>
      <w:numFmt w:val="lowerLetter"/>
      <w:start w:val="1"/>
    </w:lvl>
  </w:abstractNum>
  <w:abstractNum w:abstractNumId="134">
    <w:nsid w:val="19FB2650"/>
    <w:multiLevelType w:val="hybridMultilevel"/>
    <w:lvl w:ilvl="0">
      <w:lvlJc w:val="left"/>
      <w:lvlText w:val="(%1)"/>
      <w:numFmt w:val="lowerLetter"/>
      <w:start w:val="1"/>
    </w:lvl>
    <w:lvl w:ilvl="1">
      <w:lvlJc w:val="left"/>
      <w:lvlText w:val="(%2)"/>
      <w:numFmt w:val="lowerRoman"/>
      <w:start w:val="1"/>
    </w:lvl>
  </w:abstractNum>
  <w:abstractNum w:abstractNumId="135">
    <w:nsid w:val="5024DE5B"/>
    <w:multiLevelType w:val="hybridMultilevel"/>
    <w:lvl w:ilvl="0">
      <w:lvlJc w:val="left"/>
      <w:lvlText w:val="(%1)"/>
      <w:numFmt w:val="lowerRoman"/>
      <w:start w:val="1"/>
    </w:lvl>
  </w:abstractNum>
  <w:abstractNum w:abstractNumId="136">
    <w:nsid w:val="168EFE17"/>
    <w:multiLevelType w:val="hybridMultilevel"/>
    <w:lvl w:ilvl="0">
      <w:lvlJc w:val="left"/>
      <w:lvlText w:val="(%1)"/>
      <w:numFmt w:val="lowerLetter"/>
      <w:start w:val="1"/>
    </w:lvl>
  </w:abstractNum>
  <w:abstractNum w:abstractNumId="137">
    <w:nsid w:val="1036B29F"/>
    <w:multiLevelType w:val="hybridMultilevel"/>
    <w:lvl w:ilvl="0">
      <w:lvlJc w:val="left"/>
      <w:lvlText w:val="(%1)"/>
      <w:numFmt w:val="lowerLetter"/>
      <w:start w:val="1"/>
    </w:lvl>
  </w:abstractNum>
  <w:abstractNum w:abstractNumId="138">
    <w:nsid w:val="1D206B8E"/>
    <w:multiLevelType w:val="hybridMultilevel"/>
    <w:lvl w:ilvl="0">
      <w:lvlJc w:val="left"/>
      <w:lvlText w:val="(%1)"/>
      <w:numFmt w:val="lowerLetter"/>
      <w:start w:val="8"/>
    </w:lvl>
  </w:abstractNum>
  <w:abstractNum w:abstractNumId="139">
    <w:nsid w:val="7934D3D4"/>
    <w:multiLevelType w:val="hybridMultilevel"/>
    <w:lvl w:ilvl="0">
      <w:lvlJc w:val="left"/>
      <w:lvlText w:val="(%1)"/>
      <w:numFmt w:val="lowerLetter"/>
      <w:start w:val="1"/>
    </w:lvl>
  </w:abstractNum>
  <w:abstractNum w:abstractNumId="140">
    <w:nsid w:val="1C65E98"/>
    <w:multiLevelType w:val="hybridMultilevel"/>
    <w:lvl w:ilvl="0">
      <w:lvlJc w:val="left"/>
      <w:lvlText w:val="X"/>
      <w:numFmt w:val="bullet"/>
      <w:start w:val="1"/>
    </w:lvl>
  </w:abstractNum>
  <w:abstractNum w:abstractNumId="141">
    <w:nsid w:val="1495E50A"/>
    <w:multiLevelType w:val="hybridMultilevel"/>
    <w:lvl w:ilvl="0">
      <w:lvlJc w:val="left"/>
      <w:lvlText w:val="X"/>
      <w:numFmt w:val="bullet"/>
      <w:start w:val="1"/>
    </w:lvl>
  </w:abstractNum>
  <w:abstractNum w:abstractNumId="142">
    <w:nsid w:val="F5BCF61"/>
    <w:multiLevelType w:val="hybridMultilevel"/>
    <w:lvl w:ilvl="0">
      <w:lvlJc w:val="left"/>
      <w:lvlText w:val="(%1)"/>
      <w:numFmt w:val="lowerRoman"/>
      <w:start w:val="10"/>
    </w:lvl>
  </w:abstractNum>
  <w:abstractNum w:abstractNumId="143">
    <w:nsid w:val="3B1DD403"/>
    <w:multiLevelType w:val="hybridMultilevel"/>
    <w:lvl w:ilvl="0">
      <w:lvlJc w:val="left"/>
      <w:lvlText w:val="(%1)"/>
      <w:numFmt w:val="lowerLetter"/>
      <w:start w:val="1"/>
    </w:lvl>
  </w:abstractNum>
  <w:abstractNum w:abstractNumId="144">
    <w:nsid w:val="530386D1"/>
    <w:multiLevelType w:val="hybridMultilevel"/>
    <w:lvl w:ilvl="0">
      <w:lvlJc w:val="left"/>
      <w:lvlText w:val="(%1)"/>
      <w:numFmt w:val="lowerLetter"/>
      <w:start w:val="7"/>
    </w:lvl>
  </w:abstractNum>
  <w:abstractNum w:abstractNumId="145">
    <w:nsid w:val="7525F2BC"/>
    <w:multiLevelType w:val="hybridMultilevel"/>
    <w:lvl w:ilvl="0">
      <w:lvlJc w:val="left"/>
      <w:lvlText w:val="(%1)"/>
      <w:numFmt w:val="lowerLetter"/>
      <w:start w:val="1"/>
    </w:lvl>
  </w:abstractNum>
  <w:abstractNum w:abstractNumId="146">
    <w:nsid w:val="CE8E1A7"/>
    <w:multiLevelType w:val="hybridMultilevel"/>
    <w:lvl w:ilvl="0">
      <w:lvlJc w:val="left"/>
      <w:lvlText w:val="(%1)"/>
      <w:numFmt w:val="lowerLetter"/>
      <w:start w:val="2"/>
    </w:lvl>
  </w:abstractNum>
  <w:abstractNum w:abstractNumId="147">
    <w:nsid w:val="4E9EFB0D"/>
    <w:multiLevelType w:val="hybridMultilevel"/>
    <w:lvl w:ilvl="0">
      <w:lvlJc w:val="left"/>
      <w:lvlText w:val="(%1)"/>
      <w:numFmt w:val="lowerLetter"/>
      <w:start w:val="1"/>
    </w:lvl>
  </w:abstractNum>
  <w:abstractNum w:abstractNumId="148">
    <w:nsid w:val="90802BE"/>
    <w:multiLevelType w:val="hybridMultilevel"/>
    <w:lvl w:ilvl="0">
      <w:lvlJc w:val="left"/>
      <w:lvlText w:val="(%1)"/>
      <w:numFmt w:val="lowerLetter"/>
      <w:start w:val="1"/>
    </w:lvl>
    <w:lvl w:ilvl="1">
      <w:lvlJc w:val="left"/>
      <w:lvlText w:val="(%2)"/>
      <w:numFmt w:val="lowerRoman"/>
      <w:start w:val="1"/>
    </w:lvl>
  </w:abstractNum>
  <w:abstractNum w:abstractNumId="149">
    <w:nsid w:val="3266459B"/>
    <w:multiLevelType w:val="hybridMultilevel"/>
    <w:lvl w:ilvl="0">
      <w:lvlJc w:val="left"/>
      <w:lvlText w:val="(%1)"/>
      <w:numFmt w:val="lowerLetter"/>
      <w:start w:val="3"/>
    </w:lvl>
  </w:abstractNum>
  <w:abstractNum w:abstractNumId="150">
    <w:nsid w:val="3F8B0CBF"/>
    <w:multiLevelType w:val="hybridMultilevel"/>
    <w:lvl w:ilvl="0">
      <w:lvlJc w:val="left"/>
      <w:lvlText w:val="(%1)"/>
      <w:numFmt w:val="lowerLetter"/>
      <w:start w:val="4"/>
    </w:lvl>
  </w:abstractNum>
  <w:abstractNum w:abstractNumId="151">
    <w:nsid w:val="37E203AB"/>
    <w:multiLevelType w:val="hybridMultilevel"/>
    <w:lvl w:ilvl="0">
      <w:lvlJc w:val="left"/>
      <w:lvlText w:val="(%1)"/>
      <w:numFmt w:val="lowerLetter"/>
      <w:start w:val="1"/>
    </w:lvl>
  </w:abstractNum>
  <w:abstractNum w:abstractNumId="152">
    <w:nsid w:val="2586D60E"/>
    <w:multiLevelType w:val="hybridMultilevel"/>
    <w:lvl w:ilvl="0">
      <w:lvlJc w:val="left"/>
      <w:lvlText w:val="%1"/>
      <w:numFmt w:val="lowerLetter"/>
      <w:start w:val="1"/>
    </w:lvl>
    <w:lvl w:ilvl="1">
      <w:lvlJc w:val="left"/>
      <w:lvlText w:val="(%2)"/>
      <w:numFmt w:val="lowerLetter"/>
      <w:start w:val="2"/>
    </w:lvl>
  </w:abstractNum>
  <w:abstractNum w:abstractNumId="153">
    <w:nsid w:val="1F3DA4D5"/>
    <w:multiLevelType w:val="hybridMultilevel"/>
    <w:lvl w:ilvl="0">
      <w:lvlJc w:val="left"/>
      <w:lvlText w:val="(%1)"/>
      <w:numFmt w:val="lowerLetter"/>
      <w:start w:val="35"/>
    </w:lvl>
    <w:lvl w:ilvl="1">
      <w:lvlJc w:val="left"/>
      <w:lvlText w:val="%2"/>
      <w:numFmt w:val="lowerLetter"/>
      <w:start w:val="1"/>
    </w:lvl>
  </w:abstractNum>
  <w:abstractNum w:abstractNumId="154">
    <w:nsid w:val="74C93698"/>
    <w:multiLevelType w:val="hybridMultilevel"/>
    <w:lvl w:ilvl="0">
      <w:lvlJc w:val="left"/>
      <w:lvlText w:val="(%1)"/>
      <w:numFmt w:val="lowerLetter"/>
      <w:start w:val="1"/>
    </w:lvl>
  </w:abstractNum>
  <w:abstractNum w:abstractNumId="155">
    <w:nsid w:val="48781401"/>
    <w:multiLevelType w:val="hybridMultilevel"/>
    <w:lvl w:ilvl="0">
      <w:lvlJc w:val="left"/>
      <w:lvlText w:val="(%1)"/>
      <w:numFmt w:val="lowerLetter"/>
      <w:start w:val="4"/>
    </w:lvl>
  </w:abstractNum>
  <w:abstractNum w:abstractNumId="156">
    <w:nsid w:val="186928D6"/>
    <w:multiLevelType w:val="hybridMultilevel"/>
    <w:lvl w:ilvl="0">
      <w:lvlJc w:val="left"/>
      <w:lvlText w:val="(%1)"/>
      <w:numFmt w:val="upperLetter"/>
      <w:start w:val="61"/>
    </w:lvl>
  </w:abstractNum>
  <w:abstractNum w:abstractNumId="157">
    <w:nsid w:val="47195E5"/>
    <w:multiLevelType w:val="hybridMultilevel"/>
    <w:lvl w:ilvl="0">
      <w:lvlJc w:val="left"/>
      <w:lvlText w:val="(%1)"/>
      <w:numFmt w:val="lowerLetter"/>
      <w:start w:val="2"/>
    </w:lvl>
  </w:abstractNum>
  <w:abstractNum w:abstractNumId="158">
    <w:nsid w:val="3746A5F2"/>
    <w:multiLevelType w:val="hybridMultilevel"/>
    <w:lvl w:ilvl="0">
      <w:lvlJc w:val="left"/>
      <w:lvlText w:val="(%1)"/>
      <w:numFmt w:val="lowerLetter"/>
      <w:start w:val="1"/>
    </w:lvl>
  </w:abstractNum>
  <w:abstractNum w:abstractNumId="159">
    <w:nsid w:val="682DFED6"/>
    <w:multiLevelType w:val="hybridMultilevel"/>
    <w:lvl w:ilvl="0">
      <w:lvlJc w:val="left"/>
      <w:lvlText w:val="(%1)"/>
      <w:numFmt w:val="lowerLetter"/>
      <w:start w:val="2"/>
    </w:lvl>
  </w:abstractNum>
  <w:abstractNum w:abstractNumId="160">
    <w:nsid w:val="606ED7F6"/>
    <w:multiLevelType w:val="hybridMultilevel"/>
    <w:lvl w:ilvl="0">
      <w:lvlJc w:val="left"/>
      <w:lvlText w:val="(%1)"/>
      <w:numFmt w:val="lowerLetter"/>
      <w:start w:val="1"/>
    </w:lvl>
  </w:abstractNum>
  <w:abstractNum w:abstractNumId="161">
    <w:nsid w:val="2D9DF57D"/>
    <w:multiLevelType w:val="hybridMultilevel"/>
    <w:lvl w:ilvl="0">
      <w:lvlJc w:val="left"/>
      <w:lvlText w:val="(%1)"/>
      <w:numFmt w:val="lowerLetter"/>
      <w:start w:val="1"/>
    </w:lvl>
  </w:abstractNum>
  <w:abstractNum w:abstractNumId="162">
    <w:nsid w:val="7FBD7A3E"/>
    <w:multiLevelType w:val="hybridMultilevel"/>
    <w:lvl w:ilvl="0">
      <w:lvlJc w:val="left"/>
      <w:lvlText w:val="(%1)"/>
      <w:numFmt w:val="lowerLetter"/>
      <w:start w:val="1"/>
    </w:lvl>
  </w:abstractNum>
  <w:abstractNum w:abstractNumId="163">
    <w:nsid w:val="490B7C5"/>
    <w:multiLevelType w:val="hybridMultilevel"/>
    <w:lvl w:ilvl="0">
      <w:lvlJc w:val="left"/>
      <w:lvlText w:val="(%1)"/>
      <w:numFmt w:val="lowerLetter"/>
      <w:start w:val="2"/>
    </w:lvl>
  </w:abstractNum>
  <w:abstractNum w:abstractNumId="164">
    <w:nsid w:val="4303A216"/>
    <w:multiLevelType w:val="hybridMultilevel"/>
    <w:lvl w:ilvl="0">
      <w:lvlJc w:val="left"/>
      <w:lvlText w:val="%1"/>
      <w:numFmt w:val="decimal"/>
      <w:start w:val="1"/>
    </w:lvl>
    <w:lvl w:ilvl="1">
      <w:lvlJc w:val="left"/>
      <w:lvlText w:val="(%2)"/>
      <w:numFmt w:val="lowerLetter"/>
      <w:start w:val="1"/>
    </w:lvl>
  </w:abstractNum>
  <w:abstractNum w:abstractNumId="165">
    <w:nsid w:val="19B8A08E"/>
    <w:multiLevelType w:val="hybridMultilevel"/>
    <w:lvl w:ilvl="0">
      <w:lvlJc w:val="left"/>
      <w:lvlText w:val="(%1)"/>
      <w:numFmt w:val="decimal"/>
      <w:start w:val="10"/>
    </w:lvl>
    <w:lvl w:ilvl="1">
      <w:lvlJc w:val="left"/>
      <w:lvlText w:val="(%2)"/>
      <w:numFmt w:val="lowerLetter"/>
      <w:start w:val="2"/>
    </w:lvl>
  </w:abstractNum>
  <w:abstractNum w:abstractNumId="166">
    <w:nsid w:val="54B59621"/>
    <w:multiLevelType w:val="hybridMultilevel"/>
    <w:lvl w:ilvl="0">
      <w:lvlJc w:val="left"/>
      <w:lvlText w:val="(%1)"/>
      <w:numFmt w:val="lowerLetter"/>
      <w:start w:val="1"/>
    </w:lvl>
  </w:abstractNum>
  <w:abstractNum w:abstractNumId="167">
    <w:nsid w:val="5992A02E"/>
    <w:multiLevelType w:val="hybridMultilevel"/>
    <w:lvl w:ilvl="0">
      <w:lvlJc w:val="left"/>
      <w:lvlText w:val="(%1)"/>
      <w:numFmt w:val="lowerLetter"/>
      <w:start w:val="5"/>
    </w:lvl>
  </w:abstractNum>
  <w:abstractNum w:abstractNumId="168">
    <w:nsid w:val="29EF532D"/>
    <w:multiLevelType w:val="hybridMultilevel"/>
    <w:lvl w:ilvl="0">
      <w:lvlJc w:val="left"/>
      <w:lvlText w:val="(%1)"/>
      <w:numFmt w:val="lowerLetter"/>
      <w:start w:val="5"/>
    </w:lvl>
    <w:lvl w:ilvl="1">
      <w:lvlJc w:val="left"/>
      <w:lvlText w:val="(%2)"/>
      <w:numFmt w:val="lowerLetter"/>
      <w:start w:val="1"/>
    </w:lvl>
  </w:abstractNum>
  <w:abstractNum w:abstractNumId="169">
    <w:nsid w:val="71D601AF"/>
    <w:multiLevelType w:val="hybridMultilevel"/>
    <w:lvl w:ilvl="0">
      <w:lvlJc w:val="left"/>
      <w:lvlText w:val="(%1)"/>
      <w:numFmt w:val="lowerLetter"/>
      <w:start w:val="2"/>
    </w:lvl>
  </w:abstractNum>
  <w:abstractNum w:abstractNumId="170">
    <w:nsid w:val="52C77402"/>
    <w:multiLevelType w:val="hybridMultilevel"/>
    <w:lvl w:ilvl="0">
      <w:lvlJc w:val="left"/>
      <w:lvlText w:val="(%1)"/>
      <w:numFmt w:val="lowerLetter"/>
      <w:start w:val="1"/>
    </w:lvl>
  </w:abstractNum>
  <w:abstractNum w:abstractNumId="171">
    <w:nsid w:val="2BB5B1C6"/>
    <w:multiLevelType w:val="hybridMultilevel"/>
    <w:lvl w:ilvl="0">
      <w:lvlJc w:val="left"/>
      <w:lvlText w:val="(%1)"/>
      <w:numFmt w:val="lowerLetter"/>
      <w:start w:val="3"/>
    </w:lvl>
  </w:abstractNum>
  <w:abstractNum w:abstractNumId="172">
    <w:nsid w:val="66BE6B9"/>
    <w:multiLevelType w:val="hybridMultilevel"/>
    <w:lvl w:ilvl="0">
      <w:lvlJc w:val="left"/>
      <w:lvlText w:val="(%1)"/>
      <w:numFmt w:val="lowerLetter"/>
      <w:start w:val="7"/>
    </w:lvl>
  </w:abstractNum>
  <w:abstractNum w:abstractNumId="173">
    <w:nsid w:val="62234363"/>
    <w:multiLevelType w:val="hybridMultilevel"/>
    <w:lvl w:ilvl="0">
      <w:lvlJc w:val="left"/>
      <w:lvlText w:val="(%1)"/>
      <w:numFmt w:val="lowerLetter"/>
      <w:start w:val="1"/>
    </w:lvl>
    <w:lvl w:ilvl="1">
      <w:lvlJc w:val="left"/>
      <w:lvlText w:val="(%2)"/>
      <w:numFmt w:val="lowerRoman"/>
      <w:start w:val="1"/>
    </w:lvl>
  </w:abstractNum>
  <w:abstractNum w:abstractNumId="174">
    <w:nsid w:val="66D385C9"/>
    <w:multiLevelType w:val="hybridMultilevel"/>
    <w:lvl w:ilvl="0">
      <w:lvlJc w:val="left"/>
      <w:lvlText w:val="%1"/>
      <w:numFmt w:val="lowerLetter"/>
      <w:start w:val="1"/>
    </w:lvl>
    <w:lvl w:ilvl="1">
      <w:lvlJc w:val="left"/>
      <w:lvlText w:val="(%2)"/>
      <w:numFmt w:val="lowerRoman"/>
      <w:start w:val="5"/>
    </w:lvl>
  </w:abstractNum>
  <w:abstractNum w:abstractNumId="175">
    <w:nsid w:val="596F6D8A"/>
    <w:multiLevelType w:val="hybridMultilevel"/>
    <w:lvl w:ilvl="0">
      <w:lvlJc w:val="left"/>
      <w:lvlText w:val="(%1)"/>
      <w:numFmt w:val="lowerLetter"/>
      <w:start w:val="4"/>
    </w:lvl>
    <w:lvl w:ilvl="1">
      <w:lvlJc w:val="left"/>
      <w:lvlText w:val="%2"/>
      <w:numFmt w:val="lowerRoman"/>
      <w:start w:val="1"/>
    </w:lvl>
  </w:abstractNum>
  <w:abstractNum w:abstractNumId="176">
    <w:nsid w:val="5749361F"/>
    <w:multiLevelType w:val="hybridMultilevel"/>
    <w:lvl w:ilvl="0">
      <w:lvlJc w:val="left"/>
      <w:lvlText w:val="(%1)"/>
      <w:numFmt w:val="lowerLetter"/>
      <w:start w:val="1"/>
    </w:lvl>
  </w:abstractNum>
  <w:abstractNum w:abstractNumId="177">
    <w:nsid w:val="73BC6770"/>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178">
    <w:nsid w:val="280E689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79">
    <w:nsid w:val="605138DE"/>
    <w:multiLevelType w:val="hybridMultilevel"/>
    <w:lvl w:ilvl="0">
      <w:lvlJc w:val="left"/>
      <w:lvlText w:val="(%1)"/>
      <w:numFmt w:val="upperLetter"/>
      <w:start w:val="3"/>
    </w:lvl>
    <w:lvl w:ilvl="1">
      <w:lvlJc w:val="left"/>
      <w:lvlText w:val="(%2)"/>
      <w:numFmt w:val="lowerLetter"/>
      <w:start w:val="2"/>
    </w:lvl>
    <w:lvl w:ilvl="2">
      <w:lvlJc w:val="left"/>
      <w:lvlText w:val="(%3)"/>
      <w:numFmt w:val="lowerLetter"/>
      <w:start w:val="35"/>
    </w:lvl>
  </w:abstractNum>
  <w:abstractNum w:abstractNumId="180">
    <w:nsid w:val="2622AD0C"/>
    <w:multiLevelType w:val="hybridMultilevel"/>
    <w:lvl w:ilvl="0">
      <w:lvlJc w:val="left"/>
      <w:lvlText w:val="(%1)"/>
      <w:numFmt w:val="lowerLetter"/>
      <w:start w:val="4"/>
    </w:lvl>
    <w:lvl w:ilvl="1">
      <w:lvlJc w:val="left"/>
      <w:lvlText w:val="(%2)"/>
      <w:numFmt w:val="lowerRoman"/>
      <w:start w:val="1"/>
    </w:lvl>
  </w:abstractNum>
  <w:abstractNum w:abstractNumId="181">
    <w:nsid w:val="67997556"/>
    <w:multiLevelType w:val="hybridMultilevel"/>
    <w:lvl w:ilvl="0">
      <w:lvlJc w:val="left"/>
      <w:lvlText w:val="(%1)"/>
      <w:numFmt w:val="lowerRoman"/>
      <w:start w:val="5"/>
    </w:lvl>
  </w:abstractNum>
  <w:abstractNum w:abstractNumId="182">
    <w:nsid w:val="18333C89"/>
    <w:multiLevelType w:val="hybridMultilevel"/>
    <w:lvl w:ilvl="0">
      <w:lvlJc w:val="left"/>
      <w:lvlText w:val="(%1)"/>
      <w:numFmt w:val="upperLetter"/>
      <w:start w:val="1"/>
    </w:lvl>
  </w:abstractNum>
  <w:abstractNum w:abstractNumId="183">
    <w:nsid w:val="4BA9831A"/>
    <w:multiLevelType w:val="hybridMultilevel"/>
    <w:lvl w:ilvl="0">
      <w:lvlJc w:val="left"/>
      <w:lvlText w:val="%1"/>
      <w:numFmt w:val="lowerLetter"/>
      <w:start w:val="1"/>
    </w:lvl>
    <w:lvl w:ilvl="1">
      <w:lvlJc w:val="left"/>
      <w:lvlText w:val="(%2)"/>
      <w:numFmt w:val="upperLetter"/>
      <w:start w:val="3"/>
    </w:lvl>
  </w:abstractNum>
  <w:abstractNum w:abstractNumId="184">
    <w:nsid w:val="6D71A2B"/>
    <w:multiLevelType w:val="hybridMultilevel"/>
    <w:lvl w:ilvl="0">
      <w:lvlJc w:val="left"/>
      <w:lvlText w:val="(%1)"/>
      <w:numFmt w:val="lowerLetter"/>
      <w:start w:val="5"/>
    </w:lvl>
    <w:lvl w:ilvl="1">
      <w:lvlJc w:val="left"/>
      <w:lvlText w:val="%2"/>
      <w:numFmt w:val="upperLetter"/>
      <w:start w:val="1"/>
    </w:lvl>
  </w:abstractNum>
  <w:abstractNum w:abstractNumId="185">
    <w:nsid w:val="CFC7321"/>
    <w:multiLevelType w:val="hybridMultilevel"/>
    <w:lvl w:ilvl="0">
      <w:lvlJc w:val="left"/>
      <w:lvlText w:val="(%1)"/>
      <w:numFmt w:val="lowerRoman"/>
      <w:start w:val="1"/>
    </w:lvl>
  </w:abstractNum>
  <w:abstractNum w:abstractNumId="186">
    <w:nsid w:val="1421971B"/>
    <w:multiLevelType w:val="hybridMultilevel"/>
    <w:lvl w:ilvl="0">
      <w:lvlJc w:val="left"/>
      <w:lvlText w:val="(%1)"/>
      <w:numFmt w:val="lowerLetter"/>
      <w:start w:val="7"/>
    </w:lvl>
  </w:abstractNum>
  <w:abstractNum w:abstractNumId="187">
    <w:nsid w:val="1F404301"/>
    <w:multiLevelType w:val="hybridMultilevel"/>
    <w:lvl w:ilvl="0">
      <w:lvlJc w:val="left"/>
      <w:lvlText w:val="(%1)"/>
      <w:numFmt w:val="lowerLetter"/>
      <w:start w:val="12"/>
    </w:lvl>
  </w:abstractNum>
  <w:abstractNum w:abstractNumId="188">
    <w:nsid w:val="116E0907"/>
    <w:multiLevelType w:val="hybridMultilevel"/>
    <w:lvl w:ilvl="0">
      <w:lvlJc w:val="left"/>
      <w:lvlText w:val="(%1)"/>
      <w:numFmt w:val="lowerLetter"/>
      <w:start w:val="1"/>
    </w:lvl>
  </w:abstractNum>
  <w:abstractNum w:abstractNumId="189">
    <w:nsid w:val="4B683D0D"/>
    <w:multiLevelType w:val="hybridMultilevel"/>
    <w:lvl w:ilvl="0">
      <w:lvlJc w:val="left"/>
      <w:lvlText w:val="%1"/>
      <w:numFmt w:val="lowerLetter"/>
      <w:start w:val="1"/>
    </w:lvl>
    <w:lvl w:ilvl="1">
      <w:lvlJc w:val="left"/>
      <w:lvlText w:val="(%2)"/>
      <w:numFmt w:val="lowerLetter"/>
      <w:start w:val="4"/>
    </w:lvl>
  </w:abstractNum>
  <w:abstractNum w:abstractNumId="190">
    <w:nsid w:val="76E41D8"/>
    <w:multiLevelType w:val="hybridMultilevel"/>
    <w:lvl w:ilvl="0">
      <w:lvlJc w:val="left"/>
      <w:lvlText w:val="(%1)"/>
      <w:numFmt w:val="lowerLetter"/>
      <w:start w:val="35"/>
    </w:lvl>
    <w:lvl w:ilvl="1">
      <w:lvlJc w:val="left"/>
      <w:lvlText w:val="%2"/>
      <w:numFmt w:val="lowerLetter"/>
      <w:start w:val="1"/>
    </w:lvl>
  </w:abstractNum>
  <w:abstractNum w:abstractNumId="191">
    <w:nsid w:val="71DCE0FD"/>
    <w:multiLevelType w:val="hybridMultilevel"/>
    <w:lvl w:ilvl="0">
      <w:lvlJc w:val="left"/>
      <w:lvlText w:val="(%1)"/>
      <w:numFmt w:val="lowerLetter"/>
      <w:start w:val="13"/>
    </w:lvl>
  </w:abstractNum>
  <w:abstractNum w:abstractNumId="192">
    <w:nsid w:val="7906328B"/>
    <w:multiLevelType w:val="hybridMultilevel"/>
    <w:lvl w:ilvl="0">
      <w:lvlJc w:val="left"/>
      <w:lvlText w:val="(%1)"/>
      <w:numFmt w:val="lowerLetter"/>
      <w:start w:val="17"/>
    </w:lvl>
  </w:abstractNum>
  <w:abstractNum w:abstractNumId="193">
    <w:nsid w:val="72BBC16"/>
    <w:multiLevelType w:val="hybridMultilevel"/>
    <w:lvl w:ilvl="0">
      <w:lvlJc w:val="left"/>
      <w:lvlText w:val="(%1)"/>
      <w:numFmt w:val="lowerRoman"/>
      <w:start w:val="1"/>
    </w:lvl>
  </w:abstractNum>
  <w:abstractNum w:abstractNumId="194">
    <w:nsid w:val="766D98C2"/>
    <w:multiLevelType w:val="hybridMultilevel"/>
    <w:lvl w:ilvl="0">
      <w:lvlJc w:val="left"/>
      <w:lvlText w:val="(%1)"/>
      <w:numFmt w:val="lowerRoman"/>
      <w:start w:val="5"/>
    </w:lvl>
  </w:abstractNum>
  <w:abstractNum w:abstractNumId="195">
    <w:nsid w:val="3C09D4A1"/>
    <w:multiLevelType w:val="hybridMultilevel"/>
    <w:lvl w:ilvl="0">
      <w:lvlJc w:val="left"/>
      <w:lvlText w:val="%1"/>
      <w:numFmt w:val="upperLetter"/>
      <w:start w:val="1"/>
    </w:lvl>
    <w:lvl w:ilvl="1">
      <w:lvlJc w:val="left"/>
      <w:lvlText w:val="(%2)"/>
      <w:numFmt w:val="lowerLetter"/>
      <w:start w:val="23"/>
    </w:lvl>
    <w:lvl w:ilvl="2">
      <w:lvlJc w:val="left"/>
      <w:lvlText w:val="(%3)"/>
      <w:numFmt w:val="lowerLetter"/>
      <w:start w:val="9"/>
    </w:lvl>
  </w:abstractNum>
  <w:abstractNum w:abstractNumId="196">
    <w:nsid w:val="20E45CA4"/>
    <w:multiLevelType w:val="hybridMultilevel"/>
    <w:lvl w:ilvl="0">
      <w:lvlJc w:val="left"/>
      <w:lvlText w:val="(%1)"/>
      <w:numFmt w:val="upperLetter"/>
      <w:start w:val="3"/>
    </w:lvl>
    <w:lvl w:ilvl="1">
      <w:lvlJc w:val="left"/>
      <w:lvlText w:val="(%2)"/>
      <w:numFmt w:val="lowerLetter"/>
      <w:start w:val="23"/>
    </w:lvl>
    <w:lvl w:ilvl="2">
      <w:lvlJc w:val="left"/>
      <w:lvlText w:val="(%3)"/>
      <w:numFmt w:val="lowerLetter"/>
      <w:start w:val="35"/>
    </w:lvl>
  </w:abstractNum>
  <w:abstractNum w:abstractNumId="197">
    <w:nsid w:val="4B232EE3"/>
    <w:multiLevelType w:val="hybridMultilevel"/>
    <w:lvl w:ilvl="0">
      <w:lvlJc w:val="left"/>
      <w:lvlText w:val="%1"/>
      <w:numFmt w:val="decimal"/>
      <w:start w:val="1"/>
    </w:lvl>
    <w:lvl w:ilvl="1">
      <w:lvlJc w:val="left"/>
      <w:lvlText w:val="(%2)"/>
      <w:numFmt w:val="lowerLetter"/>
      <w:start w:val="1"/>
    </w:lvl>
  </w:abstractNum>
  <w:abstractNum w:abstractNumId="198">
    <w:nsid w:val="159C74CF"/>
    <w:multiLevelType w:val="hybridMultilevel"/>
    <w:lvl w:ilvl="0">
      <w:lvlJc w:val="left"/>
      <w:lvlText w:val="(%1)"/>
      <w:numFmt w:val="decimal"/>
      <w:start w:val="1"/>
    </w:lvl>
    <w:lvl w:ilvl="1">
      <w:lvlJc w:val="left"/>
      <w:lvlText w:val="%2"/>
      <w:numFmt w:val="lowerLetter"/>
      <w:start w:val="1"/>
    </w:lvl>
  </w:abstractNum>
  <w:abstractNum w:abstractNumId="199">
    <w:nsid w:val="4AD3AFD2"/>
    <w:multiLevelType w:val="hybridMultilevel"/>
    <w:lvl w:ilvl="0">
      <w:lvlJc w:val="left"/>
      <w:lvlText w:val="(%1)"/>
      <w:numFmt w:val="decimal"/>
      <w:start w:val="3"/>
    </w:lvl>
  </w:abstractNum>
  <w:abstractNum w:abstractNumId="200">
    <w:nsid w:val="3CF93092"/>
    <w:multiLevelType w:val="hybridMultilevel"/>
    <w:lvl w:ilvl="0">
      <w:lvlJc w:val="left"/>
      <w:lvlText w:val="(%1)"/>
      <w:numFmt w:val="decimal"/>
      <w:start w:val="14"/>
    </w:lvl>
    <w:lvl w:ilvl="1">
      <w:lvlJc w:val="left"/>
      <w:lvlText w:val="(%2)"/>
      <w:numFmt w:val="decimal"/>
      <w:start w:val="20"/>
    </w:lvl>
  </w:abstractNum>
  <w:abstractNum w:abstractNumId="201">
    <w:nsid w:val="6863E8D2"/>
    <w:multiLevelType w:val="hybridMultilevel"/>
    <w:lvl w:ilvl="0">
      <w:lvlJc w:val="left"/>
      <w:lvlText w:val="(%1)"/>
      <w:numFmt w:val="decimal"/>
      <w:start w:val="22"/>
    </w:lvl>
  </w:abstractNum>
  <w:abstractNum w:abstractNumId="202">
    <w:nsid w:val="76896198"/>
    <w:multiLevelType w:val="hybridMultilevel"/>
    <w:lvl w:ilvl="0">
      <w:lvlJc w:val="left"/>
      <w:lvlText w:val="%1"/>
      <w:numFmt w:val="lowerLetter"/>
      <w:start w:val="1"/>
    </w:lvl>
    <w:lvl w:ilvl="1">
      <w:lvlJc w:val="left"/>
      <w:lvlText w:val="(%2)"/>
      <w:numFmt w:val="lowerLetter"/>
      <w:start w:val="1"/>
    </w:lvl>
  </w:abstractNum>
  <w:abstractNum w:abstractNumId="203">
    <w:nsid w:val="4365174B"/>
    <w:multiLevelType w:val="hybridMultilevel"/>
    <w:lvl w:ilvl="0">
      <w:lvlJc w:val="left"/>
      <w:lvlText w:val="(%1)"/>
      <w:numFmt w:val="lowerLetter"/>
      <w:start w:val="24"/>
    </w:lvl>
    <w:lvl w:ilvl="1">
      <w:lvlJc w:val="left"/>
      <w:lvlText w:val="(%2)"/>
      <w:numFmt w:val="lowerLetter"/>
      <w:start w:val="2"/>
    </w:lvl>
  </w:abstractNum>
  <w:abstractNum w:abstractNumId="204">
    <w:nsid w:val="4A872C35"/>
    <w:multiLevelType w:val="hybridMultilevel"/>
    <w:lvl w:ilvl="0">
      <w:lvlJc w:val="left"/>
      <w:lvlText w:val="%1"/>
      <w:numFmt w:val="lowerLetter"/>
      <w:start w:val="1"/>
    </w:lvl>
    <w:lvl w:ilvl="1">
      <w:lvlJc w:val="left"/>
      <w:lvlText w:val="(%2)"/>
      <w:numFmt w:val="lowerRoman"/>
      <w:start w:val="1"/>
    </w:lvl>
  </w:abstractNum>
  <w:abstractNum w:abstractNumId="205">
    <w:nsid w:val="5D5CE761"/>
    <w:multiLevelType w:val="hybridMultilevel"/>
    <w:lvl w:ilvl="0">
      <w:lvlJc w:val="left"/>
      <w:lvlText w:val="(%1)"/>
      <w:numFmt w:val="lowerLetter"/>
      <w:start w:val="3"/>
    </w:lvl>
    <w:lvl w:ilvl="1">
      <w:lvlJc w:val="left"/>
      <w:lvlText w:val="%2"/>
      <w:numFmt w:val="lowerRoman"/>
      <w:start w:val="1"/>
    </w:lvl>
  </w:abstractNum>
  <w:abstractNum w:abstractNumId="206">
    <w:nsid w:val="1CD484D5"/>
    <w:multiLevelType w:val="hybridMultilevel"/>
    <w:lvl w:ilvl="0">
      <w:lvlJc w:val="left"/>
      <w:lvlText w:val="(%1)"/>
      <w:numFmt w:val="lowerLetter"/>
      <w:start w:val="1"/>
    </w:lvl>
  </w:abstractNum>
  <w:abstractNum w:abstractNumId="207">
    <w:nsid w:val="21D06255"/>
    <w:multiLevelType w:val="hybridMultilevel"/>
    <w:lvl w:ilvl="0">
      <w:lvlJc w:val="left"/>
      <w:lvlText w:val="(%1)"/>
      <w:numFmt w:val="lowerLetter"/>
      <w:start w:val="4"/>
    </w:lvl>
  </w:abstractNum>
  <w:abstractNum w:abstractNumId="208">
    <w:nsid w:val="51194ED1"/>
    <w:multiLevelType w:val="hybridMultilevel"/>
    <w:lvl w:ilvl="0">
      <w:lvlJc w:val="left"/>
      <w:lvlText w:val="(%1)"/>
      <w:numFmt w:val="lowerLetter"/>
      <w:start w:val="9"/>
    </w:lvl>
  </w:abstractNum>
  <w:abstractNum w:abstractNumId="209">
    <w:nsid w:val="44E2ED6C"/>
    <w:multiLevelType w:val="hybridMultilevel"/>
    <w:lvl w:ilvl="0">
      <w:lvlJc w:val="left"/>
      <w:lvlText w:val="(%1)"/>
      <w:numFmt w:val="lowerRoman"/>
      <w:start w:val="3"/>
    </w:lvl>
  </w:abstractNum>
  <w:abstractNum w:abstractNumId="210">
    <w:nsid w:val="2219B33"/>
    <w:multiLevelType w:val="hybridMultilevel"/>
    <w:lvl w:ilvl="0">
      <w:lvlJc w:val="left"/>
      <w:lvlText w:val="(%1)"/>
      <w:numFmt w:val="lowerLetter"/>
      <w:start w:val="1"/>
    </w:lvl>
  </w:abstractNum>
  <w:abstractNum w:abstractNumId="211">
    <w:nsid w:val="773BFBDD"/>
    <w:multiLevelType w:val="hybridMultilevel"/>
    <w:lvl w:ilvl="0">
      <w:lvlJc w:val="left"/>
      <w:lvlText w:val="(%1)"/>
      <w:numFmt w:val="lowerRoman"/>
      <w:start w:val="1"/>
    </w:lvl>
  </w:abstractNum>
  <w:abstractNum w:abstractNumId="212">
    <w:nsid w:val="2C7C62C2"/>
    <w:multiLevelType w:val="hybridMultilevel"/>
    <w:lvl w:ilvl="0">
      <w:lvlJc w:val="left"/>
      <w:lvlText w:val="(%1)"/>
      <w:numFmt w:val="lowerRoman"/>
      <w:start w:val="9"/>
    </w:lvl>
  </w:abstractNum>
  <w:abstractNum w:abstractNumId="213">
    <w:nsid w:val="1A54D7BC"/>
    <w:multiLevelType w:val="hybridMultilevel"/>
    <w:lvl w:ilvl="0">
      <w:lvlJc w:val="left"/>
      <w:lvlText w:val="(%1)"/>
      <w:numFmt w:val="lowerRoman"/>
      <w:start w:val="11"/>
    </w:lvl>
  </w:abstractNum>
  <w:abstractNum w:abstractNumId="214">
    <w:nsid w:val="42E57EF7"/>
    <w:multiLevelType w:val="hybridMultilevel"/>
    <w:lvl w:ilvl="0">
      <w:lvlJc w:val="left"/>
      <w:lvlText w:val="(%1)"/>
      <w:numFmt w:val="lowerLetter"/>
      <w:start w:val="1"/>
    </w:lvl>
  </w:abstractNum>
  <w:abstractNum w:abstractNumId="215">
    <w:nsid w:val="33537CED"/>
    <w:multiLevelType w:val="hybridMultilevel"/>
    <w:lvl w:ilvl="0">
      <w:lvlJc w:val="left"/>
      <w:lvlText w:val="(%1)"/>
      <w:numFmt w:val="lowerLetter"/>
      <w:start w:val="2"/>
    </w:lvl>
  </w:abstractNum>
  <w:abstractNum w:abstractNumId="216">
    <w:nsid w:val="27514ADE"/>
    <w:multiLevelType w:val="hybridMultilevel"/>
    <w:lvl w:ilvl="0">
      <w:lvlJc w:val="left"/>
      <w:lvlText w:val="(%1)"/>
      <w:numFmt w:val="lowerLetter"/>
      <w:start w:val="1"/>
    </w:lvl>
  </w:abstractNum>
  <w:abstractNum w:abstractNumId="217">
    <w:nsid w:val="57071613"/>
    <w:multiLevelType w:val="hybridMultilevel"/>
    <w:lvl w:ilvl="0">
      <w:lvlJc w:val="left"/>
      <w:lvlText w:val="%1"/>
      <w:numFmt w:val="lowerRoman"/>
      <w:start w:val="1"/>
    </w:lvl>
    <w:lvl w:ilvl="1">
      <w:lvlJc w:val="left"/>
      <w:lvlText w:val="(%2)"/>
      <w:numFmt w:val="lowerLetter"/>
      <w:start w:val="1"/>
    </w:lvl>
  </w:abstractNum>
  <w:abstractNum w:abstractNumId="218">
    <w:nsid w:val="5293BFEF"/>
    <w:multiLevelType w:val="hybridMultilevel"/>
    <w:lvl w:ilvl="0">
      <w:lvlJc w:val="left"/>
      <w:lvlText w:val="(%1)"/>
      <w:numFmt w:val="lowerRoman"/>
      <w:start w:val="4"/>
    </w:lvl>
    <w:lvl w:ilvl="1">
      <w:lvlJc w:val="left"/>
      <w:lvlText w:val="%2"/>
      <w:numFmt w:val="lowerLetter"/>
      <w:start w:val="1"/>
    </w:lvl>
  </w:abstractNum>
  <w:abstractNum w:abstractNumId="219">
    <w:nsid w:val="38BF53E5"/>
    <w:multiLevelType w:val="hybridMultilevel"/>
    <w:lvl w:ilvl="0">
      <w:lvlJc w:val="left"/>
      <w:lvlText w:val="(%1)"/>
      <w:numFmt w:val="lowerLetter"/>
      <w:start w:val="2"/>
    </w:lvl>
    <w:lvl w:ilvl="1">
      <w:lvlJc w:val="left"/>
      <w:lvlText w:val="(%2)"/>
      <w:numFmt w:val="lowerRoman"/>
      <w:start w:val="1"/>
    </w:lvl>
  </w:abstractNum>
  <w:abstractNum w:abstractNumId="220">
    <w:nsid w:val="226F5320"/>
    <w:multiLevelType w:val="hybridMultilevel"/>
    <w:lvl w:ilvl="0">
      <w:lvlJc w:val="left"/>
      <w:lvlText w:val="(%1)"/>
      <w:numFmt w:val="lowerRoman"/>
      <w:start w:val="1"/>
    </w:lvl>
  </w:abstractNum>
  <w:abstractNum w:abstractNumId="221">
    <w:nsid w:val="5A0201C7"/>
    <w:multiLevelType w:val="hybridMultilevel"/>
    <w:lvl w:ilvl="0">
      <w:lvlJc w:val="left"/>
      <w:lvlText w:val="(%1)"/>
      <w:numFmt w:val="lowerLetter"/>
      <w:start w:val="1"/>
    </w:lvl>
  </w:abstractNum>
  <w:abstractNum w:abstractNumId="222">
    <w:nsid w:val="2A9C34E2"/>
    <w:multiLevelType w:val="hybridMultilevel"/>
    <w:lvl w:ilvl="0">
      <w:lvlJc w:val="left"/>
      <w:lvlText w:val="(%1)"/>
      <w:numFmt w:val="lowerLetter"/>
      <w:start w:val="2"/>
    </w:lvl>
  </w:abstractNum>
  <w:abstractNum w:abstractNumId="223">
    <w:nsid w:val="1B7585AB"/>
    <w:multiLevelType w:val="hybridMultilevel"/>
    <w:lvl w:ilvl="0">
      <w:lvlJc w:val="left"/>
      <w:lvlText w:val="(%1)"/>
      <w:numFmt w:val="lowerLetter"/>
      <w:start w:val="1"/>
    </w:lvl>
  </w:abstractNum>
  <w:abstractNum w:abstractNumId="224">
    <w:nsid w:val="612DBDDD"/>
    <w:multiLevelType w:val="hybridMultilevel"/>
    <w:lvl w:ilvl="0">
      <w:lvlJc w:val="left"/>
      <w:lvlText w:val="(%1)"/>
      <w:numFmt w:val="lowerRoman"/>
      <w:start w:val="1"/>
    </w:lvl>
  </w:abstractNum>
  <w:abstractNum w:abstractNumId="225">
    <w:nsid w:val="2109CDA4"/>
    <w:multiLevelType w:val="hybridMultilevel"/>
    <w:lvl w:ilvl="0">
      <w:lvlJc w:val="left"/>
      <w:lvlText w:val="(%1)"/>
      <w:numFmt w:val="lowerRoman"/>
      <w:start w:val="5"/>
    </w:lvl>
  </w:abstractNum>
  <w:abstractNum w:abstractNumId="226">
    <w:nsid w:val="577F5A4D"/>
    <w:multiLevelType w:val="hybridMultilevel"/>
    <w:lvl w:ilvl="0">
      <w:lvlJc w:val="left"/>
      <w:lvlText w:val="(%1)"/>
      <w:numFmt w:val="lowerRoman"/>
      <w:start w:val="2"/>
    </w:lvl>
  </w:abstractNum>
  <w:abstractNum w:abstractNumId="227">
    <w:nsid w:val="2121A81"/>
    <w:multiLevelType w:val="hybridMultilevel"/>
    <w:lvl w:ilvl="0">
      <w:lvlJc w:val="left"/>
      <w:lvlText w:val="(%1)"/>
      <w:numFmt w:val="lowerLetter"/>
      <w:start w:val="1"/>
    </w:lvl>
  </w:abstractNum>
  <w:abstractNum w:abstractNumId="228">
    <w:nsid w:val="6C2CFC88"/>
    <w:multiLevelType w:val="hybridMultilevel"/>
    <w:lvl w:ilvl="0">
      <w:lvlJc w:val="left"/>
      <w:lvlText w:val="(%1)"/>
      <w:numFmt w:val="lowerLetter"/>
      <w:start w:val="2"/>
    </w:lvl>
  </w:abstractNum>
  <w:abstractNum w:abstractNumId="229">
    <w:nsid w:val="6D1BCF1C"/>
    <w:multiLevelType w:val="hybridMultilevel"/>
    <w:lvl w:ilvl="0">
      <w:lvlJc w:val="left"/>
      <w:lvlText w:val="(%1)"/>
      <w:numFmt w:val="lowerLetter"/>
      <w:start w:val="1"/>
    </w:lvl>
  </w:abstractNum>
  <w:abstractNum w:abstractNumId="230">
    <w:nsid w:val="4CE5CA53"/>
    <w:multiLevelType w:val="hybridMultilevel"/>
    <w:lvl w:ilvl="0">
      <w:lvlJc w:val="left"/>
      <w:lvlText w:val="(%1)"/>
      <w:numFmt w:val="lowerLetter"/>
      <w:start w:val="2"/>
    </w:lvl>
  </w:abstractNum>
  <w:abstractNum w:abstractNumId="231">
    <w:nsid w:val="29262D1A"/>
    <w:multiLevelType w:val="hybridMultilevel"/>
    <w:lvl w:ilvl="0">
      <w:lvlJc w:val="left"/>
      <w:lvlText w:val="%1"/>
      <w:numFmt w:val="lowerLetter"/>
      <w:start w:val="1"/>
    </w:lvl>
    <w:lvl w:ilvl="1">
      <w:lvlJc w:val="left"/>
      <w:lvlText w:val="(%2)"/>
      <w:numFmt w:val="lowerLetter"/>
      <w:start w:val="1"/>
    </w:lvl>
  </w:abstractNum>
  <w:abstractNum w:abstractNumId="232">
    <w:nsid w:val="557FB7EE"/>
    <w:multiLevelType w:val="hybridMultilevel"/>
    <w:lvl w:ilvl="0">
      <w:lvlJc w:val="left"/>
      <w:lvlText w:val="(%1)"/>
      <w:numFmt w:val="lowerLetter"/>
      <w:start w:val="24"/>
    </w:lvl>
    <w:lvl w:ilvl="1">
      <w:lvlJc w:val="left"/>
      <w:lvlText w:val="(%2)"/>
      <w:numFmt w:val="lowerLetter"/>
      <w:start w:val="4"/>
    </w:lvl>
  </w:abstractNum>
  <w:abstractNum w:abstractNumId="233">
    <w:nsid w:val="436F2BEB"/>
    <w:multiLevelType w:val="hybridMultilevel"/>
    <w:lvl w:ilvl="0">
      <w:lvlJc w:val="left"/>
      <w:lvlText w:val="(%1)"/>
      <w:numFmt w:val="lowerLetter"/>
      <w:start w:val="5"/>
    </w:lvl>
  </w:abstractNum>
  <w:abstractNum w:abstractNumId="234">
    <w:nsid w:val="6C8B4466"/>
    <w:multiLevelType w:val="hybridMultilevel"/>
    <w:lvl w:ilvl="0">
      <w:lvlJc w:val="left"/>
      <w:lvlText w:val="(%1)"/>
      <w:numFmt w:val="lowerLetter"/>
      <w:start w:val="1"/>
    </w:lvl>
  </w:abstractNum>
  <w:abstractNum w:abstractNumId="235">
    <w:nsid w:val="2006E424"/>
    <w:multiLevelType w:val="hybridMultilevel"/>
    <w:lvl w:ilvl="0">
      <w:lvlJc w:val="left"/>
      <w:lvlText w:val="(%1)"/>
      <w:numFmt w:val="lowerRoman"/>
      <w:start w:val="3"/>
    </w:lvl>
  </w:abstractNum>
  <w:abstractNum w:abstractNumId="236">
    <w:nsid w:val="20CC134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7">
    <w:nsid w:val="95FC93B"/>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238">
    <w:nsid w:val="41D74679"/>
    <w:multiLevelType w:val="hybridMultilevel"/>
    <w:lvl w:ilvl="0">
      <w:lvlJc w:val="left"/>
      <w:lvlText w:val="(%1)"/>
      <w:numFmt w:val="lowerLetter"/>
      <w:start w:val="5"/>
    </w:lvl>
  </w:abstractNum>
  <w:abstractNum w:abstractNumId="239">
    <w:nsid w:val="71E5621E"/>
    <w:multiLevelType w:val="hybridMultilevel"/>
    <w:lvl w:ilvl="0">
      <w:lvlJc w:val="left"/>
      <w:lvlText w:val="(%1)"/>
      <w:numFmt w:val="lowerLetter"/>
      <w:start w:val="1"/>
    </w:lvl>
    <w:lvl w:ilvl="1">
      <w:lvlJc w:val="left"/>
      <w:lvlText w:val="(%2)"/>
      <w:numFmt w:val="lowerLetter"/>
      <w:start w:val="9"/>
    </w:lvl>
  </w:abstractNum>
  <w:abstractNum w:abstractNumId="240">
    <w:nsid w:val="4E42B6A8"/>
    <w:multiLevelType w:val="hybridMultilevel"/>
    <w:lvl w:ilvl="0">
      <w:lvlJc w:val="left"/>
      <w:lvlText w:val="%1"/>
      <w:numFmt w:val="decimal"/>
      <w:start w:val="1"/>
    </w:lvl>
    <w:lvl w:ilvl="1">
      <w:lvlJc w:val="left"/>
      <w:lvlText w:val="(%2)"/>
      <w:numFmt w:val="upperLetter"/>
      <w:start w:val="1"/>
    </w:lvl>
  </w:abstractNum>
  <w:abstractNum w:abstractNumId="241">
    <w:nsid w:val="43F8E1AC"/>
    <w:multiLevelType w:val="hybridMultilevel"/>
    <w:lvl w:ilvl="0">
      <w:lvlJc w:val="left"/>
      <w:lvlText w:val="(%1)"/>
      <w:numFmt w:val="decimal"/>
      <w:start w:val="3"/>
    </w:lvl>
    <w:lvl w:ilvl="1">
      <w:lvlJc w:val="left"/>
      <w:lvlText w:val="(%2)"/>
      <w:numFmt w:val="upperLetter"/>
      <w:start w:val="2"/>
    </w:lvl>
  </w:abstractNum>
  <w:abstractNum w:abstractNumId="242">
    <w:nsid w:val="69215DFB"/>
    <w:multiLevelType w:val="hybridMultilevel"/>
    <w:lvl w:ilvl="0">
      <w:lvlJc w:val="left"/>
      <w:lvlText w:val="%1"/>
      <w:numFmt w:val="lowerRoman"/>
      <w:start w:val="1"/>
    </w:lvl>
    <w:lvl w:ilvl="1">
      <w:lvlJc w:val="left"/>
      <w:lvlText w:val="(%2)"/>
      <w:numFmt w:val="upperLetter"/>
      <w:start w:val="9"/>
    </w:lvl>
  </w:abstractNum>
  <w:abstractNum w:abstractNumId="243">
    <w:nsid w:val="7ABF196A"/>
    <w:multiLevelType w:val="hybridMultilevel"/>
    <w:lvl w:ilvl="0">
      <w:lvlJc w:val="left"/>
      <w:lvlText w:val="(%1)"/>
      <w:numFmt w:val="lowerRoman"/>
      <w:start w:val="2"/>
    </w:lvl>
    <w:lvl w:ilvl="1">
      <w:lvlJc w:val="left"/>
      <w:lvlText w:val="(%2)"/>
      <w:numFmt w:val="upperLetter"/>
      <w:start w:val="14"/>
    </w:lvl>
  </w:abstractNum>
  <w:abstractNum w:abstractNumId="244">
    <w:nsid w:val="5E4DB968"/>
    <w:multiLevelType w:val="hybridMultilevel"/>
    <w:lvl w:ilvl="0">
      <w:lvlJc w:val="left"/>
      <w:lvlText w:val="(%1)"/>
      <w:numFmt w:val="lowerRoman"/>
      <w:start w:val="2"/>
    </w:lvl>
  </w:abstractNum>
  <w:abstractNum w:abstractNumId="245">
    <w:nsid w:val="2C06DCF3"/>
    <w:multiLevelType w:val="hybridMultilevel"/>
    <w:lvl w:ilvl="0">
      <w:lvlJc w:val="left"/>
      <w:lvlText w:val="%1"/>
      <w:numFmt w:val="decimal"/>
      <w:start w:val="1"/>
    </w:lvl>
    <w:lvl w:ilvl="1">
      <w:lvlJc w:val="left"/>
      <w:lvlText w:val="(%2)"/>
      <w:numFmt w:val="upperLetter"/>
      <w:start w:val="1"/>
    </w:lvl>
  </w:abstractNum>
  <w:abstractNum w:abstractNumId="246">
    <w:nsid w:val="2E129658"/>
    <w:multiLevelType w:val="hybridMultilevel"/>
    <w:lvl w:ilvl="0">
      <w:lvlJc w:val="left"/>
      <w:lvlText w:val="(%1)"/>
      <w:numFmt w:val="decimal"/>
      <w:start w:val="2"/>
    </w:lvl>
    <w:lvl w:ilvl="1">
      <w:lvlJc w:val="left"/>
      <w:lvlText w:val="(%2)"/>
      <w:numFmt w:val="upperLetter"/>
      <w:start w:val="3"/>
    </w:lvl>
  </w:abstractNum>
  <w:abstractNum w:abstractNumId="247">
    <w:nsid w:val="59F0446"/>
    <w:multiLevelType w:val="hybridMultilevel"/>
    <w:lvl w:ilvl="0">
      <w:lvlJc w:val="left"/>
      <w:lvlText w:val="(%1)"/>
      <w:numFmt w:val="lowerLetter"/>
      <w:start w:val="2"/>
    </w:lvl>
  </w:abstractNum>
  <w:abstractNum w:abstractNumId="248">
    <w:nsid w:val="30DF306"/>
    <w:multiLevelType w:val="hybridMultilevel"/>
    <w:lvl w:ilvl="0">
      <w:lvlJc w:val="left"/>
      <w:lvlText w:val="(%1)"/>
      <w:numFmt w:val="lowerLetter"/>
      <w:start w:val="1"/>
    </w:lvl>
  </w:abstractNum>
  <w:abstractNum w:abstractNumId="249">
    <w:nsid w:val="A65647"/>
    <w:multiLevelType w:val="hybridMultilevel"/>
    <w:lvl w:ilvl="0">
      <w:lvlJc w:val="left"/>
      <w:lvlText w:val="(%1)"/>
      <w:numFmt w:val="lowerRoman"/>
      <w:start w:val="1"/>
    </w:lvl>
  </w:abstractNum>
  <w:abstractNum w:abstractNumId="250">
    <w:nsid w:val="3E5E582B"/>
    <w:multiLevelType w:val="hybridMultilevel"/>
    <w:lvl w:ilvl="0">
      <w:lvlJc w:val="left"/>
      <w:lvlText w:val="(%1)"/>
      <w:numFmt w:val="lowerLetter"/>
      <w:start w:val="2"/>
    </w:lvl>
  </w:abstractNum>
  <w:abstractNum w:abstractNumId="251">
    <w:nsid w:val="257D4626"/>
    <w:multiLevelType w:val="hybridMultilevel"/>
    <w:lvl w:ilvl="0">
      <w:lvlJc w:val="left"/>
      <w:lvlText w:val="%1"/>
      <w:numFmt w:val="lowerLetter"/>
      <w:start w:val="1"/>
    </w:lvl>
    <w:lvl w:ilvl="1">
      <w:lvlJc w:val="left"/>
      <w:lvlText w:val="(%2)"/>
      <w:numFmt w:val="lowerLetter"/>
      <w:start w:val="1"/>
    </w:lvl>
  </w:abstractNum>
  <w:abstractNum w:abstractNumId="252">
    <w:nsid w:val="5AA8580E"/>
    <w:multiLevelType w:val="hybridMultilevel"/>
    <w:lvl w:ilvl="0">
      <w:lvlJc w:val="left"/>
      <w:lvlText w:val="(%1)"/>
      <w:numFmt w:val="lowerLetter"/>
      <w:start w:val="23"/>
    </w:lvl>
    <w:lvl w:ilvl="1">
      <w:lvlJc w:val="left"/>
      <w:lvlText w:val="%2"/>
      <w:numFmt w:val="lowerLetter"/>
      <w:start w:val="1"/>
    </w:lvl>
  </w:abstractNum>
  <w:abstractNum w:abstractNumId="253">
    <w:nsid w:val="68FA8D0D"/>
    <w:multiLevelType w:val="hybridMultilevel"/>
    <w:lvl w:ilvl="0">
      <w:lvlJc w:val="left"/>
      <w:lvlText w:val="(%1)"/>
      <w:numFmt w:val="lowerRoman"/>
      <w:start w:val="3"/>
    </w:lvl>
  </w:abstractNum>
  <w:abstractNum w:abstractNumId="254">
    <w:nsid w:val="40F2CBD2"/>
    <w:multiLevelType w:val="hybridMultilevel"/>
    <w:lvl w:ilvl="0">
      <w:lvlJc w:val="left"/>
      <w:lvlText w:val="(%1)"/>
      <w:numFmt w:val="lowerLetter"/>
      <w:start w:val="1"/>
    </w:lvl>
  </w:abstractNum>
  <w:abstractNum w:abstractNumId="255">
    <w:nsid w:val="3BD615EB"/>
    <w:multiLevelType w:val="hybridMultilevel"/>
    <w:lvl w:ilvl="0">
      <w:lvlJc w:val="left"/>
      <w:lvlText w:val="(%1)"/>
      <w:numFmt w:val="lowerLetter"/>
      <w:start w:val="3"/>
    </w:lvl>
  </w:abstractNum>
  <w:abstractNum w:abstractNumId="256">
    <w:nsid w:val="A045AB2"/>
    <w:multiLevelType w:val="hybridMultilevel"/>
    <w:lvl w:ilvl="0">
      <w:lvlJc w:val="left"/>
      <w:lvlText w:val="(%1)"/>
      <w:numFmt w:val="lowerRoman"/>
      <w:start w:val="1"/>
    </w:lvl>
  </w:abstractNum>
  <w:abstractNum w:abstractNumId="257">
    <w:nsid w:val="1872261F"/>
    <w:multiLevelType w:val="hybridMultilevel"/>
    <w:lvl w:ilvl="0">
      <w:lvlJc w:val="left"/>
      <w:lvlText w:val="(%1)"/>
      <w:numFmt w:val="lowerLetter"/>
      <w:start w:val="1"/>
    </w:lvl>
  </w:abstractNum>
  <w:abstractNum w:abstractNumId="258">
    <w:nsid w:val="3DE8306C"/>
    <w:multiLevelType w:val="hybridMultilevel"/>
    <w:lvl w:ilvl="0">
      <w:lvlJc w:val="left"/>
      <w:lvlText w:val="(%1)"/>
      <w:numFmt w:val="lowerLetter"/>
      <w:start w:val="1"/>
    </w:lvl>
  </w:abstractNum>
  <w:abstractNum w:abstractNumId="259">
    <w:nsid w:val="7631573A"/>
    <w:multiLevelType w:val="hybridMultilevel"/>
    <w:lvl w:ilvl="0">
      <w:lvlJc w:val="left"/>
      <w:lvlText w:val="(%1)"/>
      <w:numFmt w:val="lowerLetter"/>
      <w:start w:val="1"/>
    </w:lvl>
  </w:abstractNum>
  <w:abstractNum w:abstractNumId="260">
    <w:nsid w:val="58DF53B"/>
    <w:multiLevelType w:val="hybridMultilevel"/>
    <w:lvl w:ilvl="0">
      <w:lvlJc w:val="left"/>
      <w:lvlText w:val="(%1)"/>
      <w:numFmt w:val="lowerLetter"/>
      <w:start w:val="2"/>
    </w:lvl>
    <w:lvl w:ilvl="1">
      <w:lvlJc w:val="left"/>
      <w:lvlText w:val="(%2)"/>
      <w:numFmt w:val="lowerRoman"/>
      <w:start w:val="1"/>
    </w:lvl>
  </w:abstractNum>
  <w:abstractNum w:abstractNumId="261">
    <w:nsid w:val="ACDFAC0"/>
    <w:multiLevelType w:val="hybridMultilevel"/>
    <w:lvl w:ilvl="0">
      <w:lvlJc w:val="left"/>
      <w:lvlText w:val="(%1)"/>
      <w:numFmt w:val="lowerLetter"/>
      <w:start w:val="1"/>
    </w:lvl>
  </w:abstractNum>
  <w:abstractNum w:abstractNumId="262">
    <w:nsid w:val="1F578454"/>
    <w:multiLevelType w:val="hybridMultilevel"/>
    <w:lvl w:ilvl="0">
      <w:lvlJc w:val="left"/>
      <w:lvlText w:val="(%1)"/>
      <w:numFmt w:val="lowerLetter"/>
      <w:start w:val="3"/>
    </w:lvl>
  </w:abstractNum>
  <w:abstractNum w:abstractNumId="263">
    <w:nsid w:val="5B0DAD2A"/>
    <w:multiLevelType w:val="hybridMultilevel"/>
    <w:lvl w:ilvl="0">
      <w:lvlJc w:val="left"/>
      <w:lvlText w:val="(%1)"/>
      <w:numFmt w:val="lowerLetter"/>
      <w:start w:val="8"/>
    </w:lvl>
  </w:abstractNum>
  <w:abstractNum w:abstractNumId="264">
    <w:nsid w:val="4E3D26AB"/>
    <w:multiLevelType w:val="hybridMultilevel"/>
    <w:lvl w:ilvl="0">
      <w:lvlJc w:val="left"/>
      <w:lvlText w:val="(%1)"/>
      <w:numFmt w:val="lowerLetter"/>
      <w:start w:val="1"/>
    </w:lvl>
  </w:abstractNum>
  <w:abstractNum w:abstractNumId="265">
    <w:nsid w:val="BE2C8BA"/>
    <w:multiLevelType w:val="hybridMultilevel"/>
    <w:lvl w:ilvl="0">
      <w:lvlJc w:val="left"/>
      <w:lvlText w:val="(%1)"/>
      <w:numFmt w:val="lowerLetter"/>
      <w:start w:val="2"/>
    </w:lvl>
  </w:abstractNum>
  <w:abstractNum w:abstractNumId="266">
    <w:nsid w:val="7B14914E"/>
    <w:multiLevelType w:val="hybridMultilevel"/>
    <w:lvl w:ilvl="0">
      <w:lvlJc w:val="left"/>
      <w:lvlText w:val="(%1)"/>
      <w:numFmt w:val="lowerLetter"/>
      <w:start w:val="1"/>
    </w:lvl>
  </w:abstractNum>
  <w:abstractNum w:abstractNumId="267">
    <w:nsid w:val="6F0939F8"/>
    <w:multiLevelType w:val="hybridMultilevel"/>
    <w:lvl w:ilvl="0">
      <w:lvlJc w:val="left"/>
      <w:lvlText w:val="(%1)"/>
      <w:numFmt w:val="lowerRoman"/>
      <w:start w:val="1"/>
    </w:lvl>
  </w:abstractNum>
  <w:abstractNum w:abstractNumId="268">
    <w:nsid w:val="154291F6"/>
    <w:multiLevelType w:val="hybridMultilevel"/>
    <w:lvl w:ilvl="0">
      <w:lvlJc w:val="left"/>
      <w:lvlText w:val="(%1)"/>
      <w:numFmt w:val="lowerLetter"/>
      <w:start w:val="2"/>
    </w:lvl>
    <w:lvl w:ilvl="1">
      <w:lvlJc w:val="left"/>
      <w:lvlText w:val="(%2)"/>
      <w:numFmt w:val="lowerLetter"/>
      <w:start w:val="9"/>
    </w:lvl>
  </w:abstractNum>
  <w:abstractNum w:abstractNumId="269">
    <w:nsid w:val="3CEBD7C7"/>
    <w:multiLevelType w:val="hybridMultilevel"/>
    <w:lvl w:ilvl="0">
      <w:lvlJc w:val="left"/>
      <w:lvlText w:val="%1"/>
      <w:numFmt w:val="lowerLetter"/>
      <w:start w:val="1"/>
    </w:lvl>
    <w:lvl w:ilvl="1">
      <w:lvlJc w:val="left"/>
      <w:lvlText w:val="(%2)"/>
      <w:numFmt w:val="lowerLetter"/>
      <w:start w:val="35"/>
    </w:lvl>
  </w:abstractNum>
  <w:abstractNum w:abstractNumId="270">
    <w:nsid w:val="60EE9C16"/>
    <w:multiLevelType w:val="hybridMultilevel"/>
    <w:lvl w:ilvl="0">
      <w:lvlJc w:val="left"/>
      <w:lvlText w:val="(%1)"/>
      <w:numFmt w:val="lowerLetter"/>
      <w:start w:val="4"/>
    </w:lvl>
    <w:lvl w:ilvl="1">
      <w:lvlJc w:val="left"/>
      <w:lvlText w:val="(%2)"/>
      <w:numFmt w:val="lowerLetter"/>
      <w:start w:val="9"/>
    </w:lvl>
  </w:abstractNum>
  <w:abstractNum w:abstractNumId="271">
    <w:nsid w:val="6385489E"/>
    <w:multiLevelType w:val="hybridMultilevel"/>
    <w:lvl w:ilvl="0">
      <w:lvlJc w:val="left"/>
      <w:lvlText w:val="(%1)"/>
      <w:numFmt w:val="lowerRoman"/>
      <w:start w:val="2"/>
    </w:lvl>
  </w:abstractNum>
  <w:abstractNum w:abstractNumId="272">
    <w:nsid w:val="E4B973"/>
    <w:multiLevelType w:val="hybridMultilevel"/>
    <w:lvl w:ilvl="0">
      <w:lvlJc w:val="left"/>
      <w:lvlText w:val="(%1)"/>
      <w:numFmt w:val="lowerRoman"/>
      <w:start w:val="2"/>
    </w:lvl>
  </w:abstractNum>
  <w:abstractNum w:abstractNumId="273">
    <w:nsid w:val="4A0FFA11"/>
    <w:multiLevelType w:val="hybridMultilevel"/>
    <w:lvl w:ilvl="0">
      <w:lvlJc w:val="left"/>
      <w:lvlText w:val="(%1)"/>
      <w:numFmt w:val="lowerLetter"/>
      <w:start w:val="1"/>
    </w:lvl>
  </w:abstractNum>
  <w:abstractNum w:abstractNumId="274">
    <w:nsid w:val="5E446208"/>
    <w:multiLevelType w:val="hybridMultilevel"/>
    <w:lvl w:ilvl="0">
      <w:lvlJc w:val="left"/>
      <w:lvlText w:val="(%1)"/>
      <w:numFmt w:val="lowerRoman"/>
      <w:start w:val="2"/>
    </w:lvl>
  </w:abstractNum>
  <w:abstractNum w:abstractNumId="275">
    <w:nsid w:val="5F3272DB"/>
    <w:multiLevelType w:val="hybridMultilevel"/>
    <w:lvl w:ilvl="0">
      <w:lvlJc w:val="left"/>
      <w:lvlText w:val="(%1)"/>
      <w:numFmt w:val="lowerLetter"/>
      <w:start w:val="2"/>
    </w:lvl>
  </w:abstractNum>
  <w:abstractNum w:abstractNumId="276">
    <w:nsid w:val="7616D704"/>
    <w:multiLevelType w:val="hybridMultilevel"/>
    <w:lvl w:ilvl="0">
      <w:lvlJc w:val="left"/>
      <w:lvlText w:val="(%1)"/>
      <w:numFmt w:val="lowerLetter"/>
      <w:start w:val="5"/>
    </w:lvl>
  </w:abstractNum>
  <w:abstractNum w:abstractNumId="277">
    <w:nsid w:val="C56F860"/>
    <w:multiLevelType w:val="hybridMultilevel"/>
    <w:lvl w:ilvl="0">
      <w:lvlJc w:val="left"/>
      <w:lvlText w:val="(%1)"/>
      <w:numFmt w:val="lowerLetter"/>
      <w:start w:val="1"/>
    </w:lvl>
  </w:abstractNum>
  <w:abstractNum w:abstractNumId="278">
    <w:nsid w:val="64D17722"/>
    <w:multiLevelType w:val="hybridMultilevel"/>
    <w:lvl w:ilvl="0">
      <w:lvlJc w:val="left"/>
      <w:lvlText w:val="(%1)"/>
      <w:numFmt w:val="lowerLetter"/>
      <w:start w:val="6"/>
    </w:lvl>
  </w:abstractNum>
  <w:abstractNum w:abstractNumId="279">
    <w:nsid w:val="7924CA0A"/>
    <w:multiLevelType w:val="hybridMultilevel"/>
    <w:lvl w:ilvl="0">
      <w:lvlJc w:val="left"/>
      <w:lvlText w:val="%1."/>
      <w:numFmt w:val="decimal"/>
      <w:start w:val="1"/>
    </w:lvl>
    <w:lvl w:ilvl="1">
      <w:lvlJc w:val="left"/>
      <w:lvlText w:val="%2."/>
      <w:numFmt w:val="lowerLetter"/>
      <w:start w:val="1"/>
    </w:lvl>
  </w:abstractNum>
  <w:abstractNum w:abstractNumId="280">
    <w:nsid w:val="CFD4EA7"/>
    <w:multiLevelType w:val="hybridMultilevel"/>
    <w:lvl w:ilvl="0">
      <w:lvlJc w:val="left"/>
      <w:lvlText w:val="%1"/>
      <w:numFmt w:val="decimal"/>
      <w:start w:val="1"/>
    </w:lvl>
    <w:lvl w:ilvl="1">
      <w:lvlJc w:val="left"/>
      <w:lvlText w:val="%2."/>
      <w:numFmt w:val="lowerLetter"/>
      <w:start w:val="2"/>
    </w:lvl>
  </w:abstractNum>
  <w:abstractNum w:abstractNumId="281">
    <w:nsid w:val="232FCF4D"/>
    <w:multiLevelType w:val="hybridMultilevel"/>
    <w:lvl w:ilvl="0">
      <w:lvlJc w:val="left"/>
      <w:lvlText w:val="%1."/>
      <w:numFmt w:val="decimal"/>
      <w:start w:val="9"/>
    </w:lvl>
    <w:lvl w:ilvl="1">
      <w:lvlJc w:val="left"/>
      <w:lvlText w:val="%2."/>
      <w:numFmt w:val="lowerLetter"/>
      <w:start w:val="1"/>
    </w:lvl>
  </w:abstractNum>
  <w:abstractNum w:abstractNumId="282">
    <w:nsid w:val="1EA21031"/>
    <w:multiLevelType w:val="hybridMultilevel"/>
    <w:lvl w:ilvl="0">
      <w:lvlJc w:val="left"/>
      <w:lvlText w:val="%1."/>
      <w:numFmt w:val="decimal"/>
      <w:start w:val="1"/>
    </w:lvl>
  </w:abstractNum>
  <w:abstractNum w:abstractNumId="283">
    <w:nsid w:val="67A5A6B5"/>
    <w:multiLevelType w:val="hybridMultilevel"/>
    <w:lvl w:ilvl="0">
      <w:lvlJc w:val="left"/>
      <w:lvlText w:val="1"/>
      <w:numFmt w:val="bullet"/>
      <w:start w:val="1"/>
    </w:lvl>
  </w:abstractNum>
  <w:abstractNum w:abstractNumId="284">
    <w:nsid w:val="C2A5C5B"/>
    <w:multiLevelType w:val="hybridMultilevel"/>
    <w:lvl w:ilvl="0">
      <w:lvlJc w:val="left"/>
      <w:lvlText w:val="3"/>
      <w:numFmt w:val="bullet"/>
      <w:start w:val="1"/>
    </w:lvl>
  </w:abstractNum>
  <w:abstractNum w:abstractNumId="285">
    <w:nsid w:val="5F94DC03"/>
    <w:multiLevelType w:val="hybridMultilevel"/>
    <w:lvl w:ilvl="0">
      <w:lvlJc w:val="left"/>
      <w:lvlText w:val="4"/>
      <w:numFmt w:val="bullet"/>
      <w:start w:val="1"/>
    </w:lvl>
  </w:abstractNum>
  <w:abstractNum w:abstractNumId="286">
    <w:nsid w:val="237BBCA0"/>
    <w:multiLevelType w:val="hybridMultilevel"/>
    <w:lvl w:ilvl="0">
      <w:lvlJc w:val="left"/>
      <w:lvlText w:val="(%1)"/>
      <w:numFmt w:val="lowerRoman"/>
      <w:start w:val="1"/>
    </w:lvl>
  </w:abstractNum>
  <w:abstractNum w:abstractNumId="287">
    <w:nsid w:val="162EB70D"/>
    <w:multiLevelType w:val="hybridMultilevel"/>
    <w:lvl w:ilvl="0">
      <w:lvlJc w:val="left"/>
      <w:lvlText w:val="(%1)"/>
      <w:numFmt w:val="lowerRoman"/>
      <w:start w:val="4"/>
    </w:lvl>
  </w:abstractNum>
  <w:abstractNum w:abstractNumId="288">
    <w:nsid w:val="78070222"/>
    <w:multiLevelType w:val="hybridMultilevel"/>
    <w:lvl w:ilvl="0">
      <w:lvlJc w:val="left"/>
      <w:lvlText w:val="(%1)"/>
      <w:numFmt w:val="decimal"/>
      <w:start w:val="1"/>
    </w:lvl>
  </w:abstractNum>
  <w:abstractNum w:abstractNumId="289">
    <w:nsid w:val="6163ED0D"/>
    <w:multiLevelType w:val="hybridMultilevel"/>
    <w:lvl w:ilvl="0">
      <w:lvlJc w:val="left"/>
      <w:lvlText w:val="(%1)"/>
      <w:numFmt w:val="decimal"/>
      <w:start w:val="1"/>
    </w:lvl>
  </w:abstractNum>
  <w:abstractNum w:abstractNumId="290">
    <w:nsid w:val="C600E47"/>
    <w:multiLevelType w:val="hybridMultilevel"/>
    <w:lvl w:ilvl="0">
      <w:lvlJc w:val="left"/>
      <w:lvlText w:val="(%1)"/>
      <w:numFmt w:val="lowerRoman"/>
      <w:start w:val="1"/>
    </w:lvl>
    <w:lvl w:ilvl="1">
      <w:lvlJc w:val="left"/>
      <w:lvlText w:val="(%2)"/>
      <w:numFmt w:val="lowerLetter"/>
      <w:start w:val="1"/>
    </w:lvl>
  </w:abstractNum>
  <w:abstractNum w:abstractNumId="291">
    <w:nsid w:val="7D94F75D"/>
    <w:multiLevelType w:val="hybridMultilevel"/>
    <w:lvl w:ilvl="0">
      <w:lvlJc w:val="left"/>
      <w:lvlText w:val="(%1)"/>
      <w:numFmt w:val="lowerRoman"/>
      <w:start w:val="1"/>
    </w:lvl>
  </w:abstractNum>
  <w:abstractNum w:abstractNumId="292">
    <w:nsid w:val="6C31E7CD"/>
    <w:multiLevelType w:val="hybridMultilevel"/>
    <w:lvl w:ilvl="0">
      <w:lvlJc w:val="left"/>
      <w:lvlText w:val="(%1)"/>
      <w:numFmt w:val="lowerRoman"/>
      <w:start w:val="4"/>
    </w:lvl>
  </w:abstractNum>
  <w:abstractNum w:abstractNumId="293">
    <w:nsid w:val="2BB7929B"/>
    <w:multiLevelType w:val="hybridMultilevel"/>
    <w:lvl w:ilvl="0">
      <w:lvlJc w:val="left"/>
      <w:lvlText w:val="(%1)"/>
      <w:numFmt w:val="lowerRoman"/>
      <w:start w:val="5"/>
    </w:lvl>
  </w:abstractNum>
  <w:abstractNum w:abstractNumId="294">
    <w:nsid w:val="58A2A487"/>
    <w:multiLevelType w:val="hybridMultilevel"/>
    <w:lvl w:ilvl="0">
      <w:lvlJc w:val="left"/>
      <w:lvlText w:val="%1."/>
      <w:numFmt w:val="decimal"/>
      <w:start w:val="2"/>
    </w:lvl>
    <w:lvl w:ilvl="1">
      <w:lvlJc w:val="left"/>
      <w:lvlText w:val="(%2)"/>
      <w:numFmt w:val="decimal"/>
      <w:start w:val="1"/>
    </w:lvl>
  </w:abstractNum>
  <w:abstractNum w:abstractNumId="295">
    <w:nsid w:val="3A6F0E78"/>
    <w:multiLevelType w:val="hybridMultilevel"/>
    <w:lvl w:ilvl="0">
      <w:lvlJc w:val="left"/>
      <w:lvlText w:val="(%1)"/>
      <w:numFmt w:val="decimal"/>
      <w:start w:val="3"/>
    </w:lvl>
  </w:abstractNum>
  <w:abstractNum w:abstractNumId="296">
    <w:nsid w:val="379A5B56"/>
    <w:multiLevelType w:val="hybridMultilevel"/>
    <w:lvl w:ilvl="0">
      <w:lvlJc w:val="left"/>
      <w:lvlText w:val="%1."/>
      <w:numFmt w:val="decimal"/>
      <w:start w:val="2"/>
    </w:lvl>
  </w:abstractNum>
  <w:abstractNum w:abstractNumId="297">
    <w:nsid w:val="53B735D5"/>
    <w:multiLevelType w:val="hybridMultilevel"/>
    <w:lvl w:ilvl="0">
      <w:lvlJc w:val="left"/>
      <w:lvlText w:val="%1."/>
      <w:numFmt w:val="decimal"/>
      <w:start w:val="1"/>
    </w:lvl>
  </w:abstractNum>
  <w:abstractNum w:abstractNumId="298">
    <w:nsid w:val="29784870"/>
    <w:multiLevelType w:val="hybridMultilevel"/>
    <w:lvl w:ilvl="0">
      <w:lvlJc w:val="left"/>
      <w:lvlText w:val="☐"/>
      <w:numFmt w:val="bullet"/>
      <w:start w:val="1"/>
    </w:lvl>
    <w:lvl w:ilvl="1">
      <w:lvlJc w:val="left"/>
      <w:lvlText w:val="%2."/>
      <w:numFmt w:val="decimal"/>
      <w:start w:val="4"/>
    </w:lvl>
  </w:abstractNum>
  <w:abstractNum w:abstractNumId="299">
    <w:nsid w:val="4CDCED4C"/>
    <w:multiLevelType w:val="hybridMultilevel"/>
    <w:lvl w:ilvl="0">
      <w:lvlJc w:val="left"/>
      <w:lvlText w:val="☐"/>
      <w:numFmt w:val="bullet"/>
      <w:start w:val="1"/>
    </w:lvl>
    <w:lvl w:ilvl="1">
      <w:lvlJc w:val="left"/>
      <w:lvlText w:val="%2."/>
      <w:numFmt w:val="decimal"/>
      <w:start w:val="5"/>
    </w:lvl>
  </w:abstractNum>
  <w:abstractNum w:abstractNumId="300">
    <w:nsid w:val="10A30D9C"/>
    <w:multiLevelType w:val="hybridMultilevel"/>
    <w:lvl w:ilvl="0">
      <w:lvlJc w:val="left"/>
      <w:lvlText w:val="1"/>
      <w:numFmt w:val="bullet"/>
      <w:start w:val="1"/>
    </w:lvl>
  </w:abstractNum>
  <w:abstractNum w:abstractNumId="301">
    <w:nsid w:val="A66E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2">
    <w:nsid w:val="306235EA"/>
    <w:multiLevelType w:val="hybridMultilevel"/>
    <w:lvl w:ilvl="0">
      <w:lvlJc w:val="left"/>
      <w:lvlText w:val="%1."/>
      <w:numFmt w:val="lowerLetter"/>
      <w:start w:val="7"/>
    </w:lvl>
    <w:lvl w:ilvl="1">
      <w:lvlJc w:val="left"/>
      <w:lvlText w:val="%2."/>
      <w:numFmt w:val="lowerRoman"/>
      <w:start w:val="1"/>
    </w:lvl>
  </w:abstractNum>
  <w:abstractNum w:abstractNumId="303">
    <w:nsid w:val="1187C70F"/>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04">
    <w:nsid w:val="5476DE9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5">
    <w:nsid w:val="EA697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6">
    <w:nsid w:val="70BA39E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7">
    <w:nsid w:val="4A8DB59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8">
    <w:nsid w:val="1AFD90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09">
    <w:nsid w:val="558BB10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0">
    <w:nsid w:val="43B27FA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1">
    <w:nsid w:val="27FADEFA"/>
    <w:multiLevelType w:val="hybridMultilevel"/>
    <w:lvl w:ilvl="0">
      <w:lvlJc w:val="left"/>
      <w:lvlText w:val="(%1)"/>
      <w:numFmt w:val="lowerRoman"/>
      <w:start w:val="2"/>
    </w:lvl>
  </w:abstractNum>
  <w:abstractNum w:abstractNumId="312">
    <w:nsid w:val="78BB805A"/>
    <w:multiLevelType w:val="hybridMultilevel"/>
    <w:lvl w:ilvl="0">
      <w:lvlJc w:val="left"/>
      <w:lvlText w:val="(%1)"/>
      <w:numFmt w:val="lowerLetter"/>
      <w:start w:val="1"/>
    </w:lvl>
  </w:abstractNum>
  <w:abstractNum w:abstractNumId="313">
    <w:nsid w:val="62548FD8"/>
    <w:multiLevelType w:val="hybridMultilevel"/>
    <w:lvl w:ilvl="0">
      <w:lvlJc w:val="left"/>
      <w:lvlText w:val="(%1)"/>
      <w:numFmt w:val="lowerLetter"/>
      <w:start w:val="2"/>
    </w:lvl>
  </w:abstractNum>
  <w:abstractNum w:abstractNumId="314">
    <w:nsid w:val="FA085B0"/>
    <w:multiLevelType w:val="hybridMultilevel"/>
    <w:lvl w:ilvl="0">
      <w:lvlJc w:val="left"/>
      <w:lvlText w:val="(%1)"/>
      <w:numFmt w:val="lowerLetter"/>
      <w:start w:val="7"/>
    </w:lvl>
  </w:abstractNum>
  <w:abstractNum w:abstractNumId="315">
    <w:nsid w:val="4E5DCB5"/>
    <w:multiLevelType w:val="hybridMultilevel"/>
    <w:lvl w:ilvl="0">
      <w:lvlJc w:val="left"/>
      <w:lvlText w:val="(%1)"/>
      <w:numFmt w:val="lowerLetter"/>
      <w:start w:val="1"/>
    </w:lvl>
  </w:abstractNum>
  <w:abstractNum w:abstractNumId="316">
    <w:nsid w:val="41E96BDB"/>
    <w:multiLevelType w:val="hybridMultilevel"/>
    <w:lvl w:ilvl="0">
      <w:lvlJc w:val="left"/>
      <w:lvlText w:val="(%1)"/>
      <w:numFmt w:val="lowerLetter"/>
      <w:start w:val="2"/>
    </w:lvl>
  </w:abstractNum>
  <w:abstractNum w:abstractNumId="317">
    <w:nsid w:val="331C4250"/>
    <w:multiLevelType w:val="hybridMultilevel"/>
    <w:lvl w:ilvl="0">
      <w:lvlJc w:val="left"/>
      <w:lvlText w:val="(%1)"/>
      <w:numFmt w:val="lowerLetter"/>
      <w:start w:val="1"/>
    </w:lvl>
  </w:abstractNum>
  <w:abstractNum w:abstractNumId="318">
    <w:nsid w:val="1B1493C2"/>
    <w:multiLevelType w:val="hybridMultilevel"/>
    <w:lvl w:ilvl="0">
      <w:lvlJc w:val="left"/>
      <w:lvlText w:val="(%1)"/>
      <w:numFmt w:val="lowerLetter"/>
      <w:start w:val="1"/>
    </w:lvl>
  </w:abstractNum>
  <w:abstractNum w:abstractNumId="319">
    <w:nsid w:val="39F06DFD"/>
    <w:multiLevelType w:val="hybridMultilevel"/>
    <w:lvl w:ilvl="0">
      <w:lvlJc w:val="left"/>
      <w:lvlText w:val="(%1)"/>
      <w:numFmt w:val="lowerLetter"/>
      <w:start w:val="5"/>
    </w:lvl>
  </w:abstractNum>
  <w:abstractNum w:abstractNumId="320">
    <w:nsid w:val="14802F5D"/>
    <w:multiLevelType w:val="hybridMultilevel"/>
    <w:lvl w:ilvl="0">
      <w:lvlJc w:val="left"/>
      <w:lvlText w:val="(%1)"/>
      <w:numFmt w:val="lowerLetter"/>
      <w:start w:val="9"/>
    </w:lvl>
  </w:abstractNum>
  <w:abstractNum w:abstractNumId="321">
    <w:nsid w:val="2774A209"/>
    <w:multiLevelType w:val="hybridMultilevel"/>
    <w:lvl w:ilvl="0">
      <w:lvlJc w:val="left"/>
      <w:lvlText w:val="(%1)"/>
      <w:numFmt w:val="lowerLetter"/>
      <w:start w:val="1"/>
    </w:lvl>
  </w:abstractNum>
  <w:abstractNum w:abstractNumId="322">
    <w:nsid w:val="3785655A"/>
    <w:multiLevelType w:val="hybridMultilevel"/>
    <w:lvl w:ilvl="0">
      <w:lvlJc w:val="left"/>
      <w:lvlText w:val="(%1)"/>
      <w:numFmt w:val="lowerRoman"/>
      <w:start w:val="1"/>
    </w:lvl>
  </w:abstractNum>
  <w:abstractNum w:abstractNumId="323">
    <w:nsid w:val="B2172A"/>
    <w:multiLevelType w:val="hybridMultilevel"/>
    <w:lvl w:ilvl="0">
      <w:lvlJc w:val="left"/>
      <w:lvlText w:val="(%1)"/>
      <w:numFmt w:val="lowerRoman"/>
      <w:start w:val="8"/>
    </w:lvl>
  </w:abstractNum>
  <w:abstractNum w:abstractNumId="324">
    <w:nsid w:val="532C34A5"/>
    <w:multiLevelType w:val="hybridMultilevel"/>
    <w:lvl w:ilvl="0">
      <w:lvlJc w:val="left"/>
      <w:lvlText w:val="(%1)"/>
      <w:numFmt w:val="lowerLetter"/>
      <w:start w:val="2"/>
    </w:lvl>
  </w:abstractNum>
  <w:abstractNum w:abstractNumId="325">
    <w:nsid w:val="102809E2"/>
    <w:multiLevelType w:val="hybridMultilevel"/>
    <w:lvl w:ilvl="0">
      <w:lvlJc w:val="left"/>
      <w:lvlText w:val="(%1)"/>
      <w:numFmt w:val="lowerLetter"/>
      <w:start w:val="1"/>
    </w:lvl>
  </w:abstractNum>
  <w:abstractNum w:abstractNumId="326">
    <w:nsid w:val="3B2125A3"/>
    <w:multiLevelType w:val="hybridMultilevel"/>
    <w:lvl w:ilvl="0">
      <w:lvlJc w:val="left"/>
      <w:lvlText w:val="(%1)"/>
      <w:numFmt w:val="lowerLetter"/>
      <w:start w:val="4"/>
    </w:lvl>
  </w:abstractNum>
  <w:abstractNum w:abstractNumId="327">
    <w:nsid w:val="AC68FFB"/>
    <w:multiLevelType w:val="hybridMultilevel"/>
    <w:lvl w:ilvl="0">
      <w:lvlJc w:val="left"/>
      <w:lvlText w:val="(%1)"/>
      <w:numFmt w:val="lowerLetter"/>
      <w:start w:val="1"/>
    </w:lvl>
  </w:abstractNum>
  <w:abstractNum w:abstractNumId="328">
    <w:nsid w:val="63DF3FB7"/>
    <w:multiLevelType w:val="hybridMultilevel"/>
    <w:lvl w:ilvl="0">
      <w:lvlJc w:val="left"/>
      <w:lvlText w:val="(%1)"/>
      <w:numFmt w:val="lowerLetter"/>
      <w:start w:val="2"/>
    </w:lvl>
    <w:lvl w:ilvl="1">
      <w:lvlJc w:val="left"/>
      <w:lvlText w:val="(%2)"/>
      <w:numFmt w:val="lowerRoman"/>
      <w:start w:val="1"/>
    </w:lvl>
  </w:abstractNum>
  <w:abstractNum w:abstractNumId="329">
    <w:nsid w:val="64996E13"/>
    <w:multiLevelType w:val="hybridMultilevel"/>
    <w:lvl w:ilvl="0">
      <w:lvlJc w:val="left"/>
      <w:lvlText w:val="(%1)"/>
      <w:numFmt w:val="lowerRoman"/>
      <w:start w:val="6"/>
    </w:lvl>
  </w:abstractNum>
  <w:abstractNum w:abstractNumId="330">
    <w:nsid w:val="57A37D47"/>
    <w:multiLevelType w:val="hybridMultilevel"/>
    <w:lvl w:ilvl="0">
      <w:lvlJc w:val="left"/>
      <w:lvlText w:val="(%1)"/>
      <w:numFmt w:val="lowerLetter"/>
      <w:start w:val="1"/>
    </w:lvl>
  </w:abstractNum>
  <w:abstractNum w:abstractNumId="331">
    <w:nsid w:val="74824D54"/>
    <w:multiLevelType w:val="hybridMultilevel"/>
    <w:lvl w:ilvl="0">
      <w:lvlJc w:val="left"/>
      <w:lvlText w:val="(%1)"/>
      <w:numFmt w:val="decimal"/>
      <w:start w:val="5"/>
    </w:lvl>
  </w:abstractNum>
  <w:abstractNum w:abstractNumId="332">
    <w:nsid w:val="6F00529A"/>
    <w:multiLevelType w:val="hybridMultilevel"/>
    <w:lvl w:ilvl="0">
      <w:lvlJc w:val="left"/>
      <w:lvlText w:val="(%1)"/>
      <w:numFmt w:val="lowerLetter"/>
      <w:start w:val="1"/>
    </w:lvl>
  </w:abstractNum>
  <w:abstractNum w:abstractNumId="333">
    <w:nsid w:val="805B331"/>
    <w:multiLevelType w:val="hybridMultilevel"/>
    <w:lvl w:ilvl="0">
      <w:lvlJc w:val="left"/>
      <w:lvlText w:val="(%1)"/>
      <w:numFmt w:val="lowerLetter"/>
      <w:start w:val="2"/>
    </w:lvl>
  </w:abstractNum>
  <w:abstractNum w:abstractNumId="334">
    <w:nsid w:val="60A1463"/>
    <w:multiLevelType w:val="hybridMultilevel"/>
    <w:lvl w:ilvl="0">
      <w:lvlJc w:val="left"/>
      <w:lvlText w:val="(%1)"/>
      <w:numFmt w:val="lowerLetter"/>
      <w:start w:val="1"/>
    </w:lvl>
  </w:abstractNum>
  <w:abstractNum w:abstractNumId="335">
    <w:nsid w:val="43773132"/>
    <w:multiLevelType w:val="hybridMultilevel"/>
    <w:lvl w:ilvl="0">
      <w:lvlJc w:val="left"/>
      <w:lvlText w:val="(%1)"/>
      <w:numFmt w:val="lowerLetter"/>
      <w:start w:val="2"/>
    </w:lvl>
  </w:abstractNum>
  <w:abstractNum w:abstractNumId="336">
    <w:nsid w:val="16AC4B23"/>
    <w:multiLevelType w:val="hybridMultilevel"/>
    <w:lvl w:ilvl="0">
      <w:lvlJc w:val="left"/>
      <w:lvlText w:val="%1"/>
      <w:numFmt w:val="lowerLetter"/>
      <w:start w:val="1"/>
    </w:lvl>
    <w:lvl w:ilvl="1">
      <w:lvlJc w:val="left"/>
      <w:lvlText w:val="(%2)"/>
      <w:numFmt w:val="lowerLetter"/>
      <w:start w:val="1"/>
    </w:lvl>
  </w:abstractNum>
  <w:abstractNum w:abstractNumId="337">
    <w:nsid w:val="76C44E4E"/>
    <w:multiLevelType w:val="hybridMultilevel"/>
    <w:lvl w:ilvl="0">
      <w:lvlJc w:val="left"/>
      <w:lvlText w:val="(%1)"/>
      <w:numFmt w:val="lowerLetter"/>
      <w:start w:val="9"/>
    </w:lvl>
    <w:lvl w:ilvl="1">
      <w:lvlJc w:val="left"/>
      <w:lvlText w:val="(%2)"/>
      <w:numFmt w:val="lowerLetter"/>
      <w:start w:val="4"/>
    </w:lvl>
  </w:abstractNum>
  <w:abstractNum w:abstractNumId="338">
    <w:nsid w:val="E04E6CE"/>
    <w:multiLevelType w:val="hybridMultilevel"/>
    <w:lvl w:ilvl="0">
      <w:lvlJc w:val="left"/>
      <w:lvlText w:val="(%1)"/>
      <w:numFmt w:val="lowerLetter"/>
      <w:start w:val="5"/>
    </w:lvl>
  </w:abstractNum>
  <w:abstractNum w:abstractNumId="339">
    <w:nsid w:val="31A9DB76"/>
    <w:multiLevelType w:val="hybridMultilevel"/>
    <w:lvl w:ilvl="0">
      <w:lvlJc w:val="left"/>
      <w:lvlText w:val="(%1)"/>
      <w:numFmt w:val="lowerLetter"/>
      <w:start w:val="3"/>
    </w:lvl>
  </w:abstractNum>
  <w:abstractNum w:abstractNumId="340">
    <w:nsid w:val="4C4FFF5B"/>
    <w:multiLevelType w:val="hybridMultilevel"/>
    <w:lvl w:ilvl="0">
      <w:lvlJc w:val="left"/>
      <w:lvlText w:val="(%1)"/>
      <w:numFmt w:val="lowerLetter"/>
      <w:start w:val="2"/>
    </w:lvl>
  </w:abstractNum>
  <w:abstractNum w:abstractNumId="341">
    <w:nsid w:val="51B76675"/>
    <w:multiLevelType w:val="hybridMultilevel"/>
    <w:lvl w:ilvl="0">
      <w:lvlJc w:val="left"/>
      <w:lvlText w:val="(%1)"/>
      <w:numFmt w:val="lowerLetter"/>
      <w:start w:val="1"/>
    </w:lvl>
  </w:abstractNum>
  <w:abstractNum w:abstractNumId="342">
    <w:nsid w:val="59A4BA71"/>
    <w:multiLevelType w:val="hybridMultilevel"/>
    <w:lvl w:ilvl="0">
      <w:lvlJc w:val="left"/>
      <w:lvlText w:val="(%1)"/>
      <w:numFmt w:val="lowerLetter"/>
      <w:start w:val="5"/>
    </w:lvl>
  </w:abstractNum>
  <w:abstractNum w:abstractNumId="343">
    <w:nsid w:val="450B7FB6"/>
    <w:multiLevelType w:val="hybridMultilevel"/>
    <w:lvl w:ilvl="0">
      <w:lvlJc w:val="left"/>
      <w:lvlText w:val="%1"/>
      <w:numFmt w:val="lowerLetter"/>
      <w:start w:val="1"/>
    </w:lvl>
    <w:lvl w:ilvl="1">
      <w:lvlJc w:val="left"/>
      <w:lvlText w:val="(%2)"/>
      <w:numFmt w:val="lowerLetter"/>
      <w:start w:val="1"/>
    </w:lvl>
  </w:abstractNum>
  <w:abstractNum w:abstractNumId="344">
    <w:nsid w:val="340BF64D"/>
    <w:multiLevelType w:val="hybridMultilevel"/>
    <w:lvl w:ilvl="0">
      <w:lvlJc w:val="left"/>
      <w:lvlText w:val="(%1)"/>
      <w:numFmt w:val="lowerLetter"/>
      <w:start w:val="2"/>
    </w:lvl>
    <w:lvl w:ilvl="1">
      <w:lvlJc w:val="left"/>
      <w:lvlText w:val="(%2)"/>
      <w:numFmt w:val="lowerLetter"/>
      <w:start w:val="2"/>
    </w:lvl>
  </w:abstractNum>
  <w:abstractNum w:abstractNumId="345">
    <w:nsid w:val="69454021"/>
    <w:multiLevelType w:val="hybridMultilevel"/>
    <w:lvl w:ilvl="0">
      <w:lvlJc w:val="left"/>
      <w:lvlText w:val="(%1)"/>
      <w:numFmt w:val="lowerLetter"/>
      <w:start w:val="9"/>
    </w:lvl>
    <w:lvl w:ilvl="1">
      <w:lvlJc w:val="left"/>
      <w:lvlText w:val="%2"/>
      <w:numFmt w:val="lowerLetter"/>
      <w:start w:val="1"/>
    </w:lvl>
  </w:abstractNum>
  <w:abstractNum w:abstractNumId="346">
    <w:nsid w:val="49F15C6B"/>
    <w:multiLevelType w:val="hybridMultilevel"/>
    <w:lvl w:ilvl="0">
      <w:lvlJc w:val="left"/>
      <w:lvlText w:val="(%1)"/>
      <w:numFmt w:val="lowerLetter"/>
      <w:start w:val="2"/>
    </w:lvl>
  </w:abstractNum>
  <w:abstractNum w:abstractNumId="347">
    <w:nsid w:val="75F56228"/>
    <w:multiLevelType w:val="hybridMultilevel"/>
    <w:lvl w:ilvl="0">
      <w:lvlJc w:val="left"/>
      <w:lvlText w:val="(%1)"/>
      <w:numFmt w:val="lowerLetter"/>
      <w:start w:val="9"/>
    </w:lvl>
  </w:abstractNum>
  <w:abstractNum w:abstractNumId="348">
    <w:nsid w:val="1C618271"/>
    <w:multiLevelType w:val="hybridMultilevel"/>
    <w:lvl w:ilvl="0">
      <w:lvlJc w:val="left"/>
      <w:lvlText w:val="(%1)"/>
      <w:numFmt w:val="lowerLetter"/>
      <w:start w:val="61"/>
    </w:lvl>
  </w:abstractNum>
  <w:abstractNum w:abstractNumId="349">
    <w:nsid w:val="6505F02E"/>
    <w:multiLevelType w:val="hybridMultilevel"/>
    <w:lvl w:ilvl="0">
      <w:lvlJc w:val="left"/>
      <w:lvlText w:val="(%1)"/>
      <w:numFmt w:val="lowerLetter"/>
      <w:start w:val="8"/>
    </w:lvl>
  </w:abstractNum>
  <w:abstractNum w:abstractNumId="350">
    <w:nsid w:val="2FE5D025"/>
    <w:multiLevelType w:val="hybridMultilevel"/>
    <w:lvl w:ilvl="0">
      <w:lvlJc w:val="left"/>
      <w:lvlText w:val="(%1)"/>
      <w:numFmt w:val="lowerLetter"/>
      <w:start w:val="4"/>
    </w:lvl>
  </w:abstractNum>
  <w:abstractNum w:abstractNumId="351">
    <w:nsid w:val="30E1B1CF"/>
    <w:multiLevelType w:val="hybridMultilevel"/>
    <w:lvl w:ilvl="0">
      <w:lvlJc w:val="left"/>
      <w:lvlText w:val="(%1)"/>
      <w:numFmt w:val="lowerLetter"/>
      <w:start w:val="1"/>
    </w:lvl>
  </w:abstractNum>
  <w:abstractNum w:abstractNumId="352">
    <w:nsid w:val="C7A9237"/>
    <w:multiLevelType w:val="hybridMultilevel"/>
    <w:lvl w:ilvl="0">
      <w:lvlJc w:val="left"/>
      <w:lvlText w:val="(%1)"/>
      <w:numFmt w:val="lowerLetter"/>
      <w:start w:val="1"/>
    </w:lvl>
  </w:abstractNum>
  <w:abstractNum w:abstractNumId="353">
    <w:nsid w:val="676B3580"/>
    <w:multiLevelType w:val="hybridMultilevel"/>
    <w:lvl w:ilvl="0">
      <w:lvlJc w:val="left"/>
      <w:lvlText w:val="%1"/>
      <w:numFmt w:val="lowerLetter"/>
      <w:start w:val="1"/>
    </w:lvl>
    <w:lvl w:ilvl="1">
      <w:lvlJc w:val="left"/>
      <w:lvlText w:val="(%2)"/>
      <w:numFmt w:val="lowerLetter"/>
      <w:start w:val="1"/>
    </w:lvl>
  </w:abstractNum>
  <w:abstractNum w:abstractNumId="354">
    <w:nsid w:val="3193C8F9"/>
    <w:multiLevelType w:val="hybridMultilevel"/>
    <w:lvl w:ilvl="0">
      <w:lvlJc w:val="left"/>
      <w:lvlText w:val="(%1)"/>
      <w:numFmt w:val="lowerLetter"/>
      <w:start w:val="35"/>
    </w:lvl>
    <w:lvl w:ilvl="1">
      <w:lvlJc w:val="left"/>
      <w:lvlText w:val="(%2)"/>
      <w:numFmt w:val="lowerLetter"/>
      <w:start w:val="2"/>
    </w:lvl>
  </w:abstractNum>
  <w:abstractNum w:abstractNumId="355">
    <w:nsid w:val="5FA6C6DC"/>
    <w:multiLevelType w:val="hybridMultilevel"/>
    <w:lvl w:ilvl="0">
      <w:lvlJc w:val="left"/>
      <w:lvlText w:val="(%1)"/>
      <w:numFmt w:val="lowerLetter"/>
      <w:start w:val="1"/>
    </w:lvl>
  </w:abstractNum>
  <w:abstractNum w:abstractNumId="356">
    <w:nsid w:val="77933F62"/>
    <w:multiLevelType w:val="hybridMultilevel"/>
    <w:lvl w:ilvl="0">
      <w:lvlJc w:val="left"/>
      <w:lvlText w:val="(%1)"/>
      <w:numFmt w:val="lowerLetter"/>
      <w:start w:val="1"/>
    </w:lvl>
  </w:abstractNum>
  <w:abstractNum w:abstractNumId="357">
    <w:nsid w:val="6CB4EE9C"/>
    <w:multiLevelType w:val="hybridMultilevel"/>
    <w:lvl w:ilvl="0">
      <w:lvlJc w:val="left"/>
      <w:lvlText w:val="(%1)"/>
      <w:numFmt w:val="lowerLetter"/>
      <w:start w:val="3"/>
    </w:lvl>
  </w:abstractNum>
  <w:abstractNum w:abstractNumId="358">
    <w:nsid w:val="6A6D56D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359">
    <w:nsid w:val="5B727F19"/>
    <w:multiLevelType w:val="hybridMultilevel"/>
    <w:lvl w:ilvl="0">
      <w:lvlJc w:val="left"/>
      <w:lvlText w:val="(%1)"/>
      <w:numFmt w:val="lowerLetter"/>
      <w:start w:val="9"/>
    </w:lvl>
    <w:lvl w:ilvl="1">
      <w:lvlJc w:val="left"/>
      <w:lvlText w:val="(%2)"/>
      <w:numFmt w:val="lowerRoman"/>
    </w:lvl>
    <w:lvl w:ilvl="2">
      <w:lvlJc w:val="left"/>
      <w:lvlText w:val="(%3)"/>
      <w:numFmt w:val="lowerLetter"/>
      <w:start w:val="2"/>
    </w:lvl>
  </w:abstractNum>
  <w:abstractNum w:abstractNumId="360">
    <w:nsid w:val="514E5CB0"/>
    <w:multiLevelType w:val="hybridMultilevel"/>
    <w:lvl w:ilvl="0">
      <w:lvlJc w:val="left"/>
      <w:lvlText w:val="(%1)"/>
      <w:numFmt w:val="lowerRoman"/>
      <w:start w:val="3"/>
    </w:lvl>
    <w:lvl w:ilvl="1">
      <w:lvlJc w:val="left"/>
      <w:lvlText w:val="(%2)"/>
      <w:numFmt w:val="lowerLetter"/>
      <w:start w:val="3"/>
    </w:lvl>
  </w:abstractNum>
  <w:abstractNum w:abstractNumId="361">
    <w:nsid w:val="4210D41E"/>
    <w:multiLevelType w:val="hybridMultilevel"/>
    <w:lvl w:ilvl="0">
      <w:lvlJc w:val="left"/>
      <w:lvlText w:val="%1"/>
      <w:numFmt w:val="lowerLetter"/>
      <w:start w:val="1"/>
    </w:lvl>
    <w:lvl w:ilvl="1">
      <w:lvlJc w:val="left"/>
      <w:lvlText w:val="(%2)"/>
      <w:numFmt w:val="lowerLetter"/>
      <w:start w:val="1"/>
    </w:lvl>
  </w:abstractNum>
  <w:abstractNum w:abstractNumId="362">
    <w:nsid w:val="4FF4CC6D"/>
    <w:multiLevelType w:val="hybridMultilevel"/>
    <w:lvl w:ilvl="0">
      <w:lvlJc w:val="left"/>
      <w:lvlText w:val="(%1)"/>
      <w:numFmt w:val="lowerLetter"/>
      <w:start w:val="35"/>
    </w:lvl>
    <w:lvl w:ilvl="1">
      <w:lvlJc w:val="left"/>
      <w:lvlText w:val="%2"/>
      <w:numFmt w:val="lowerLetter"/>
      <w:start w:val="1"/>
    </w:lvl>
  </w:abstractNum>
  <w:abstractNum w:abstractNumId="363">
    <w:nsid w:val="404EAF4A"/>
    <w:multiLevelType w:val="hybridMultilevel"/>
    <w:lvl w:ilvl="0">
      <w:lvlJc w:val="left"/>
      <w:lvlText w:val="%1"/>
      <w:numFmt w:val="lowerLetter"/>
      <w:start w:val="1"/>
    </w:lvl>
    <w:lvl w:ilvl="1">
      <w:lvlJc w:val="left"/>
      <w:lvlText w:val="(%2)"/>
      <w:numFmt w:val="lowerLetter"/>
      <w:start w:val="2"/>
    </w:lvl>
  </w:abstractNum>
  <w:abstractNum w:abstractNumId="364">
    <w:nsid w:val="4A16874F"/>
    <w:multiLevelType w:val="hybridMultilevel"/>
    <w:lvl w:ilvl="0">
      <w:lvlJc w:val="left"/>
      <w:lvlText w:val="(%1)"/>
      <w:numFmt w:val="lowerLetter"/>
      <w:start w:val="24"/>
    </w:lvl>
    <w:lvl w:ilvl="1">
      <w:lvlJc w:val="left"/>
      <w:lvlText w:val="%2"/>
      <w:numFmt w:val="lowerLetter"/>
      <w:start w:val="1"/>
    </w:lvl>
  </w:abstractNum>
  <w:abstractNum w:abstractNumId="365">
    <w:nsid w:val="55FEE0D1"/>
    <w:multiLevelType w:val="hybridMultilevel"/>
    <w:lvl w:ilvl="0">
      <w:lvlJc w:val="left"/>
      <w:lvlText w:val="(%1)"/>
      <w:numFmt w:val="lowerLetter"/>
      <w:start w:val="4"/>
    </w:lvl>
  </w:abstractNum>
  <w:abstractNum w:abstractNumId="366">
    <w:nsid w:val="3C5E07C"/>
    <w:multiLevelType w:val="hybridMultilevel"/>
    <w:lvl w:ilvl="0">
      <w:lvlJc w:val="left"/>
      <w:lvlText w:val="(%1)"/>
      <w:numFmt w:val="lowerLetter"/>
      <w:start w:val="1"/>
    </w:lvl>
  </w:abstractNum>
  <w:abstractNum w:abstractNumId="367">
    <w:nsid w:val="60C2D273"/>
    <w:multiLevelType w:val="hybridMultilevel"/>
    <w:lvl w:ilvl="0">
      <w:lvlJc w:val="left"/>
      <w:lvlText w:val="(%1)"/>
      <w:numFmt w:val="lowerLetter"/>
      <w:start w:val="3"/>
    </w:lvl>
  </w:abstractNum>
  <w:abstractNum w:abstractNumId="368">
    <w:nsid w:val="4CC32F1F"/>
    <w:multiLevelType w:val="hybridMultilevel"/>
    <w:lvl w:ilvl="0">
      <w:lvlJc w:val="left"/>
      <w:lvlText w:val="(%1)"/>
      <w:numFmt w:val="lowerLetter"/>
      <w:start w:val="25"/>
    </w:lvl>
  </w:abstractNum>
  <w:abstractNum w:abstractNumId="369">
    <w:nsid w:val="11CAC74A"/>
    <w:multiLevelType w:val="hybridMultilevel"/>
    <w:lvl w:ilvl="0">
      <w:lvlJc w:val="left"/>
      <w:lvlText w:val="(%1)"/>
      <w:numFmt w:val="lowerLetter"/>
      <w:start w:val="6"/>
    </w:lvl>
  </w:abstractNum>
  <w:abstractNum w:abstractNumId="370">
    <w:nsid w:val="126CADE9"/>
    <w:multiLevelType w:val="hybridMultilevel"/>
    <w:lvl w:ilvl="0">
      <w:lvlJc w:val="left"/>
      <w:lvlText w:val="%1"/>
      <w:numFmt w:val="lowerRoman"/>
      <w:start w:val="1"/>
    </w:lvl>
    <w:lvl w:ilvl="1">
      <w:lvlJc w:val="left"/>
      <w:lvlText w:val="(%2)"/>
      <w:numFmt w:val="lowerLetter"/>
      <w:start w:val="7"/>
    </w:lvl>
  </w:abstractNum>
  <w:abstractNum w:abstractNumId="371">
    <w:nsid w:val="19132E7B"/>
    <w:multiLevelType w:val="hybridMultilevel"/>
    <w:lvl w:ilvl="0">
      <w:lvlJc w:val="left"/>
      <w:lvlText w:val="(%1)"/>
      <w:numFmt w:val="lowerRoman"/>
      <w:start w:val="4"/>
    </w:lvl>
    <w:lvl w:ilvl="1">
      <w:lvlJc w:val="left"/>
      <w:lvlText w:val="%2"/>
      <w:numFmt w:val="lowerLetter"/>
      <w:start w:val="1"/>
    </w:lvl>
  </w:abstractNum>
  <w:abstractNum w:abstractNumId="372">
    <w:nsid w:val="63822DC0"/>
    <w:multiLevelType w:val="hybridMultilevel"/>
    <w:lvl w:ilvl="0">
      <w:lvlJc w:val="left"/>
      <w:lvlText w:val="(%1)"/>
      <w:numFmt w:val="lowerRoman"/>
      <w:start w:val="1"/>
    </w:lvl>
  </w:abstractNum>
  <w:abstractNum w:abstractNumId="373">
    <w:nsid w:val="6C11685A"/>
    <w:multiLevelType w:val="hybridMultilevel"/>
    <w:lvl w:ilvl="0">
      <w:lvlJc w:val="left"/>
      <w:lvlText w:val="(%1)"/>
      <w:numFmt w:val="lowerLetter"/>
      <w:start w:val="8"/>
    </w:lvl>
  </w:abstractNum>
  <w:abstractNum w:abstractNumId="374">
    <w:nsid w:val="5E1EAE31"/>
    <w:multiLevelType w:val="hybridMultilevel"/>
    <w:lvl w:ilvl="0">
      <w:lvlJc w:val="left"/>
      <w:lvlText w:val="(%1)"/>
      <w:numFmt w:val="lowerLetter"/>
      <w:start w:val="1"/>
    </w:lvl>
  </w:abstractNum>
  <w:abstractNum w:abstractNumId="375">
    <w:nsid w:val="178E240D"/>
    <w:multiLevelType w:val="hybridMultilevel"/>
    <w:lvl w:ilvl="0">
      <w:lvlJc w:val="left"/>
      <w:lvlText w:val="(%1)"/>
      <w:numFmt w:val="lowerLetter"/>
      <w:start w:val="1"/>
    </w:lvl>
  </w:abstractNum>
  <w:abstractNum w:abstractNumId="376">
    <w:nsid w:val="5556A87B"/>
    <w:multiLevelType w:val="hybridMultilevel"/>
    <w:lvl w:ilvl="0">
      <w:lvlJc w:val="left"/>
      <w:lvlText w:val="%1"/>
      <w:numFmt w:val="lowerRoman"/>
      <w:start w:val="1"/>
    </w:lvl>
    <w:lvl w:ilvl="1">
      <w:lvlJc w:val="left"/>
      <w:lvlText w:val="(%2)"/>
      <w:numFmt w:val="lowerLetter"/>
      <w:start w:val="2"/>
    </w:lvl>
  </w:abstractNum>
  <w:abstractNum w:abstractNumId="377">
    <w:nsid w:val="28100A9C"/>
    <w:multiLevelType w:val="hybridMultilevel"/>
    <w:lvl w:ilvl="0">
      <w:lvlJc w:val="left"/>
      <w:lvlText w:val="(%1)"/>
      <w:numFmt w:val="lowerRoman"/>
      <w:start w:val="1"/>
    </w:lvl>
    <w:lvl w:ilvl="1">
      <w:lvlJc w:val="left"/>
      <w:lvlText w:val="(%2)"/>
      <w:numFmt w:val="lowerLetter"/>
      <w:start w:val="4"/>
    </w:lvl>
  </w:abstractNum>
  <w:abstractNum w:abstractNumId="378">
    <w:nsid w:val="D838636"/>
    <w:multiLevelType w:val="hybridMultilevel"/>
    <w:lvl w:ilvl="0">
      <w:lvlJc w:val="left"/>
      <w:lvlText w:val="(%1)"/>
      <w:numFmt w:val="lowerLetter"/>
      <w:start w:val="1"/>
    </w:lvl>
  </w:abstractNum>
  <w:abstractNum w:abstractNumId="379">
    <w:nsid w:val="71B82AED"/>
    <w:multiLevelType w:val="hybridMultilevel"/>
    <w:lvl w:ilvl="0">
      <w:lvlJc w:val="left"/>
      <w:lvlText w:val="%1"/>
      <w:numFmt w:val="lowerRoman"/>
      <w:start w:val="1"/>
    </w:lvl>
    <w:lvl w:ilvl="1">
      <w:lvlJc w:val="left"/>
      <w:lvlText w:val="(%2)"/>
      <w:numFmt w:val="lowerLetter"/>
      <w:start w:val="5"/>
    </w:lvl>
    <w:lvl w:ilvl="2">
      <w:lvlJc w:val="left"/>
      <w:lvlText w:val="%3"/>
      <w:numFmt w:val="upperLetter"/>
      <w:start w:val="1"/>
    </w:lvl>
  </w:abstractNum>
  <w:abstractNum w:abstractNumId="380">
    <w:nsid w:val="D15FACA"/>
    <w:multiLevelType w:val="hybridMultilevel"/>
    <w:lvl w:ilvl="0">
      <w:lvlJc w:val="left"/>
      <w:lvlText w:val="(%1)"/>
      <w:numFmt w:val="lowerRoman"/>
      <w:start w:val="1"/>
    </w:lvl>
    <w:lvl w:ilvl="1">
      <w:lvlJc w:val="left"/>
      <w:lvlText w:val="(%2)"/>
      <w:numFmt w:val="lowerLetter"/>
      <w:start w:val="34"/>
    </w:lvl>
    <w:lvl w:ilvl="2">
      <w:lvlJc w:val="left"/>
      <w:lvlText w:val="(%3)"/>
      <w:numFmt w:val="upperLetter"/>
      <w:start w:val="1"/>
    </w:lvl>
  </w:abstractNum>
  <w:abstractNum w:abstractNumId="381">
    <w:nsid w:val="3D69565B"/>
    <w:multiLevelType w:val="hybridMultilevel"/>
    <w:lvl w:ilvl="0">
      <w:lvlJc w:val="left"/>
      <w:lvlText w:val="(%1)"/>
      <w:numFmt w:val="lowerLetter"/>
      <w:start w:val="25"/>
    </w:lvl>
  </w:abstractNum>
  <w:abstractNum w:abstractNumId="382">
    <w:nsid w:val="2299DCBC"/>
    <w:multiLevelType w:val="hybridMultilevel"/>
    <w:lvl w:ilvl="0">
      <w:lvlJc w:val="left"/>
      <w:lvlText w:val="%1"/>
      <w:numFmt w:val="lowerRoman"/>
      <w:start w:val="1"/>
    </w:lvl>
    <w:lvl w:ilvl="1">
      <w:lvlJc w:val="left"/>
      <w:lvlText w:val="(%2)"/>
      <w:numFmt w:val="lowerRoman"/>
      <w:start w:val="3"/>
    </w:lvl>
  </w:abstractNum>
  <w:abstractNum w:abstractNumId="383">
    <w:nsid w:val="19908D02"/>
    <w:multiLevelType w:val="hybridMultilevel"/>
    <w:lvl w:ilvl="0">
      <w:lvlJc w:val="left"/>
      <w:lvlText w:val="(%1)"/>
      <w:numFmt w:val="lowerRoman"/>
      <w:start w:val="10"/>
    </w:lvl>
    <w:lvl w:ilvl="1">
      <w:lvlJc w:val="left"/>
      <w:lvlText w:val="(%2)"/>
      <w:numFmt w:val="lowerRoman"/>
      <w:start w:val="4"/>
    </w:lvl>
  </w:abstractNum>
  <w:abstractNum w:abstractNumId="384">
    <w:nsid w:val="24D48BDB"/>
    <w:multiLevelType w:val="hybridMultilevel"/>
    <w:lvl w:ilvl="0">
      <w:lvlJc w:val="left"/>
      <w:lvlText w:val="(%1)"/>
      <w:numFmt w:val="lowerLetter"/>
      <w:start w:val="6"/>
    </w:lvl>
  </w:abstractNum>
  <w:abstractNum w:abstractNumId="385">
    <w:nsid w:val="542DA5B5"/>
    <w:multiLevelType w:val="hybridMultilevel"/>
    <w:lvl w:ilvl="0">
      <w:lvlJc w:val="left"/>
      <w:lvlText w:val="(%1)"/>
      <w:numFmt w:val="lowerRoman"/>
      <w:start w:val="1"/>
    </w:lvl>
  </w:abstractNum>
  <w:abstractNum w:abstractNumId="386">
    <w:nsid w:val="793753DE"/>
    <w:multiLevelType w:val="hybridMultilevel"/>
    <w:lvl w:ilvl="0">
      <w:lvlJc w:val="left"/>
      <w:lvlText w:val="%1"/>
      <w:numFmt w:val="lowerRoman"/>
      <w:start w:val="1"/>
    </w:lvl>
    <w:lvl w:ilvl="1">
      <w:lvlJc w:val="left"/>
      <w:lvlText w:val="(%2)"/>
      <w:numFmt w:val="lowerLetter"/>
      <w:start w:val="1"/>
    </w:lvl>
  </w:abstractNum>
  <w:abstractNum w:abstractNumId="387">
    <w:nsid w:val="1C67CB3D"/>
    <w:multiLevelType w:val="hybridMultilevel"/>
    <w:lvl w:ilvl="0">
      <w:lvlJc w:val="left"/>
      <w:lvlText w:val="(%1)"/>
      <w:numFmt w:val="lowerRoman"/>
      <w:start w:val="1"/>
    </w:lvl>
    <w:lvl w:ilvl="1">
      <w:lvlJc w:val="left"/>
      <w:lvlText w:val="%2"/>
      <w:numFmt w:val="lowerLetter"/>
      <w:start w:val="1"/>
    </w:lvl>
  </w:abstractNum>
  <w:abstractNum w:abstractNumId="388">
    <w:nsid w:val="40E29452"/>
    <w:multiLevelType w:val="hybridMultilevel"/>
    <w:lvl w:ilvl="0">
      <w:lvlJc w:val="left"/>
      <w:lvlText w:val="(%1)"/>
      <w:numFmt w:val="lowerLetter"/>
      <w:start w:val="2"/>
    </w:lvl>
  </w:abstractNum>
  <w:abstractNum w:abstractNumId="389">
    <w:nsid w:val="63A4AAB6"/>
    <w:multiLevelType w:val="hybridMultilevel"/>
    <w:lvl w:ilvl="0">
      <w:lvlJc w:val="left"/>
      <w:lvlText w:val="(%1)"/>
      <w:numFmt w:val="lowerLetter"/>
      <w:start w:val="3"/>
    </w:lvl>
  </w:abstractNum>
  <w:abstractNum w:abstractNumId="390">
    <w:nsid w:val="77DA4A57"/>
    <w:multiLevelType w:val="hybridMultilevel"/>
    <w:lvl w:ilvl="0">
      <w:lvlJc w:val="left"/>
      <w:lvlText w:val="(%1)"/>
      <w:numFmt w:val="lowerLetter"/>
      <w:start w:val="1"/>
    </w:lvl>
  </w:abstractNum>
  <w:abstractNum w:abstractNumId="391">
    <w:nsid w:val="1230F102"/>
    <w:multiLevelType w:val="hybridMultilevel"/>
    <w:lvl w:ilvl="0">
      <w:lvlJc w:val="left"/>
      <w:lvlText w:val="(%1)"/>
      <w:numFmt w:val="lowerLetter"/>
      <w:start w:val="2"/>
    </w:lvl>
  </w:abstractNum>
  <w:abstractNum w:abstractNumId="392">
    <w:nsid w:val="25B57ED4"/>
    <w:multiLevelType w:val="hybridMultilevel"/>
    <w:lvl w:ilvl="0">
      <w:lvlJc w:val="left"/>
      <w:lvlText w:val="(%1)"/>
      <w:numFmt w:val="lowerRoman"/>
      <w:start w:val="1"/>
    </w:lvl>
  </w:abstractNum>
  <w:abstractNum w:abstractNumId="393">
    <w:nsid w:val="47CF16C4"/>
    <w:multiLevelType w:val="hybridMultilevel"/>
    <w:lvl w:ilvl="0">
      <w:lvlJc w:val="left"/>
      <w:lvlText w:val="(%1)"/>
      <w:numFmt w:val="lowerLetter"/>
      <w:start w:val="3"/>
    </w:lvl>
  </w:abstractNum>
  <w:abstractNum w:abstractNumId="394">
    <w:nsid w:val="527FA04C"/>
    <w:multiLevelType w:val="hybridMultilevel"/>
    <w:lvl w:ilvl="0">
      <w:lvlJc w:val="left"/>
      <w:lvlText w:val="%1"/>
      <w:numFmt w:val="lowerRoman"/>
      <w:start w:val="1"/>
    </w:lvl>
    <w:lvl w:ilvl="1">
      <w:lvlJc w:val="left"/>
      <w:lvlText w:val="(%2)"/>
      <w:numFmt w:val="lowerLetter"/>
      <w:start w:val="4"/>
    </w:lvl>
  </w:abstractNum>
  <w:abstractNum w:abstractNumId="395">
    <w:nsid w:val="6FCC0624"/>
    <w:multiLevelType w:val="hybridMultilevel"/>
    <w:lvl w:ilvl="0">
      <w:lvlJc w:val="left"/>
      <w:lvlText w:val="(%1)"/>
      <w:numFmt w:val="lowerRoman"/>
      <w:start w:val="1"/>
    </w:lvl>
    <w:lvl w:ilvl="1">
      <w:lvlJc w:val="left"/>
      <w:lvlText w:val="%2"/>
      <w:numFmt w:val="lowerLetter"/>
      <w:start w:val="1"/>
    </w:lvl>
  </w:abstractNum>
  <w:abstractNum w:abstractNumId="396">
    <w:nsid w:val="1DCDF795"/>
    <w:multiLevelType w:val="hybridMultilevel"/>
    <w:lvl w:ilvl="0">
      <w:lvlJc w:val="left"/>
      <w:lvlText w:val="(%1)"/>
      <w:numFmt w:val="lowerRoman"/>
      <w:start w:val="4"/>
    </w:lvl>
  </w:abstractNum>
  <w:abstractNum w:abstractNumId="397">
    <w:nsid w:val="564580C8"/>
    <w:multiLevelType w:val="hybridMultilevel"/>
    <w:lvl w:ilvl="0">
      <w:lvlJc w:val="left"/>
      <w:lvlText w:val="(%1)"/>
      <w:numFmt w:val="lowerLetter"/>
      <w:start w:val="5"/>
    </w:lvl>
  </w:abstractNum>
  <w:abstractNum w:abstractNumId="398">
    <w:nsid w:val="508ED897"/>
    <w:multiLevelType w:val="hybridMultilevel"/>
    <w:lvl w:ilvl="0">
      <w:lvlJc w:val="left"/>
      <w:lvlText w:val="(%1)"/>
      <w:numFmt w:val="lowerLetter"/>
      <w:start w:val="1"/>
    </w:lvl>
  </w:abstractNum>
  <w:abstractNum w:abstractNumId="399">
    <w:nsid w:val="6A9126B5"/>
    <w:multiLevelType w:val="hybridMultilevel"/>
    <w:lvl w:ilvl="0">
      <w:lvlJc w:val="left"/>
      <w:lvlText w:val="(%1)"/>
      <w:numFmt w:val="lowerLetter"/>
      <w:start w:val="3"/>
    </w:lvl>
  </w:abstractNum>
  <w:abstractNum w:abstractNumId="400">
    <w:nsid w:val="68104812"/>
    <w:multiLevelType w:val="hybridMultilevel"/>
    <w:lvl w:ilvl="0">
      <w:lvlJc w:val="left"/>
      <w:lvlText w:val="(%1)"/>
      <w:numFmt w:val="lowerLetter"/>
      <w:start w:val="1"/>
    </w:lvl>
  </w:abstractNum>
  <w:abstractNum w:abstractNumId="401">
    <w:nsid w:val="62FB8680"/>
    <w:multiLevelType w:val="hybridMultilevel"/>
    <w:lvl w:ilvl="0">
      <w:lvlJc w:val="left"/>
      <w:lvlText w:val="(%1)"/>
      <w:numFmt w:val="lowerLetter"/>
      <w:start w:val="3"/>
    </w:lvl>
  </w:abstractNum>
  <w:abstractNum w:abstractNumId="402">
    <w:nsid w:val="3A45530"/>
    <w:multiLevelType w:val="hybridMultilevel"/>
    <w:lvl w:ilvl="0">
      <w:lvlJc w:val="left"/>
      <w:lvlText w:val="(%1)"/>
      <w:numFmt w:val="lowerLetter"/>
      <w:start w:val="1"/>
    </w:lvl>
  </w:abstractNum>
  <w:abstractNum w:abstractNumId="403">
    <w:nsid w:val="4B9275D2"/>
    <w:multiLevelType w:val="hybridMultilevel"/>
    <w:lvl w:ilvl="0">
      <w:lvlJc w:val="left"/>
      <w:lvlText w:val="%1"/>
      <w:numFmt w:val="lowerRoman"/>
      <w:start w:val="1"/>
    </w:lvl>
    <w:lvl w:ilvl="1">
      <w:lvlJc w:val="left"/>
      <w:lvlText w:val="(%2)"/>
      <w:numFmt w:val="lowerLetter"/>
      <w:start w:val="1"/>
    </w:lvl>
  </w:abstractNum>
  <w:abstractNum w:abstractNumId="404">
    <w:nsid w:val="4F0CEEDB"/>
    <w:multiLevelType w:val="hybridMultilevel"/>
    <w:lvl w:ilvl="0">
      <w:lvlJc w:val="left"/>
      <w:lvlText w:val="(%1)"/>
      <w:numFmt w:val="lowerRoman"/>
      <w:start w:val="1"/>
    </w:lvl>
    <w:lvl w:ilvl="1">
      <w:lvlJc w:val="left"/>
      <w:lvlText w:val="%2"/>
      <w:numFmt w:val="lowerLetter"/>
      <w:start w:val="1"/>
    </w:lvl>
  </w:abstractNum>
  <w:abstractNum w:abstractNumId="405">
    <w:nsid w:val="61C30361"/>
    <w:multiLevelType w:val="hybridMultilevel"/>
    <w:lvl w:ilvl="0">
      <w:lvlJc w:val="left"/>
      <w:lvlText w:val="(%1)"/>
      <w:numFmt w:val="lowerLetter"/>
      <w:start w:val="2"/>
    </w:lvl>
  </w:abstractNum>
  <w:abstractNum w:abstractNumId="406">
    <w:nsid w:val="632099E0"/>
    <w:multiLevelType w:val="hybridMultilevel"/>
    <w:lvl w:ilvl="0">
      <w:lvlJc w:val="left"/>
      <w:lvlText w:val="(%1)"/>
      <w:numFmt w:val="lowerLetter"/>
      <w:start w:val="3"/>
    </w:lvl>
  </w:abstractNum>
  <w:abstractNum w:abstractNumId="407">
    <w:nsid w:val="24639756"/>
    <w:multiLevelType w:val="hybridMultilevel"/>
    <w:lvl w:ilvl="0">
      <w:lvlJc w:val="left"/>
      <w:lvlText w:val="(%1)"/>
      <w:numFmt w:val="lowerRoman"/>
      <w:start w:val="1"/>
    </w:lvl>
  </w:abstractNum>
  <w:abstractNum w:abstractNumId="408">
    <w:nsid w:val="9D30DFD"/>
    <w:multiLevelType w:val="hybridMultilevel"/>
    <w:lvl w:ilvl="0">
      <w:lvlJc w:val="left"/>
      <w:lvlText w:val="%1"/>
      <w:numFmt w:val="lowerLetter"/>
      <w:start w:val="1"/>
    </w:lvl>
    <w:lvl w:ilvl="1">
      <w:lvlJc w:val="left"/>
      <w:lvlText w:val="(%2)"/>
      <w:numFmt w:val="lowerLetter"/>
      <w:start w:val="1"/>
    </w:lvl>
  </w:abstractNum>
  <w:abstractNum w:abstractNumId="409">
    <w:nsid w:val="70A42016"/>
    <w:multiLevelType w:val="hybridMultilevel"/>
    <w:lvl w:ilvl="0">
      <w:lvlJc w:val="left"/>
      <w:lvlText w:val="(%1)"/>
      <w:numFmt w:val="lowerLetter"/>
      <w:start w:val="61"/>
    </w:lvl>
    <w:lvl w:ilvl="1">
      <w:lvlJc w:val="left"/>
      <w:lvlText w:val="(%2)"/>
      <w:numFmt w:val="lowerLetter"/>
      <w:start w:val="2"/>
    </w:lvl>
  </w:abstractNum>
  <w:abstractNum w:abstractNumId="410">
    <w:nsid w:val="161BC243"/>
    <w:multiLevelType w:val="hybridMultilevel"/>
    <w:lvl w:ilvl="0">
      <w:lvlJc w:val="left"/>
      <w:lvlText w:val="(%1)"/>
      <w:numFmt w:val="lowerLetter"/>
      <w:start w:val="5"/>
    </w:lvl>
    <w:lvl w:ilvl="1">
      <w:lvlJc w:val="left"/>
      <w:lvlText w:val="(%2)"/>
      <w:numFmt w:val="lowerLetter"/>
      <w:start w:val="6"/>
    </w:lvl>
    <w:lvl w:ilvl="2">
      <w:lvlJc w:val="left"/>
      <w:lvlText w:val="%3"/>
      <w:numFmt w:val="upperLetter"/>
      <w:start w:val="1"/>
    </w:lvl>
  </w:abstractNum>
  <w:abstractNum w:abstractNumId="411">
    <w:nsid w:val="16E908C8"/>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412">
    <w:nsid w:val="2E0D7671"/>
    <w:multiLevelType w:val="hybridMultilevel"/>
    <w:lvl w:ilvl="0">
      <w:lvlJc w:val="left"/>
      <w:lvlText w:val="%1"/>
      <w:numFmt w:val="lowerLetter"/>
      <w:start w:val="1"/>
    </w:lvl>
    <w:lvl w:ilvl="1">
      <w:lvlJc w:val="left"/>
      <w:lvlText w:val="(%2)"/>
      <w:numFmt w:val="lowerLetter"/>
      <w:start w:val="23"/>
    </w:lvl>
  </w:abstractNum>
  <w:abstractNum w:abstractNumId="413">
    <w:nsid w:val="38B59EFF"/>
    <w:multiLevelType w:val="hybridMultilevel"/>
    <w:lvl w:ilvl="0">
      <w:lvlJc w:val="left"/>
      <w:lvlText w:val="(%1)"/>
      <w:numFmt w:val="lowerLetter"/>
      <w:start w:val="61"/>
    </w:lvl>
    <w:lvl w:ilvl="1">
      <w:lvlJc w:val="left"/>
      <w:lvlText w:val="%2"/>
      <w:numFmt w:val="lowerLetter"/>
      <w:start w:val="1"/>
    </w:lvl>
  </w:abstractNum>
  <w:abstractNum w:abstractNumId="414">
    <w:nsid w:val="307995CA"/>
    <w:multiLevelType w:val="hybridMultilevel"/>
    <w:lvl w:ilvl="0">
      <w:lvlJc w:val="left"/>
      <w:lvlText w:val="(%1)"/>
      <w:numFmt w:val="lowerLetter"/>
      <w:start w:val="7"/>
    </w:lvl>
  </w:abstractNum>
  <w:abstractNum w:abstractNumId="415">
    <w:nsid w:val="52E2024D"/>
    <w:multiLevelType w:val="hybridMultilevel"/>
    <w:lvl w:ilvl="0">
      <w:lvlJc w:val="left"/>
      <w:lvlText w:val="(%1)"/>
      <w:numFmt w:val="lowerLetter"/>
      <w:start w:val="8"/>
    </w:lvl>
  </w:abstractNum>
  <w:abstractNum w:abstractNumId="416">
    <w:nsid w:val="CE344B5"/>
    <w:multiLevelType w:val="hybridMultilevel"/>
    <w:lvl w:ilvl="0">
      <w:lvlJc w:val="left"/>
      <w:lvlText w:val="(%1)"/>
      <w:numFmt w:val="lowerLetter"/>
      <w:start w:val="1"/>
    </w:lvl>
  </w:abstractNum>
  <w:abstractNum w:abstractNumId="417">
    <w:nsid w:val="29B0E9A8"/>
    <w:multiLevelType w:val="hybridMultilevel"/>
    <w:lvl w:ilvl="0">
      <w:lvlJc w:val="left"/>
      <w:lvlText w:val="(%1)"/>
      <w:numFmt w:val="lowerLetter"/>
      <w:start w:val="2"/>
    </w:lvl>
  </w:abstractNum>
  <w:abstractNum w:abstractNumId="418">
    <w:nsid w:val="6F49CD8A"/>
    <w:multiLevelType w:val="hybridMultilevel"/>
    <w:lvl w:ilvl="0">
      <w:lvlJc w:val="left"/>
      <w:lvlText w:val="%1"/>
      <w:numFmt w:val="lowerLetter"/>
      <w:start w:val="1"/>
    </w:lvl>
    <w:lvl w:ilvl="1">
      <w:lvlJc w:val="left"/>
      <w:lvlText w:val="(%2)"/>
      <w:numFmt w:val="lowerLetter"/>
      <w:start w:val="4"/>
    </w:lvl>
  </w:abstractNum>
  <w:abstractNum w:abstractNumId="419">
    <w:nsid w:val="4DC5D907"/>
    <w:multiLevelType w:val="hybridMultilevel"/>
    <w:lvl w:ilvl="0">
      <w:lvlJc w:val="left"/>
      <w:lvlText w:val="(%1)"/>
      <w:numFmt w:val="lowerLetter"/>
      <w:start w:val="35"/>
    </w:lvl>
    <w:lvl w:ilvl="1">
      <w:lvlJc w:val="left"/>
      <w:lvlText w:val="(%2)"/>
      <w:numFmt w:val="lowerLetter"/>
      <w:start w:val="5"/>
    </w:lvl>
  </w:abstractNum>
  <w:abstractNum w:abstractNumId="420">
    <w:nsid w:val="D55945E"/>
    <w:multiLevelType w:val="hybridMultilevel"/>
    <w:lvl w:ilvl="0">
      <w:lvlJc w:val="left"/>
      <w:lvlText w:val="(%1)"/>
      <w:numFmt w:val="lowerLetter"/>
      <w:start w:val="1"/>
    </w:lvl>
  </w:abstractNum>
  <w:abstractNum w:abstractNumId="421">
    <w:nsid w:val="672417E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22">
    <w:nsid w:val="5FF6CA09"/>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423">
    <w:nsid w:val="330B1333"/>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424">
    <w:nsid w:val="2EF32EA6"/>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425">
    <w:nsid w:val="32766A55"/>
    <w:multiLevelType w:val="hybridMultilevel"/>
    <w:lvl w:ilvl="0">
      <w:lvlJc w:val="left"/>
      <w:lvlText w:val="(%1)"/>
      <w:numFmt w:val="lowerLetter"/>
      <w:start w:val="35"/>
    </w:lvl>
    <w:lvl w:ilvl="1">
      <w:lvlJc w:val="left"/>
      <w:lvlText w:val="(%2)"/>
      <w:numFmt w:val="lowerLetter"/>
      <w:start w:val="23"/>
    </w:lvl>
    <w:lvl w:ilvl="2">
      <w:lvlJc w:val="left"/>
      <w:lvlText w:val="(%3)"/>
      <w:numFmt w:val="upperLetter"/>
      <w:start w:val="1"/>
    </w:lvl>
  </w:abstractNum>
  <w:abstractNum w:abstractNumId="426">
    <w:nsid w:val="22D71957"/>
    <w:multiLevelType w:val="hybridMultilevel"/>
    <w:lvl w:ilvl="0">
      <w:lvlJc w:val="left"/>
      <w:lvlText w:val="%1"/>
      <w:numFmt w:val="lowerLetter"/>
      <w:start w:val="1"/>
    </w:lvl>
    <w:lvl w:ilvl="1">
      <w:lvlJc w:val="left"/>
      <w:lvlText w:val="(%2)"/>
      <w:numFmt w:val="lowerLetter"/>
      <w:start w:val="61"/>
    </w:lvl>
  </w:abstractNum>
  <w:abstractNum w:abstractNumId="427">
    <w:nsid w:val="4CC1263B"/>
    <w:multiLevelType w:val="hybridMultilevel"/>
    <w:lvl w:ilvl="0">
      <w:lvlJc w:val="left"/>
      <w:lvlText w:val="(%1)"/>
      <w:numFmt w:val="lowerLetter"/>
      <w:start w:val="25"/>
    </w:lvl>
    <w:lvl w:ilvl="1">
      <w:lvlJc w:val="left"/>
      <w:lvlText w:val="%2"/>
      <w:numFmt w:val="lowerLetter"/>
      <w:start w:val="1"/>
    </w:lvl>
  </w:abstractNum>
  <w:abstractNum w:abstractNumId="428">
    <w:nsid w:val="8BBEB1D"/>
    <w:multiLevelType w:val="hybridMultilevel"/>
    <w:lvl w:ilvl="0">
      <w:lvlJc w:val="left"/>
      <w:lvlText w:val="(%1)"/>
      <w:numFmt w:val="lowerRoman"/>
      <w:start w:val="4"/>
    </w:lvl>
  </w:abstractNum>
  <w:abstractNum w:abstractNumId="429">
    <w:nsid w:val="7365F1EE"/>
    <w:multiLevelType w:val="hybridMultilevel"/>
    <w:lvl w:ilvl="0">
      <w:lvlJc w:val="left"/>
      <w:lvlText w:val="%1"/>
      <w:numFmt w:val="lowerLetter"/>
      <w:start w:val="1"/>
    </w:lvl>
    <w:lvl w:ilvl="1">
      <w:lvlJc w:val="left"/>
      <w:lvlText w:val="(%2)"/>
      <w:numFmt w:val="lowerLetter"/>
      <w:start w:val="2"/>
    </w:lvl>
  </w:abstractNum>
  <w:abstractNum w:abstractNumId="430">
    <w:nsid w:val="37524CF0"/>
    <w:multiLevelType w:val="hybridMultilevel"/>
    <w:lvl w:ilvl="0">
      <w:lvlJc w:val="left"/>
      <w:lvlText w:val="(%1)"/>
      <w:numFmt w:val="lowerLetter"/>
      <w:start w:val="61"/>
    </w:lvl>
    <w:lvl w:ilvl="1">
      <w:lvlJc w:val="left"/>
      <w:lvlText w:val="(%2)"/>
      <w:numFmt w:val="lowerLetter"/>
      <w:start w:val="4"/>
    </w:lvl>
  </w:abstractNum>
  <w:abstractNum w:abstractNumId="431">
    <w:nsid w:val="70CC332F"/>
    <w:multiLevelType w:val="hybridMultilevel"/>
    <w:lvl w:ilvl="0">
      <w:lvlJc w:val="left"/>
      <w:lvlText w:val="(%1)"/>
      <w:numFmt w:val="lowerRoman"/>
      <w:start w:val="1"/>
    </w:lvl>
  </w:abstractNum>
  <w:abstractNum w:abstractNumId="432">
    <w:nsid w:val="5661786E"/>
    <w:multiLevelType w:val="hybridMultilevel"/>
    <w:lvl w:ilvl="0">
      <w:lvlJc w:val="left"/>
      <w:lvlText w:val="(%1)"/>
      <w:numFmt w:val="lowerLetter"/>
      <w:start w:val="1"/>
    </w:lvl>
  </w:abstractNum>
  <w:abstractNum w:abstractNumId="433">
    <w:nsid w:val="3AF6A220"/>
    <w:multiLevelType w:val="hybridMultilevel"/>
    <w:lvl w:ilvl="0">
      <w:lvlJc w:val="left"/>
      <w:lvlText w:val="(%1)"/>
      <w:numFmt w:val="lowerRoman"/>
      <w:start w:val="1"/>
    </w:lvl>
  </w:abstractNum>
  <w:abstractNum w:abstractNumId="434">
    <w:nsid w:val="3C5EA902"/>
    <w:multiLevelType w:val="hybridMultilevel"/>
    <w:lvl w:ilvl="0">
      <w:lvlJc w:val="left"/>
      <w:lvlText w:val="(%1)"/>
      <w:numFmt w:val="lowerLetter"/>
      <w:start w:val="35"/>
    </w:lvl>
    <w:lvl w:ilvl="1">
      <w:lvlJc w:val="left"/>
      <w:lvlText w:val="%2"/>
      <w:numFmt w:val="lowerLetter"/>
      <w:start w:val="1"/>
    </w:lvl>
  </w:abstractNum>
  <w:abstractNum w:abstractNumId="435">
    <w:nsid w:val="256E6749"/>
    <w:multiLevelType w:val="hybridMultilevel"/>
    <w:lvl w:ilvl="0">
      <w:lvlJc w:val="left"/>
      <w:lvlText w:val="(%1)"/>
      <w:numFmt w:val="lowerLetter"/>
      <w:start w:val="2"/>
    </w:lvl>
    <w:lvl w:ilvl="1">
      <w:lvlJc w:val="left"/>
      <w:lvlText w:val="%2"/>
      <w:numFmt w:val="lowerLetter"/>
      <w:start w:val="1"/>
    </w:lvl>
  </w:abstractNum>
  <w:abstractNum w:abstractNumId="436">
    <w:nsid w:val="1CB9A581"/>
    <w:multiLevelType w:val="hybridMultilevel"/>
    <w:lvl w:ilvl="0">
      <w:lvlJc w:val="left"/>
      <w:lvlText w:val="(%1)"/>
      <w:numFmt w:val="lowerLetter"/>
      <w:start w:val="1"/>
    </w:lvl>
  </w:abstractNum>
  <w:abstractNum w:abstractNumId="437">
    <w:nsid w:val="1F7F42E2"/>
    <w:multiLevelType w:val="hybridMultilevel"/>
    <w:lvl w:ilvl="0">
      <w:lvlJc w:val="left"/>
      <w:lvlText w:val="(%1)"/>
      <w:numFmt w:val="lowerLetter"/>
      <w:start w:val="1"/>
    </w:lvl>
  </w:abstractNum>
  <w:abstractNum w:abstractNumId="438">
    <w:nsid w:val="49D1FEA0"/>
    <w:multiLevelType w:val="hybridMultilevel"/>
    <w:lvl w:ilvl="0">
      <w:lvlJc w:val="left"/>
      <w:lvlText w:val="(%1)"/>
      <w:numFmt w:val="lowerLetter"/>
      <w:start w:val="2"/>
    </w:lvl>
  </w:abstractNum>
  <w:abstractNum w:abstractNumId="439">
    <w:nsid w:val="268CB37F"/>
    <w:multiLevelType w:val="hybridMultilevel"/>
    <w:lvl w:ilvl="0">
      <w:lvlJc w:val="left"/>
      <w:lvlText w:val="(%1)"/>
      <w:numFmt w:val="lowerLetter"/>
      <w:start w:val="1"/>
    </w:lvl>
  </w:abstractNum>
  <w:abstractNum w:abstractNumId="440">
    <w:nsid w:val="102362F8"/>
    <w:multiLevelType w:val="hybridMultilevel"/>
    <w:lvl w:ilvl="0">
      <w:lvlJc w:val="left"/>
      <w:lvlText w:val="(%1)"/>
      <w:numFmt w:val="lowerLetter"/>
      <w:start w:val="1"/>
    </w:lvl>
  </w:abstractNum>
  <w:abstractNum w:abstractNumId="441">
    <w:nsid w:val="5FEDC0E3"/>
    <w:multiLevelType w:val="hybridMultilevel"/>
    <w:lvl w:ilvl="0">
      <w:lvlJc w:val="left"/>
      <w:lvlText w:val="(%1)"/>
      <w:numFmt w:val="lowerLetter"/>
      <w:start w:val="1"/>
    </w:lvl>
  </w:abstractNum>
  <w:abstractNum w:abstractNumId="442">
    <w:nsid w:val="3D75BC47"/>
    <w:multiLevelType w:val="hybridMultilevel"/>
    <w:lvl w:ilvl="0">
      <w:lvlJc w:val="left"/>
      <w:lvlText w:val="(%1)"/>
      <w:numFmt w:val="lowerLetter"/>
      <w:start w:val="1"/>
    </w:lvl>
  </w:abstractNum>
  <w:abstractNum w:abstractNumId="443">
    <w:nsid w:val="3E30D969"/>
    <w:multiLevelType w:val="hybridMultilevel"/>
    <w:lvl w:ilvl="0">
      <w:lvlJc w:val="left"/>
      <w:lvlText w:val="%1"/>
      <w:numFmt w:val="lowerRoman"/>
      <w:start w:val="1"/>
    </w:lvl>
    <w:lvl w:ilvl="1">
      <w:lvlJc w:val="left"/>
      <w:lvlText w:val="(%2)"/>
      <w:numFmt w:val="lowerLetter"/>
      <w:start w:val="1"/>
    </w:lvl>
  </w:abstractNum>
  <w:abstractNum w:abstractNumId="444">
    <w:nsid w:val="18A35FE3"/>
    <w:multiLevelType w:val="hybridMultilevel"/>
    <w:lvl w:ilvl="0">
      <w:lvlJc w:val="left"/>
      <w:lvlText w:val="(%1)"/>
      <w:numFmt w:val="lowerRoman"/>
      <w:start w:val="1"/>
    </w:lvl>
    <w:lvl w:ilvl="1">
      <w:lvlJc w:val="left"/>
      <w:lvlText w:val="%2"/>
      <w:numFmt w:val="lowerLetter"/>
      <w:start w:val="1"/>
    </w:lvl>
  </w:abstractNum>
  <w:abstractNum w:abstractNumId="445">
    <w:nsid w:val="6DEF5211"/>
    <w:multiLevelType w:val="hybridMultilevel"/>
    <w:lvl w:ilvl="0">
      <w:lvlJc w:val="left"/>
      <w:lvlText w:val="(%1)"/>
      <w:numFmt w:val="lowerRoman"/>
      <w:start w:val="4"/>
    </w:lvl>
  </w:abstractNum>
  <w:abstractNum w:abstractNumId="446">
    <w:nsid w:val="1112DBB6"/>
    <w:multiLevelType w:val="hybridMultilevel"/>
    <w:lvl w:ilvl="0">
      <w:lvlJc w:val="left"/>
      <w:lvlText w:val="(%1)"/>
      <w:numFmt w:val="lowerLetter"/>
      <w:start w:val="2"/>
    </w:lvl>
  </w:abstractNum>
  <w:abstractNum w:abstractNumId="447">
    <w:nsid w:val="2586A498"/>
    <w:multiLevelType w:val="hybridMultilevel"/>
    <w:lvl w:ilvl="0">
      <w:lvlJc w:val="left"/>
      <w:lvlText w:val="(%1)"/>
      <w:numFmt w:val="lowerLetter"/>
      <w:start w:val="1"/>
    </w:lvl>
  </w:abstractNum>
  <w:abstractNum w:abstractNumId="448">
    <w:nsid w:val="17A03BB9"/>
    <w:multiLevelType w:val="hybridMultilevel"/>
    <w:lvl w:ilvl="0">
      <w:lvlJc w:val="left"/>
      <w:lvlText w:val="%1"/>
      <w:numFmt w:val="lowerLetter"/>
      <w:start w:val="1"/>
    </w:lvl>
    <w:lvl w:ilvl="1">
      <w:lvlJc w:val="left"/>
      <w:lvlText w:val="(%2)"/>
      <w:numFmt w:val="lowerLetter"/>
      <w:start w:val="1"/>
    </w:lvl>
  </w:abstractNum>
  <w:abstractNum w:abstractNumId="449">
    <w:nsid w:val="5CA941"/>
    <w:multiLevelType w:val="hybridMultilevel"/>
    <w:lvl w:ilvl="0">
      <w:lvlJc w:val="left"/>
      <w:lvlText w:val="(%1)"/>
      <w:numFmt w:val="lowerLetter"/>
      <w:start w:val="9"/>
    </w:lvl>
    <w:lvl w:ilvl="1">
      <w:lvlJc w:val="left"/>
      <w:lvlText w:val="(%2)"/>
      <w:numFmt w:val="lowerLetter"/>
      <w:start w:val="4"/>
    </w:lvl>
  </w:abstractNum>
  <w:abstractNum w:abstractNumId="450">
    <w:nsid w:val="734C7D9F"/>
    <w:multiLevelType w:val="hybridMultilevel"/>
    <w:lvl w:ilvl="0">
      <w:lvlJc w:val="left"/>
      <w:lvlText w:val="(%1)"/>
      <w:numFmt w:val="lowerLetter"/>
      <w:start w:val="5"/>
    </w:lvl>
  </w:abstractNum>
  <w:abstractNum w:abstractNumId="451">
    <w:nsid w:val="24F5D018"/>
    <w:multiLevelType w:val="hybridMultilevel"/>
    <w:lvl w:ilvl="0">
      <w:lvlJc w:val="left"/>
      <w:lvlText w:val="(%1)"/>
      <w:numFmt w:val="lowerLetter"/>
      <w:start w:val="1"/>
    </w:lvl>
  </w:abstractNum>
  <w:abstractNum w:abstractNumId="452">
    <w:nsid w:val="6780C122"/>
    <w:multiLevelType w:val="hybridMultilevel"/>
    <w:lvl w:ilvl="0">
      <w:lvlJc w:val="left"/>
      <w:lvlText w:val="(%1)"/>
      <w:numFmt w:val="lowerLetter"/>
      <w:start w:val="1"/>
    </w:lvl>
  </w:abstractNum>
  <w:abstractNum w:abstractNumId="453">
    <w:nsid w:val="534347A8"/>
    <w:multiLevelType w:val="hybridMultilevel"/>
    <w:lvl w:ilvl="0">
      <w:lvlJc w:val="left"/>
      <w:lvlText w:val="(%1)"/>
      <w:numFmt w:val="lowerRoman"/>
      <w:start w:val="4"/>
    </w:lvl>
  </w:abstractNum>
  <w:abstractNum w:abstractNumId="454">
    <w:nsid w:val="5800E34B"/>
    <w:multiLevelType w:val="hybridMultilevel"/>
    <w:lvl w:ilvl="0">
      <w:lvlJc w:val="left"/>
      <w:lvlText w:val="(%1)"/>
      <w:numFmt w:val="lowerLetter"/>
      <w:start w:val="1"/>
    </w:lvl>
  </w:abstractNum>
  <w:abstractNum w:abstractNumId="455">
    <w:nsid w:val="1673EFC8"/>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lvl w:ilvl="3">
      <w:lvlJc w:val="left"/>
      <w:lvlText w:val="%4"/>
      <w:numFmt w:val="lowerLetter"/>
      <w:start w:val="1"/>
    </w:lvl>
  </w:abstractNum>
  <w:abstractNum w:abstractNumId="456">
    <w:nsid w:val="5B9B1FD"/>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23"/>
    </w:lvl>
  </w:abstractNum>
  <w:abstractNum w:abstractNumId="457">
    <w:nsid w:val="7AD7FCA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24"/>
    </w:lvl>
  </w:abstractNum>
  <w:abstractNum w:abstractNumId="458">
    <w:nsid w:val="63351604"/>
    <w:multiLevelType w:val="hybridMultilevel"/>
    <w:lvl w:ilvl="0">
      <w:lvlJc w:val="left"/>
      <w:lvlText w:val="%1"/>
      <w:numFmt w:val="upperLetter"/>
      <w:start w:val="1"/>
    </w:lvl>
    <w:lvl w:ilvl="1">
      <w:lvlJc w:val="left"/>
      <w:lvlText w:val="(%2)"/>
      <w:numFmt w:val="lowerLetter"/>
      <w:start w:val="25"/>
    </w:lvl>
  </w:abstractNum>
  <w:abstractNum w:abstractNumId="459">
    <w:nsid w:val="E759D1A"/>
    <w:multiLevelType w:val="hybridMultilevel"/>
    <w:lvl w:ilvl="0">
      <w:lvlJc w:val="left"/>
      <w:lvlText w:val="(%1)"/>
      <w:numFmt w:val="upperLetter"/>
      <w:start w:val="3"/>
    </w:lvl>
    <w:lvl w:ilvl="1">
      <w:lvlJc w:val="left"/>
      <w:lvlText w:val="%2"/>
      <w:numFmt w:val="lowerLetter"/>
      <w:start w:val="1"/>
    </w:lvl>
  </w:abstractNum>
  <w:abstractNum w:abstractNumId="460">
    <w:nsid w:val="6E3DEE90"/>
    <w:multiLevelType w:val="hybridMultilevel"/>
    <w:lvl w:ilvl="0">
      <w:lvlJc w:val="left"/>
      <w:lvlText w:val="(%1)"/>
      <w:numFmt w:val="upperLetter"/>
      <w:start w:val="5"/>
    </w:lvl>
    <w:lvl w:ilvl="1">
      <w:lvlJc w:val="left"/>
      <w:lvlText w:val="(%2)"/>
      <w:numFmt w:val="lowerLetter"/>
      <w:start w:val="24"/>
    </w:lvl>
  </w:abstractNum>
  <w:abstractNum w:abstractNumId="461">
    <w:nsid w:val="1A8762F4"/>
    <w:multiLevelType w:val="hybridMultilevel"/>
    <w:lvl w:ilvl="0">
      <w:lvlJc w:val="left"/>
      <w:lvlText w:val="(%1)"/>
      <w:numFmt w:val="upperLetter"/>
      <w:start w:val="6"/>
    </w:lvl>
  </w:abstractNum>
  <w:abstractNum w:abstractNumId="462">
    <w:nsid w:val="7F41D049"/>
    <w:multiLevelType w:val="hybridMultilevel"/>
    <w:lvl w:ilvl="0">
      <w:lvlJc w:val="left"/>
      <w:lvlText w:val="(%1)"/>
      <w:numFmt w:val="decimal"/>
      <w:start w:val="2"/>
    </w:lvl>
  </w:abstractNum>
  <w:abstractNum w:abstractNumId="463">
    <w:nsid w:val="449F66FE"/>
    <w:multiLevelType w:val="hybridMultilevel"/>
    <w:lvl w:ilvl="0">
      <w:lvlJc w:val="left"/>
      <w:lvlText w:val="(%1)"/>
      <w:numFmt w:val="lowerLetter"/>
      <w:start w:val="3"/>
    </w:lvl>
  </w:abstractNum>
  <w:abstractNum w:abstractNumId="464">
    <w:nsid w:val="557E0515"/>
    <w:multiLevelType w:val="hybridMultilevel"/>
    <w:lvl w:ilvl="0">
      <w:lvlJc w:val="left"/>
      <w:lvlText w:val="(%1)"/>
      <w:numFmt w:val="lowerLetter"/>
      <w:start w:val="1"/>
    </w:lvl>
  </w:abstractNum>
  <w:abstractNum w:abstractNumId="465">
    <w:nsid w:val="3BA0794B"/>
    <w:multiLevelType w:val="hybridMultilevel"/>
    <w:lvl w:ilvl="0">
      <w:lvlJc w:val="left"/>
      <w:lvlText w:val="(%1)"/>
      <w:numFmt w:val="lowerLetter"/>
      <w:start w:val="4"/>
    </w:lvl>
  </w:abstractNum>
  <w:abstractNum w:abstractNumId="466">
    <w:nsid w:val="6A0DCE48"/>
    <w:multiLevelType w:val="hybridMultilevel"/>
    <w:lvl w:ilvl="0">
      <w:lvlJc w:val="left"/>
      <w:lvlText w:val="(%1)"/>
      <w:numFmt w:val="lowerRoman"/>
      <w:start w:val="1"/>
    </w:lvl>
  </w:abstractNum>
  <w:abstractNum w:abstractNumId="467">
    <w:nsid w:val="7237AA96"/>
    <w:multiLevelType w:val="hybridMultilevel"/>
    <w:lvl w:ilvl="0">
      <w:lvlJc w:val="left"/>
      <w:lvlText w:val="(%1)"/>
      <w:numFmt w:val="lowerLetter"/>
      <w:start w:val="1"/>
    </w:lvl>
  </w:abstractNum>
  <w:abstractNum w:abstractNumId="468">
    <w:nsid w:val="5B1FBC2D"/>
    <w:multiLevelType w:val="hybridMultilevel"/>
    <w:lvl w:ilvl="0">
      <w:lvlJc w:val="left"/>
      <w:lvlText w:val="%1"/>
      <w:numFmt w:val="upperLetter"/>
      <w:start w:val="1"/>
    </w:lvl>
    <w:lvl w:ilvl="1">
      <w:lvlJc w:val="left"/>
      <w:lvlText w:val="(%2)"/>
      <w:numFmt w:val="lowerLetter"/>
      <w:start w:val="9"/>
    </w:lvl>
  </w:abstractNum>
  <w:abstractNum w:abstractNumId="469">
    <w:nsid w:val="33DFCCE8"/>
    <w:multiLevelType w:val="hybridMultilevel"/>
    <w:lvl w:ilvl="0">
      <w:lvlJc w:val="left"/>
      <w:lvlText w:val="(%1)"/>
      <w:numFmt w:val="upperLetter"/>
      <w:start w:val="1"/>
    </w:lvl>
    <w:lvl w:ilvl="1">
      <w:lvlJc w:val="left"/>
      <w:lvlText w:val="(%2)"/>
      <w:numFmt w:val="lowerLetter"/>
      <w:start w:val="10"/>
    </w:lvl>
  </w:abstractNum>
  <w:abstractNum w:abstractNumId="470">
    <w:nsid w:val="18C45E15"/>
    <w:multiLevelType w:val="hybridMultilevel"/>
    <w:lvl w:ilvl="0">
      <w:lvlJc w:val="left"/>
      <w:lvlText w:val="%1"/>
      <w:numFmt w:val="lowerLetter"/>
      <w:start w:val="1"/>
    </w:lvl>
    <w:lvl w:ilvl="1">
      <w:lvlJc w:val="left"/>
      <w:lvlText w:val="(%2)"/>
      <w:numFmt w:val="lowerLetter"/>
      <w:start w:val="1"/>
    </w:lvl>
  </w:abstractNum>
  <w:abstractNum w:abstractNumId="471">
    <w:nsid w:val="6B431F25"/>
    <w:multiLevelType w:val="hybridMultilevel"/>
    <w:lvl w:ilvl="0">
      <w:lvlJc w:val="left"/>
      <w:lvlText w:val="(%1)"/>
      <w:numFmt w:val="lowerLetter"/>
      <w:start w:val="9"/>
    </w:lvl>
    <w:lvl w:ilvl="1">
      <w:lvlJc w:val="left"/>
      <w:lvlText w:val="(%2)"/>
      <w:numFmt w:val="lowerLetter"/>
      <w:start w:val="2"/>
    </w:lvl>
  </w:abstractNum>
  <w:abstractNum w:abstractNumId="472">
    <w:nsid w:val="13CD8DCB"/>
    <w:multiLevelType w:val="hybridMultilevel"/>
    <w:lvl w:ilvl="0">
      <w:lvlJc w:val="left"/>
      <w:lvlText w:val="(%1)"/>
      <w:numFmt w:val="lowerLetter"/>
      <w:start w:val="6"/>
    </w:lvl>
  </w:abstractNum>
  <w:abstractNum w:abstractNumId="473">
    <w:nsid w:val="563A1A5C"/>
    <w:multiLevelType w:val="hybridMultilevel"/>
    <w:lvl w:ilvl="0">
      <w:lvlJc w:val="left"/>
      <w:lvlText w:val="(%1)"/>
      <w:numFmt w:val="lowerLetter"/>
      <w:start w:val="4"/>
    </w:lvl>
  </w:abstractNum>
  <w:abstractNum w:abstractNumId="474">
    <w:nsid w:val="2973F88F"/>
    <w:multiLevelType w:val="hybridMultilevel"/>
    <w:lvl w:ilvl="0">
      <w:lvlJc w:val="left"/>
      <w:lvlText w:val="(%1)"/>
      <w:numFmt w:val="lowerLetter"/>
      <w:start w:val="1"/>
    </w:lvl>
  </w:abstractNum>
  <w:abstractNum w:abstractNumId="475">
    <w:nsid w:val="2C70EDAE"/>
    <w:multiLevelType w:val="hybridMultilevel"/>
    <w:lvl w:ilvl="0">
      <w:lvlJc w:val="left"/>
      <w:lvlText w:val="(%1)"/>
      <w:numFmt w:val="lowerLetter"/>
      <w:start w:val="3"/>
    </w:lvl>
  </w:abstractNum>
  <w:abstractNum w:abstractNumId="476">
    <w:nsid w:val="44296C6D"/>
    <w:multiLevelType w:val="hybridMultilevel"/>
    <w:lvl w:ilvl="0">
      <w:lvlJc w:val="left"/>
      <w:lvlText w:val="(%1)"/>
      <w:numFmt w:val="lowerLetter"/>
      <w:start w:val="1"/>
    </w:lvl>
  </w:abstractNum>
  <w:abstractNum w:abstractNumId="477">
    <w:nsid w:val="3A86D445"/>
    <w:multiLevelType w:val="hybridMultilevel"/>
    <w:lvl w:ilvl="0">
      <w:lvlJc w:val="left"/>
      <w:lvlText w:val="%1"/>
      <w:numFmt w:val="lowerLetter"/>
      <w:start w:val="1"/>
    </w:lvl>
    <w:lvl w:ilvl="1">
      <w:lvlJc w:val="left"/>
      <w:lvlText w:val="(%2)"/>
      <w:numFmt w:val="lowerLetter"/>
      <w:start w:val="6"/>
    </w:lvl>
  </w:abstractNum>
  <w:abstractNum w:abstractNumId="478">
    <w:nsid w:val="51F79246"/>
    <w:multiLevelType w:val="hybridMultilevel"/>
    <w:lvl w:ilvl="0">
      <w:lvlJc w:val="left"/>
      <w:lvlText w:val="(%1)"/>
      <w:numFmt w:val="lowerLetter"/>
      <w:start w:val="6"/>
    </w:lvl>
    <w:lvl w:ilvl="1">
      <w:lvlJc w:val="left"/>
      <w:lvlText w:val="(%2)"/>
      <w:numFmt w:val="lowerLetter"/>
      <w:start w:val="7"/>
    </w:lvl>
  </w:abstractNum>
  <w:abstractNum w:abstractNumId="479">
    <w:nsid w:val="5BC9A827"/>
    <w:multiLevelType w:val="hybridMultilevel"/>
    <w:lvl w:ilvl="0">
      <w:lvlJc w:val="left"/>
      <w:lvlText w:val="%1"/>
      <w:numFmt w:val="lowerLetter"/>
      <w:start w:val="1"/>
    </w:lvl>
    <w:lvl w:ilvl="1">
      <w:lvlJc w:val="left"/>
      <w:lvlText w:val="(%2)"/>
      <w:numFmt w:val="lowerLetter"/>
      <w:start w:val="1"/>
    </w:lvl>
  </w:abstractNum>
  <w:abstractNum w:abstractNumId="480">
    <w:nsid w:val="3AE37D86"/>
    <w:multiLevelType w:val="hybridMultilevel"/>
    <w:lvl w:ilvl="0">
      <w:lvlJc w:val="left"/>
      <w:lvlText w:val="(%1)"/>
      <w:numFmt w:val="lowerLetter"/>
      <w:start w:val="9"/>
    </w:lvl>
    <w:lvl w:ilvl="1">
      <w:lvlJc w:val="left"/>
      <w:lvlText w:val="%2"/>
      <w:numFmt w:val="lowerLetter"/>
      <w:start w:val="1"/>
    </w:lvl>
  </w:abstractNum>
  <w:abstractNum w:abstractNumId="481">
    <w:nsid w:val="45440FE5"/>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482">
    <w:nsid w:val="BF783F"/>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abstractNum>
  <w:abstractNum w:abstractNumId="483">
    <w:nsid w:val="22643EA9"/>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484">
    <w:nsid w:val="1887578D"/>
    <w:multiLevelType w:val="hybridMultilevel"/>
    <w:lvl w:ilvl="0">
      <w:lvlJc w:val="left"/>
      <w:lvlText w:val="(%1)"/>
      <w:numFmt w:val="lowerLetter"/>
      <w:start w:val="1"/>
    </w:lvl>
  </w:abstractNum>
  <w:abstractNum w:abstractNumId="485">
    <w:nsid w:val="58C05B8A"/>
    <w:multiLevelType w:val="hybridMultilevel"/>
    <w:lvl w:ilvl="0">
      <w:lvlJc w:val="left"/>
      <w:lvlText w:val="(%1)"/>
      <w:numFmt w:val="lowerLetter"/>
      <w:start w:val="1"/>
    </w:lvl>
  </w:abstractNum>
  <w:abstractNum w:abstractNumId="486">
    <w:nsid w:val="38D82E71"/>
    <w:multiLevelType w:val="hybridMultilevel"/>
    <w:lvl w:ilvl="0">
      <w:lvlJc w:val="left"/>
      <w:lvlText w:val="(%1)"/>
      <w:numFmt w:val="lowerLetter"/>
      <w:start w:val="1"/>
    </w:lvl>
  </w:abstractNum>
  <w:abstractNum w:abstractNumId="487">
    <w:nsid w:val="1E41098A"/>
    <w:multiLevelType w:val="hybridMultilevel"/>
    <w:lvl w:ilvl="0">
      <w:lvlJc w:val="left"/>
      <w:lvlText w:val="(%1)"/>
      <w:numFmt w:val="lowerLetter"/>
      <w:start w:val="35"/>
    </w:lvl>
    <w:lvl w:ilvl="1">
      <w:lvlJc w:val="left"/>
      <w:lvlText w:val="(%2)"/>
      <w:numFmt w:val="lowerLetter"/>
      <w:start w:val="5"/>
    </w:lvl>
  </w:abstractNum>
  <w:abstractNum w:abstractNumId="488">
    <w:nsid w:val="5398582C"/>
    <w:multiLevelType w:val="hybridMultilevel"/>
    <w:lvl w:ilvl="0">
      <w:lvlJc w:val="left"/>
      <w:lvlText w:val="(%1)"/>
      <w:numFmt w:val="lowerLetter"/>
      <w:start w:val="35"/>
    </w:lvl>
    <w:lvl w:ilvl="1">
      <w:lvlJc w:val="left"/>
      <w:lvlText w:val="(%2)"/>
      <w:numFmt w:val="lowerLetter"/>
      <w:start w:val="11"/>
    </w:lvl>
  </w:abstractNum>
  <w:abstractNum w:abstractNumId="489">
    <w:nsid w:val="1C0D4475"/>
    <w:multiLevelType w:val="hybridMultilevel"/>
    <w:lvl w:ilvl="0">
      <w:lvlJc w:val="left"/>
      <w:lvlText w:val="(%1)"/>
      <w:numFmt w:val="lowerLetter"/>
      <w:start w:val="18"/>
    </w:lvl>
  </w:abstractNum>
  <w:abstractNum w:abstractNumId="490">
    <w:nsid w:val="2CB6A6A4"/>
    <w:multiLevelType w:val="hybridMultilevel"/>
    <w:lvl w:ilvl="0">
      <w:lvlJc w:val="left"/>
      <w:lvlText w:val="(%1)"/>
      <w:numFmt w:val="lowerRoman"/>
      <w:start w:val="1"/>
    </w:lvl>
  </w:abstractNum>
  <w:abstractNum w:abstractNumId="491">
    <w:nsid w:val="41D646BC"/>
    <w:multiLevelType w:val="hybridMultilevel"/>
    <w:lvl w:ilvl="0">
      <w:lvlJc w:val="left"/>
      <w:lvlText w:val="(%1)"/>
      <w:numFmt w:val="lowerLetter"/>
      <w:start w:val="1"/>
    </w:lvl>
    <w:lvl w:ilvl="1">
      <w:lvlJc w:val="left"/>
      <w:lvlText w:val="%2"/>
      <w:numFmt w:val="lowerLetter"/>
      <w:start w:val="1"/>
    </w:lvl>
  </w:abstractNum>
  <w:abstractNum w:abstractNumId="492">
    <w:nsid w:val="3694A76A"/>
    <w:multiLevelType w:val="hybridMultilevel"/>
    <w:lvl w:ilvl="0">
      <w:lvlJc w:val="left"/>
      <w:lvlText w:val="(%1)"/>
      <w:numFmt w:val="lowerLetter"/>
      <w:start w:val="9"/>
    </w:lvl>
    <w:lvl w:ilvl="1">
      <w:lvlJc w:val="left"/>
      <w:lvlText w:val="%2"/>
      <w:numFmt w:val="lowerLetter"/>
      <w:start w:val="1"/>
    </w:lvl>
  </w:abstractNum>
  <w:abstractNum w:abstractNumId="493">
    <w:nsid w:val="2BF876EE"/>
    <w:multiLevelType w:val="hybridMultilevel"/>
    <w:lvl w:ilvl="0">
      <w:lvlJc w:val="left"/>
      <w:lvlText w:val="(%1)"/>
      <w:numFmt w:val="lowerRoman"/>
      <w:start w:val="2"/>
    </w:lvl>
  </w:abstractNum>
  <w:abstractNum w:abstractNumId="494">
    <w:nsid w:val="675ADBA"/>
    <w:multiLevelType w:val="hybridMultilevel"/>
    <w:lvl w:ilvl="0">
      <w:lvlJc w:val="left"/>
      <w:lvlText w:val="(%1)"/>
      <w:numFmt w:val="lowerRoman"/>
      <w:start w:val="3"/>
    </w:lvl>
  </w:abstractNum>
  <w:abstractNum w:abstractNumId="495">
    <w:nsid w:val="C12AC7F"/>
    <w:multiLevelType w:val="hybridMultilevel"/>
    <w:lvl w:ilvl="0">
      <w:lvlJc w:val="left"/>
      <w:lvlText w:val="(%1)"/>
      <w:numFmt w:val="lowerRoman"/>
      <w:start w:val="4"/>
    </w:lvl>
  </w:abstractNum>
  <w:abstractNum w:abstractNumId="496">
    <w:nsid w:val="6798F039"/>
    <w:multiLevelType w:val="hybridMultilevel"/>
    <w:lvl w:ilvl="0">
      <w:lvlJc w:val="left"/>
      <w:lvlText w:val="(%1)"/>
      <w:numFmt w:val="lowerLetter"/>
      <w:start w:val="2"/>
    </w:lvl>
  </w:abstractNum>
  <w:abstractNum w:abstractNumId="497">
    <w:nsid w:val="70837C02"/>
    <w:multiLevelType w:val="hybridMultilevel"/>
    <w:lvl w:ilvl="0">
      <w:lvlJc w:val="left"/>
      <w:lvlText w:val="(%1)"/>
      <w:numFmt w:val="lowerRoman"/>
      <w:start w:val="1"/>
    </w:lvl>
  </w:abstractNum>
  <w:abstractNum w:abstractNumId="498">
    <w:nsid w:val="7E4A5715"/>
    <w:multiLevelType w:val="hybridMultilevel"/>
    <w:lvl w:ilvl="0">
      <w:lvlJc w:val="left"/>
      <w:lvlText w:val="(%1)"/>
      <w:numFmt w:val="lowerLetter"/>
      <w:start w:val="3"/>
    </w:lvl>
  </w:abstractNum>
  <w:abstractNum w:abstractNumId="499">
    <w:nsid w:val="42B8AC67"/>
    <w:multiLevelType w:val="hybridMultilevel"/>
    <w:lvl w:ilvl="0">
      <w:lvlJc w:val="left"/>
      <w:lvlText w:val="%1"/>
      <w:numFmt w:val="lowerRoman"/>
      <w:start w:val="1"/>
    </w:lvl>
    <w:lvl w:ilvl="1">
      <w:lvlJc w:val="left"/>
      <w:lvlText w:val="(%2)"/>
      <w:numFmt w:val="lowerLetter"/>
      <w:start w:val="1"/>
    </w:lvl>
  </w:abstractNum>
  <w:abstractNum w:abstractNumId="500">
    <w:nsid w:val="246348EA"/>
    <w:multiLevelType w:val="hybridMultilevel"/>
    <w:lvl w:ilvl="0">
      <w:lvlJc w:val="left"/>
      <w:lvlText w:val="(%1)"/>
      <w:numFmt w:val="lowerRoman"/>
      <w:start w:val="1"/>
    </w:lvl>
    <w:lvl w:ilvl="1">
      <w:lvlJc w:val="left"/>
      <w:lvlText w:val="%2"/>
      <w:numFmt w:val="lowerLetter"/>
      <w:start w:val="1"/>
    </w:lvl>
  </w:abstractNum>
  <w:abstractNum w:abstractNumId="501">
    <w:nsid w:val="170EB52B"/>
    <w:multiLevelType w:val="hybridMultilevel"/>
    <w:lvl w:ilvl="0">
      <w:lvlJc w:val="left"/>
      <w:lvlText w:val="(%1)"/>
      <w:numFmt w:val="lowerLetter"/>
      <w:start w:val="25"/>
    </w:lvl>
  </w:abstractNum>
  <w:abstractNum w:abstractNumId="502">
    <w:nsid w:val="2DFBCB8C"/>
    <w:multiLevelType w:val="hybridMultilevel"/>
    <w:lvl w:ilvl="0">
      <w:lvlJc w:val="left"/>
      <w:lvlText w:val="(%1)"/>
      <w:numFmt w:val="lowerLetter"/>
      <w:start w:val="3"/>
    </w:lvl>
  </w:abstractNum>
  <w:abstractNum w:abstractNumId="503">
    <w:nsid w:val="3830D6B6"/>
    <w:multiLevelType w:val="hybridMultilevel"/>
    <w:lvl w:ilvl="0">
      <w:lvlJc w:val="left"/>
      <w:lvlText w:val="(%1)"/>
      <w:numFmt w:val="lowerLetter"/>
      <w:start w:val="1"/>
    </w:lvl>
  </w:abstractNum>
  <w:abstractNum w:abstractNumId="504">
    <w:nsid w:val="6D48CF87"/>
    <w:multiLevelType w:val="hybridMultilevel"/>
    <w:lvl w:ilvl="0">
      <w:lvlJc w:val="left"/>
      <w:lvlText w:val="(%1)"/>
      <w:numFmt w:val="lowerLetter"/>
      <w:start w:val="3"/>
    </w:lvl>
  </w:abstractNum>
  <w:abstractNum w:abstractNumId="505">
    <w:nsid w:val="576FC41B"/>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506">
    <w:nsid w:val="64A1C464"/>
    <w:multiLevelType w:val="hybridMultilevel"/>
    <w:lvl w:ilvl="0">
      <w:lvlJc w:val="left"/>
      <w:lvlText w:val="(%1)"/>
      <w:numFmt w:val="lowerRoman"/>
      <w:start w:val="1"/>
    </w:lvl>
    <w:lvl w:ilvl="1">
      <w:lvlJc w:val="left"/>
      <w:lvlText w:val="(%2)"/>
      <w:numFmt w:val="lowerLetter"/>
      <w:start w:val="34"/>
    </w:lvl>
    <w:lvl w:ilvl="2">
      <w:lvlJc w:val="left"/>
      <w:lvlText w:val="(%3)"/>
      <w:numFmt w:val="upperLetter"/>
      <w:start w:val="1"/>
    </w:lvl>
  </w:abstractNum>
  <w:abstractNum w:abstractNumId="507">
    <w:nsid w:val="31723BF5"/>
    <w:multiLevelType w:val="hybridMultilevel"/>
    <w:lvl w:ilvl="0">
      <w:lvlJc w:val="left"/>
      <w:lvlText w:val="%1"/>
      <w:numFmt w:val="lowerRoman"/>
      <w:start w:val="1"/>
    </w:lvl>
    <w:lvl w:ilvl="1">
      <w:lvlJc w:val="left"/>
      <w:lvlText w:val="(%2)"/>
      <w:numFmt w:val="upperLetter"/>
      <w:start w:val="2"/>
    </w:lvl>
  </w:abstractNum>
  <w:abstractNum w:abstractNumId="508">
    <w:nsid w:val="11F69861"/>
    <w:multiLevelType w:val="hybridMultilevel"/>
    <w:lvl w:ilvl="0">
      <w:lvlJc w:val="left"/>
      <w:lvlText w:val="(%1)"/>
      <w:numFmt w:val="lowerRoman"/>
      <w:start w:val="3"/>
    </w:lvl>
    <w:lvl w:ilvl="1">
      <w:lvlJc w:val="left"/>
      <w:lvlText w:val="%2"/>
      <w:numFmt w:val="upperLetter"/>
      <w:start w:val="1"/>
    </w:lvl>
  </w:abstractNum>
  <w:abstractNum w:abstractNumId="509">
    <w:nsid w:val="369956AB"/>
    <w:multiLevelType w:val="hybridMultilevel"/>
    <w:lvl w:ilvl="0">
      <w:lvlJc w:val="left"/>
      <w:lvlText w:val="(%1)"/>
      <w:numFmt w:val="lowerLetter"/>
      <w:start w:val="3"/>
    </w:lvl>
  </w:abstractNum>
  <w:abstractNum w:abstractNumId="510">
    <w:nsid w:val="D3BE41C"/>
    <w:multiLevelType w:val="hybridMultilevel"/>
    <w:lvl w:ilvl="0">
      <w:lvlJc w:val="left"/>
      <w:lvlText w:val="(%1)"/>
      <w:numFmt w:val="lowerLetter"/>
      <w:start w:val="6"/>
    </w:lvl>
  </w:abstractNum>
  <w:abstractNum w:abstractNumId="511">
    <w:nsid w:val="4CDA15E7"/>
    <w:multiLevelType w:val="hybridMultilevel"/>
    <w:lvl w:ilvl="0">
      <w:lvlJc w:val="left"/>
      <w:lvlText w:val="(%1)"/>
      <w:numFmt w:val="lowerLetter"/>
      <w:start w:val="7"/>
    </w:lvl>
  </w:abstractNum>
  <w:abstractNum w:abstractNumId="512">
    <w:nsid w:val="7BDD6690"/>
    <w:multiLevelType w:val="hybridMultilevel"/>
    <w:lvl w:ilvl="0">
      <w:lvlJc w:val="left"/>
      <w:lvlText w:val="(%1)"/>
      <w:numFmt w:val="lowerRoman"/>
      <w:start w:val="1"/>
    </w:lvl>
  </w:abstractNum>
  <w:abstractNum w:abstractNumId="513">
    <w:nsid w:val="DFB5C5B"/>
    <w:multiLevelType w:val="hybridMultilevel"/>
    <w:lvl w:ilvl="0">
      <w:lvlJc w:val="left"/>
      <w:lvlText w:val="(%1)"/>
      <w:numFmt w:val="lowerLetter"/>
      <w:start w:val="1"/>
    </w:lvl>
  </w:abstractNum>
  <w:abstractNum w:abstractNumId="514">
    <w:nsid w:val="6F3E5490"/>
    <w:multiLevelType w:val="hybridMultilevel"/>
    <w:lvl w:ilvl="0">
      <w:lvlJc w:val="left"/>
      <w:lvlText w:val="(%1)"/>
      <w:numFmt w:val="lowerLetter"/>
      <w:start w:val="1"/>
    </w:lvl>
  </w:abstractNum>
  <w:abstractNum w:abstractNumId="515">
    <w:nsid w:val="1464BE1E"/>
    <w:multiLevelType w:val="hybridMultilevel"/>
    <w:lvl w:ilvl="0">
      <w:lvlJc w:val="left"/>
      <w:lvlText w:val="(%1)"/>
      <w:numFmt w:val="lowerLetter"/>
      <w:start w:val="3"/>
    </w:lvl>
  </w:abstractNum>
  <w:abstractNum w:abstractNumId="516">
    <w:nsid w:val="66BBB7E5"/>
    <w:multiLevelType w:val="hybridMultilevel"/>
    <w:lvl w:ilvl="0">
      <w:lvlJc w:val="left"/>
      <w:lvlText w:val="(%1)"/>
      <w:numFmt w:val="lowerLetter"/>
      <w:start w:val="1"/>
    </w:lvl>
  </w:abstractNum>
  <w:abstractNum w:abstractNumId="517">
    <w:nsid w:val="28168302"/>
    <w:multiLevelType w:val="hybridMultilevel"/>
    <w:lvl w:ilvl="0">
      <w:lvlJc w:val="left"/>
      <w:lvlText w:val="(%1)"/>
      <w:numFmt w:val="lowerLetter"/>
      <w:start w:val="2"/>
    </w:lvl>
  </w:abstractNum>
  <w:abstractNum w:abstractNumId="518">
    <w:nsid w:val="32A5C7A8"/>
    <w:multiLevelType w:val="hybridMultilevel"/>
    <w:lvl w:ilvl="0">
      <w:lvlJc w:val="left"/>
      <w:lvlText w:val="%1"/>
      <w:numFmt w:val="upperLetter"/>
      <w:start w:val="61"/>
    </w:lvl>
  </w:abstractNum>
  <w:abstractNum w:abstractNumId="519">
    <w:nsid w:val="3A541011"/>
    <w:multiLevelType w:val="hybridMultilevel"/>
    <w:lvl w:ilvl="0">
      <w:lvlJc w:val="left"/>
      <w:lvlText w:val="(%1)"/>
      <w:numFmt w:val="decimal"/>
      <w:start w:val="1"/>
    </w:lvl>
    <w:lvl w:ilvl="1">
      <w:lvlJc w:val="left"/>
      <w:lvlText w:val="(%2)"/>
      <w:numFmt w:val="lowerLetter"/>
      <w:start w:val="1"/>
    </w:lvl>
  </w:abstractNum>
  <w:abstractNum w:abstractNumId="520">
    <w:nsid w:val="4423C777"/>
    <w:multiLevelType w:val="hybridMultilevel"/>
    <w:lvl w:ilvl="0">
      <w:lvlJc w:val="left"/>
      <w:lvlText w:val="(%1)"/>
      <w:numFmt w:val="decimal"/>
      <w:start w:val="1"/>
    </w:lvl>
    <w:lvl w:ilvl="1">
      <w:lvlJc w:val="left"/>
      <w:lvlText w:val="(%2)"/>
      <w:numFmt w:val="lowerLetter"/>
      <w:start w:val="1"/>
    </w:lvl>
  </w:abstractNum>
  <w:abstractNum w:abstractNumId="521">
    <w:nsid w:val="5F5C6E4D"/>
    <w:multiLevelType w:val="hybridMultilevel"/>
    <w:lvl w:ilvl="0">
      <w:lvlJc w:val="left"/>
      <w:lvlText w:val="(%1)"/>
      <w:numFmt w:val="decimal"/>
      <w:start w:val="1"/>
    </w:lvl>
    <w:lvl w:ilvl="1">
      <w:lvlJc w:val="left"/>
      <w:lvlText w:val="(%2)"/>
      <w:numFmt w:val="lowerLetter"/>
      <w:start w:val="1"/>
    </w:lvl>
  </w:abstractNum>
  <w:abstractNum w:abstractNumId="522">
    <w:nsid w:val="7C2A56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2019-12-08T00:27:55Z</dcterms:created>
  <dcterms:modified xsi:type="dcterms:W3CDTF">2019-12-08T00:27:55Z</dcterms:modified>
</cp:coreProperties>
</file>