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396ddef14a.htm"/>
        <w:bookmarkStart w:id="1" w:name="ksd15396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14a-101)</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245"/>
        <w:gridCol w:w="120"/>
        <w:gridCol w:w="8105"/>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0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22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b/>
                <w:spacing w:val="0"/>
              </w:rPr>
            </w:pPr>
            <w:r>
              <w:rPr>
                <w:b/>
                <w:spacing w:val="0"/>
              </w:rPr>
              <w:t>Confidential, for Use of the Commission Only (as permitted by Rule 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22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22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8225"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12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pPr>
            <w:r>
              <w:rPr/>
              <w:t>Soliciting Material under §240.14a-12</w:t>
            </w:r>
          </w:p>
        </w:tc>
      </w:tr>
    </w:tbl>
    <w:p>
      <w:pPr>
        <w:pStyle w:val="TextBody"/>
        <w:bidi w:val="0"/>
        <w:spacing w:before="120" w:after="0"/>
        <w:jc w:val="center"/>
        <w:rPr>
          <w:rFonts w:ascii="Times New Roman" w:hAnsi="Times New Roman"/>
          <w:b/>
          <w:sz w:val="44"/>
        </w:rPr>
      </w:pPr>
      <w:r>
        <w:rPr>
          <w:rFonts w:ascii="Times New Roman" w:hAnsi="Times New Roman"/>
          <w:b/>
          <w:sz w:val="44"/>
        </w:rPr>
        <w:t xml:space="preserve">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12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12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8109" w:type="dxa"/>
        <w:jc w:val="left"/>
        <w:tblInd w:w="0" w:type="dxa"/>
        <w:tblLayout w:type="fixed"/>
        <w:tblCellMar>
          <w:top w:w="0" w:type="dxa"/>
          <w:left w:w="0" w:type="dxa"/>
          <w:bottom w:w="0" w:type="dxa"/>
          <w:right w:w="0" w:type="dxa"/>
        </w:tblCellMar>
      </w:tblPr>
      <w:tblGrid>
        <w:gridCol w:w="245"/>
        <w:gridCol w:w="120"/>
        <w:gridCol w:w="2115"/>
        <w:gridCol w:w="2115"/>
        <w:gridCol w:w="3514"/>
      </w:tblGrid>
      <w:tr>
        <w:trPr/>
        <w:tc>
          <w:tcPr>
            <w:tcW w:w="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6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spacing w:val="0"/>
              </w:rPr>
            </w:pPr>
            <w:r>
              <w:rPr>
                <w:spacing w:val="0"/>
              </w:rPr>
              <w:t>14a-6(i)(1)</w:t>
            </w:r>
          </w:p>
          <w:p>
            <w:pPr>
              <w:pStyle w:val="TableContents"/>
              <w:bidi w:val="0"/>
              <w:spacing w:before="0" w:after="0"/>
              <w:jc w:val="left"/>
              <w:rPr/>
            </w:pPr>
            <w:r>
              <w:rPr/>
              <w:t xml:space="preserve">and </w:t>
            </w:r>
          </w:p>
          <w:p>
            <w:pPr>
              <w:pStyle w:val="TableContents"/>
              <w:bidi w:val="0"/>
              <w:spacing w:before="0" w:after="0"/>
              <w:jc w:val="left"/>
              <w:rPr>
                <w:spacing w:val="0"/>
              </w:rPr>
            </w:pPr>
            <w:r>
              <w:rPr>
                <w:spacing w:val="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195070" cy="3930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5070" cy="39306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240" w:after="0"/>
        <w:jc w:val="left"/>
        <w:rPr>
          <w:rFonts w:ascii="Times New Roman" w:hAnsi="Times New Roman"/>
          <w:sz w:val="20"/>
        </w:rPr>
      </w:pPr>
      <w:r>
        <w:rPr>
          <w:rFonts w:ascii="Times New Roman" w:hAnsi="Times New Roman"/>
          <w:sz w:val="20"/>
        </w:rPr>
        <w:t xml:space="preserve">April 9, 2026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to invite you to attend a Special Meeting of Stockholders of Sixth Street Specialty Lending, Inc. to be held on May 21, 2026, at 10:00 a.m., Eastern Time, at the offices of Simpson Thacher &amp; Bartlett LLP, 425 Lexington Avenue, 30th Floor, 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pages include a formal notice of the meeting and our proxy statement. The Notice of Internet Availability of Proxy Materials that you received by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 </w:t>
      </w:r>
    </w:p>
    <w:p>
      <w:pPr>
        <w:pStyle w:val="TextBody"/>
        <w:bidi w:val="0"/>
        <w:spacing w:before="240" w:after="0"/>
        <w:jc w:val="left"/>
        <w:rPr>
          <w:rFonts w:ascii="Times New Roman" w:hAnsi="Times New Roman"/>
          <w:sz w:val="20"/>
        </w:rPr>
      </w:pPr>
      <w:r>
        <w:rPr>
          <w:rFonts w:ascii="Times New Roman" w:hAnsi="Times New Roman"/>
          <w:sz w:val="20"/>
        </w:rPr>
        <w:t xml:space="preserve">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will also receive separate proxy materials for the Annual Meeting of Stockholders, which will be held at the same place and on the same date stated above, but not at the same time. Please be certain to use each proxy card that you receive from us to vote separately for the matters to be discussed at each meeting. </w:t>
      </w:r>
    </w:p>
    <w:p>
      <w:pPr>
        <w:pStyle w:val="TextBody"/>
        <w:bidi w:val="0"/>
        <w:spacing w:before="240" w:after="0"/>
        <w:jc w:val="left"/>
        <w:rPr>
          <w:rFonts w:ascii="Times New Roman" w:hAnsi="Times New Roman"/>
          <w:sz w:val="20"/>
        </w:rPr>
      </w:pPr>
      <w:r>
        <w:rPr>
          <w:rFonts w:ascii="Times New Roman" w:hAnsi="Times New Roman"/>
          <w:sz w:val="20"/>
        </w:rPr>
        <w:t xml:space="preserve">On behalf of management and our Board of Directors, we thank you for your continued support of Sixth Street Specialty Lending, Inc. </w:t>
      </w:r>
    </w:p>
    <w:p>
      <w:pPr>
        <w:pStyle w:val="TextBody"/>
        <w:bidi w:val="0"/>
        <w:spacing w:before="0" w:after="0"/>
        <w:jc w:val="left"/>
        <w:rPr/>
      </w:pPr>
      <w:r>
        <w:rPr/>
        <w:t> </w:t>
      </w:r>
    </w:p>
    <w:tbl>
      <w:tblPr>
        <w:tblW w:w="2255" w:type="dxa"/>
        <w:jc w:val="left"/>
        <w:tblInd w:w="0" w:type="dxa"/>
        <w:tblLayout w:type="fixed"/>
        <w:tblCellMar>
          <w:top w:w="0" w:type="dxa"/>
          <w:left w:w="0" w:type="dxa"/>
          <w:bottom w:w="0" w:type="dxa"/>
          <w:right w:w="0" w:type="dxa"/>
        </w:tblCellMar>
      </w:tblPr>
      <w:tblGrid>
        <w:gridCol w:w="2255"/>
      </w:tblGrid>
      <w:tr>
        <w:trPr/>
        <w:tc>
          <w:tcPr>
            <w:tcW w:w="225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pPr>
            <w:r>
              <w:rPr/>
              <w:t>Sincerely,</w:t>
            </w:r>
          </w:p>
        </w:tc>
      </w:tr>
      <w:tr>
        <w:trPr/>
        <w:tc>
          <w:tcPr>
            <w:tcW w:w="2255" w:type="dxa"/>
            <w:tcBorders/>
            <w:vAlign w:val="center"/>
          </w:tcPr>
          <w:p>
            <w:pPr>
              <w:pStyle w:val="TableContents"/>
              <w:bidi w:val="0"/>
              <w:spacing w:before="0" w:after="283"/>
              <w:jc w:val="left"/>
              <w:rPr>
                <w:sz w:val="4"/>
                <w:szCs w:val="4"/>
              </w:rPr>
            </w:pPr>
            <w:r>
              <w:rPr>
                <w:sz w:val="4"/>
                <w:szCs w:val="4"/>
              </w:rPr>
            </w:r>
          </w:p>
        </w:tc>
      </w:tr>
      <w:tr>
        <w:trPr/>
        <w:tc>
          <w:tcPr>
            <w:tcW w:w="2255" w:type="dxa"/>
            <w:tcBorders>
              <w:bottom w:val="single" w:sz="6" w:space="0" w:color="000000"/>
            </w:tcBorders>
            <w:tcMar>
              <w:bottom w:w="28" w:type="dxa"/>
            </w:tcMar>
            <w:vAlign w:val="center"/>
          </w:tcPr>
          <w:p>
            <w:pPr>
              <w:pStyle w:val="TableContents"/>
              <w:bidi w:val="0"/>
              <w:spacing w:before="0" w:after="20"/>
              <w:jc w:val="left"/>
              <w:rPr>
                <w:rFonts w:ascii="Times New Roman" w:hAnsi="Times New Roman"/>
                <w:sz w:val="20"/>
              </w:rPr>
            </w:pPr>
            <w:r>
              <w:rPr>
                <w:rFonts w:ascii="Times New Roman" w:hAnsi="Times New Roman"/>
                <w:sz w:val="20"/>
              </w:rPr>
              <w:t>/s/ Robert (“Bo”) Stanley</w:t>
            </w:r>
          </w:p>
        </w:tc>
      </w:tr>
      <w:tr>
        <w:trPr/>
        <w:tc>
          <w:tcPr>
            <w:tcW w:w="2255" w:type="dxa"/>
            <w:tcBorders/>
            <w:vAlign w:val="center"/>
          </w:tcPr>
          <w:p>
            <w:pPr>
              <w:pStyle w:val="TableContents"/>
              <w:bidi w:val="0"/>
              <w:spacing w:before="0" w:after="283"/>
              <w:jc w:val="left"/>
              <w:rPr/>
            </w:pPr>
            <w:r>
              <w:rPr/>
              <w:t>Robert (“Bo”) Stanley</w:t>
            </w:r>
          </w:p>
        </w:tc>
      </w:tr>
      <w:tr>
        <w:trPr/>
        <w:tc>
          <w:tcPr>
            <w:tcW w:w="2255" w:type="dxa"/>
            <w:tcBorders/>
            <w:vAlign w:val="center"/>
          </w:tcPr>
          <w:p>
            <w:pPr>
              <w:pStyle w:val="TableContents"/>
              <w:bidi w:val="0"/>
              <w:spacing w:before="0" w:after="283"/>
              <w:jc w:val="left"/>
              <w:rPr>
                <w:i/>
              </w:rPr>
            </w:pPr>
            <w:r>
              <w:rPr>
                <w:i/>
              </w:rPr>
              <w:t>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9,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Important Notice Regarding the Availability of Proxy Material for the Special Meeting of Stockholders to Be Held on May 21, 2026. </w:t>
      </w:r>
    </w:p>
    <w:p>
      <w:pPr>
        <w:pStyle w:val="TextBody"/>
        <w:bidi w:val="0"/>
        <w:spacing w:before="120" w:after="0"/>
        <w:jc w:val="left"/>
        <w:rPr>
          <w:rFonts w:ascii="Times New Roman" w:hAnsi="Times New Roman"/>
          <w:sz w:val="20"/>
        </w:rPr>
      </w:pPr>
      <w:r>
        <w:rPr>
          <w:rFonts w:ascii="Times New Roman" w:hAnsi="Times New Roman"/>
          <w:sz w:val="20"/>
        </w:rPr>
        <w:t xml:space="preserve">Our proxy statement is available online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applicable to the Special Meeting of Stockholders may be found in the proxy statement and accompanying proxy card: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time and location of the meeting;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list of the matters intended to be acted on and our recommendations regarding those matters;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control/identification numbers that you need to access proxy material online; and </w:t>
            </w:r>
          </w:p>
        </w:tc>
      </w:tr>
    </w:tbl>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75"/>
        <w:gridCol w:w="110"/>
        <w:gridCol w:w="60"/>
        <w:gridCol w:w="5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attending the meeting and voting in person.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1390015" cy="43878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90015" cy="4387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 Special Meeting of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Stockholders of Sixth Street Specialty Lending, Inc. will be held at the offices of Simpson Thacher &amp; Bartlett LLP, 425 Lexington Avenue, 30th Floor, New York, NY 10017 on May 21, 2026, at 10:00 a.m., Eastern Time. The Special Meeting of Stockholders is being held for the following purpose: </w:t>
      </w:r>
    </w:p>
    <w:p>
      <w:pPr>
        <w:pStyle w:val="TextBody"/>
        <w:bidi w:val="0"/>
        <w:spacing w:before="120" w:after="0"/>
        <w:jc w:val="left"/>
        <w:rPr>
          <w:rFonts w:ascii="Times New Roman" w:hAnsi="Times New Roman"/>
          <w:sz w:val="20"/>
        </w:rPr>
      </w:pPr>
      <w:r>
        <w:rPr>
          <w:rFonts w:ascii="Times New Roman" w:hAnsi="Times New Roman"/>
          <w:sz w:val="20"/>
        </w:rPr>
        <w:t xml:space="preserve">1. 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 </w:t>
      </w:r>
    </w:p>
    <w:p>
      <w:pPr>
        <w:pStyle w:val="TextBody"/>
        <w:bidi w:val="0"/>
        <w:spacing w:before="240" w:after="0"/>
        <w:jc w:val="left"/>
        <w:rPr>
          <w:rFonts w:ascii="Times New Roman" w:hAnsi="Times New Roman"/>
          <w:sz w:val="20"/>
        </w:rPr>
      </w:pPr>
      <w:r>
        <w:rPr>
          <w:rFonts w:ascii="Times New Roman" w:hAnsi="Times New Roman"/>
          <w:sz w:val="20"/>
        </w:rPr>
        <w:t xml:space="preserve">Only stockholders of record at the close of business on March 31, 2026, are entitled to notice of and to vote at the Special Meeting of Stockholders or any postponement or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 </w:t>
      </w:r>
    </w:p>
    <w:p>
      <w:pPr>
        <w:pStyle w:val="TextBody"/>
        <w:bidi w:val="0"/>
        <w:spacing w:before="240" w:after="0"/>
        <w:jc w:val="left"/>
        <w:rPr>
          <w:rFonts w:ascii="Times New Roman" w:hAnsi="Times New Roman"/>
          <w:sz w:val="20"/>
        </w:rPr>
      </w:pPr>
      <w:r>
        <w:rPr>
          <w:rFonts w:ascii="Times New Roman" w:hAnsi="Times New Roman"/>
          <w:b/>
          <w:sz w:val="20"/>
        </w:rPr>
        <w:t xml:space="preserve">Your vote is extremely important to us. </w:t>
      </w:r>
      <w:r>
        <w:rPr>
          <w:rFonts w:ascii="Times New Roman" w:hAnsi="Times New Roman"/>
          <w:sz w:val="20"/>
        </w:rPr>
        <w:t xml:space="preserve">Whether or not you plan to attend the Special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OF DIRECTORS, INCLUDING THE INDEPENDENT DIRECTORS, UNANIMOUSLY RECOMMENDS THAT YOU VOTE “FOR” THE PROPOSAL. </w:t>
      </w:r>
    </w:p>
    <w:p>
      <w:pPr>
        <w:pStyle w:val="TextBody"/>
        <w:bidi w:val="0"/>
        <w:spacing w:before="0" w:after="0"/>
        <w:jc w:val="left"/>
        <w:rPr/>
      </w:pPr>
      <w:r>
        <w:rPr/>
        <w:t> </w:t>
      </w:r>
    </w:p>
    <w:tbl>
      <w:tblPr>
        <w:tblW w:w="3875" w:type="dxa"/>
        <w:jc w:val="left"/>
        <w:tblInd w:w="0" w:type="dxa"/>
        <w:tblLayout w:type="fixed"/>
        <w:tblCellMar>
          <w:top w:w="0" w:type="dxa"/>
          <w:left w:w="0" w:type="dxa"/>
          <w:bottom w:w="0" w:type="dxa"/>
          <w:right w:w="0" w:type="dxa"/>
        </w:tblCellMar>
      </w:tblPr>
      <w:tblGrid>
        <w:gridCol w:w="3875"/>
      </w:tblGrid>
      <w:tr>
        <w:trPr/>
        <w:tc>
          <w:tcPr>
            <w:tcW w:w="3875" w:type="dxa"/>
            <w:tcBorders/>
            <w:vAlign w:val="center"/>
          </w:tcPr>
          <w:p>
            <w:pPr>
              <w:pStyle w:val="TableContents"/>
              <w:bidi w:val="0"/>
              <w:spacing w:before="0" w:after="283"/>
              <w:jc w:val="left"/>
              <w:rPr>
                <w:sz w:val="4"/>
                <w:szCs w:val="4"/>
              </w:rPr>
            </w:pPr>
            <w:r>
              <w:rPr>
                <w:sz w:val="4"/>
                <w:szCs w:val="4"/>
              </w:rPr>
            </w:r>
          </w:p>
        </w:tc>
      </w:tr>
      <w:tr>
        <w:trPr/>
        <w:tc>
          <w:tcPr>
            <w:tcW w:w="3875" w:type="dxa"/>
            <w:tcBorders/>
            <w:vAlign w:val="center"/>
          </w:tcPr>
          <w:p>
            <w:pPr>
              <w:pStyle w:val="TableContents"/>
              <w:bidi w:val="0"/>
              <w:spacing w:before="0" w:after="283"/>
              <w:jc w:val="left"/>
              <w:rPr/>
            </w:pPr>
            <w:r>
              <w:rPr/>
              <w:t>By Order of the Board of Directors,</w:t>
            </w:r>
          </w:p>
        </w:tc>
      </w:tr>
      <w:tr>
        <w:trPr/>
        <w:tc>
          <w:tcPr>
            <w:tcW w:w="3875" w:type="dxa"/>
            <w:tcBorders/>
            <w:vAlign w:val="center"/>
          </w:tcPr>
          <w:p>
            <w:pPr>
              <w:pStyle w:val="TableContents"/>
              <w:bidi w:val="0"/>
              <w:spacing w:before="0" w:after="283"/>
              <w:jc w:val="left"/>
              <w:rPr>
                <w:sz w:val="4"/>
                <w:szCs w:val="4"/>
              </w:rPr>
            </w:pPr>
            <w:r>
              <w:rPr>
                <w:sz w:val="4"/>
                <w:szCs w:val="4"/>
              </w:rPr>
            </w:r>
          </w:p>
        </w:tc>
      </w:tr>
      <w:tr>
        <w:trPr/>
        <w:tc>
          <w:tcPr>
            <w:tcW w:w="3875" w:type="dxa"/>
            <w:tcBorders>
              <w:bottom w:val="single" w:sz="6" w:space="0" w:color="000000"/>
            </w:tcBorders>
            <w:tcMar>
              <w:bottom w:w="28" w:type="dxa"/>
            </w:tcMar>
            <w:vAlign w:val="center"/>
          </w:tcPr>
          <w:p>
            <w:pPr>
              <w:pStyle w:val="TableContents"/>
              <w:bidi w:val="0"/>
              <w:spacing w:before="0" w:after="283"/>
              <w:jc w:val="left"/>
              <w:rPr/>
            </w:pPr>
            <w:r>
              <w:rPr/>
              <w:t>/s/ Anton Brett</w:t>
            </w:r>
          </w:p>
        </w:tc>
      </w:tr>
      <w:tr>
        <w:trPr/>
        <w:tc>
          <w:tcPr>
            <w:tcW w:w="3875" w:type="dxa"/>
            <w:tcBorders/>
            <w:vAlign w:val="center"/>
          </w:tcPr>
          <w:p>
            <w:pPr>
              <w:pStyle w:val="TableContents"/>
              <w:bidi w:val="0"/>
              <w:spacing w:before="0" w:after="283"/>
              <w:jc w:val="left"/>
              <w:rPr/>
            </w:pPr>
            <w:r>
              <w:rPr/>
              <w:t>Anton Brett</w:t>
            </w:r>
          </w:p>
        </w:tc>
      </w:tr>
      <w:tr>
        <w:trPr/>
        <w:tc>
          <w:tcPr>
            <w:tcW w:w="3875" w:type="dxa"/>
            <w:tcBorders/>
            <w:vAlign w:val="center"/>
          </w:tcPr>
          <w:p>
            <w:pPr>
              <w:pStyle w:val="TableContents"/>
              <w:bidi w:val="0"/>
              <w:spacing w:before="0" w:after="283"/>
              <w:jc w:val="left"/>
              <w:rPr>
                <w:i/>
              </w:rPr>
            </w:pPr>
            <w:r>
              <w:rPr>
                <w:i/>
              </w:rPr>
              <w:t>Chief Compliance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9, 2026 </w:t>
      </w:r>
    </w:p>
    <w:p>
      <w:pPr>
        <w:pStyle w:val="TextBody"/>
        <w:bidi w:val="0"/>
        <w:spacing w:before="240" w:after="0"/>
        <w:jc w:val="left"/>
        <w:rPr>
          <w:rFonts w:ascii="Times New Roman" w:hAnsi="Times New Roman"/>
          <w:b/>
          <w:sz w:val="20"/>
        </w:rPr>
      </w:pPr>
      <w:r>
        <w:rPr>
          <w:rFonts w:ascii="Times New Roman" w:hAnsi="Times New Roman"/>
          <w:b/>
          <w:sz w:val="20"/>
          <w:u w:val="single"/>
        </w:rPr>
        <w:t>YOUR VOTE IS IMPORTANT!</w:t>
      </w:r>
      <w:r>
        <w:rPr>
          <w:rFonts w:ascii="Times New Roman" w:hAnsi="Times New Roman"/>
          <w:b/>
          <w:sz w:val="20"/>
        </w:rPr>
        <w:t xml:space="preserve"> WE HOPE YOU WILL VOTE OVER THE INTERNET, BY PHONE OR BY MARKING, SIGNING AND RETURNING YOUR PROXY CARD AS SOON AS POSSIBLE, WHETHER OR NOT YOU PLAN TO ATTEND THE MEETING. EVEN IF YOU VOTE YOUR SHARES PRIOR TO THE MEETING, YOU STILL MAY ATTEND THE MEETING AND VOTE YOUR SHARES IN PERSON.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6"/>
        <w:gridCol w:w="419"/>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15396_1">
              <w:r>
                <w:rPr>
                  <w:rStyle w:val="InternetLink"/>
                  <w:rFonts w:ascii="Times New Roman" w:hAnsi="Times New Roman"/>
                  <w:sz w:val="20"/>
                </w:rPr>
                <w:t>Proxy Statement for a Special Meeting of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15396_2">
              <w:r>
                <w:rPr>
                  <w:rStyle w:val="InternetLink"/>
                  <w:rFonts w:ascii="Times New Roman" w:hAnsi="Times New Roman"/>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15396_3">
              <w:r>
                <w:rPr>
                  <w:rStyle w:val="InternetLink"/>
                  <w:rFonts w:ascii="Times New Roman" w:hAnsi="Times New Roman"/>
                  <w:sz w:val="20"/>
                </w:rPr>
                <w:t>Proposal No. 1 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15396_4">
              <w:r>
                <w:rPr>
                  <w:rStyle w:val="InternetLink"/>
                  <w:rFonts w:ascii="Times New Roman" w:hAnsi="Times New Roman"/>
                  <w:sz w:val="20"/>
                </w:rPr>
                <w:t>Other Business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15396_5">
              <w:r>
                <w:rPr>
                  <w:rStyle w:val="InternetLink"/>
                  <w:rFonts w:ascii="Times New Roman" w:hAnsi="Times New Roman"/>
                  <w:sz w:val="20"/>
                </w:rPr>
                <w:t>Stockholder Proposals and Nominations for the 2027 Annual Meeting of Stockholders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15396_6">
              <w:r>
                <w:rPr>
                  <w:rStyle w:val="InternetLink"/>
                  <w:rFonts w:ascii="Times New Roman" w:hAnsi="Times New Roman"/>
                  <w:sz w:val="20"/>
                </w:rPr>
                <w:t>Annual Report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15396_7">
              <w:r>
                <w:rPr>
                  <w:rStyle w:val="InternetLink"/>
                  <w:rFonts w:ascii="Times New Roman" w:hAnsi="Times New Roman"/>
                  <w:sz w:val="20"/>
                </w:rPr>
                <w:t>Householding of Proxy Materials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0"/>
              <w:jc w:val="left"/>
              <w:rPr/>
            </w:pPr>
            <w:hyperlink w:anchor="tx15396_8">
              <w:r>
                <w:rPr>
                  <w:rStyle w:val="InternetLink"/>
                  <w:rFonts w:ascii="Times New Roman" w:hAnsi="Times New Roman"/>
                  <w:sz w:val="20"/>
                </w:rPr>
                <w:t>Privacy Principles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bookmarkStart w:id="3" w:name="tx15396_1"/>
      <w:bookmarkEnd w:id="3"/>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a </w:t>
      </w:r>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 of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at the offices of Simpson Thacher &amp; Bartlett LLP, 425 Lexington Avenue, 30th Floor, New York, NY 10017 on May 21, 2026, at 10:00 a.m., Eastern Time. Only holders of record of our common stock at the close of business on March 31, 2026, which is the record date, will be entitled to vote at the Meeting. At the close of business on the record date, we had 95,019,600 shares of common stock outstanding and entitled to vote. </w:t>
      </w:r>
    </w:p>
    <w:p>
      <w:pPr>
        <w:pStyle w:val="TextBody"/>
        <w:bidi w:val="0"/>
        <w:spacing w:before="240" w:after="0"/>
        <w:jc w:val="left"/>
        <w:rPr>
          <w:rFonts w:ascii="Times New Roman" w:hAnsi="Times New Roman"/>
          <w:sz w:val="20"/>
        </w:rPr>
      </w:pPr>
      <w:r>
        <w:rPr>
          <w:rFonts w:ascii="Times New Roman" w:hAnsi="Times New Roman"/>
          <w:sz w:val="20"/>
        </w:rPr>
        <w:t>It is anticipated that the Notice of Internet Availability of Proxy Materials will first be sent to Stockholders on or about April 9, 2026. This proxy statement, including the accompanying form of proxy card (collectively, the “Proxy Statement”), will firs</w:t>
      </w:r>
      <w:r>
        <w:rPr>
          <w:rFonts w:ascii="Times New Roman" w:hAnsi="Times New Roman"/>
          <w:strike/>
          <w:sz w:val="20"/>
        </w:rPr>
        <w:t xml:space="preserve">t </w:t>
      </w:r>
      <w:r>
        <w:rPr>
          <w:rFonts w:ascii="Times New Roman" w:hAnsi="Times New Roman"/>
          <w:sz w:val="20"/>
        </w:rPr>
        <w:t xml:space="preserve">be made available to stockholders on or about April 9, 2026. The Proxy Statement can be accessed online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Times New Roman" w:hAnsi="Times New Roman"/>
          <w:b/>
          <w:sz w:val="20"/>
        </w:rPr>
        <w:t xml:space="preserve">FOR </w:t>
      </w:r>
      <w:r>
        <w:rPr>
          <w:rFonts w:ascii="Times New Roman" w:hAnsi="Times New Roman"/>
          <w:sz w:val="20"/>
        </w:rPr>
        <w:t xml:space="preserve">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of Stockholders is being held for the following purpose: </w:t>
      </w:r>
    </w:p>
    <w:p>
      <w:pPr>
        <w:pStyle w:val="TextBody"/>
        <w:bidi w:val="0"/>
        <w:spacing w:before="120" w:after="0"/>
        <w:jc w:val="left"/>
        <w:rPr>
          <w:rFonts w:ascii="Times New Roman" w:hAnsi="Times New Roman"/>
          <w:sz w:val="20"/>
        </w:rPr>
      </w:pPr>
      <w:r>
        <w:rPr>
          <w:rFonts w:ascii="Times New Roman" w:hAnsi="Times New Roman"/>
          <w:sz w:val="20"/>
        </w:rPr>
        <w:t xml:space="preserve">1. 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Quorum, Effect of Abstentions and Broker Non-Votes, Vote Required to Approve the Proposal </w:t>
      </w:r>
    </w:p>
    <w:p>
      <w:pPr>
        <w:pStyle w:val="TextBody"/>
        <w:bidi w:val="0"/>
        <w:spacing w:before="120" w:after="0"/>
        <w:jc w:val="left"/>
        <w:rPr>
          <w:rFonts w:ascii="Times New Roman" w:hAnsi="Times New Roman"/>
          <w:sz w:val="20"/>
        </w:rPr>
      </w:pPr>
      <w:r>
        <w:rPr>
          <w:rFonts w:ascii="Times New Roman" w:hAnsi="Times New Roman"/>
          <w:sz w:val="20"/>
        </w:rPr>
        <w:t xml:space="preserve">A majority of the outstanding shares of common stock must be present or represented by proxy at the Meeting in order to have a quorum. If you have properly voted by proxy online, by phone, or via mail, you will be considered part of the quorum. We will count “abstain” votes as present for the purpose of establishing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quorum for the transaction of business at the Meeting.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Under the New York Stock Exchange (“NYSE”) rules, banks, brokers and other nominees holding shares in “street name” do not have discretionary voting authority with respect to the proposal described in this proxy statement. Accordingly, the Company does not expect any broker-represented shares for which voting instructions have not been received to be present at the Meeting and we do not expect any broker non-votes at the Meeting. </w:t>
      </w:r>
      <w:r>
        <w:rPr>
          <w:rFonts w:ascii="Times New Roman" w:hAnsi="Times New Roman"/>
          <w:b/>
          <w:sz w:val="20"/>
        </w:rPr>
        <w:t>For this reason, it is imperative that stockholders vote or provide instructions to their broker as to how to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You may vote “for” or “against,” or abstain from voting on, Proposal </w:t>
      </w:r>
      <w:r>
        <w:rPr>
          <w:rFonts w:ascii="Times New Roman" w:hAnsi="Times New Roman"/>
          <w:b/>
          <w:sz w:val="20"/>
        </w:rPr>
        <w:t xml:space="preserve">1 </w:t>
      </w:r>
      <w:r>
        <w:rPr>
          <w:rFonts w:ascii="Times New Roman" w:hAnsi="Times New Roman"/>
          <w:sz w:val="20"/>
        </w:rPr>
        <w:t xml:space="preserve">(to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t>
      </w:r>
    </w:p>
    <w:p>
      <w:pPr>
        <w:pStyle w:val="TextBody"/>
        <w:bidi w:val="0"/>
        <w:spacing w:before="360" w:after="0"/>
        <w:jc w:val="left"/>
        <w:rPr>
          <w:rFonts w:ascii="Times New Roman" w:hAnsi="Times New Roman"/>
          <w:b/>
          <w:sz w:val="20"/>
        </w:rPr>
      </w:pPr>
      <w:r>
        <w:rPr>
          <w:rFonts w:ascii="Times New Roman" w:hAnsi="Times New Roman"/>
          <w:b/>
          <w:sz w:val="20"/>
        </w:rPr>
        <w:t xml:space="preserve">Adjournment of Meeting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the chairman of the Meeting, or any other officer entitled to preside or to act as secretary at the Meeting, may adjourn or postpone the Meeting in order to permit further solicitation of proxies by the Company, without notice other than announcement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Proxies for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 </w:t>
      </w:r>
    </w:p>
    <w:p>
      <w:pPr>
        <w:pStyle w:val="TextBody"/>
        <w:bidi w:val="0"/>
        <w:spacing w:before="360" w:after="0"/>
        <w:jc w:val="left"/>
        <w:rPr>
          <w:rFonts w:ascii="Times New Roman" w:hAnsi="Times New Roman"/>
          <w:b/>
          <w:sz w:val="20"/>
        </w:rPr>
      </w:pPr>
      <w:r>
        <w:rPr>
          <w:rFonts w:ascii="Times New Roman" w:hAnsi="Times New Roman"/>
          <w:b/>
          <w:sz w:val="20"/>
        </w:rPr>
        <w:t xml:space="preserve">Other Information Regarding This Proxy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the expenses of soliciting proxies to be voted at the Meeting. The Company has retained Broadridge Investor Communication Solutions, Inc. to assist with the distribution and collection of proxies for a fee of approximately $75,000, plus reimbursement of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to the solicitation of proxies by the use of the internet, proxies may be solicited in person and/or by telephone, mail or electronic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engaged the services of D.F. King &amp; Co., Inc. (“DF King”) to assist in the solicitation of proxies. The Company has estimated that it will pay approximately $10,000, plus reimbursement of certain expenses and fees for additional services requested. Please note that D.F. King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with sufficient time in advance of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Contact Information for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You can contact us by mail sent to the attention of the Secretary of the Company, Anton Brett, Sixth Street Specialty Lending, Inc., 2100 McKinney Avenue, Suite 1500, Dallas, TX 75201, or by email at abrett@sixthstreet.com. You can call us by dialing 469-621-2033. You can access our proxy materials online at www.proxyvote.com. </w:t>
      </w:r>
    </w:p>
    <w:p>
      <w:pPr>
        <w:pStyle w:val="TextBody"/>
        <w:bidi w:val="0"/>
        <w:spacing w:before="360" w:after="0"/>
        <w:jc w:val="left"/>
        <w:rPr>
          <w:rFonts w:ascii="Times New Roman" w:hAnsi="Times New Roman"/>
          <w:b/>
          <w:sz w:val="20"/>
        </w:rPr>
      </w:pPr>
      <w:r>
        <w:rPr>
          <w:rFonts w:ascii="Times New Roman" w:hAnsi="Times New Roman"/>
          <w:b/>
          <w:sz w:val="20"/>
        </w:rPr>
        <w:t xml:space="preserve">Attendance and Participation </w:t>
      </w:r>
    </w:p>
    <w:p>
      <w:pPr>
        <w:pStyle w:val="TextBody"/>
        <w:bidi w:val="0"/>
        <w:spacing w:before="120" w:after="0"/>
        <w:jc w:val="left"/>
        <w:rPr>
          <w:rFonts w:ascii="Times New Roman" w:hAnsi="Times New Roman"/>
          <w:sz w:val="20"/>
        </w:rPr>
      </w:pPr>
      <w:r>
        <w:rPr>
          <w:rFonts w:ascii="Times New Roman" w:hAnsi="Times New Roman"/>
          <w:sz w:val="20"/>
        </w:rPr>
        <w:t xml:space="preserve">The Meeting will be conducted in-person at the offices of Simpson Thacher &amp; Bartlett LLP, 425 Lexington Avenue, 30th Floor, New York, NY 10017. Stockholders as of the close of business on March 31, 2026, the record date, are entitled to participate in and vote at the Meeting. If you have a question pertaining to the business of the Meeting, please submit it in accordance with the procedures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participate in the Meeting, you will need the 16-digit control number included on your proxy card, your voting instruction form, or the Notice of Internet Availability of Proxy Materials previously mailed or made available to stockholders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In-person admission to the Meeting will be on a first-come, first-served basis. Please bring proof of your common stock ownership, such as a current brokerage statement and photo identification. If you are representing an entity that is a stockholder, you must also present documentation showing your authority to attend and act on 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Annual Meeting of Stockholders will begin promptly at 9:30 a.m., Eastern Time, and the Special Meeting of Stockholders will begin promptly at 10:00 a.m., Eastern Time. Participants should allow plenty of time to check in prior to the start of the meetings. </w:t>
      </w:r>
    </w:p>
    <w:p>
      <w:pPr>
        <w:pStyle w:val="TextBody"/>
        <w:bidi w:val="0"/>
        <w:spacing w:before="240" w:after="0"/>
        <w:jc w:val="left"/>
        <w:rPr>
          <w:rFonts w:ascii="Times New Roman" w:hAnsi="Times New Roman"/>
          <w:sz w:val="20"/>
        </w:rPr>
      </w:pPr>
      <w:r>
        <w:rPr>
          <w:rFonts w:ascii="Times New Roman" w:hAnsi="Times New Roman"/>
          <w:sz w:val="20"/>
        </w:rPr>
        <w:t xml:space="preserve">You can vote in person at the Meeting. If you hold your shares in “street name”, you must obtain a proxy from the record holder to vote in person.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List </w:t>
      </w:r>
    </w:p>
    <w:p>
      <w:pPr>
        <w:pStyle w:val="TextBody"/>
        <w:bidi w:val="0"/>
        <w:spacing w:before="120" w:after="0"/>
        <w:jc w:val="left"/>
        <w:rPr>
          <w:rFonts w:ascii="Times New Roman" w:hAnsi="Times New Roman"/>
          <w:sz w:val="20"/>
        </w:rPr>
      </w:pPr>
      <w:r>
        <w:rPr>
          <w:rFonts w:ascii="Times New Roman" w:hAnsi="Times New Roman"/>
          <w:sz w:val="20"/>
        </w:rPr>
        <w:t xml:space="preserve">The list of our stockholders of record entitled to vote at the Meeting will be made available for viewing by stockholders at the Meeting for any purpose germane to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5396_2"/>
      <w:bookmarkEnd w:id="4"/>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31, 2026, the beneficial ownership as indicated in the Company’s books and records of each current director, the nominees for director, the Company’s Named Executive Officers and the Company’s executive officers and directors as a group. Based upon Schedule 13D or Schedule 13G filings with the SEC, the Company is not aware of any person that beneficially owns 5% or more of the outstanding shares of the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ownership is based on 95,019,600 shares of common stock outstanding as of March 31, 2026.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 </w:t>
      </w:r>
    </w:p>
    <w:p>
      <w:pPr>
        <w:pStyle w:val="TextBody"/>
        <w:bidi w:val="0"/>
        <w:spacing w:before="0" w:after="0"/>
        <w:jc w:val="left"/>
        <w:rPr/>
      </w:pPr>
      <w:r>
        <w:rPr/>
        <w:t> </w:t>
      </w:r>
    </w:p>
    <w:tbl>
      <w:tblPr>
        <w:tblW w:w="8480" w:type="dxa"/>
        <w:jc w:val="left"/>
        <w:tblInd w:w="0" w:type="dxa"/>
        <w:tblLayout w:type="fixed"/>
        <w:tblCellMar>
          <w:top w:w="0" w:type="dxa"/>
          <w:left w:w="0" w:type="dxa"/>
          <w:bottom w:w="0" w:type="dxa"/>
          <w:right w:w="0" w:type="dxa"/>
        </w:tblCellMar>
      </w:tblPr>
      <w:tblGrid>
        <w:gridCol w:w="4700"/>
        <w:gridCol w:w="120"/>
        <w:gridCol w:w="92"/>
        <w:gridCol w:w="1503"/>
        <w:gridCol w:w="60"/>
        <w:gridCol w:w="120"/>
        <w:gridCol w:w="191"/>
        <w:gridCol w:w="1404"/>
        <w:gridCol w:w="290"/>
      </w:tblGrid>
      <w:tr>
        <w:trPr/>
        <w:tc>
          <w:tcPr>
            <w:tcW w:w="4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Individual or Identity of Group</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w:t>
            </w:r>
            <w:r>
              <w:rPr/>
              <w:br/>
            </w:r>
            <w:r>
              <w:rPr>
                <w:b/>
              </w:rPr>
              <w:t>Shares of</w:t>
            </w:r>
            <w:r>
              <w:rPr/>
              <w:br/>
            </w:r>
            <w:r>
              <w:rPr>
                <w:b/>
              </w:rPr>
              <w:t>Common Stock</w:t>
            </w:r>
            <w:r>
              <w:rPr/>
              <w:br/>
            </w:r>
            <w:r>
              <w:rPr>
                <w:b/>
              </w:rPr>
              <w:t>Beneficially</w:t>
            </w:r>
            <w:r>
              <w:rPr/>
              <w:br/>
            </w:r>
            <w:r>
              <w:rPr>
                <w:b/>
              </w:rP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Percent of</w:t>
            </w:r>
            <w:r>
              <w:rPr/>
              <w:br/>
            </w:r>
            <w:r>
              <w:rPr>
                <w:b/>
              </w:rPr>
              <w:t>Common Stock</w:t>
            </w:r>
            <w:r>
              <w:rPr/>
              <w:br/>
            </w:r>
            <w:r>
              <w:rPr>
                <w:b/>
              </w:rPr>
              <w:t>Beneficially</w:t>
            </w:r>
            <w:r>
              <w:rPr/>
              <w:br/>
            </w:r>
            <w:r>
              <w:rPr>
                <w:b/>
              </w:rPr>
              <w:t>Owned</w:t>
            </w:r>
          </w:p>
        </w:tc>
        <w:tc>
          <w:tcPr>
            <w:tcW w:w="29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4"/>
                <w:szCs w:val="4"/>
              </w:rPr>
            </w:pPr>
            <w:r>
              <w:rPr>
                <w:sz w:val="4"/>
                <w:szCs w:val="4"/>
              </w:rPr>
            </w:r>
          </w:p>
        </w:tc>
        <w:tc>
          <w:tcPr>
            <w:tcW w:w="14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7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Interested Directors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Joshua Easterly(1)</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65,790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Fishman (Director Nominee)(2)</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36,366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Jennifer Gordon</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(“Bo”) Stanley (Director Nominee)(3)</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31,418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David Stiepleman(4)</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24,907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Independent Directors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Hurley Doddy (Director Nominee)</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27,119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D. Hershey</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25,621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Richard Higginbotham</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29,000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21,667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Ronald Tanemura</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85,516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 Emery Covington</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Named Executive Officers Who Are Not Directors</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5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4"/>
                <w:szCs w:val="4"/>
              </w:rPr>
            </w:pPr>
            <w:r>
              <w:rPr>
                <w:sz w:val="4"/>
                <w:szCs w:val="4"/>
              </w:rPr>
            </w:r>
          </w:p>
        </w:tc>
        <w:tc>
          <w:tcPr>
            <w:tcW w:w="1404"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Ian Simmonds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6,772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Michael Graf</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7,385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Anton Brett</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404"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All Directors and Officers as a Group (18 persons)(5)(6)</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503" w:type="dxa"/>
            <w:tcBorders/>
            <w:shd w:fill="CCEEFF" w:val="clear"/>
            <w:vAlign w:val="center"/>
          </w:tcPr>
          <w:p>
            <w:pPr>
              <w:pStyle w:val="TableContents"/>
              <w:bidi w:val="0"/>
              <w:spacing w:before="0" w:after="283"/>
              <w:jc w:val="right"/>
              <w:rPr/>
            </w:pPr>
            <w:r>
              <w:rPr/>
              <w:t>3,640,068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3.83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380" w:type="dxa"/>
        <w:jc w:val="left"/>
        <w:tblInd w:w="0" w:type="dxa"/>
        <w:tblLayout w:type="fixed"/>
        <w:tblCellMar>
          <w:top w:w="0" w:type="dxa"/>
          <w:left w:w="0" w:type="dxa"/>
          <w:bottom w:w="0" w:type="dxa"/>
          <w:right w:w="0" w:type="dxa"/>
        </w:tblCellMar>
      </w:tblPr>
      <w:tblGrid>
        <w:gridCol w:w="155"/>
        <w:gridCol w:w="2225"/>
      </w:tblGrid>
      <w:tr>
        <w:trPr/>
        <w:tc>
          <w:tcPr>
            <w:tcW w:w="155"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0.1%.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18,792 shares of common stock beneficially owned by Mr. Easterly have been pledged as security in connection with a line of credit with a third party financial institution unaffiliated with the Company and are held indirectly through entities for which Mr. Easterly has pass through voting power and no dispositive power. On February 19, 2026, pursuant to the Third Amended and Restated Bylaws of the Company, Joshua Easterly informed the Company of his intention to retire from the Board, effective as of the close of business on May 21, 2026. Accordingly, Mr. Easterly will not run for re-election to the Board at the Annual Meeting. Mr. Easterly’s decision was not a result of any disagreement with the Company on any matter relating to the Company’s operations, policies or practices.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(2)</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36,366 shares of common stock beneficially owned by Mr. Fishman have been pledged as security in connection with a line of credit with a third party financial institution unaffiliated with the Company and are held indirectly through entities for which Mr. Fishman has pass through voting power and no dispositive power.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(3)</w:t>
            </w:r>
          </w:p>
        </w:tc>
        <w:tc>
          <w:tcPr>
            <w:tcW w:w="994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3,907 shares of common stock beneficially owned by Mr. Stanley have been pledged as security in connection with a line of credit with a third party financial institution unaffiliated with the Company and are held indirectly through entities for which Mr. Stanley has pass through voting power and no dispositive power.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5,544 shares of common stock beneficially owned by Mr. Stiepleman have been pledged as security in connection with a line of credit with a third party financial institution unaffiliated with the Company and are held indirectly through entities for which Mr. Stiepleman has pass through voting power and no dispositive power.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(5)</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owned by executive officers that are not “Named Executive Officers,” already presented by name in the table above. 64,609 shares of common stock beneficially owned by these other executive officers have been pledged as security in connection with lines of credit with a third party financial institution unaffiliated with the Company.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(6)</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Advisers, LLC (the “Adviser”) holds 2,714,226 shares of common stock (the “Sixth Street Specialty Lending Advisers Shares”). The Adviser is managed by Sixth Street Specialty Lending Advisers Holdings, LLC, a Delaware limited liability company, the sole member of the Adviser. Sixth Street Specialty Lending Advisers Holdings, LLC is managed by TSSP Holdco Management, LLC, which is managed by a board of directors, which is currently comprised of Alan Waxman. Mr. Waxman is the CEO of TSSP Holdco Management, LLC. Mr. Waxman disclaims beneficial ownership of the Sixth Street Specialty Lending Advisers Shares except to the extent of his pecuniary interest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5396_3"/>
      <w:bookmarkEnd w:id="5"/>
      <w:r>
        <w:rPr>
          <w:rFonts w:ascii="Times New Roman" w:hAnsi="Times New Roman"/>
          <w:b/>
          <w:sz w:val="20"/>
        </w:rPr>
        <w:t xml:space="preserve">Proposal No. 1 </w:t>
      </w:r>
    </w:p>
    <w:p>
      <w:pPr>
        <w:pStyle w:val="TextBody"/>
        <w:bidi w:val="0"/>
        <w:spacing w:before="0" w:after="0"/>
        <w:jc w:val="center"/>
        <w:rPr>
          <w:rFonts w:ascii="Times New Roman" w:hAnsi="Times New Roman"/>
          <w:b/>
          <w:sz w:val="20"/>
        </w:rPr>
      </w:pPr>
      <w:r>
        <w:rPr>
          <w:rFonts w:ascii="Times New Roman" w:hAnsi="Times New Roman"/>
          <w:b/>
          <w:sz w:val="20"/>
        </w:rPr>
        <w:t xml:space="preserve">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Times New Roman" w:hAnsi="Times New Roman"/>
          <w:b/>
          <w:sz w:val="20"/>
        </w:rPr>
        <w:t xml:space="preserve">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Times New Roman" w:hAnsi="Times New Roman"/>
          <w:sz w:val="20"/>
        </w:rPr>
        <w:t xml:space="preserve">Except for such authorizations as otherwise may be required with respect to a particular issuance under applicable law,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To date, the Company has not issued shares below NAV under prior authorization granted from stockholders, but it may do so in the future pursuant to the authority granted in this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Conditions to Sales Below NAV </w:t>
      </w:r>
    </w:p>
    <w:p>
      <w:pPr>
        <w:pStyle w:val="TextBody"/>
        <w:bidi w:val="0"/>
        <w:spacing w:before="120" w:after="0"/>
        <w:jc w:val="left"/>
        <w:rPr>
          <w:rFonts w:ascii="Times New Roman" w:hAnsi="Times New Roman"/>
          <w:sz w:val="20"/>
        </w:rPr>
      </w:pPr>
      <w:r>
        <w:rPr>
          <w:rFonts w:ascii="Times New Roman" w:hAnsi="Times New Roman"/>
          <w:sz w:val="20"/>
        </w:rPr>
        <w:t xml:space="preserve">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“required majority” of the Company’s directors have determined that any such sale would be in the best interests of the Company and its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to be issued does not exceed 25% of the Company’s then-outstanding common stock immediately prior to each such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Board Approval </w:t>
      </w:r>
    </w:p>
    <w:p>
      <w:pPr>
        <w:pStyle w:val="TextBody"/>
        <w:bidi w:val="0"/>
        <w:spacing w:before="120" w:after="0"/>
        <w:jc w:val="left"/>
        <w:rPr>
          <w:rFonts w:ascii="Times New Roman" w:hAnsi="Times New Roman"/>
          <w:sz w:val="20"/>
        </w:rPr>
      </w:pPr>
      <w:r>
        <w:rPr>
          <w:rFonts w:ascii="Times New Roman" w:hAnsi="Times New Roman"/>
          <w:sz w:val="20"/>
        </w:rPr>
        <w:t xml:space="preserve">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 </w:t>
      </w:r>
    </w:p>
    <w:p>
      <w:pPr>
        <w:pStyle w:val="TextBody"/>
        <w:bidi w:val="0"/>
        <w:spacing w:before="240" w:after="0"/>
        <w:jc w:val="left"/>
        <w:rPr>
          <w:rFonts w:ascii="Times New Roman" w:hAnsi="Times New Roman"/>
          <w:sz w:val="20"/>
        </w:rPr>
      </w:pPr>
      <w:r>
        <w:rPr>
          <w:rFonts w:ascii="Times New Roman" w:hAnsi="Times New Roman"/>
          <w:sz w:val="20"/>
        </w:rPr>
        <w:t xml:space="preserve">Upon obtaining the requisite stockholder approval, the Company will comply with the conditions described above in connection with any offering undertaken pursuant to this proposal. See below for a discussion of the risks of dilution.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to Offer Common Stock Below NAV </w:t>
      </w:r>
    </w:p>
    <w:p>
      <w:pPr>
        <w:pStyle w:val="TextBody"/>
        <w:bidi w:val="0"/>
        <w:spacing w:before="120" w:after="0"/>
        <w:jc w:val="left"/>
        <w:rPr>
          <w:rFonts w:ascii="Times New Roman" w:hAnsi="Times New Roman"/>
          <w:sz w:val="20"/>
        </w:rPr>
      </w:pPr>
      <w:r>
        <w:rPr>
          <w:rFonts w:ascii="Times New Roman" w:hAnsi="Times New Roman"/>
          <w:sz w:val="20"/>
        </w:rPr>
        <w:t xml:space="preserve">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 Conditions Have Created, and May in the Future Create, Attractive Investment and Acquisition Opportunities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capital markets may experience periods of disruption and instability. For example, monetary policies of the Federal Reserve and political uncertainty resulting from recent events, including changes to U.S. trade policies, the ongoing conflicts between Russia and Ukraine and in the Middle East and related responses, has led to, from time to time, disruption and instability in the global markets. Disruptions in the capital markets may increase the spread between the yields realized on risk-free and higher risk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resulting in illiquidity in parts of the capital markets. As a result of the disruption and volatility in the credit markets, there may be a reduction in capital available to certain specialty finance companies and other capital providers, causing a reduction in competition. These conditions may coincide with lower stock prices for BDCs, resulting in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continuing periods of volatility, some lasting longer and with a greater degree of magnitude than others, including recent market conditions, including those driven by the impact of changes to U.S. trade policies and the ongoing conflicts between Russia and Ukraine and in the Middle East. In addition to the recent environment, the Company has seen periods during the last few years where BDCs, including the Company, have traded below NAV due to such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Greater Investment Opportunities Due to Larger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Higher Market Capitalization and Liquidity May Make the Company’s Common Stock More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Maintenance or Possible Increase of Dividends </w:t>
      </w:r>
    </w:p>
    <w:p>
      <w:pPr>
        <w:pStyle w:val="TextBody"/>
        <w:bidi w:val="0"/>
        <w:spacing w:before="120" w:after="0"/>
        <w:jc w:val="left"/>
        <w:rPr>
          <w:rFonts w:ascii="Times New Roman" w:hAnsi="Times New Roman"/>
          <w:sz w:val="20"/>
        </w:rPr>
      </w:pPr>
      <w:r>
        <w:rPr>
          <w:rFonts w:ascii="Times New Roman" w:hAnsi="Times New Roman"/>
          <w:sz w:val="20"/>
        </w:rPr>
        <w:t xml:space="preserve">A larger and more diversified portfolio could provide the Company with more consistent cash flow, which may support the maintenance and growth of its dividend. The Company generally distributes dividends to its stockholders quarterly. From the earnings generated during the year ended December 31, 2025, the Company declared total dividends of $2.05 per share of its common stock (including a fourth quarter supplemental dividend of $0.01 declared in the first quarter of 2026). Although the Company will continue to seek to generate income sufficient to pay dividends in the future, the proceeds of future offerings, and the investments thereof, could enable the Company to maintain and possibly grow its dividends, which may include a return of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Reduced Expenses Per Share </w:t>
      </w:r>
    </w:p>
    <w:p>
      <w:pPr>
        <w:pStyle w:val="TextBody"/>
        <w:bidi w:val="0"/>
        <w:spacing w:before="120" w:after="0"/>
        <w:jc w:val="left"/>
        <w:rPr>
          <w:rFonts w:ascii="Times New Roman" w:hAnsi="Times New Roman"/>
          <w:sz w:val="20"/>
        </w:rPr>
      </w:pPr>
      <w:r>
        <w:rPr>
          <w:rFonts w:ascii="Times New Roman" w:hAnsi="Times New Roman"/>
          <w:sz w:val="20"/>
        </w:rPr>
        <w:t xml:space="preserve">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Status as a BDC and RIC and Maintaining a Favorable Debt-to-Equity Ratio </w:t>
      </w:r>
    </w:p>
    <w:p>
      <w:pPr>
        <w:pStyle w:val="TextBody"/>
        <w:bidi w:val="0"/>
        <w:spacing w:before="120" w:after="0"/>
        <w:jc w:val="left"/>
        <w:rPr>
          <w:rFonts w:ascii="Times New Roman" w:hAnsi="Times New Roman"/>
          <w:sz w:val="20"/>
        </w:rPr>
      </w:pPr>
      <w:r>
        <w:rPr>
          <w:rFonts w:ascii="Times New Roman" w:hAnsi="Times New Roman"/>
          <w:sz w:val="20"/>
        </w:rPr>
        <w:t xml:space="preserve">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 </w:t>
      </w:r>
    </w:p>
    <w:p>
      <w:pPr>
        <w:pStyle w:val="TextBody"/>
        <w:bidi w:val="0"/>
        <w:spacing w:before="240" w:after="0"/>
        <w:jc w:val="left"/>
        <w:rPr>
          <w:rFonts w:ascii="Times New Roman" w:hAnsi="Times New Roman"/>
          <w:sz w:val="20"/>
        </w:rPr>
      </w:pPr>
      <w:r>
        <w:rPr>
          <w:rFonts w:ascii="Times New Roman" w:hAnsi="Times New Roman"/>
          <w:sz w:val="20"/>
        </w:rPr>
        <w:t xml:space="preserve">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Trading History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 premium (discount) to NAV. On March 31, 2026, the last reported closing sales price of the Company’s common stock on the NYSE was $18.38 per share, which represented a premium of approximately 8.2% to the NAV reported by the Company as of December 31, 2025. </w:t>
      </w:r>
    </w:p>
    <w:p>
      <w:pPr>
        <w:pStyle w:val="TextBody"/>
        <w:bidi w:val="0"/>
        <w:spacing w:before="0" w:after="0"/>
        <w:jc w:val="left"/>
        <w:rPr/>
      </w:pPr>
      <w:r>
        <w:rPr/>
        <w:t> </w:t>
      </w:r>
    </w:p>
    <w:tbl>
      <w:tblPr>
        <w:tblW w:w="9375" w:type="dxa"/>
        <w:jc w:val="left"/>
        <w:tblInd w:w="0" w:type="dxa"/>
        <w:tblLayout w:type="fixed"/>
        <w:tblCellMar>
          <w:top w:w="0" w:type="dxa"/>
          <w:left w:w="0" w:type="dxa"/>
          <w:bottom w:w="0" w:type="dxa"/>
          <w:right w:w="0" w:type="dxa"/>
        </w:tblCellMar>
      </w:tblPr>
      <w:tblGrid>
        <w:gridCol w:w="2735"/>
        <w:gridCol w:w="120"/>
        <w:gridCol w:w="140"/>
        <w:gridCol w:w="560"/>
        <w:gridCol w:w="60"/>
        <w:gridCol w:w="120"/>
        <w:gridCol w:w="140"/>
        <w:gridCol w:w="560"/>
        <w:gridCol w:w="60"/>
        <w:gridCol w:w="120"/>
        <w:gridCol w:w="140"/>
        <w:gridCol w:w="560"/>
        <w:gridCol w:w="60"/>
        <w:gridCol w:w="120"/>
        <w:gridCol w:w="130"/>
        <w:gridCol w:w="955"/>
        <w:gridCol w:w="275"/>
        <w:gridCol w:w="60"/>
        <w:gridCol w:w="126"/>
        <w:gridCol w:w="929"/>
        <w:gridCol w:w="275"/>
        <w:gridCol w:w="60"/>
        <w:gridCol w:w="240"/>
        <w:gridCol w:w="755"/>
        <w:gridCol w:w="7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Price Range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High Sales</w:t>
              <w:br/>
              <w:t>Price to</w:t>
              <w:br/>
              <w:t>Net Asset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b/>
                <w:spacing w:val="0"/>
              </w:rPr>
            </w:pPr>
            <w:r>
              <w:rPr>
                <w:b/>
                <w:spacing w:val="0"/>
              </w:rPr>
              <w:t>Low Sales</w:t>
              <w:br/>
              <w:t>Price to</w:t>
              <w:br/>
              <w:t>Net Asset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0"/>
              <w:jc w:val="center"/>
              <w:rPr>
                <w:b/>
                <w:spacing w:val="0"/>
              </w:rPr>
            </w:pPr>
            <w:r>
              <w:rPr>
                <w:b/>
                <w:spacing w:val="0"/>
              </w:rPr>
              <w:t>Cash</w:t>
              <w:br/>
              <w:t>dividends</w:t>
              <w:br/>
              <w:t>Per</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NAV</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High</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Low</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w:t>
            </w:r>
          </w:p>
          <w:p>
            <w:pPr>
              <w:pStyle w:val="TableContents"/>
              <w:bidi w:val="0"/>
              <w:spacing w:before="0" w:after="0"/>
              <w:jc w:val="center"/>
              <w:rPr>
                <w:b/>
                <w:spacing w:val="0"/>
                <w:sz w:val="9"/>
              </w:rPr>
            </w:pPr>
            <w:r>
              <w:rPr>
                <w:b/>
                <w:spacing w:val="0"/>
                <w:sz w:val="9"/>
              </w:rPr>
              <w:t>(2)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w:t>
            </w:r>
          </w:p>
          <w:p>
            <w:pPr>
              <w:pStyle w:val="TableContents"/>
              <w:bidi w:val="0"/>
              <w:spacing w:before="0" w:after="0"/>
              <w:jc w:val="center"/>
              <w:rPr>
                <w:b/>
                <w:spacing w:val="0"/>
                <w:sz w:val="9"/>
              </w:rPr>
            </w:pPr>
            <w:r>
              <w:rPr>
                <w:b/>
                <w:spacing w:val="0"/>
                <w:sz w:val="9"/>
              </w:rPr>
              <w:t>(2)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Share</w:t>
            </w:r>
          </w:p>
          <w:p>
            <w:pPr>
              <w:pStyle w:val="TableContents"/>
              <w:bidi w:val="0"/>
              <w:spacing w:before="0" w:after="0"/>
              <w:jc w:val="center"/>
              <w:rPr>
                <w:b/>
                <w:spacing w:val="0"/>
                <w:sz w:val="9"/>
              </w:rPr>
            </w:pPr>
            <w:r>
              <w:rPr>
                <w:b/>
                <w:spacing w:val="0"/>
                <w:sz w:val="9"/>
              </w:rPr>
              <w:t>(3)</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95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19.54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17.10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0.55</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0.50</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16.97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18.72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23.2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0.52</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28.8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0.53</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22.26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29.6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0.54</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17.19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22.01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28.0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0.52</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21.86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27.7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0.52</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17.16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21.60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19.79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25.9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15.3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0.51</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ending December 31, 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sz w:val="4"/>
                <w:szCs w:val="4"/>
              </w:rPr>
            </w:pPr>
            <w:r>
              <w:rPr>
                <w:sz w:val="4"/>
                <w:szCs w:val="4"/>
              </w:rPr>
            </w:r>
          </w:p>
        </w:tc>
        <w:tc>
          <w:tcPr>
            <w:tcW w:w="95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929"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17.04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20.96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38.0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23.0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0.53</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23.81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19.16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38.7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11.6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0.52</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17.14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25.10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22.65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46.4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929" w:type="dxa"/>
            <w:tcBorders/>
            <w:vAlign w:val="center"/>
          </w:tcPr>
          <w:p>
            <w:pPr>
              <w:pStyle w:val="TableContents"/>
              <w:bidi w:val="0"/>
              <w:spacing w:before="0" w:after="283"/>
              <w:jc w:val="right"/>
              <w:rPr/>
            </w:pPr>
            <w:r>
              <w:rPr/>
              <w:t>32.1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0.51</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22.89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20.71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34.8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22.0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0.49</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Year ending December 31, 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NAV is determined as of the last day in the relevant quarter and therefore may not reflect NAV on the date of the high and low closing sales prices. The NAVs shown are based on outstanding shares at the end of the relevant quarter. </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(2)</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the respective high or low closing sales price less NAV, divided by NAV (in each case, as of the applicable quarter). Does not reflect intraday trading prices. </w:t>
            </w:r>
          </w:p>
        </w:tc>
      </w:tr>
    </w:tbl>
    <w:tbl>
      <w:tblPr>
        <w:tblW w:w="6175" w:type="dxa"/>
        <w:jc w:val="left"/>
        <w:tblInd w:w="0" w:type="dxa"/>
        <w:tblLayout w:type="fixed"/>
        <w:tblCellMar>
          <w:top w:w="0" w:type="dxa"/>
          <w:left w:w="0" w:type="dxa"/>
          <w:bottom w:w="0" w:type="dxa"/>
          <w:right w:w="0" w:type="dxa"/>
        </w:tblCellMar>
      </w:tblPr>
      <w:tblGrid>
        <w:gridCol w:w="305"/>
        <w:gridCol w:w="5870"/>
      </w:tblGrid>
      <w:tr>
        <w:trPr/>
        <w:tc>
          <w:tcPr>
            <w:tcW w:w="305" w:type="dxa"/>
            <w:tcBorders/>
            <w:vAlign w:val="center"/>
          </w:tcPr>
          <w:p>
            <w:pPr>
              <w:pStyle w:val="TableContents"/>
              <w:bidi w:val="0"/>
              <w:spacing w:before="0" w:after="283"/>
              <w:jc w:val="left"/>
              <w:rPr/>
            </w:pPr>
            <w:r>
              <w:rPr/>
              <w:t>(3)</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dividend or distribution declared in the relevant quarter.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NAV has not yet been calculated for this period. NAV for the first quarter of 2026 will be available with the filing of the Company’s Quarterly Report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10-Q</w:t>
            </w:r>
          </w:p>
          <w:p>
            <w:pPr>
              <w:pStyle w:val="TableContents"/>
              <w:bidi w:val="0"/>
              <w:spacing w:before="0" w:after="0"/>
              <w:jc w:val="left"/>
              <w:rPr>
                <w:rFonts w:ascii="Times New Roman" w:hAnsi="Times New Roman"/>
                <w:sz w:val="20"/>
              </w:rPr>
            </w:pPr>
            <w:r>
              <w:rPr>
                <w:rFonts w:ascii="Times New Roman" w:hAnsi="Times New Roman"/>
                <w:sz w:val="20"/>
              </w:rPr>
              <w:t xml:space="preserve">for such quarter, which the Company estimates will be filed on or about May 5,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Key Stockholder Considerations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Times New Roman" w:hAnsi="Times New Roman"/>
          <w:b/>
          <w:sz w:val="20"/>
        </w:rPr>
        <w:t>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 </w:t>
      </w:r>
    </w:p>
    <w:p>
      <w:pPr>
        <w:pStyle w:val="TextBody"/>
        <w:bidi w:val="0"/>
        <w:spacing w:before="240" w:after="0"/>
        <w:jc w:val="left"/>
        <w:rPr>
          <w:rFonts w:ascii="Times New Roman" w:hAnsi="Times New Roman"/>
          <w:sz w:val="20"/>
        </w:rPr>
      </w:pPr>
      <w:r>
        <w:rPr>
          <w:rFonts w:ascii="Times New Roman" w:hAnsi="Times New Roman"/>
          <w:sz w:val="20"/>
        </w:rPr>
        <w:t xml:space="preserve">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Examples of Dilutive Effect of the Issuance of Shares Below NAV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two headings and accompanying tables explain and provide hypothetical examples on the impact of a public offering of the Company’s common stock at a price less than NAV on two different types of investors: existing stockholders who do not purchase any shares in the offering; and existing stockholders who purchase a relatively small amount of shares in the offering or a relatively large amount of shares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A placement of common stock at a price less than NAV to a third party in a private placement would have an impact substantially similar to the impact on existing stockholders who do not purchase any shares in the public offering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Impact on Existing Stockholders Who Do Not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19"/>
        </w:rPr>
      </w:pPr>
      <w:r>
        <w:rPr>
          <w:rFonts w:ascii="Times New Roman" w:hAnsi="Times New Roman"/>
          <w:sz w:val="19"/>
        </w:rPr>
        <w:t xml:space="preserve">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 </w:t>
      </w:r>
    </w:p>
    <w:p>
      <w:pPr>
        <w:pStyle w:val="TextBody"/>
        <w:bidi w:val="0"/>
        <w:spacing w:before="240" w:after="0"/>
        <w:jc w:val="left"/>
        <w:rPr>
          <w:rFonts w:ascii="Times New Roman" w:hAnsi="Times New Roman"/>
          <w:sz w:val="19"/>
        </w:rPr>
      </w:pPr>
      <w:r>
        <w:rPr>
          <w:rFonts w:ascii="Times New Roman" w:hAnsi="Times New Roman"/>
          <w:sz w:val="19"/>
        </w:rPr>
        <w:t xml:space="preserve">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 </w:t>
      </w:r>
    </w:p>
    <w:p>
      <w:pPr>
        <w:pStyle w:val="TextBody"/>
        <w:bidi w:val="0"/>
        <w:spacing w:before="240" w:after="0"/>
        <w:jc w:val="left"/>
        <w:rPr>
          <w:rFonts w:ascii="Times New Roman" w:hAnsi="Times New Roman"/>
          <w:sz w:val="19"/>
        </w:rPr>
      </w:pPr>
      <w:r>
        <w:rPr>
          <w:rFonts w:ascii="Times New Roman" w:hAnsi="Times New Roman"/>
          <w:sz w:val="19"/>
        </w:rPr>
        <w:t xml:space="preserve">The example assumes that the issuer has 94.7 million shares outstanding, $3.4 billion in total assets and $1.8 billion in total liabilities. The current net asset value and NAV per share are thus $1.6 billion and $16.98 per share. The chart illustrates the dilutive effect on Stockholder A of (a) an offering of 4.7 million shares of common stock (5% of the outstanding shares) at $16.13 per share after offering expenses and commissions (a 5% discount from NAV per share), (b) an offering of 9.5 million shares of common stock (10% of the outstanding shares) at $15.28 per share after offering expenses and commissions (a 10% discount from NAV per share), (c) an offering of 18.9 million shares of common stock (20% of the outstanding shares) at $13.58 per share after offering expenses and commissions (a 20% discount from NAV per share), and (d) an offering of 23.7 million shares of common stock (25% of the outstanding shares) at $12.74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 </w:t>
      </w:r>
    </w:p>
    <w:p>
      <w:pPr>
        <w:pStyle w:val="TextBody"/>
        <w:bidi w:val="0"/>
        <w:spacing w:before="0" w:after="0"/>
        <w:jc w:val="left"/>
        <w:rPr/>
      </w:pPr>
      <w:r>
        <w:rPr/>
        <w:t> </w:t>
      </w:r>
    </w:p>
    <w:tbl>
      <w:tblPr>
        <w:tblW w:w="13920" w:type="dxa"/>
        <w:jc w:val="left"/>
        <w:tblInd w:w="0" w:type="dxa"/>
        <w:tblLayout w:type="fixed"/>
        <w:tblCellMar>
          <w:top w:w="0" w:type="dxa"/>
          <w:left w:w="0" w:type="dxa"/>
          <w:bottom w:w="0" w:type="dxa"/>
          <w:right w:w="0" w:type="dxa"/>
        </w:tblCellMar>
      </w:tblPr>
      <w:tblGrid>
        <w:gridCol w:w="1070"/>
        <w:gridCol w:w="60"/>
        <w:gridCol w:w="140"/>
        <w:gridCol w:w="1100"/>
        <w:gridCol w:w="275"/>
        <w:gridCol w:w="60"/>
        <w:gridCol w:w="140"/>
        <w:gridCol w:w="1100"/>
        <w:gridCol w:w="275"/>
        <w:gridCol w:w="60"/>
        <w:gridCol w:w="85"/>
        <w:gridCol w:w="730"/>
        <w:gridCol w:w="275"/>
        <w:gridCol w:w="60"/>
        <w:gridCol w:w="140"/>
        <w:gridCol w:w="1220"/>
        <w:gridCol w:w="275"/>
        <w:gridCol w:w="60"/>
        <w:gridCol w:w="85"/>
        <w:gridCol w:w="730"/>
        <w:gridCol w:w="275"/>
        <w:gridCol w:w="60"/>
        <w:gridCol w:w="140"/>
        <w:gridCol w:w="1220"/>
        <w:gridCol w:w="275"/>
        <w:gridCol w:w="60"/>
        <w:gridCol w:w="70"/>
        <w:gridCol w:w="745"/>
        <w:gridCol w:w="275"/>
        <w:gridCol w:w="60"/>
        <w:gridCol w:w="140"/>
        <w:gridCol w:w="1220"/>
        <w:gridCol w:w="275"/>
        <w:gridCol w:w="60"/>
        <w:gridCol w:w="70"/>
        <w:gridCol w:w="745"/>
        <w:gridCol w:w="290"/>
      </w:tblGrid>
      <w:tr>
        <w:trPr/>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Example 4</w:t>
            </w:r>
          </w:p>
        </w:tc>
        <w:tc>
          <w:tcPr>
            <w:tcW w:w="29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 Offering at 5%</w:t>
              <w:br/>
              <w:t>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10% Offering at 10%</w:t>
              <w:br/>
              <w:t>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 Offering at 20%</w:t>
              <w:br/>
              <w:t>Discount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25% Offering at 25%</w:t>
              <w:br/>
              <w:t>Discount</w:t>
            </w:r>
          </w:p>
        </w:tc>
        <w:tc>
          <w:tcPr>
            <w:tcW w:w="29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Prior to Sale</w:t>
              <w:br/>
              <w:t>Below NAV</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b/>
              </w:rPr>
              <w:t>Following</w:t>
            </w:r>
            <w:r>
              <w:rPr/>
              <w:br/>
            </w:r>
            <w:r>
              <w:rPr>
                <w:b/>
              </w:rP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b/>
              </w:rPr>
              <w:t>Following</w:t>
            </w:r>
            <w:r>
              <w:rPr/>
              <w:br/>
            </w:r>
            <w:r>
              <w:rPr>
                <w:b/>
              </w:rP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b/>
              </w:rPr>
              <w:t>Following</w:t>
            </w:r>
            <w:r>
              <w:rPr/>
              <w:br/>
            </w:r>
            <w:r>
              <w:rPr>
                <w:b/>
              </w:rP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br/>
              <w:t>Change</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Offering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Price per Share to Public</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14.30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13.41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Proceeds per Share to Issuer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15.28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Decrease/Increase to Net Asset Value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Shares Offered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4,735,258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9,470,515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18,941,030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23,676,288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Total Shares Outstanding</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94,705,150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99,440,408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104,175,665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113,646,180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118,381,438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Asset Value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(5.02</w:t>
            </w:r>
          </w:p>
        </w:tc>
        <w:tc>
          <w:tcPr>
            <w:tcW w:w="29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Dilution to Nonparticipating Stockholder</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Shares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94,705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94,705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94,705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94,705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94,705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Percentage Held by Stockholder A</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(4.76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0.09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(9.09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0.08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(16.67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0.08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(20.00</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Total Net Asset Value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1,607,721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1,603,908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1,593,134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1,554,178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1,527,389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(5.00</w:t>
            </w:r>
          </w:p>
        </w:tc>
        <w:tc>
          <w:tcPr>
            <w:tcW w:w="290"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Total Investment by Stockholder A (Assumed to be $16.98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1,607,721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1,607,721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1,607,721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1,607,721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1,607,721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Total Dilution to Stockholder A (Total Net Asset Value Less Total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(3,814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(14,588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(53,544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(80,333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Investment per Share Held by Stockholder A (Assumed to be $16.98 per Share on Shares Held Prior to Sale)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16.98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right"/>
              <w:rPr/>
            </w:pPr>
            <w:r>
              <w:rPr/>
              <w:t>0.00</w:t>
            </w:r>
          </w:p>
        </w:tc>
        <w:tc>
          <w:tcPr>
            <w:tcW w:w="290"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Asset Value per Share Held by Stockholder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745"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Dilution per Share Held by Stockholder A (Net Asset Value per Share Less Investment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Percentage Dilution to Stockholder A (Dilution per Share Divided by Investment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(0.93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(3.35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(5.02</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Impact on Existing Stockholders Who Do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 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illustrates the level of dilution and accretion in the hypothetical 20% discount offering from the prior chart (Example 3) for a stockholder that acquires shares equal to (a) 50% of its proportionate share of the offering (i.e., 0.05% of an offering of 18.9 million shares) rather than its 0.10% proportionate share and (b) 150% of such percentage (i.e., 0.15% of an offering of 18.9 million shares rather than its proportionate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5"/>
        <w:gridCol w:w="120"/>
        <w:gridCol w:w="141"/>
        <w:gridCol w:w="1111"/>
        <w:gridCol w:w="275"/>
        <w:gridCol w:w="60"/>
        <w:gridCol w:w="140"/>
        <w:gridCol w:w="1220"/>
        <w:gridCol w:w="275"/>
        <w:gridCol w:w="60"/>
        <w:gridCol w:w="78"/>
        <w:gridCol w:w="737"/>
        <w:gridCol w:w="293"/>
        <w:gridCol w:w="60"/>
        <w:gridCol w:w="140"/>
        <w:gridCol w:w="1220"/>
        <w:gridCol w:w="275"/>
        <w:gridCol w:w="60"/>
        <w:gridCol w:w="78"/>
        <w:gridCol w:w="737"/>
        <w:gridCol w:w="310"/>
      </w:tblGrid>
      <w:tr>
        <w:trPr/>
        <w:tc>
          <w:tcPr>
            <w:tcW w:w="2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2"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 Participation</w:t>
            </w:r>
          </w:p>
        </w:tc>
        <w:tc>
          <w:tcPr>
            <w:tcW w:w="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150% Participation</w:t>
            </w:r>
          </w:p>
        </w:tc>
        <w:tc>
          <w:tcPr>
            <w:tcW w:w="310" w:type="dxa"/>
            <w:tcBorders/>
            <w:vAlign w:val="center"/>
          </w:tcPr>
          <w:p>
            <w:pPr>
              <w:pStyle w:val="TableContents"/>
              <w:bidi w:val="0"/>
              <w:spacing w:before="0" w:after="283"/>
              <w:jc w:val="left"/>
              <w:rPr/>
            </w:pPr>
            <w:r>
              <w:rPr/>
              <w:t> </w:t>
            </w:r>
          </w:p>
        </w:tc>
      </w:tr>
      <w:tr>
        <w:trPr/>
        <w:tc>
          <w:tcPr>
            <w:tcW w:w="2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Prior to Sale</w:t>
              <w:br/>
              <w:t>Below NAV</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b/>
              </w:rPr>
              <w:t>Following</w:t>
            </w:r>
            <w:r>
              <w:rPr/>
              <w:br/>
            </w:r>
            <w:r>
              <w:rPr>
                <w:b/>
              </w:rP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b/>
              </w:rPr>
              <w:t>%</w:t>
            </w:r>
            <w:r>
              <w:rPr/>
              <w:br/>
            </w:r>
            <w:r>
              <w:rPr>
                <w:b/>
              </w:rPr>
              <w:t>Change</w:t>
            </w:r>
          </w:p>
        </w:tc>
        <w:tc>
          <w:tcPr>
            <w:tcW w:w="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b/>
              </w:rPr>
              <w:t>Following</w:t>
            </w:r>
            <w:r>
              <w:rPr/>
              <w:br/>
            </w:r>
            <w:r>
              <w:rPr>
                <w:b/>
              </w:rPr>
              <w:t>Sale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b/>
              </w:rPr>
              <w:t>%</w:t>
            </w:r>
            <w:r>
              <w:rPr/>
              <w:br/>
            </w:r>
            <w:r>
              <w:rPr>
                <w:b/>
              </w:rPr>
              <w:t>Change</w:t>
            </w:r>
          </w:p>
        </w:tc>
        <w:tc>
          <w:tcPr>
            <w:tcW w:w="310" w:type="dxa"/>
            <w:tcBorders/>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Offering Price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0" w:type="dxa"/>
            <w:tcBorders/>
            <w:shd w:fill="CCEEFF" w:val="clear"/>
            <w:vAlign w:val="center"/>
          </w:tcPr>
          <w:p>
            <w:pPr>
              <w:pStyle w:val="TableContents"/>
              <w:bidi w:val="0"/>
              <w:spacing w:before="0" w:after="283"/>
              <w:jc w:val="left"/>
              <w:rPr>
                <w:sz w:val="4"/>
                <w:szCs w:val="4"/>
              </w:rPr>
            </w:pPr>
            <w:r>
              <w:rPr>
                <w:sz w:val="4"/>
                <w:szCs w:val="4"/>
              </w:rPr>
            </w:r>
          </w:p>
        </w:tc>
      </w:tr>
      <w:tr>
        <w:trPr/>
        <w:tc>
          <w:tcPr>
            <w:tcW w:w="2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Price per Share to Public</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14.30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14.30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Proceeds per Share to Issuer</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13.58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0" w:type="dxa"/>
            <w:tcBorders/>
            <w:shd w:fill="CCEEFF" w:val="clear"/>
            <w:vAlign w:val="center"/>
          </w:tcPr>
          <w:p>
            <w:pPr>
              <w:pStyle w:val="TableContents"/>
              <w:bidi w:val="0"/>
              <w:spacing w:before="0" w:after="283"/>
              <w:jc w:val="left"/>
              <w:rPr>
                <w:sz w:val="4"/>
                <w:szCs w:val="4"/>
              </w:rPr>
            </w:pPr>
            <w:r>
              <w:rPr>
                <w:sz w:val="4"/>
                <w:szCs w:val="4"/>
              </w:rPr>
            </w:r>
          </w:p>
        </w:tc>
      </w:tr>
      <w:tr>
        <w:trPr/>
        <w:tc>
          <w:tcPr>
            <w:tcW w:w="2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Decrease/Increase to Net Asset Value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Offered</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18,941,030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18,941,030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0" w:type="dxa"/>
            <w:tcBorders/>
            <w:shd w:fill="CCEEFF" w:val="clear"/>
            <w:vAlign w:val="center"/>
          </w:tcPr>
          <w:p>
            <w:pPr>
              <w:pStyle w:val="TableContents"/>
              <w:bidi w:val="0"/>
              <w:spacing w:before="0" w:after="283"/>
              <w:jc w:val="left"/>
              <w:rPr>
                <w:sz w:val="4"/>
                <w:szCs w:val="4"/>
              </w:rPr>
            </w:pPr>
            <w:r>
              <w:rPr>
                <w:sz w:val="4"/>
                <w:szCs w:val="4"/>
              </w:rPr>
            </w:r>
          </w:p>
        </w:tc>
      </w:tr>
      <w:tr>
        <w:trPr/>
        <w:tc>
          <w:tcPr>
            <w:tcW w:w="2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Shares Outstanding</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94,705,150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113,646,180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20.00</w:t>
            </w:r>
          </w:p>
        </w:tc>
        <w:tc>
          <w:tcPr>
            <w:tcW w:w="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113,646,180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20.00</w:t>
            </w:r>
          </w:p>
        </w:tc>
        <w:tc>
          <w:tcPr>
            <w:tcW w:w="310" w:type="dxa"/>
            <w:tcBorders/>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 Value per Share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16.98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(3.35</w:t>
            </w:r>
          </w:p>
        </w:tc>
        <w:tc>
          <w:tcPr>
            <w:tcW w:w="2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(3.35</w:t>
            </w:r>
          </w:p>
        </w:tc>
        <w:tc>
          <w:tcPr>
            <w:tcW w:w="310" w:type="dxa"/>
            <w:tcBorders/>
            <w:shd w:fill="CCEEFF" w:val="clear"/>
            <w:vAlign w:val="center"/>
          </w:tcPr>
          <w:p>
            <w:pPr>
              <w:pStyle w:val="TableContents"/>
              <w:bidi w:val="0"/>
              <w:spacing w:before="0" w:after="283"/>
              <w:jc w:val="left"/>
              <w:rPr/>
            </w:pPr>
            <w:r>
              <w:rPr/>
              <w:t>)% </w:t>
            </w:r>
          </w:p>
        </w:tc>
      </w:tr>
      <w:tr>
        <w:trPr/>
        <w:tc>
          <w:tcPr>
            <w:tcW w:w="2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Dilution/Accretion to Participating Stockholder Shares Held by Stockholder A</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Held by Stockholder A</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94,705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104,176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10.00</w:t>
            </w:r>
          </w:p>
        </w:tc>
        <w:tc>
          <w:tcPr>
            <w:tcW w:w="2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123,117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30.00</w:t>
            </w:r>
          </w:p>
        </w:tc>
        <w:tc>
          <w:tcPr>
            <w:tcW w:w="310" w:type="dxa"/>
            <w:tcBorders/>
            <w:shd w:fill="CCEEFF" w:val="clear"/>
            <w:vAlign w:val="center"/>
          </w:tcPr>
          <w:p>
            <w:pPr>
              <w:pStyle w:val="TableContents"/>
              <w:bidi w:val="0"/>
              <w:spacing w:before="0" w:after="283"/>
              <w:jc w:val="left"/>
              <w:rPr/>
            </w:pPr>
            <w:r>
              <w:rPr/>
              <w:t>% </w:t>
            </w:r>
          </w:p>
        </w:tc>
      </w:tr>
      <w:tr>
        <w:trPr/>
        <w:tc>
          <w:tcPr>
            <w:tcW w:w="2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Percentage Held by Stockholder A</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0.10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0.09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(8.33</w:t>
            </w:r>
          </w:p>
        </w:tc>
        <w:tc>
          <w:tcPr>
            <w:tcW w:w="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0.11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8.33</w:t>
            </w:r>
          </w:p>
        </w:tc>
        <w:tc>
          <w:tcPr>
            <w:tcW w:w="310" w:type="dxa"/>
            <w:tcBorders/>
            <w:vAlign w:val="center"/>
          </w:tcPr>
          <w:p>
            <w:pPr>
              <w:pStyle w:val="TableContents"/>
              <w:bidi w:val="0"/>
              <w:spacing w:before="0" w:after="283"/>
              <w:jc w:val="left"/>
              <w:rPr/>
            </w:pPr>
            <w:r>
              <w:rPr/>
              <w:t>% </w:t>
            </w:r>
          </w:p>
        </w:tc>
      </w:tr>
      <w:tr>
        <w:trPr/>
        <w:tc>
          <w:tcPr>
            <w:tcW w:w="2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Asset Value Held by Stockholder A</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1,607,721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1,709,596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6.34</w:t>
            </w:r>
          </w:p>
        </w:tc>
        <w:tc>
          <w:tcPr>
            <w:tcW w:w="2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2,020,432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25.67</w:t>
            </w:r>
          </w:p>
        </w:tc>
        <w:tc>
          <w:tcPr>
            <w:tcW w:w="310" w:type="dxa"/>
            <w:tcBorders/>
            <w:shd w:fill="CCEEFF" w:val="clear"/>
            <w:vAlign w:val="center"/>
          </w:tcPr>
          <w:p>
            <w:pPr>
              <w:pStyle w:val="TableContents"/>
              <w:bidi w:val="0"/>
              <w:spacing w:before="0" w:after="283"/>
              <w:jc w:val="left"/>
              <w:rPr/>
            </w:pPr>
            <w:r>
              <w:rPr/>
              <w:t>% </w:t>
            </w:r>
          </w:p>
        </w:tc>
      </w:tr>
      <w:tr>
        <w:trPr/>
        <w:tc>
          <w:tcPr>
            <w:tcW w:w="2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Investment by Stockholder A (Assumed to be $16.98 per Share on Shares Held Prior to Sale)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283"/>
              <w:jc w:val="right"/>
              <w:rPr/>
            </w:pPr>
            <w:r>
              <w:rPr/>
              <w:t>1,607,721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1,743,140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2,013,977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Dilution/Accretion to Stockholder A (Total Net Asset Value Less Total Investment)</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(33,544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2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6,455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31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11"/>
        <w:gridCol w:w="120"/>
        <w:gridCol w:w="259"/>
        <w:gridCol w:w="1036"/>
        <w:gridCol w:w="60"/>
        <w:gridCol w:w="120"/>
        <w:gridCol w:w="205"/>
        <w:gridCol w:w="820"/>
        <w:gridCol w:w="169"/>
        <w:gridCol w:w="65"/>
        <w:gridCol w:w="85"/>
        <w:gridCol w:w="730"/>
        <w:gridCol w:w="302"/>
        <w:gridCol w:w="60"/>
        <w:gridCol w:w="205"/>
        <w:gridCol w:w="820"/>
        <w:gridCol w:w="67"/>
        <w:gridCol w:w="135"/>
        <w:gridCol w:w="85"/>
        <w:gridCol w:w="730"/>
        <w:gridCol w:w="321"/>
      </w:tblGrid>
      <w:tr>
        <w:trPr/>
        <w:tc>
          <w:tcPr>
            <w:tcW w:w="38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50% Participation</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150% Participation</w:t>
            </w:r>
          </w:p>
        </w:tc>
        <w:tc>
          <w:tcPr>
            <w:tcW w:w="321" w:type="dxa"/>
            <w:tcBorders/>
            <w:vAlign w:val="center"/>
          </w:tcPr>
          <w:p>
            <w:pPr>
              <w:pStyle w:val="TableContents"/>
              <w:bidi w:val="0"/>
              <w:spacing w:before="0" w:after="283"/>
              <w:jc w:val="left"/>
              <w:rPr/>
            </w:pPr>
            <w:r>
              <w:rPr/>
              <w:t> </w:t>
            </w:r>
          </w:p>
        </w:tc>
      </w:tr>
      <w:tr>
        <w:trPr/>
        <w:tc>
          <w:tcPr>
            <w:tcW w:w="381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Prior to Sale</w:t>
              <w:br/>
              <w:t>Below NAV</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b/>
              </w:rPr>
              <w:t>%</w:t>
            </w:r>
            <w:r>
              <w:rPr/>
              <w:br/>
            </w:r>
            <w:r>
              <w:rPr>
                <w:b/>
              </w:rPr>
              <w:t>Change</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Following</w:t>
              <w:br/>
              <w:t>Sale</w:t>
            </w:r>
          </w:p>
        </w:tc>
        <w:tc>
          <w:tcPr>
            <w:tcW w:w="67"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b/>
              </w:rPr>
              <w:t>%</w:t>
            </w:r>
            <w:r>
              <w:rPr/>
              <w:br/>
            </w:r>
            <w:r>
              <w:rPr>
                <w:b/>
              </w:rPr>
              <w:t>Change</w:t>
            </w:r>
          </w:p>
        </w:tc>
        <w:tc>
          <w:tcPr>
            <w:tcW w:w="321" w:type="dxa"/>
            <w:tcBorders/>
            <w:vAlign w:val="center"/>
          </w:tcPr>
          <w:p>
            <w:pPr>
              <w:pStyle w:val="TableContents"/>
              <w:bidi w:val="0"/>
              <w:spacing w:before="0" w:after="283"/>
              <w:jc w:val="left"/>
              <w:rPr/>
            </w:pPr>
            <w:r>
              <w:rPr/>
              <w:t> </w:t>
            </w:r>
          </w:p>
        </w:tc>
      </w:tr>
      <w:tr>
        <w:trPr/>
        <w:tc>
          <w:tcPr>
            <w:tcW w:w="381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per Share Held by Stockholder A (Assumed to be $16.98 per Share on Shares Held Prior to Sale)</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16.73</w:t>
            </w:r>
          </w:p>
        </w:tc>
        <w:tc>
          <w:tcPr>
            <w:tcW w:w="16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(1.46</w:t>
            </w:r>
          </w:p>
        </w:tc>
        <w:tc>
          <w:tcPr>
            <w:tcW w:w="3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16.36</w:t>
            </w:r>
          </w:p>
        </w:tc>
        <w:tc>
          <w:tcPr>
            <w:tcW w:w="67"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(3.66</w:t>
            </w:r>
          </w:p>
        </w:tc>
        <w:tc>
          <w:tcPr>
            <w:tcW w:w="321" w:type="dxa"/>
            <w:tcBorders/>
            <w:shd w:fill="CCEEFF" w:val="clear"/>
            <w:vAlign w:val="center"/>
          </w:tcPr>
          <w:p>
            <w:pPr>
              <w:pStyle w:val="TableContents"/>
              <w:bidi w:val="0"/>
              <w:spacing w:before="0" w:after="283"/>
              <w:jc w:val="left"/>
              <w:rPr/>
            </w:pPr>
            <w:r>
              <w:rPr/>
              <w:t>)% </w:t>
            </w:r>
          </w:p>
        </w:tc>
      </w:tr>
      <w:tr>
        <w:trPr/>
        <w:tc>
          <w:tcPr>
            <w:tcW w:w="38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Asset Value per Share Held by Stockholder A</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820" w:type="dxa"/>
            <w:tcBorders/>
            <w:vAlign w:val="center"/>
          </w:tcPr>
          <w:p>
            <w:pPr>
              <w:pStyle w:val="TableContents"/>
              <w:bidi w:val="0"/>
              <w:spacing w:before="0" w:after="283"/>
              <w:jc w:val="right"/>
              <w:rPr/>
            </w:pPr>
            <w:r>
              <w:rPr/>
              <w:t>16.41</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820" w:type="dxa"/>
            <w:tcBorders/>
            <w:vAlign w:val="center"/>
          </w:tcPr>
          <w:p>
            <w:pPr>
              <w:pStyle w:val="TableContents"/>
              <w:bidi w:val="0"/>
              <w:spacing w:before="0" w:after="283"/>
              <w:jc w:val="right"/>
              <w:rPr/>
            </w:pPr>
            <w:r>
              <w:rPr/>
              <w:t>16.41</w:t>
            </w:r>
          </w:p>
        </w:tc>
        <w:tc>
          <w:tcPr>
            <w:tcW w:w="67"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Dilution/Accretion per Share Held by Stockholder A (Net Asset Value per Share Less Investment per Share)</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(0.32</w:t>
            </w:r>
          </w:p>
        </w:tc>
        <w:tc>
          <w:tcPr>
            <w:tcW w:w="16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820" w:type="dxa"/>
            <w:tcBorders/>
            <w:shd w:fill="CCEEFF" w:val="clear"/>
            <w:vAlign w:val="center"/>
          </w:tcPr>
          <w:p>
            <w:pPr>
              <w:pStyle w:val="TableContents"/>
              <w:bidi w:val="0"/>
              <w:spacing w:before="0" w:after="283"/>
              <w:jc w:val="right"/>
              <w:rPr/>
            </w:pPr>
            <w:r>
              <w:rPr/>
              <w:t>0.05</w:t>
            </w:r>
          </w:p>
        </w:tc>
        <w:tc>
          <w:tcPr>
            <w:tcW w:w="67"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730" w:type="dxa"/>
            <w:tcBorders/>
            <w:shd w:fill="CCEEFF" w:val="clear"/>
            <w:vAlign w:val="center"/>
          </w:tcPr>
          <w:p>
            <w:pPr>
              <w:pStyle w:val="TableContents"/>
              <w:bidi w:val="0"/>
              <w:spacing w:before="0" w:after="283"/>
              <w:jc w:val="left"/>
              <w:rPr>
                <w:sz w:val="4"/>
                <w:szCs w:val="4"/>
              </w:rPr>
            </w:pPr>
            <w:r>
              <w:rPr>
                <w:sz w:val="4"/>
                <w:szCs w:val="4"/>
              </w:rPr>
            </w:r>
          </w:p>
        </w:tc>
        <w:tc>
          <w:tcPr>
            <w:tcW w:w="321" w:type="dxa"/>
            <w:tcBorders/>
            <w:shd w:fill="CCEEFF" w:val="clear"/>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Percentage Dilution/Accretion to Stockholder A (Dilution per Share Divided by Investment per Share)</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(1.92</w:t>
            </w:r>
          </w:p>
        </w:tc>
        <w:tc>
          <w:tcPr>
            <w:tcW w:w="3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0.32</w:t>
            </w:r>
          </w:p>
        </w:tc>
        <w:tc>
          <w:tcPr>
            <w:tcW w:w="32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Considerations </w:t>
      </w:r>
    </w:p>
    <w:p>
      <w:pPr>
        <w:pStyle w:val="TextBody"/>
        <w:bidi w:val="0"/>
        <w:spacing w:before="120" w:after="0"/>
        <w:jc w:val="left"/>
        <w:rPr>
          <w:rFonts w:ascii="Times New Roman" w:hAnsi="Times New Roman"/>
          <w:i/>
          <w:sz w:val="20"/>
        </w:rPr>
      </w:pPr>
      <w:r>
        <w:rPr>
          <w:rFonts w:ascii="Times New Roman" w:hAnsi="Times New Roman"/>
          <w:i/>
          <w:sz w:val="20"/>
        </w:rPr>
        <w:t xml:space="preserve">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 </w:t>
      </w:r>
    </w:p>
    <w:p>
      <w:pPr>
        <w:pStyle w:val="TextBody"/>
        <w:bidi w:val="0"/>
        <w:spacing w:before="360" w:after="0"/>
        <w:jc w:val="left"/>
        <w:rPr>
          <w:rFonts w:ascii="Times New Roman" w:hAnsi="Times New Roman"/>
          <w:i/>
          <w:sz w:val="20"/>
        </w:rPr>
      </w:pPr>
      <w:r>
        <w:rPr>
          <w:rFonts w:ascii="Times New Roman" w:hAnsi="Times New Roman"/>
          <w:i/>
          <w:sz w:val="20"/>
        </w:rPr>
        <w:t xml:space="preserve">Consideration of Potential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and benefits of a common stock offering below NAV compared to other possible means for raising capital or concluding not to raise capital;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of a common stock offering in relation to the number of shares outstanding;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110"/>
        <w:gridCol w:w="60"/>
        <w:gridCol w:w="4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general condition of the securities markets; and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impact on operating expenses associated with an increase in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5396_4"/>
      <w:bookmarkEnd w:id="6"/>
      <w:r>
        <w:rPr>
          <w:rFonts w:ascii="Times New Roman" w:hAnsi="Times New Roman"/>
          <w:b/>
          <w:sz w:val="20"/>
        </w:rPr>
        <w:t xml:space="preserve">Other Business </w:t>
      </w:r>
    </w:p>
    <w:p>
      <w:pPr>
        <w:pStyle w:val="TextBody"/>
        <w:bidi w:val="0"/>
        <w:spacing w:before="240" w:after="0"/>
        <w:jc w:val="left"/>
        <w:rPr>
          <w:rFonts w:ascii="Times New Roman" w:hAnsi="Times New Roman"/>
          <w:sz w:val="20"/>
        </w:rPr>
      </w:pPr>
      <w:r>
        <w:rPr>
          <w:rFonts w:ascii="Times New Roman" w:hAnsi="Times New Roman"/>
          <w:sz w:val="20"/>
        </w:rPr>
        <w:t xml:space="preserve">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 </w:t>
      </w:r>
    </w:p>
    <w:p>
      <w:pPr>
        <w:pStyle w:val="TextBody"/>
        <w:bidi w:val="0"/>
        <w:spacing w:before="480" w:after="0"/>
        <w:jc w:val="center"/>
        <w:rPr>
          <w:rFonts w:ascii="Times New Roman" w:hAnsi="Times New Roman"/>
          <w:b/>
          <w:sz w:val="20"/>
        </w:rPr>
      </w:pPr>
      <w:bookmarkStart w:id="7" w:name="tx15396_5"/>
      <w:bookmarkEnd w:id="7"/>
      <w:r>
        <w:rPr>
          <w:rFonts w:ascii="Times New Roman" w:hAnsi="Times New Roman"/>
          <w:b/>
          <w:sz w:val="20"/>
        </w:rPr>
        <w:t xml:space="preserve">Stockholder Proposals and Nominations for the 2027 Annual Meeting of Stockholders </w:t>
      </w:r>
    </w:p>
    <w:p>
      <w:pPr>
        <w:pStyle w:val="TextBody"/>
        <w:bidi w:val="0"/>
        <w:spacing w:before="120" w:after="0"/>
        <w:jc w:val="left"/>
        <w:rPr>
          <w:rFonts w:ascii="Times New Roman" w:hAnsi="Times New Roman"/>
          <w:b/>
          <w:sz w:val="20"/>
        </w:rPr>
      </w:pPr>
      <w:r>
        <w:rPr>
          <w:rFonts w:ascii="Times New Roman" w:hAnsi="Times New Roman"/>
          <w:b/>
          <w:sz w:val="20"/>
        </w:rPr>
        <w:t xml:space="preserve">Inclusion of Proposals in Our Proxy Statement and Proxy Card Under the SEC’s Rules </w:t>
      </w:r>
    </w:p>
    <w:p>
      <w:pPr>
        <w:pStyle w:val="TextBody"/>
        <w:bidi w:val="0"/>
        <w:spacing w:before="120" w:after="0"/>
        <w:jc w:val="left"/>
        <w:rPr>
          <w:rFonts w:ascii="Times New Roman" w:hAnsi="Times New Roman"/>
          <w:sz w:val="20"/>
        </w:rPr>
      </w:pPr>
      <w:r>
        <w:rPr>
          <w:rFonts w:ascii="Times New Roman" w:hAnsi="Times New Roman"/>
          <w:sz w:val="20"/>
        </w:rPr>
        <w:t xml:space="preserve">Any proposal of a stockholder intended to be included in our proxy statement and form of proxy/voting instruction card for the 2027 annual meeting of stockholders pursuant to Rule 14a-8 of the SEC’s rules must be received by us at our principal executive offices no later than December 10, 2026.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 </w:t>
      </w:r>
    </w:p>
    <w:p>
      <w:pPr>
        <w:pStyle w:val="TextBody"/>
        <w:bidi w:val="0"/>
        <w:spacing w:before="360" w:after="0"/>
        <w:jc w:val="left"/>
        <w:rPr>
          <w:rFonts w:ascii="Times New Roman" w:hAnsi="Times New Roman"/>
          <w:b/>
          <w:sz w:val="20"/>
        </w:rPr>
      </w:pPr>
      <w:r>
        <w:rPr>
          <w:rFonts w:ascii="Times New Roman" w:hAnsi="Times New Roman"/>
          <w:b/>
          <w:sz w:val="20"/>
        </w:rPr>
        <w:t xml:space="preserve">Bylaw Requirements for Stockholder Submission of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A stockholder recommendation for nomination of a person for election to our Board or a proposal for consideration at our 2027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Our bylaws require that the proposal or recommendation for nomination must be received by our Secretary at our principal executive offices at the above address no later than February 20, 2027, unless the date of our 2027 annual meeting is more than 30 days before or more than 60 days after May 21, 2027, the anniversary of our 2026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 </w:t>
      </w:r>
    </w:p>
    <w:p>
      <w:pPr>
        <w:pStyle w:val="TextBody"/>
        <w:bidi w:val="0"/>
        <w:spacing w:before="480" w:after="0"/>
        <w:jc w:val="center"/>
        <w:rPr>
          <w:rFonts w:ascii="Times New Roman" w:hAnsi="Times New Roman"/>
          <w:b/>
          <w:sz w:val="20"/>
        </w:rPr>
      </w:pPr>
      <w:bookmarkStart w:id="8" w:name="tx15396_6"/>
      <w:bookmarkEnd w:id="8"/>
      <w:r>
        <w:rPr>
          <w:rFonts w:ascii="Times New Roman" w:hAnsi="Times New Roman"/>
          <w:b/>
          <w:sz w:val="20"/>
        </w:rPr>
        <w:t xml:space="preserve">Annual Report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a copy of our Annual Report on Form 10-K for the fiscal year ended December 31, 2025 to any stockholder upon request. Requests should be directed to the Secretary of the Company, Anton Brett, Sixth Street Specialty Lending, Inc., 2100 McKinney Avenue, Suite 1500, Dallas, TX 75201, Attention: TSLX Investor Relations, or by emailing us at </w:t>
      </w:r>
      <w:r>
        <w:rPr>
          <w:rFonts w:ascii="Times New Roman" w:hAnsi="Times New Roman"/>
          <w:sz w:val="20"/>
          <w:u w:val="single"/>
        </w:rPr>
        <w:t>IRTSLX@sixthstreet.com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5396_7"/>
      <w:bookmarkEnd w:id="9"/>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the Notice of Internet Availability of Proxy Materials and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that many brokers with account holders who are the Company’s stockholders will be “householding” the Company’s proxy materials. A single Notice of Internet Availability of Proxy Materials or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2100 McKinney Avenue, Suite 1500, Dallas, TX 75201, Attention: TSLX Investor Relations, by email at </w:t>
      </w:r>
      <w:r>
        <w:rPr>
          <w:rFonts w:ascii="Times New Roman" w:hAnsi="Times New Roman"/>
          <w:sz w:val="20"/>
          <w:u w:val="single"/>
        </w:rPr>
        <w:t>IRTSLX@sixthstreet.com</w:t>
      </w:r>
      <w:r>
        <w:rPr>
          <w:rFonts w:ascii="Times New Roman" w:hAnsi="Times New Roman"/>
          <w:sz w:val="20"/>
        </w:rPr>
        <w:t xml:space="preserve"> or by phone at 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 </w:t>
      </w:r>
    </w:p>
    <w:p>
      <w:pPr>
        <w:pStyle w:val="TextBody"/>
        <w:bidi w:val="0"/>
        <w:spacing w:before="240" w:after="0"/>
        <w:jc w:val="left"/>
        <w:rPr>
          <w:rFonts w:ascii="Times New Roman" w:hAnsi="Times New Roman"/>
          <w:b/>
          <w:sz w:val="20"/>
        </w:rPr>
      </w:pPr>
      <w:r>
        <w:rPr>
          <w:rFonts w:ascii="Times New Roman" w:hAnsi="Times New Roman"/>
          <w:b/>
          <w:sz w:val="20"/>
        </w:rPr>
        <w:t xml:space="preserve">WHETHER OR NOT YOU PLAN TO ATTEND THE MEETING, WE URGE YOU TO VOTE OVER THE INTERNET, BY PHONE, OR BY MARKING, SIGNING AND RETURNING YOUR PROXY OR VOTING INSTRUCTION CARD AS SOON AS POSSIBLE. NO POSTAGE IS NECESSARY IF MAILED IN THE UNITED STATES. </w:t>
      </w:r>
    </w:p>
    <w:p>
      <w:pPr>
        <w:pStyle w:val="TextBody"/>
        <w:bidi w:val="0"/>
        <w:spacing w:before="0" w:after="0"/>
        <w:jc w:val="left"/>
        <w:rPr/>
      </w:pPr>
      <w:r>
        <w:rPr/>
        <w:t> </w:t>
      </w:r>
    </w:p>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 Order of the Board of Directors,</w:t>
            </w:r>
          </w:p>
        </w:tc>
      </w:tr>
      <w:tr>
        <w:trPr/>
        <w:tc>
          <w:tcPr>
            <w:tcW w:w="3335" w:type="dxa"/>
            <w:tcBorders/>
            <w:vAlign w:val="center"/>
          </w:tcPr>
          <w:p>
            <w:pPr>
              <w:pStyle w:val="TableContents"/>
              <w:bidi w:val="0"/>
              <w:spacing w:before="0" w:after="283"/>
              <w:jc w:val="left"/>
              <w:rPr>
                <w:sz w:val="4"/>
                <w:szCs w:val="4"/>
              </w:rPr>
            </w:pPr>
            <w:r>
              <w:rPr>
                <w:sz w:val="4"/>
                <w:szCs w:val="4"/>
              </w:rPr>
            </w:r>
          </w:p>
        </w:tc>
      </w:tr>
      <w:tr>
        <w:trPr/>
        <w:tc>
          <w:tcPr>
            <w:tcW w:w="3335" w:type="dxa"/>
            <w:tcBorders>
              <w:bottom w:val="single" w:sz="6" w:space="0" w:color="000000"/>
            </w:tcBorders>
            <w:tcMar>
              <w:bottom w:w="28" w:type="dxa"/>
            </w:tcMar>
            <w:vAlign w:val="center"/>
          </w:tcPr>
          <w:p>
            <w:pPr>
              <w:pStyle w:val="TableContents"/>
              <w:bidi w:val="0"/>
              <w:spacing w:before="0" w:after="283"/>
              <w:jc w:val="left"/>
              <w:rPr/>
            </w:pPr>
            <w:r>
              <w:rPr/>
              <w:t>/s/ Anton Brett</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Anton Brett</w:t>
            </w:r>
          </w:p>
        </w:tc>
      </w:tr>
      <w:tr>
        <w:trPr/>
        <w:tc>
          <w:tcPr>
            <w:tcW w:w="333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Compliance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5396_8"/>
      <w:bookmarkEnd w:id="10"/>
      <w:r>
        <w:rPr>
          <w:rFonts w:ascii="Times New Roman" w:hAnsi="Times New Roman"/>
          <w:b/>
          <w:sz w:val="20"/>
        </w:rPr>
        <w:t xml:space="preserve">Privacy Principles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 </w:t>
      </w:r>
    </w:p>
    <w:p>
      <w:pPr>
        <w:pStyle w:val="TextBody"/>
        <w:bidi w:val="0"/>
        <w:spacing w:before="240" w:after="0"/>
        <w:jc w:val="left"/>
        <w:rPr>
          <w:rFonts w:ascii="Times New Roman" w:hAnsi="Times New Roman"/>
          <w:sz w:val="20"/>
        </w:rPr>
      </w:pPr>
      <w:r>
        <w:rPr>
          <w:rFonts w:ascii="Times New Roman" w:hAnsi="Times New Roman"/>
          <w:sz w:val="20"/>
        </w:rPr>
        <w:t xml:space="preserve">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SIXTH STREET SPECIALTY LENDING, INC. 2100 MCKINNEY AVENUE, SUITE 1500 DALLAS, TX 75201 SCAN TO VIEW MATERIALS &amp; VOTE VOTE BY INTERNET - www.proxyvote.com or scan the QR Barcode above Use the Internet to transmit your voting instructions and for electronic delivery of information up until 11:59 p.m. Eastern Time on May 20, 2026.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on May 20,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DETACH AND RETURN THIS PORTION ONLY THIS PROXY CARD IS VALID ONLY WHEN SIGNED AND DATED. The Board of Directors recommends you vote FOR the following proposal: For Against Abstain 1. To approve a proposal to authorize the Company to sell or otherwise issue shares of its common stock at a 0 0 0 price below its then-current net asset value per share in one or more offerings, in each case subject to the approval of its Board of Directors and subject to the conditions set forth in the accompanying proxy statement. NOTE: The named proxies are also authorized to transact such other business as may properly come before the Special Meeting of Stockholders or any postponement or adjournment thereof. 0000701887_1 R2.09.05.010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Special Meeting: The Notice and Proxy Statement is available at www.proxyvote.com SIXTH STREET SPECIALTY LENDING, INC. Special Meeting of Stockholders May 21, 2026 10:00 AM EDT This proxy is solicited by the Board of Directors The stockholders hereby appoints Ian Simmonds and Anton Brett, or either of them, as proxies, each with the power to appoint his/her substitute, and hereby authorize them to represent and to vote, as designated on the reverse side of this ballot, all of the shares of common stock of SIXTH STREET SPECIALTY LENDING, INC. that the stockholders are entitled to vote at a Special Meeting of Stockholders to be held at the offices of Simpson Thacher &amp; Bartlett LLP, located at 425 Lexington Avenue, 30th Floor, New York, NY 10017, at 10:00 AM EDT on May 21, 2026 and any adjournment or postponement thereof. This proxy, when properly executed, will be voted in the manner directed herein. If no such direction is made, this proxy will be voted in accordance with the Board of Directors’ recommendations. Continued and to be signed on reverse side 0000701887_2 R2.09.05.010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11695</Words>
  <Characters>59487</Characters>
  <CharactersWithSpaces>71666</CharactersWithSpaces>
  <Paragraphs>1735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