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May 18,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940"/>
          </w:cols>
          <w:pgMar w:left="240" w:top="368" w:right="29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304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Meeting of Stockholders</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On May 18, 2017, TPG Specialty Lending, Inc. (the “Company”) held its annual meeting of stockholders. Stockholders considered two proposals as described in the Company’s proxy statement filed on April 7, 2017. The final results of the voting on each matter submitted to stockholders at the annual meeting are set forth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1 – Election of Class III Directors. </w:t>
      </w:r>
      <w:r>
        <w:rPr>
          <w:rFonts w:ascii="Arial" w:cs="Arial" w:eastAsia="Arial" w:hAnsi="Arial"/>
          <w:sz w:val="18"/>
          <w:szCs w:val="18"/>
          <w:color w:val="auto"/>
        </w:rPr>
        <w:t>The stockholders elected the nominees for Class III director by the vote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2300" w:type="dxa"/>
            <w:vAlign w:val="bottom"/>
            <w:gridSpan w:val="3"/>
          </w:tcPr>
          <w:p>
            <w:pPr>
              <w:ind w:left="640"/>
              <w:spacing w:after="0"/>
              <w:rPr>
                <w:sz w:val="20"/>
                <w:szCs w:val="20"/>
                <w:color w:val="auto"/>
              </w:rPr>
            </w:pPr>
            <w:r>
              <w:rPr>
                <w:rFonts w:ascii="Arial" w:cs="Arial" w:eastAsia="Arial" w:hAnsi="Arial"/>
                <w:sz w:val="14"/>
                <w:szCs w:val="14"/>
                <w:b w:val="1"/>
                <w:bCs w:val="1"/>
                <w:color w:val="auto"/>
              </w:rPr>
              <w:t>Votes “For”</w:t>
            </w:r>
          </w:p>
        </w:tc>
        <w:tc>
          <w:tcPr>
            <w:tcW w:w="1940" w:type="dxa"/>
            <w:vAlign w:val="bottom"/>
            <w:gridSpan w:val="2"/>
          </w:tcPr>
          <w:p>
            <w:pPr>
              <w:ind w:left="840"/>
              <w:spacing w:after="0"/>
              <w:rPr>
                <w:sz w:val="20"/>
                <w:szCs w:val="20"/>
                <w:color w:val="auto"/>
              </w:rPr>
            </w:pPr>
            <w:r>
              <w:rPr>
                <w:rFonts w:ascii="Arial" w:cs="Arial" w:eastAsia="Arial" w:hAnsi="Arial"/>
                <w:sz w:val="14"/>
                <w:szCs w:val="14"/>
                <w:b w:val="1"/>
                <w:bCs w:val="1"/>
                <w:color w:val="auto"/>
                <w:w w:val="93"/>
              </w:rPr>
              <w:t>Votes “Withheld”</w:t>
            </w:r>
          </w:p>
        </w:tc>
        <w:tc>
          <w:tcPr>
            <w:tcW w:w="2620" w:type="dxa"/>
            <w:vAlign w:val="bottom"/>
            <w:gridSpan w:val="2"/>
          </w:tcPr>
          <w:p>
            <w:pPr>
              <w:ind w:left="1500"/>
              <w:spacing w:after="0"/>
              <w:rPr>
                <w:sz w:val="20"/>
                <w:szCs w:val="20"/>
                <w:color w:val="auto"/>
              </w:rPr>
            </w:pPr>
            <w:r>
              <w:rPr>
                <w:rFonts w:ascii="Arial" w:cs="Arial" w:eastAsia="Arial" w:hAnsi="Arial"/>
                <w:sz w:val="14"/>
                <w:szCs w:val="14"/>
                <w:b w:val="1"/>
                <w:bCs w:val="1"/>
                <w:color w:val="auto"/>
                <w:w w:val="92"/>
              </w:rPr>
              <w:t>Broker Non-Votes</w:t>
            </w:r>
          </w:p>
        </w:tc>
      </w:tr>
      <w:tr>
        <w:trPr>
          <w:trHeight w:val="195"/>
        </w:trPr>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Joshua</w:t>
            </w:r>
          </w:p>
        </w:tc>
        <w:tc>
          <w:tcPr>
            <w:tcW w:w="1340" w:type="dxa"/>
            <w:vAlign w:val="bottom"/>
          </w:tcPr>
          <w:p>
            <w:pPr>
              <w:spacing w:after="0" w:line="195" w:lineRule="exact"/>
              <w:rPr>
                <w:sz w:val="20"/>
                <w:szCs w:val="20"/>
                <w:color w:val="auto"/>
              </w:rPr>
            </w:pPr>
            <w:r>
              <w:rPr>
                <w:rFonts w:ascii="Arial" w:cs="Arial" w:eastAsia="Arial" w:hAnsi="Arial"/>
                <w:sz w:val="18"/>
                <w:szCs w:val="18"/>
                <w:color w:val="auto"/>
              </w:rPr>
              <w:t>Easterly</w:t>
            </w:r>
          </w:p>
        </w:tc>
        <w:tc>
          <w:tcPr>
            <w:tcW w:w="64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34,666,303</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4,748,697</w:t>
            </w:r>
          </w:p>
        </w:tc>
        <w:tc>
          <w:tcPr>
            <w:tcW w:w="150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14,326,618</w:t>
            </w: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rPr>
              <w:t>Michael Fishman</w:t>
            </w:r>
          </w:p>
        </w:tc>
        <w:tc>
          <w:tcPr>
            <w:tcW w:w="2300" w:type="dxa"/>
            <w:vAlign w:val="bottom"/>
            <w:gridSpan w:val="3"/>
          </w:tcPr>
          <w:p>
            <w:pPr>
              <w:ind w:left="640"/>
              <w:spacing w:after="0"/>
              <w:rPr>
                <w:sz w:val="20"/>
                <w:szCs w:val="20"/>
                <w:color w:val="auto"/>
              </w:rPr>
            </w:pPr>
            <w:r>
              <w:rPr>
                <w:rFonts w:ascii="Arial" w:cs="Arial" w:eastAsia="Arial" w:hAnsi="Arial"/>
                <w:sz w:val="18"/>
                <w:szCs w:val="18"/>
                <w:color w:val="auto"/>
              </w:rPr>
              <w:t>34,022,915</w:t>
            </w:r>
          </w:p>
        </w:tc>
        <w:tc>
          <w:tcPr>
            <w:tcW w:w="1940" w:type="dxa"/>
            <w:vAlign w:val="bottom"/>
            <w:gridSpan w:val="2"/>
          </w:tcPr>
          <w:p>
            <w:pPr>
              <w:ind w:left="840"/>
              <w:spacing w:after="0"/>
              <w:rPr>
                <w:sz w:val="20"/>
                <w:szCs w:val="20"/>
                <w:color w:val="auto"/>
              </w:rPr>
            </w:pPr>
            <w:r>
              <w:rPr>
                <w:rFonts w:ascii="Arial" w:cs="Arial" w:eastAsia="Arial" w:hAnsi="Arial"/>
                <w:sz w:val="18"/>
                <w:szCs w:val="18"/>
                <w:color w:val="auto"/>
              </w:rPr>
              <w:t>5,392,085</w:t>
            </w:r>
          </w:p>
        </w:tc>
        <w:tc>
          <w:tcPr>
            <w:tcW w:w="2620" w:type="dxa"/>
            <w:vAlign w:val="bottom"/>
            <w:gridSpan w:val="2"/>
          </w:tcPr>
          <w:p>
            <w:pPr>
              <w:ind w:left="1500"/>
              <w:spacing w:after="0"/>
              <w:rPr>
                <w:sz w:val="20"/>
                <w:szCs w:val="20"/>
                <w:color w:val="auto"/>
              </w:rPr>
            </w:pPr>
            <w:r>
              <w:rPr>
                <w:rFonts w:ascii="Arial" w:cs="Arial" w:eastAsia="Arial" w:hAnsi="Arial"/>
                <w:sz w:val="18"/>
                <w:szCs w:val="18"/>
                <w:color w:val="auto"/>
              </w:rPr>
              <w:t>14,326,618</w:t>
            </w:r>
          </w:p>
        </w:tc>
      </w:tr>
    </w:tbl>
    <w:p>
      <w:pPr>
        <w:spacing w:after="0" w:line="19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Proposal 2 – Ratification of Appointment of Independent Registered Public Accounting Firm. </w:t>
      </w:r>
      <w:r>
        <w:rPr>
          <w:rFonts w:ascii="Arial" w:cs="Arial" w:eastAsia="Arial" w:hAnsi="Arial"/>
          <w:sz w:val="18"/>
          <w:szCs w:val="18"/>
          <w:color w:val="auto"/>
        </w:rPr>
        <w:t>The stockholders ratified the retention of KPMG LLP as</w:t>
      </w:r>
      <w:r>
        <w:rPr>
          <w:rFonts w:ascii="Arial" w:cs="Arial" w:eastAsia="Arial" w:hAnsi="Arial"/>
          <w:sz w:val="18"/>
          <w:szCs w:val="18"/>
          <w:b w:val="1"/>
          <w:bCs w:val="1"/>
          <w:color w:val="auto"/>
        </w:rPr>
        <w:t xml:space="preserve"> </w:t>
      </w:r>
      <w:r>
        <w:rPr>
          <w:rFonts w:ascii="Arial" w:cs="Arial" w:eastAsia="Arial" w:hAnsi="Arial"/>
          <w:sz w:val="18"/>
          <w:szCs w:val="18"/>
          <w:color w:val="auto"/>
        </w:rPr>
        <w:t>our independent registered public accounting firm for the fiscal year ending December 31,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1860" w:type="dxa"/>
            <w:vAlign w:val="bottom"/>
            <w:gridSpan w:val="2"/>
          </w:tcPr>
          <w:p>
            <w:pPr>
              <w:ind w:left="860"/>
              <w:spacing w:after="0"/>
              <w:rPr>
                <w:sz w:val="20"/>
                <w:szCs w:val="20"/>
                <w:color w:val="auto"/>
              </w:rPr>
            </w:pPr>
            <w:r>
              <w:rPr>
                <w:rFonts w:ascii="Arial" w:cs="Arial" w:eastAsia="Arial" w:hAnsi="Arial"/>
                <w:sz w:val="14"/>
                <w:szCs w:val="14"/>
                <w:b w:val="1"/>
                <w:bCs w:val="1"/>
                <w:color w:val="auto"/>
                <w:w w:val="91"/>
              </w:rPr>
              <w:t>Votes “Against”</w:t>
            </w:r>
          </w:p>
        </w:tc>
        <w:tc>
          <w:tcPr>
            <w:tcW w:w="2240" w:type="dxa"/>
            <w:vAlign w:val="bottom"/>
            <w:gridSpan w:val="2"/>
          </w:tcPr>
          <w:p>
            <w:pPr>
              <w:ind w:left="1500"/>
              <w:spacing w:after="0"/>
              <w:rPr>
                <w:sz w:val="20"/>
                <w:szCs w:val="20"/>
                <w:color w:val="auto"/>
              </w:rPr>
            </w:pPr>
            <w:r>
              <w:rPr>
                <w:rFonts w:ascii="Arial" w:cs="Arial" w:eastAsia="Arial" w:hAnsi="Arial"/>
                <w:sz w:val="14"/>
                <w:szCs w:val="14"/>
                <w:b w:val="1"/>
                <w:bCs w:val="1"/>
                <w:color w:val="auto"/>
                <w:w w:val="88"/>
              </w:rPr>
              <w:t>Abstentions</w:t>
            </w:r>
          </w:p>
        </w:tc>
        <w:tc>
          <w:tcPr>
            <w:tcW w:w="2980" w:type="dxa"/>
            <w:vAlign w:val="bottom"/>
            <w:gridSpan w:val="2"/>
          </w:tcPr>
          <w:p>
            <w:pPr>
              <w:ind w:left="1860"/>
              <w:spacing w:after="0"/>
              <w:rPr>
                <w:sz w:val="20"/>
                <w:szCs w:val="20"/>
                <w:color w:val="auto"/>
              </w:rPr>
            </w:pPr>
            <w:r>
              <w:rPr>
                <w:rFonts w:ascii="Arial" w:cs="Arial" w:eastAsia="Arial" w:hAnsi="Arial"/>
                <w:sz w:val="14"/>
                <w:szCs w:val="14"/>
                <w:b w:val="1"/>
                <w:bCs w:val="1"/>
                <w:color w:val="auto"/>
                <w:w w:val="92"/>
              </w:rPr>
              <w:t>Broker Non-Votes</w:t>
            </w:r>
          </w:p>
        </w:tc>
      </w:tr>
      <w:tr>
        <w:trPr>
          <w:trHeight w:val="224"/>
        </w:trPr>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2"/>
              </w:rPr>
              <w:t>53,348,701</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93,304</w:t>
            </w:r>
          </w:p>
        </w:tc>
        <w:tc>
          <w:tcPr>
            <w:tcW w:w="150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299,613</w:t>
            </w:r>
          </w:p>
        </w:tc>
        <w:tc>
          <w:tcPr>
            <w:tcW w:w="186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1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On May 18, 2017, the Company also held a special meeting of stockholders. Stockholders considered one proposal as described in the Company’s proxy statement filed on April 7, 2017. The final results of the voting on the matter submitted to stockholders at the special meeting are set forth below.</w:t>
      </w:r>
    </w:p>
    <w:p>
      <w:pPr>
        <w:spacing w:after="0" w:line="177"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Proposal 1 – Sales of Common Stock Below NAV. </w:t>
      </w:r>
      <w:r>
        <w:rPr>
          <w:rFonts w:ascii="Arial" w:cs="Arial" w:eastAsia="Arial" w:hAnsi="Arial"/>
          <w:sz w:val="16"/>
          <w:szCs w:val="16"/>
          <w:color w:val="auto"/>
        </w:rPr>
        <w:t>The stockholders ratified and approved the proposal to authorize the Company to sell or otherwise issue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its common stock at a price below its then-current net asset value per share in one or more offerings, in each case subject to the approval of its board of directors and subject to the conditions set forth in the accompanying proxy statement (including, without limitation, that the number of shares issued does not exceed 25% of the Company’s then-outstanding common stock immediately prior to each such offering), by the vote shown below.</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vote on the proposal, including affiliated and unaffiliated shares,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1860" w:type="dxa"/>
            <w:vAlign w:val="bottom"/>
            <w:gridSpan w:val="2"/>
          </w:tcPr>
          <w:p>
            <w:pPr>
              <w:ind w:left="860"/>
              <w:spacing w:after="0"/>
              <w:rPr>
                <w:sz w:val="20"/>
                <w:szCs w:val="20"/>
                <w:color w:val="auto"/>
              </w:rPr>
            </w:pPr>
            <w:r>
              <w:rPr>
                <w:rFonts w:ascii="Arial" w:cs="Arial" w:eastAsia="Arial" w:hAnsi="Arial"/>
                <w:sz w:val="14"/>
                <w:szCs w:val="14"/>
                <w:b w:val="1"/>
                <w:bCs w:val="1"/>
                <w:color w:val="auto"/>
                <w:w w:val="91"/>
              </w:rPr>
              <w:t>Votes “Against”</w:t>
            </w:r>
          </w:p>
        </w:tc>
        <w:tc>
          <w:tcPr>
            <w:tcW w:w="2240" w:type="dxa"/>
            <w:vAlign w:val="bottom"/>
            <w:gridSpan w:val="2"/>
          </w:tcPr>
          <w:p>
            <w:pPr>
              <w:ind w:left="1500"/>
              <w:spacing w:after="0"/>
              <w:rPr>
                <w:sz w:val="20"/>
                <w:szCs w:val="20"/>
                <w:color w:val="auto"/>
              </w:rPr>
            </w:pPr>
            <w:r>
              <w:rPr>
                <w:rFonts w:ascii="Arial" w:cs="Arial" w:eastAsia="Arial" w:hAnsi="Arial"/>
                <w:sz w:val="14"/>
                <w:szCs w:val="14"/>
                <w:b w:val="1"/>
                <w:bCs w:val="1"/>
                <w:color w:val="auto"/>
                <w:w w:val="88"/>
              </w:rPr>
              <w:t>Abstentions</w:t>
            </w:r>
          </w:p>
        </w:tc>
        <w:tc>
          <w:tcPr>
            <w:tcW w:w="2980" w:type="dxa"/>
            <w:vAlign w:val="bottom"/>
            <w:gridSpan w:val="2"/>
          </w:tcPr>
          <w:p>
            <w:pPr>
              <w:ind w:left="1860"/>
              <w:spacing w:after="0"/>
              <w:rPr>
                <w:sz w:val="20"/>
                <w:szCs w:val="20"/>
                <w:color w:val="auto"/>
              </w:rPr>
            </w:pPr>
            <w:r>
              <w:rPr>
                <w:rFonts w:ascii="Arial" w:cs="Arial" w:eastAsia="Arial" w:hAnsi="Arial"/>
                <w:sz w:val="14"/>
                <w:szCs w:val="14"/>
                <w:b w:val="1"/>
                <w:bCs w:val="1"/>
                <w:color w:val="auto"/>
                <w:w w:val="92"/>
              </w:rPr>
              <w:t>Broker Non-Votes</w:t>
            </w:r>
          </w:p>
        </w:tc>
      </w:tr>
      <w:tr>
        <w:trPr>
          <w:trHeight w:val="224"/>
        </w:trPr>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2"/>
              </w:rPr>
              <w:t>41,167,860</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1,362,595</w:t>
            </w:r>
          </w:p>
        </w:tc>
        <w:tc>
          <w:tcPr>
            <w:tcW w:w="150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1,119,276</w:t>
            </w:r>
          </w:p>
        </w:tc>
        <w:tc>
          <w:tcPr>
            <w:tcW w:w="186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vote on the proposal, adjusted for 23,338,947 affiliated shares,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1860" w:type="dxa"/>
            <w:vAlign w:val="bottom"/>
            <w:gridSpan w:val="2"/>
          </w:tcPr>
          <w:p>
            <w:pPr>
              <w:ind w:left="860"/>
              <w:spacing w:after="0"/>
              <w:rPr>
                <w:sz w:val="20"/>
                <w:szCs w:val="20"/>
                <w:color w:val="auto"/>
              </w:rPr>
            </w:pPr>
            <w:r>
              <w:rPr>
                <w:rFonts w:ascii="Arial" w:cs="Arial" w:eastAsia="Arial" w:hAnsi="Arial"/>
                <w:sz w:val="14"/>
                <w:szCs w:val="14"/>
                <w:b w:val="1"/>
                <w:bCs w:val="1"/>
                <w:color w:val="auto"/>
                <w:w w:val="91"/>
              </w:rPr>
              <w:t>Votes “Against”</w:t>
            </w:r>
          </w:p>
        </w:tc>
        <w:tc>
          <w:tcPr>
            <w:tcW w:w="2240" w:type="dxa"/>
            <w:vAlign w:val="bottom"/>
            <w:gridSpan w:val="2"/>
          </w:tcPr>
          <w:p>
            <w:pPr>
              <w:ind w:left="1500"/>
              <w:spacing w:after="0"/>
              <w:rPr>
                <w:sz w:val="20"/>
                <w:szCs w:val="20"/>
                <w:color w:val="auto"/>
              </w:rPr>
            </w:pPr>
            <w:r>
              <w:rPr>
                <w:rFonts w:ascii="Arial" w:cs="Arial" w:eastAsia="Arial" w:hAnsi="Arial"/>
                <w:sz w:val="14"/>
                <w:szCs w:val="14"/>
                <w:b w:val="1"/>
                <w:bCs w:val="1"/>
                <w:color w:val="auto"/>
                <w:w w:val="88"/>
              </w:rPr>
              <w:t>Abstentions</w:t>
            </w:r>
          </w:p>
        </w:tc>
        <w:tc>
          <w:tcPr>
            <w:tcW w:w="2980" w:type="dxa"/>
            <w:vAlign w:val="bottom"/>
            <w:gridSpan w:val="2"/>
          </w:tcPr>
          <w:p>
            <w:pPr>
              <w:ind w:left="1860"/>
              <w:spacing w:after="0"/>
              <w:rPr>
                <w:sz w:val="20"/>
                <w:szCs w:val="20"/>
                <w:color w:val="auto"/>
              </w:rPr>
            </w:pPr>
            <w:r>
              <w:rPr>
                <w:rFonts w:ascii="Arial" w:cs="Arial" w:eastAsia="Arial" w:hAnsi="Arial"/>
                <w:sz w:val="14"/>
                <w:szCs w:val="14"/>
                <w:b w:val="1"/>
                <w:bCs w:val="1"/>
                <w:color w:val="auto"/>
                <w:w w:val="92"/>
              </w:rPr>
              <w:t>Broker Non-Votes</w:t>
            </w:r>
          </w:p>
        </w:tc>
      </w:tr>
      <w:tr>
        <w:trPr>
          <w:trHeight w:val="224"/>
        </w:trPr>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2"/>
              </w:rPr>
              <w:t>18,049,611</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1,362,595</w:t>
            </w:r>
          </w:p>
        </w:tc>
        <w:tc>
          <w:tcPr>
            <w:tcW w:w="150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898,578</w:t>
            </w:r>
          </w:p>
        </w:tc>
        <w:tc>
          <w:tcPr>
            <w:tcW w:w="186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jc w:val="center"/>
        <w:ind w:left="282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28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0" w:lineRule="exact"/>
        <w:rPr>
          <w:sz w:val="20"/>
          <w:szCs w:val="20"/>
          <w:color w:val="auto"/>
        </w:rPr>
      </w:pPr>
    </w:p>
    <w:p>
      <w:pPr>
        <w:spacing w:after="0"/>
        <w:tabs>
          <w:tab w:leader="none" w:pos="5780" w:val="left"/>
          <w:tab w:leader="none" w:pos="6380" w:val="left"/>
        </w:tabs>
        <w:rPr>
          <w:sz w:val="20"/>
          <w:szCs w:val="20"/>
          <w:color w:val="auto"/>
        </w:rPr>
      </w:pPr>
      <w:r>
        <w:rPr>
          <w:rFonts w:ascii="Arial" w:cs="Arial" w:eastAsia="Arial" w:hAnsi="Arial"/>
          <w:sz w:val="18"/>
          <w:szCs w:val="18"/>
          <w:color w:val="auto"/>
        </w:rPr>
        <w:t>Date: May 19,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80"/>
      </w:cols>
      <w:pgMar w:left="24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2019-12-07T13:58:17Z</dcterms:created>
  <dcterms:modified xsi:type="dcterms:W3CDTF">2019-12-07T13:58:17Z</dcterms:modified>
</cp:coreProperties>
</file>