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0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710565</wp:posOffset>
            </wp:positionH>
            <wp:positionV relativeFrom="page">
              <wp:posOffset>156210</wp:posOffset>
            </wp:positionV>
            <wp:extent cx="6127750" cy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710565</wp:posOffset>
            </wp:positionH>
            <wp:positionV relativeFrom="page">
              <wp:posOffset>194310</wp:posOffset>
            </wp:positionV>
            <wp:extent cx="6127750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-30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-30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2418080</wp:posOffset>
            </wp:positionH>
            <wp:positionV relativeFrom="paragraph">
              <wp:posOffset>130175</wp:posOffset>
            </wp:positionV>
            <wp:extent cx="1291590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59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1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80" w:type="dxa"/>
            <w:vAlign w:val="bottom"/>
            <w:gridSpan w:val="3"/>
          </w:tcPr>
          <w:p>
            <w:pPr>
              <w:jc w:val="center"/>
              <w:ind w:left="7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auto"/>
                <w:w w:val="99"/>
              </w:rPr>
              <w:t>SCHEDULE 14A</w:t>
            </w:r>
          </w:p>
        </w:tc>
      </w:tr>
      <w:tr>
        <w:trPr>
          <w:trHeight w:val="247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2"/>
          </w:tcPr>
          <w:p>
            <w:pPr>
              <w:jc w:val="center"/>
              <w:ind w:righ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  <w:w w:val="94"/>
              </w:rPr>
              <w:t>(RULE 14a-101)</w:t>
            </w:r>
          </w:p>
        </w:tc>
      </w:tr>
      <w:tr>
        <w:trPr>
          <w:trHeight w:val="204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74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780" w:type="dxa"/>
            <w:vAlign w:val="bottom"/>
            <w:gridSpan w:val="3"/>
          </w:tcPr>
          <w:p>
            <w:pPr>
              <w:jc w:val="center"/>
              <w:ind w:left="7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  <w:w w:val="89"/>
              </w:rPr>
              <w:t>Proxy Statement Pursuant to Section 14(a) of the</w:t>
            </w:r>
          </w:p>
        </w:tc>
      </w:tr>
      <w:tr>
        <w:trPr>
          <w:trHeight w:val="247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780" w:type="dxa"/>
            <w:vAlign w:val="bottom"/>
            <w:gridSpan w:val="3"/>
          </w:tcPr>
          <w:p>
            <w:pPr>
              <w:jc w:val="center"/>
              <w:ind w:left="7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  <w:w w:val="88"/>
              </w:rPr>
              <w:t>Securities Exchange Act of 1934</w:t>
            </w:r>
          </w:p>
        </w:tc>
      </w:tr>
      <w:tr>
        <w:trPr>
          <w:trHeight w:val="292"/>
        </w:trPr>
        <w:tc>
          <w:tcPr>
            <w:tcW w:w="2020" w:type="dxa"/>
            <w:vAlign w:val="bottom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Filed by the Registrant  </w:t>
            </w:r>
            <w:r>
              <w:rPr>
                <w:rFonts w:ascii="MS PGothic" w:cs="MS PGothic" w:eastAsia="MS PGothic" w:hAnsi="MS PGothic"/>
                <w:sz w:val="16"/>
                <w:szCs w:val="16"/>
                <w:color w:val="auto"/>
              </w:rPr>
              <w:t>☒</w:t>
            </w:r>
          </w:p>
        </w:tc>
        <w:tc>
          <w:tcPr>
            <w:tcW w:w="4780" w:type="dxa"/>
            <w:vAlign w:val="bottom"/>
            <w:gridSpan w:val="3"/>
          </w:tcPr>
          <w:p>
            <w:pPr>
              <w:ind w:left="30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Filed by a Party other than the Registrant  </w:t>
            </w:r>
            <w:r>
              <w:rPr>
                <w:rFonts w:ascii="MS PGothic" w:cs="MS PGothic" w:eastAsia="MS PGothic" w:hAnsi="MS PGothic"/>
                <w:sz w:val="16"/>
                <w:szCs w:val="16"/>
                <w:color w:val="auto"/>
              </w:rPr>
              <w:t>☐</w:t>
            </w:r>
          </w:p>
        </w:tc>
      </w:tr>
      <w:tr>
        <w:trPr>
          <w:trHeight w:val="266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Check the appropriate box: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581" w:hanging="581"/>
        <w:spacing w:after="0"/>
        <w:tabs>
          <w:tab w:leader="none" w:pos="58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Preliminary Proxy Statement</w:t>
      </w:r>
    </w:p>
    <w:p>
      <w:pPr>
        <w:spacing w:after="0" w:line="95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581" w:hanging="581"/>
        <w:spacing w:after="0"/>
        <w:tabs>
          <w:tab w:leader="none" w:pos="58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03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581" w:hanging="581"/>
        <w:spacing w:after="0"/>
        <w:tabs>
          <w:tab w:leader="none" w:pos="58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Proxy Statement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581" w:hanging="581"/>
        <w:spacing w:after="0"/>
        <w:tabs>
          <w:tab w:leader="none" w:pos="581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Additional Materials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581" w:hanging="581"/>
        <w:spacing w:after="0"/>
        <w:tabs>
          <w:tab w:leader="none" w:pos="581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Soliciting Material Pursuant to §240.14a-12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center"/>
        <w:ind w:right="-30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5"/>
          <w:szCs w:val="35"/>
          <w:b w:val="1"/>
          <w:bCs w:val="1"/>
          <w:color w:val="auto"/>
        </w:rPr>
        <w:t>Sixth Street Specialty Lending,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30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(Name of Registrant as Specified in Its Charter)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288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Payment of Filing Fee (Check the appropriate box):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581" w:hanging="581"/>
        <w:spacing w:after="0"/>
        <w:tabs>
          <w:tab w:leader="none" w:pos="581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No fee required.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581" w:hanging="581"/>
        <w:spacing w:after="0"/>
        <w:tabs>
          <w:tab w:leader="none" w:pos="581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paid previously with preliminary materials.</w:t>
      </w:r>
    </w:p>
    <w:p>
      <w:pPr>
        <w:spacing w:after="0" w:line="99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581" w:hanging="581"/>
        <w:spacing w:after="0"/>
        <w:tabs>
          <w:tab w:leader="none" w:pos="581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64135</wp:posOffset>
            </wp:positionV>
            <wp:extent cx="6127750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101600</wp:posOffset>
            </wp:positionV>
            <wp:extent cx="6127750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340"/>
          </w:cols>
          <w:pgMar w:left="1119" w:top="375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55499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55499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55499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55499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554990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55499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554990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554990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554990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554990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554990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554990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554990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554990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554990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2022-04-14T15:20:33Z</dcterms:created>
  <dcterms:modified xsi:type="dcterms:W3CDTF">2022-04-14T15:20:33Z</dcterms:modified>
</cp:coreProperties>
</file>