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16, 2015, TPG Specialty Lending, Inc.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 Welcomes TICC Capital Corp.’s Admission of Failed Leadership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Highlights Four Simple Truths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(NYSE:TSLX), a specialty finance company focused on lending to middle-market companies, today issued the following statement on the presentation published by TICC Capital Corp. (“TICC”; Nasdaq: TICC) on October 14, 2015 and the press release TICC issued yesterday.</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The TICC board has no credibility: </w:t>
      </w:r>
      <w:r>
        <w:rPr>
          <w:rFonts w:ascii="Arial" w:cs="Arial" w:eastAsia="Arial" w:hAnsi="Arial"/>
          <w:sz w:val="18"/>
          <w:szCs w:val="18"/>
          <w:color w:val="auto"/>
        </w:rPr>
        <w:t>In its most recent press release and presentation, TICC claimed that voting against the transaction with Benefit Street</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L.L.C. (“BSP”) would leave stockholders’ investments burdened by the “same advisor” and “same Board.” This “same advisor” is the external advisor selected by TICC and the members of its special committee. This “same Board” is the one telling stockholders to back a value-destroying transaction with BSP. This follows the admission that TICC must rotate out of CLO investments after the board oversaw an investment strategy that resulted in 54% of net asset value being held in CLO equity investments,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145415</wp:posOffset>
            </wp:positionV>
            <wp:extent cx="5154295" cy="355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429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The BSP transaction does not ensure better leadership: </w:t>
      </w:r>
      <w:r>
        <w:rPr>
          <w:rFonts w:ascii="Arial" w:cs="Arial" w:eastAsia="Arial" w:hAnsi="Arial"/>
          <w:sz w:val="18"/>
          <w:szCs w:val="18"/>
          <w:color w:val="auto"/>
        </w:rPr>
        <w:t>Under the terms of the transaction with BSP, three of TICC’s current directors, all of whom are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special committee, will stay in place. This suggests that stewardship of stockholder capital will not change under BSP and we believe this is a grave concern for TICC stockholders, who have suffered significant value destruction in recent years.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The BSP transaction is not the only alternative: </w:t>
      </w:r>
      <w:r>
        <w:rPr>
          <w:rFonts w:ascii="Arial" w:cs="Arial" w:eastAsia="Arial" w:hAnsi="Arial"/>
          <w:sz w:val="18"/>
          <w:szCs w:val="18"/>
          <w:color w:val="auto"/>
        </w:rPr>
        <w:t>TSLX has offered TICC stockholders an immediate, upfront premium and the opportunity to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our outperforming platform, yet TICC has refused to meaningfully engage with us. Alternatively, TICC could terminate the current management contract and enter into a transaction with BSP that would offer the $60 million of consideration due to be paid to the existing manager, which has underperformed on all relevant benchmarks, to TICC stockholders instead.</w:t>
      </w:r>
    </w:p>
    <w:p>
      <w:pPr>
        <w:sectPr>
          <w:pgSz w:w="11900" w:h="16838" w:orient="portrait"/>
          <w:cols w:equalWidth="0" w:num="1">
            <w:col w:w="11380"/>
          </w:cols>
          <w:pgMar w:left="240" w:top="274" w:right="279" w:bottom="1440" w:gutter="0" w:footer="0" w:header="0"/>
        </w:sectPr>
      </w:pPr>
    </w:p>
    <w:bookmarkStart w:id="3" w:name="page4"/>
    <w:bookmarkEnd w:id="3"/>
    <w:p>
      <w:pPr>
        <w:ind w:right="16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TSLX’s economics offer stockholders superior value: </w:t>
      </w:r>
      <w:r>
        <w:rPr>
          <w:rFonts w:ascii="Arial" w:cs="Arial" w:eastAsia="Arial" w:hAnsi="Arial"/>
          <w:sz w:val="16"/>
          <w:szCs w:val="16"/>
          <w:color w:val="auto"/>
        </w:rPr>
        <w:t>TICC continues to mislead stockholders over fees. TICC has generated total stockholder returns of</w:t>
      </w:r>
      <w:r>
        <w:rPr>
          <w:rFonts w:ascii="Arial" w:cs="Arial" w:eastAsia="Arial" w:hAnsi="Arial"/>
          <w:sz w:val="16"/>
          <w:szCs w:val="16"/>
          <w:b w:val="1"/>
          <w:bCs w:val="1"/>
          <w:color w:val="auto"/>
        </w:rPr>
        <w:t xml:space="preserve"> </w:t>
      </w:r>
      <w:r>
        <w:rPr>
          <w:rFonts w:ascii="Arial" w:cs="Arial" w:eastAsia="Arial" w:hAnsi="Arial"/>
          <w:sz w:val="16"/>
          <w:szCs w:val="16"/>
          <w:color w:val="auto"/>
        </w:rPr>
        <w:t>NEGATIVE 8.2% year to date as of September 15, 2015, on an annualized basis, while on the same basis TSLX has generated 11.3%, almost 20 percentage points of outperformance (and TICC’s special committee is trying to confuse TICC’s stockholder by referencing metrics that aren’t relevant in active asset management). The fact is TICC has underperformed index funds that track U.S. Treasuries while charging fees that are multiples higher than an index fund.</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2015 YTD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Total Returns</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2015 YTD</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 of 15-Sep)</w:t>
            </w:r>
          </w:p>
        </w:tc>
        <w:tc>
          <w:tcPr>
            <w:tcW w:w="0" w:type="dxa"/>
            <w:vAlign w:val="bottom"/>
          </w:tcPr>
          <w:p>
            <w:pPr>
              <w:spacing w:after="0"/>
              <w:rPr>
                <w:sz w:val="1"/>
                <w:szCs w:val="1"/>
                <w:color w:val="auto"/>
              </w:rPr>
            </w:pPr>
          </w:p>
        </w:tc>
      </w:tr>
      <w:tr>
        <w:trPr>
          <w:trHeight w:val="154"/>
        </w:trPr>
        <w:tc>
          <w:tcPr>
            <w:tcW w:w="5620" w:type="dxa"/>
            <w:vAlign w:val="bottom"/>
            <w:gridSpan w:val="2"/>
            <w:vMerge w:val="continue"/>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Arial" w:cs="Arial" w:eastAsia="Arial" w:hAnsi="Arial"/>
                <w:sz w:val="14"/>
                <w:szCs w:val="14"/>
                <w:color w:val="auto"/>
              </w:rPr>
              <w:t>2014</w:t>
            </w:r>
          </w:p>
        </w:tc>
        <w:tc>
          <w:tcPr>
            <w:tcW w:w="800" w:type="dxa"/>
            <w:vAlign w:val="bottom"/>
          </w:tcPr>
          <w:p>
            <w:pPr>
              <w:spacing w:after="0"/>
              <w:rPr>
                <w:sz w:val="13"/>
                <w:szCs w:val="13"/>
                <w:color w:val="auto"/>
              </w:rPr>
            </w:pPr>
          </w:p>
        </w:tc>
        <w:tc>
          <w:tcPr>
            <w:tcW w:w="1640" w:type="dxa"/>
            <w:vAlign w:val="bottom"/>
            <w:gridSpan w:val="2"/>
          </w:tcPr>
          <w:p>
            <w:pPr>
              <w:jc w:val="right"/>
              <w:ind w:right="820"/>
              <w:spacing w:after="0" w:line="154" w:lineRule="exact"/>
              <w:rPr>
                <w:sz w:val="20"/>
                <w:szCs w:val="20"/>
                <w:color w:val="auto"/>
              </w:rPr>
            </w:pPr>
            <w:r>
              <w:rPr>
                <w:rFonts w:ascii="Arial" w:cs="Arial" w:eastAsia="Arial" w:hAnsi="Arial"/>
                <w:sz w:val="14"/>
                <w:szCs w:val="14"/>
                <w:color w:val="auto"/>
                <w:w w:val="90"/>
              </w:rPr>
              <w:t>(as of 15-Sep)</w:t>
            </w:r>
          </w:p>
        </w:tc>
        <w:tc>
          <w:tcPr>
            <w:tcW w:w="10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5"/>
              </w:rPr>
              <w:t>Annualized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TSLX</w:t>
            </w:r>
          </w:p>
        </w:tc>
        <w:tc>
          <w:tcPr>
            <w:tcW w:w="48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18.2%</w:t>
            </w:r>
          </w:p>
        </w:tc>
        <w:tc>
          <w:tcPr>
            <w:tcW w:w="164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7.8%</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BDC Composite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TICC</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(17.4)%</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Josh Easterly, Chairman and Co-Chief Executive Officer of TSLX, commented:</w:t>
      </w:r>
    </w:p>
    <w:p>
      <w:pPr>
        <w:spacing w:after="0" w:line="22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welcome TICC’s admission that the failed leadership of its board, and specifically its special committee, and the poor performance of its external manager have been detrimental to stockholders. This underscores that the conflicted TICC board, the potentially conflicted special committee, and their recommendation to enter into a transaction with Benefit Street Partners cannot be trusted. TSLX stands ready to engage with TICC and provide TICC stockholders an immediate, upfront premium and the opportunity to participate in our outperforming platform.”</w:t>
      </w:r>
    </w:p>
    <w:p>
      <w:pPr>
        <w:spacing w:after="0" w:line="167" w:lineRule="exact"/>
        <w:rPr>
          <w:sz w:val="20"/>
          <w:szCs w:val="20"/>
          <w:color w:val="auto"/>
        </w:rPr>
      </w:pPr>
    </w:p>
    <w:p>
      <w:pPr>
        <w:ind w:right="2220"/>
        <w:spacing w:after="0" w:line="313" w:lineRule="auto"/>
        <w:rPr>
          <w:sz w:val="20"/>
          <w:szCs w:val="20"/>
          <w:color w:val="auto"/>
        </w:rPr>
      </w:pPr>
      <w:r>
        <w:rPr>
          <w:rFonts w:ascii="Arial" w:cs="Arial" w:eastAsia="Arial" w:hAnsi="Arial"/>
          <w:sz w:val="17"/>
          <w:szCs w:val="17"/>
          <w:color w:val="auto"/>
        </w:rPr>
        <w:t xml:space="preserve">TSLX urges TICC stockholders to vote the </w:t>
      </w:r>
      <w:r>
        <w:rPr>
          <w:rFonts w:ascii="Arial" w:cs="Arial" w:eastAsia="Arial" w:hAnsi="Arial"/>
          <w:sz w:val="17"/>
          <w:szCs w:val="17"/>
          <w:b w:val="1"/>
          <w:bCs w:val="1"/>
          <w:u w:val="single" w:color="auto"/>
          <w:color w:val="auto"/>
        </w:rPr>
        <w:t>GOLD</w:t>
      </w:r>
      <w:r>
        <w:rPr>
          <w:rFonts w:ascii="Arial" w:cs="Arial" w:eastAsia="Arial" w:hAnsi="Arial"/>
          <w:sz w:val="17"/>
          <w:szCs w:val="17"/>
          <w:color w:val="auto"/>
        </w:rPr>
        <w:t xml:space="preserve"> proxy card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proposals related to the BSP Transaction and to visit </w:t>
      </w:r>
      <w:r>
        <w:rPr>
          <w:rFonts w:ascii="Arial" w:cs="Arial" w:eastAsia="Arial" w:hAnsi="Arial"/>
          <w:sz w:val="17"/>
          <w:szCs w:val="17"/>
          <w:u w:val="single" w:color="auto"/>
          <w:color w:val="auto"/>
        </w:rPr>
        <w:t>www.changeTICCnow.com</w:t>
      </w:r>
      <w:r>
        <w:rPr>
          <w:rFonts w:ascii="Arial" w:cs="Arial" w:eastAsia="Arial" w:hAnsi="Arial"/>
          <w:sz w:val="17"/>
          <w:szCs w:val="17"/>
          <w:color w:val="auto"/>
        </w:rPr>
        <w:t xml:space="preserve"> for more information about TSLX’s offer and the deficiencies of management’s proposals.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00"/>
          </w:cols>
          <w:pgMar w:left="240" w:top="270" w:right="259" w:bottom="1440" w:gutter="0" w:footer="0" w:header="0"/>
        </w:sectPr>
      </w:pPr>
    </w:p>
    <w:bookmarkStart w:id="4" w:name="page5"/>
    <w:bookmarkEnd w:id="4"/>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Robert Ollwerther, 212-430-4119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ckoons@mackenziepartners.com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2019-12-20T22:32:32Z</dcterms:created>
  <dcterms:modified xsi:type="dcterms:W3CDTF">2019-12-20T22:32:32Z</dcterms:modified>
</cp:coreProperties>
</file>