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72" w:lineRule="exact"/>
        <w:rPr>
          <w:sz w:val="24"/>
          <w:szCs w:val="24"/>
          <w:color w:val="auto"/>
        </w:rPr>
      </w:pPr>
    </w:p>
    <w:p>
      <w:pPr>
        <w:ind w:left="4360" w:right="2080" w:hanging="4352"/>
        <w:spacing w:after="0" w:line="30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December 31, 2015</w:t>
      </w:r>
    </w:p>
    <w:p>
      <w:pPr>
        <w:ind w:left="5640"/>
        <w:spacing w:after="0"/>
        <w:rPr>
          <w:rFonts w:ascii="MS PGothic" w:cs="MS PGothic" w:eastAsia="MS PGothic" w:hAnsi="MS PGothic"/>
          <w:sz w:val="18"/>
          <w:szCs w:val="18"/>
          <w:color w:val="auto"/>
          <w:highlight w:val="black"/>
        </w:rPr>
      </w:pPr>
      <w:r>
        <w:rPr>
          <w:rFonts w:ascii="Arial" w:cs="Arial" w:eastAsia="Arial" w:hAnsi="Arial"/>
          <w:sz w:val="17"/>
          <w:szCs w:val="17"/>
          <w:b w:val="1"/>
          <w:bCs w:val="1"/>
          <w:color w:val="auto"/>
        </w:rPr>
        <w:t>or</w:t>
      </w:r>
    </w:p>
    <w:p>
      <w:pPr>
        <w:spacing w:after="0" w:line="67" w:lineRule="exact"/>
        <w:rPr>
          <w:sz w:val="24"/>
          <w:szCs w:val="24"/>
          <w:color w:val="auto"/>
        </w:rPr>
      </w:pPr>
    </w:p>
    <w:p>
      <w:pPr>
        <w:ind w:left="4420" w:right="1720" w:hanging="4412"/>
        <w:spacing w:after="0" w:line="324" w:lineRule="auto"/>
        <w:tabs>
          <w:tab w:leader="none" w:pos="5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7"/>
          <w:szCs w:val="17"/>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8255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Pr>
          <w:p>
            <w:pPr>
              <w:jc w:val="center"/>
              <w:ind w:left="1060"/>
              <w:spacing w:after="0"/>
              <w:rPr>
                <w:sz w:val="20"/>
                <w:szCs w:val="20"/>
                <w:color w:val="auto"/>
              </w:rPr>
            </w:pPr>
            <w:r>
              <w:rPr>
                <w:rFonts w:ascii="Arial" w:cs="Arial" w:eastAsia="Arial" w:hAnsi="Arial"/>
                <w:sz w:val="17"/>
                <w:szCs w:val="17"/>
                <w:b w:val="1"/>
                <w:bCs w:val="1"/>
                <w:color w:val="auto"/>
                <w:w w:val="91"/>
              </w:rPr>
              <w:t>Delaware</w:t>
            </w:r>
          </w:p>
        </w:tc>
        <w:tc>
          <w:tcPr>
            <w:tcW w:w="5240" w:type="dxa"/>
            <w:vAlign w:val="bottom"/>
            <w:gridSpan w:val="4"/>
          </w:tcPr>
          <w:p>
            <w:pPr>
              <w:jc w:val="right"/>
              <w:ind w:right="755"/>
              <w:spacing w:after="0"/>
              <w:rPr>
                <w:sz w:val="20"/>
                <w:szCs w:val="20"/>
                <w:color w:val="auto"/>
              </w:rPr>
            </w:pPr>
            <w:r>
              <w:rPr>
                <w:rFonts w:ascii="Arial" w:cs="Arial" w:eastAsia="Arial" w:hAnsi="Arial"/>
                <w:sz w:val="17"/>
                <w:szCs w:val="17"/>
                <w:b w:val="1"/>
                <w:bCs w:val="1"/>
                <w:color w:val="auto"/>
              </w:rPr>
              <w:t>27-3380000</w:t>
            </w:r>
          </w:p>
        </w:tc>
        <w:tc>
          <w:tcPr>
            <w:tcW w:w="0" w:type="dxa"/>
            <w:vAlign w:val="bottom"/>
          </w:tcPr>
          <w:p>
            <w:pPr>
              <w:spacing w:after="0"/>
              <w:rPr>
                <w:sz w:val="1"/>
                <w:szCs w:val="1"/>
                <w:color w:val="auto"/>
              </w:rPr>
            </w:pPr>
          </w:p>
        </w:tc>
      </w:tr>
      <w:tr>
        <w:trPr>
          <w:trHeight w:val="149"/>
        </w:trPr>
        <w:tc>
          <w:tcPr>
            <w:tcW w:w="4580" w:type="dxa"/>
            <w:vAlign w:val="bottom"/>
          </w:tcPr>
          <w:p>
            <w:pPr>
              <w:jc w:val="center"/>
              <w:ind w:left="10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tcPr>
          <w:p>
            <w:pPr>
              <w:spacing w:after="0"/>
              <w:rPr>
                <w:sz w:val="12"/>
                <w:szCs w:val="12"/>
                <w:color w:val="auto"/>
              </w:rPr>
            </w:pPr>
          </w:p>
        </w:tc>
        <w:tc>
          <w:tcPr>
            <w:tcW w:w="2960" w:type="dxa"/>
            <w:vAlign w:val="bottom"/>
            <w:gridSpan w:val="3"/>
          </w:tcPr>
          <w:p>
            <w:pPr>
              <w:jc w:val="center"/>
              <w:ind w:left="38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9"/>
              </w:rPr>
              <w:t>Incorporation or Organization)</w:t>
            </w:r>
          </w:p>
        </w:tc>
        <w:tc>
          <w:tcPr>
            <w:tcW w:w="2280" w:type="dxa"/>
            <w:vAlign w:val="bottom"/>
          </w:tcPr>
          <w:p>
            <w:pPr>
              <w:spacing w:after="0"/>
              <w:rPr>
                <w:sz w:val="15"/>
                <w:szCs w:val="15"/>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33"/>
        </w:trPr>
        <w:tc>
          <w:tcPr>
            <w:tcW w:w="4580" w:type="dxa"/>
            <w:vAlign w:val="bottom"/>
          </w:tcPr>
          <w:p>
            <w:pPr>
              <w:jc w:val="center"/>
              <w:ind w:left="1080"/>
              <w:spacing w:after="0"/>
              <w:rPr>
                <w:sz w:val="20"/>
                <w:szCs w:val="20"/>
                <w:color w:val="auto"/>
              </w:rPr>
            </w:pPr>
            <w:r>
              <w:rPr>
                <w:rFonts w:ascii="Arial" w:cs="Arial" w:eastAsia="Arial" w:hAnsi="Arial"/>
                <w:sz w:val="17"/>
                <w:szCs w:val="17"/>
                <w:b w:val="1"/>
                <w:bCs w:val="1"/>
                <w:color w:val="auto"/>
                <w:w w:val="90"/>
              </w:rPr>
              <w:t>301 Commerce Street, Suite 3300,</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ind w:left="1060"/>
              <w:spacing w:after="0"/>
              <w:rPr>
                <w:sz w:val="20"/>
                <w:szCs w:val="20"/>
                <w:color w:val="auto"/>
              </w:rPr>
            </w:pPr>
            <w:r>
              <w:rPr>
                <w:rFonts w:ascii="Arial" w:cs="Arial" w:eastAsia="Arial" w:hAnsi="Arial"/>
                <w:sz w:val="17"/>
                <w:szCs w:val="17"/>
                <w:b w:val="1"/>
                <w:bCs w:val="1"/>
                <w:color w:val="auto"/>
                <w:w w:val="98"/>
              </w:rPr>
              <w:t>Fort Worth, TX</w:t>
            </w: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7"/>
                <w:szCs w:val="17"/>
                <w:b w:val="1"/>
                <w:bCs w:val="1"/>
                <w:color w:val="auto"/>
              </w:rPr>
              <w:t>76102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920" w:type="dxa"/>
            <w:vAlign w:val="bottom"/>
            <w:gridSpan w:val="4"/>
          </w:tcPr>
          <w:p>
            <w:pPr>
              <w:jc w:val="center"/>
              <w:ind w:left="2440"/>
              <w:spacing w:after="0"/>
              <w:rPr>
                <w:sz w:val="20"/>
                <w:szCs w:val="20"/>
                <w:color w:val="auto"/>
              </w:rPr>
            </w:pPr>
            <w:r>
              <w:rPr>
                <w:rFonts w:ascii="Arial" w:cs="Arial" w:eastAsia="Arial" w:hAnsi="Arial"/>
                <w:sz w:val="17"/>
                <w:szCs w:val="17"/>
                <w:b w:val="1"/>
                <w:bCs w:val="1"/>
                <w:color w:val="auto"/>
                <w:w w:val="90"/>
              </w:rPr>
              <w:t>Registrant’s Telephone Number, Including Area Code: (817) 871-4000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4"/>
              </w:rPr>
              <w:t>Title of each class</w:t>
            </w:r>
          </w:p>
        </w:tc>
        <w:tc>
          <w:tcPr>
            <w:tcW w:w="2280" w:type="dxa"/>
            <w:vAlign w:val="bottom"/>
          </w:tcPr>
          <w:p>
            <w:pPr>
              <w:spacing w:after="0"/>
              <w:rPr>
                <w:sz w:val="20"/>
                <w:szCs w:val="20"/>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40"/>
        </w:trPr>
        <w:tc>
          <w:tcPr>
            <w:tcW w:w="4580" w:type="dxa"/>
            <w:vAlign w:val="bottom"/>
          </w:tcPr>
          <w:p>
            <w:pPr>
              <w:jc w:val="center"/>
              <w:ind w:left="1080"/>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2280" w:type="dxa"/>
            <w:vAlign w:val="bottom"/>
          </w:tcPr>
          <w:p>
            <w:pPr>
              <w:spacing w:after="0"/>
              <w:rPr>
                <w:sz w:val="20"/>
                <w:szCs w:val="20"/>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7"/>
                <w:szCs w:val="17"/>
                <w:b w:val="1"/>
                <w:bCs w:val="1"/>
                <w:color w:val="auto"/>
                <w:w w:val="90"/>
              </w:rPr>
              <w:t>The New York Stock Exchange</w:t>
            </w: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Arial" w:cs="Arial" w:eastAsia="Arial" w:hAnsi="Arial"/>
                <w:sz w:val="17"/>
                <w:szCs w:val="17"/>
                <w:b w:val="1"/>
                <w:bCs w:val="1"/>
                <w:color w:val="auto"/>
                <w:w w:val="89"/>
              </w:rPr>
              <w:t>None</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Arial" w:cs="Arial" w:eastAsia="Arial" w:hAnsi="Arial"/>
                <w:sz w:val="17"/>
                <w:szCs w:val="17"/>
                <w:b w:val="1"/>
                <w:bCs w:val="1"/>
                <w:color w:val="auto"/>
                <w:w w:val="89"/>
              </w:rPr>
              <w:t>(Title of class)</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90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200" w:type="dxa"/>
            <w:vAlign w:val="bottom"/>
            <w:gridSpan w:val="3"/>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7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720" w:type="dxa"/>
            <w:vAlign w:val="bottom"/>
          </w:tcPr>
          <w:p>
            <w:pPr>
              <w:ind w:left="160"/>
              <w:spacing w:after="0" w:line="196" w:lineRule="exact"/>
              <w:rPr>
                <w:sz w:val="20"/>
                <w:szCs w:val="20"/>
                <w:color w:val="auto"/>
              </w:rPr>
            </w:pPr>
            <w:r>
              <w:rPr>
                <w:rFonts w:ascii="Arial" w:cs="Arial" w:eastAsia="Arial" w:hAnsi="Arial"/>
                <w:sz w:val="17"/>
                <w:szCs w:val="17"/>
                <w:color w:val="auto"/>
                <w:w w:val="98"/>
              </w:rPr>
              <w:t xml:space="preserve">YES </w:t>
            </w:r>
            <w:r>
              <w:rPr>
                <w:rFonts w:ascii="MS PGothic" w:cs="MS PGothic" w:eastAsia="MS PGothic" w:hAnsi="MS PGothic"/>
                <w:sz w:val="16"/>
                <w:szCs w:val="16"/>
                <w:color w:val="auto"/>
                <w:w w:val="98"/>
              </w:rPr>
              <w:t>☐</w:t>
            </w:r>
          </w:p>
        </w:tc>
        <w:tc>
          <w:tcPr>
            <w:tcW w:w="90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right="16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80"/>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40"/>
        <w:spacing w:after="0" w:line="21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5" w:lineRule="exact"/>
        <w:rPr>
          <w:sz w:val="24"/>
          <w:szCs w:val="24"/>
          <w:color w:val="auto"/>
        </w:rPr>
      </w:pPr>
    </w:p>
    <w:p>
      <w:pPr>
        <w:ind w:right="2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Securities Exchange Act. (Check one):</w:t>
      </w:r>
    </w:p>
    <w:p>
      <w:pPr>
        <w:sectPr>
          <w:pgSz w:w="11900" w:h="16838" w:orient="portrait"/>
          <w:cols w:equalWidth="0" w:num="1">
            <w:col w:w="11400"/>
          </w:cols>
          <w:pgMar w:left="240" w:top="310" w:right="259" w:bottom="1440" w:gutter="0" w:footer="0" w:header="0"/>
        </w:sectPr>
      </w:pP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860" w:space="720"/>
            <w:col w:w="4760" w:space="720"/>
            <w:col w:w="2400" w:space="720"/>
            <w:col w:w="220"/>
          </w:cols>
          <w:pgMar w:left="240" w:top="310" w:right="25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860" w:space="720"/>
            <w:col w:w="4760" w:space="720"/>
            <w:col w:w="2400" w:space="720"/>
            <w:col w:w="220"/>
          </w:cols>
          <w:pgMar w:left="240" w:top="310" w:right="25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8" w:lineRule="exact"/>
        <w:rPr>
          <w:sz w:val="24"/>
          <w:szCs w:val="24"/>
          <w:color w:val="auto"/>
        </w:rPr>
      </w:pPr>
    </w:p>
    <w:p>
      <w:pPr>
        <w:sectPr>
          <w:pgSz w:w="11900" w:h="16838" w:orient="portrait"/>
          <w:cols w:equalWidth="0" w:num="5">
            <w:col w:w="7060" w:space="160"/>
            <w:col w:w="320" w:space="80"/>
            <w:col w:w="160" w:space="160"/>
            <w:col w:w="260" w:space="80"/>
            <w:col w:w="3120"/>
          </w:cols>
          <w:pgMar w:left="240" w:top="310" w:right="259" w:bottom="1440" w:gutter="0" w:footer="0" w:header="0"/>
          <w:type w:val="continuous"/>
        </w:sectPr>
      </w:pPr>
    </w:p>
    <w:p>
      <w:pPr>
        <w:jc w:val="both"/>
        <w:spacing w:after="0" w:line="261" w:lineRule="auto"/>
        <w:rPr>
          <w:sz w:val="20"/>
          <w:szCs w:val="20"/>
          <w:color w:val="auto"/>
        </w:rPr>
      </w:pPr>
      <w:r>
        <w:rPr>
          <w:rFonts w:ascii="Arial" w:cs="Arial" w:eastAsia="Arial" w:hAnsi="Arial"/>
          <w:sz w:val="17"/>
          <w:szCs w:val="17"/>
          <w:color w:val="auto"/>
        </w:rPr>
        <w:t>The aggregate market value of the voting stock held by non-affiliates of the registrant on June 30, 2015, based on the closing price on that date of $17.00 on The New York Stock Exchange, was approximately $869,892,244. The number of shares of the registrant’s common stock, $.01 par value per share, outstanding at February 23, 2016 was 54,226,188.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6" w:lineRule="exact"/>
        <w:rPr>
          <w:sz w:val="24"/>
          <w:szCs w:val="24"/>
          <w:color w:val="auto"/>
        </w:rPr>
      </w:pPr>
    </w:p>
    <w:p>
      <w:pPr>
        <w:ind w:left="37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for the 2016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551815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40" w:type="dxa"/>
            <w:vAlign w:val="bottom"/>
            <w:gridSpan w:val="9"/>
          </w:tcPr>
          <w:p>
            <w:pPr>
              <w:jc w:val="center"/>
              <w:ind w:right="3460"/>
              <w:spacing w:after="0"/>
              <w:rPr>
                <w:sz w:val="20"/>
                <w:szCs w:val="20"/>
                <w:color w:val="auto"/>
              </w:rPr>
            </w:pPr>
            <w:r>
              <w:rPr>
                <w:rFonts w:ascii="Arial" w:cs="Arial" w:eastAsia="Arial" w:hAnsi="Arial"/>
                <w:sz w:val="22"/>
                <w:szCs w:val="22"/>
                <w:b w:val="1"/>
                <w:bCs w:val="1"/>
                <w:color w:val="auto"/>
                <w:w w:val="99"/>
              </w:rPr>
              <w:t>TPG SPECIALTY LENDING,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3"/>
              </w:rPr>
              <w:t>Index to Annual Report on Form 10-K for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4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0"/>
              </w:rPr>
              <w:t>Year Ended December 31, 2015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2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vMerge w:val="continue"/>
          </w:tcPr>
          <w:p>
            <w:pPr>
              <w:spacing w:after="0"/>
              <w:rPr>
                <w:sz w:val="13"/>
                <w:szCs w:val="13"/>
                <w:color w:val="auto"/>
              </w:rPr>
            </w:pPr>
          </w:p>
        </w:tc>
        <w:tc>
          <w:tcPr>
            <w:tcW w:w="26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36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1000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1000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Properties</w:t>
              </w:r>
            </w:hyperlink>
          </w:p>
        </w:tc>
        <w:tc>
          <w:tcPr>
            <w:tcW w:w="796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866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860" w:type="dxa"/>
            <w:vAlign w:val="bottom"/>
            <w:gridSpan w:val="5"/>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200" w:type="dxa"/>
            <w:vAlign w:val="bottom"/>
            <w:gridSpan w:val="3"/>
          </w:tcPr>
          <w:p>
            <w:pPr>
              <w:spacing w:after="0"/>
              <w:rPr>
                <w:sz w:val="17"/>
                <w:szCs w:val="17"/>
                <w:color w:val="auto"/>
              </w:rPr>
            </w:pPr>
          </w:p>
        </w:tc>
        <w:tc>
          <w:tcPr>
            <w:tcW w:w="80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Market for Registrant’s Common Equity, Related Stockholder Matters and Issuer Purchases of Equity Securities</w:t>
              </w:r>
            </w:hyperlink>
          </w:p>
        </w:tc>
        <w:tc>
          <w:tcPr>
            <w:tcW w:w="19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000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Selected Financial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Management’s Discussion and Analysis of Financial Condition and Results of Operations</w:t>
              </w:r>
            </w:hyperlink>
          </w:p>
        </w:tc>
        <w:tc>
          <w:tcPr>
            <w:tcW w:w="354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Quantitative and Qualitative Disclosures About Market Risk</w:t>
              </w:r>
            </w:hyperlink>
          </w:p>
        </w:tc>
        <w:tc>
          <w:tcPr>
            <w:tcW w:w="564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1000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Financial Statements and Supplementary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Changes in and Disagreements with Accountants on Accounting and Financial Disclosure</w:t>
              </w:r>
            </w:hyperlink>
          </w:p>
        </w:tc>
        <w:tc>
          <w:tcPr>
            <w:tcW w:w="352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0000" w:type="dxa"/>
            <w:vAlign w:val="bottom"/>
            <w:gridSpan w:val="20"/>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Controls and Procedures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Other Information</w:t>
              </w:r>
            </w:hyperlink>
          </w:p>
        </w:tc>
        <w:tc>
          <w:tcPr>
            <w:tcW w:w="824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1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III</w:t>
              </w:r>
            </w:hyperlink>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Directors, Executive Officers and Corporate Governance</w:t>
              </w:r>
            </w:hyperlink>
          </w:p>
        </w:tc>
        <w:tc>
          <w:tcPr>
            <w:tcW w:w="590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0000" w:type="dxa"/>
            <w:vAlign w:val="bottom"/>
            <w:gridSpan w:val="2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Executive Compensation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Security Ownership of Certain Beneficial Owners and Management and Related Stockholder Matters</w:t>
              </w:r>
            </w:hyperlink>
          </w:p>
        </w:tc>
        <w:tc>
          <w:tcPr>
            <w:tcW w:w="27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Certain Relationships and Related Transactions, and Director Independence</w:t>
              </w:r>
            </w:hyperlink>
          </w:p>
        </w:tc>
        <w:tc>
          <w:tcPr>
            <w:tcW w:w="454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10000" w:type="dxa"/>
            <w:vAlign w:val="bottom"/>
            <w:gridSpan w:val="2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Principal Accountant Fees and Services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860" w:type="dxa"/>
            <w:vAlign w:val="bottom"/>
            <w:gridSpan w:val="5"/>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15.</w:t>
            </w:r>
          </w:p>
        </w:tc>
        <w:tc>
          <w:tcPr>
            <w:tcW w:w="140" w:type="dxa"/>
            <w:vAlign w:val="bottom"/>
            <w:gridSpan w:val="2"/>
          </w:tcPr>
          <w:p>
            <w:pPr>
              <w:spacing w:after="0"/>
              <w:rPr>
                <w:sz w:val="17"/>
                <w:szCs w:val="17"/>
                <w:color w:val="auto"/>
              </w:rPr>
            </w:pP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Exhibits and Financial Statement Schedules</w:t>
              </w:r>
            </w:hyperlink>
          </w:p>
        </w:tc>
        <w:tc>
          <w:tcPr>
            <w:tcW w:w="684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elsewhere in our filings with the SEC.</w:t>
      </w:r>
    </w:p>
    <w:p>
      <w:pPr>
        <w:spacing w:after="0" w:line="23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380" w:firstLine="259"/>
        <w:spacing w:after="0" w:line="264" w:lineRule="auto"/>
        <w:rPr>
          <w:sz w:val="20"/>
          <w:szCs w:val="20"/>
          <w:color w:val="auto"/>
        </w:rPr>
      </w:pPr>
      <w:r>
        <w:rPr>
          <w:rFonts w:ascii="Arial" w:cs="Arial" w:eastAsia="Arial" w:hAnsi="Arial"/>
          <w:sz w:val="18"/>
          <w:szCs w:val="18"/>
          <w:color w:val="auto"/>
        </w:rPr>
        <w:t>In this Annual Report, except where the context suggests otherwise, the terms “TSL,” “we,” “us,” “our,” and “the Company” refer to TPG Specialty Lending, Inc. The term “Adviser” refers to TSL Advisers, LLC, a Delaware limited liability company. The term “TSSP” refers to TPG Special Situations Partners. The term “TPG” refers to TPG Global, LLC and its affiliates.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100" w:firstLine="259"/>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2015, we have originated more than $4.3 billion aggregate principal amount of investments and retained approximately $2.9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2015, our core portfolio companies, which exclude certain investments that fall outside of our typical borrower profile and represent 87% of our total investments based on fair value, had weighted average annual revenue of $128 million and weighted average annual EBITDA of $33 million.</w:t>
      </w:r>
    </w:p>
    <w:p>
      <w:pPr>
        <w:spacing w:after="0" w:line="182"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as a business development company, or a BDC, since we began our investment activities in July 2011, and we are currently one of the largest BDCs by total assets.</w:t>
      </w:r>
    </w:p>
    <w:p>
      <w:pPr>
        <w:spacing w:after="0" w:line="181" w:lineRule="exact"/>
        <w:rPr>
          <w:sz w:val="20"/>
          <w:szCs w:val="20"/>
          <w:color w:val="auto"/>
        </w:rPr>
      </w:pPr>
    </w:p>
    <w:p>
      <w:pPr>
        <w:ind w:firstLine="259"/>
        <w:spacing w:after="0" w:line="284"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2015, based on fair value our portfolio consisted of 88.2% first-lien debt investments, 8.1% second-lien debt investments, 1.9% mezzanine and unsecured debt investments, and 1.8% equity and other investments. Approximately 95.3% of our debt investments based on fair value as of December 31, 2015 are floating rate in nature (when including investment specific hedges), with</w:t>
      </w:r>
    </w:p>
    <w:p>
      <w:pPr>
        <w:spacing w:after="0" w:line="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94.2% of these subject to interest rate floors, which we believe helps act as a portfolio-wide hedge against inflation. As of December 31, 2015 we had investments in 46 portfolio companies. As of December 31, 2015, the average investment size in each of our portfolio companies was approximately $32 million based on fair value. As of December 31, 2015, the largest single investment based on fair value represented 4.9% of our total investment portfolio.</w:t>
      </w:r>
    </w:p>
    <w:p>
      <w:pPr>
        <w:spacing w:after="0" w:line="155" w:lineRule="exact"/>
        <w:rPr>
          <w:sz w:val="20"/>
          <w:szCs w:val="20"/>
          <w:color w:val="auto"/>
        </w:rPr>
      </w:pPr>
    </w:p>
    <w:p>
      <w:pPr>
        <w:ind w:right="180" w:firstLine="259"/>
        <w:spacing w:after="0" w:line="308" w:lineRule="auto"/>
        <w:rPr>
          <w:sz w:val="20"/>
          <w:szCs w:val="20"/>
          <w:color w:val="auto"/>
        </w:rPr>
      </w:pPr>
      <w:r>
        <w:rPr>
          <w:rFonts w:ascii="Arial" w:cs="Arial" w:eastAsia="Arial" w:hAnsi="Arial"/>
          <w:sz w:val="17"/>
          <w:szCs w:val="17"/>
          <w:color w:val="auto"/>
        </w:rPr>
        <w:t>As of December 31, 2015, our portfolio was invested across 20 different industries. The largest industries in our portfolio as of December 31, 2015 were business services and healthcare, which represented, as a percentage of our portfolio, 21.2%, and 18.0%, respectively, based on fair value.</w:t>
      </w:r>
    </w:p>
    <w:p>
      <w:pPr>
        <w:spacing w:after="0" w:line="147"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BDC under the Investment Company Act of 1940, as amended, or the 1940 Act. In addition, for U.S. income tax purposes, we have elected to be treated as a regulated investment company, or RIC, under Subchapter M of the Internal Revenue Code of 1986, as amended, which we refer to as the Code. Because we elected to be a BDC and have elected to be treated as a RIC for U.S. tax purposes, our portfolio is and will continue to be subject to diversification and other requirements to maintain such status elections.</w:t>
      </w:r>
    </w:p>
    <w:p>
      <w:pPr>
        <w:spacing w:after="0" w:line="188"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ind w:right="380"/>
        <w:spacing w:after="0" w:line="264" w:lineRule="auto"/>
        <w:rPr>
          <w:sz w:val="20"/>
          <w:szCs w:val="20"/>
          <w:color w:val="auto"/>
        </w:rPr>
      </w:pPr>
      <w:r>
        <w:rPr>
          <w:rFonts w:ascii="Arial" w:cs="Arial" w:eastAsia="Arial" w:hAnsi="Arial"/>
          <w:sz w:val="18"/>
          <w:szCs w:val="18"/>
          <w:color w:val="auto"/>
        </w:rPr>
        <w:t>of preferred stock offerings to make investments has its own specific set of benefits and risks, and all of the costs of borrowing funds or issuing preferred stock are borne by us, and ultimately the holders of our common stock. See “</w:t>
      </w:r>
      <w:r>
        <w:rPr>
          <w:rFonts w:ascii="Arial" w:cs="Arial" w:eastAsia="Arial" w:hAnsi="Arial"/>
          <w:sz w:val="18"/>
          <w:szCs w:val="18"/>
          <w:i w:val="1"/>
          <w:iCs w:val="1"/>
          <w:color w:val="auto"/>
        </w:rPr>
        <w:t>ITEM 1A. Risk Factors</w:t>
      </w:r>
      <w:r>
        <w:rPr>
          <w:rFonts w:ascii="Arial" w:cs="Arial" w:eastAsia="Arial" w:hAnsi="Arial"/>
          <w:sz w:val="18"/>
          <w:szCs w:val="18"/>
          <w:color w:val="auto"/>
        </w:rPr>
        <w:t>—</w:t>
      </w:r>
      <w:r>
        <w:rPr>
          <w:rFonts w:ascii="Arial" w:cs="Arial" w:eastAsia="Arial" w:hAnsi="Arial"/>
          <w:sz w:val="18"/>
          <w:szCs w:val="18"/>
          <w:i w:val="1"/>
          <w:iCs w:val="1"/>
          <w:color w:val="auto"/>
        </w:rPr>
        <w:t>Risks Related to Our Business and Structure—We</w:t>
      </w:r>
      <w:r>
        <w:rPr>
          <w:rFonts w:ascii="Arial" w:cs="Arial" w:eastAsia="Arial" w:hAnsi="Arial"/>
          <w:sz w:val="18"/>
          <w:szCs w:val="18"/>
          <w:color w:val="auto"/>
        </w:rPr>
        <w:t xml:space="preserve"> </w:t>
      </w:r>
      <w:r>
        <w:rPr>
          <w:rFonts w:ascii="Arial" w:cs="Arial" w:eastAsia="Arial" w:hAnsi="Arial"/>
          <w:sz w:val="18"/>
          <w:szCs w:val="18"/>
          <w:i w:val="1"/>
          <w:iCs w:val="1"/>
          <w:color w:val="auto"/>
        </w:rPr>
        <w:t>borrow money, which magnifies the potential for gain or loss and increases the risk of investing in us.”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Adviser, TSSP and TPG</w:t>
      </w:r>
    </w:p>
    <w:p>
      <w:pPr>
        <w:spacing w:after="0" w:line="121"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LLC, or “TSSP”.</w:t>
      </w:r>
    </w:p>
    <w:p>
      <w:pPr>
        <w:spacing w:after="0" w:line="189" w:lineRule="exact"/>
        <w:rPr>
          <w:sz w:val="20"/>
          <w:szCs w:val="20"/>
          <w:color w:val="auto"/>
        </w:rPr>
      </w:pPr>
    </w:p>
    <w:p>
      <w:pPr>
        <w:ind w:right="140" w:firstLine="259"/>
        <w:spacing w:after="0" w:line="272" w:lineRule="auto"/>
        <w:rPr>
          <w:sz w:val="20"/>
          <w:szCs w:val="20"/>
          <w:color w:val="auto"/>
        </w:rPr>
      </w:pPr>
      <w:r>
        <w:rPr>
          <w:rFonts w:ascii="Arial" w:cs="Arial" w:eastAsia="Arial" w:hAnsi="Arial"/>
          <w:sz w:val="17"/>
          <w:szCs w:val="17"/>
          <w:color w:val="auto"/>
        </w:rPr>
        <w:t>TSSP, with over $16 billion of assets under management as of December 31, 2015,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Twenty six (26) of these personnel are dedicated to our business, including 18 investment professionals.</w:t>
      </w:r>
    </w:p>
    <w:p>
      <w:pPr>
        <w:spacing w:after="0" w:line="178"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TPG is a leading global private investment firm founded in 1992 with $70.2 billion of assets under management as of September 30, 2015,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7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 xml:space="preserve">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Arial" w:cs="Arial" w:eastAsia="Arial" w:hAnsi="Arial"/>
          <w:sz w:val="18"/>
          <w:szCs w:val="18"/>
          <w:i w:val="1"/>
          <w:iCs w:val="1"/>
          <w:color w:val="auto"/>
        </w:rPr>
        <w:t>"Regulation as a Business Development -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with our affiliates.”</w:t>
      </w:r>
    </w:p>
    <w:p>
      <w:pPr>
        <w:spacing w:after="0" w:line="188"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640" w:firstLine="259"/>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Arial" w:cs="Arial" w:eastAsia="Arial" w:hAnsi="Arial"/>
          <w:sz w:val="17"/>
          <w:szCs w:val="17"/>
          <w:i w:val="1"/>
          <w:iCs w:val="1"/>
          <w:color w:val="auto"/>
        </w:rPr>
        <w:t>Management Agreements—Investment Advisory</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 Administration Agreement; License Agreement</w:t>
      </w:r>
      <w:r>
        <w:rPr>
          <w:rFonts w:ascii="Arial" w:cs="Arial" w:eastAsia="Arial" w:hAnsi="Arial"/>
          <w:sz w:val="17"/>
          <w:szCs w:val="17"/>
          <w:color w:val="auto"/>
        </w:rPr>
        <w:t>.” Our Board monitors the mix and performance of our investments over time and seeks to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itself that the Adviser is acting in our interests and that our fee structure appropriately incentivizes the Adviser to do so.</w:t>
      </w:r>
    </w:p>
    <w:p>
      <w:pPr>
        <w:spacing w:after="0" w:line="173"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On November 3, 2015, our Board renewed the Investment Advisory Agreement. Unless earlier terminated, the Investment Advisory Agreement will remain in effect until November 3, 2016, and may be extended subject to required approvals.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investment approach involves, among other things:</w:t>
      </w:r>
    </w:p>
    <w:p>
      <w:pPr>
        <w:spacing w:after="0" w:line="117"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assessment of the markets, overall macroeconomic environment and how the assessment may impact industry and investment selection;</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38"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and Sourcing</w:t>
      </w:r>
    </w:p>
    <w:p>
      <w:pPr>
        <w:spacing w:after="0" w:line="11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Process</w:t>
      </w:r>
    </w:p>
    <w:p>
      <w:pPr>
        <w:spacing w:after="0" w:line="11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9"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17" w:lineRule="exact"/>
        <w:rPr>
          <w:rFonts w:ascii="Arial" w:cs="Arial" w:eastAsia="Arial" w:hAnsi="Arial"/>
          <w:sz w:val="18"/>
          <w:szCs w:val="18"/>
          <w:color w:val="auto"/>
        </w:rPr>
      </w:pPr>
    </w:p>
    <w:p>
      <w:pPr>
        <w:ind w:left="520" w:right="360" w:hanging="255"/>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performing a detailed review of historical financial performance, including performance through various economic cycles, and the quality of earnings;</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 Investment Process</w:t>
      </w:r>
    </w:p>
    <w:p>
      <w:pPr>
        <w:spacing w:after="0" w:line="117"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Formal Commitment</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40" w:lineRule="exact"/>
        <w:rPr>
          <w:sz w:val="20"/>
          <w:szCs w:val="20"/>
          <w:color w:val="auto"/>
        </w:rPr>
      </w:pPr>
    </w:p>
    <w:p>
      <w:pPr>
        <w:ind w:left="520" w:hanging="25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ind w:left="520" w:right="20" w:hanging="255"/>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73" w:lineRule="exact"/>
        <w:rPr>
          <w:rFonts w:ascii="Arial" w:cs="Arial" w:eastAsia="Arial" w:hAnsi="Arial"/>
          <w:sz w:val="18"/>
          <w:szCs w:val="18"/>
          <w:color w:val="auto"/>
        </w:rPr>
      </w:pPr>
    </w:p>
    <w:p>
      <w:pPr>
        <w:ind w:left="520" w:right="260" w:hanging="255"/>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 w:name="page8"/>
    <w:bookmarkEnd w:id="7"/>
    <w:p>
      <w:pPr>
        <w:ind w:left="520" w:right="20" w:hanging="255"/>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right="240" w:hanging="255"/>
        <w:spacing w:after="0" w:line="276"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4" w:lineRule="exact"/>
        <w:rPr>
          <w:rFonts w:ascii="Arial" w:cs="Arial" w:eastAsia="Arial" w:hAnsi="Arial"/>
          <w:sz w:val="17"/>
          <w:szCs w:val="17"/>
          <w:color w:val="auto"/>
        </w:rPr>
      </w:pPr>
    </w:p>
    <w:p>
      <w:pPr>
        <w:ind w:left="520" w:right="140" w:hanging="255"/>
        <w:spacing w:after="0" w:line="259"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color w:val="auto"/>
        </w:rPr>
        <w:t xml:space="preserve">For more information on the investment performance ratings of our portfolio, see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TPG.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w:t>
      </w:r>
    </w:p>
    <w:p>
      <w:pPr>
        <w:spacing w:after="0" w:line="11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9" w:lineRule="exact"/>
        <w:rPr>
          <w:sz w:val="20"/>
          <w:szCs w:val="20"/>
          <w:color w:val="auto"/>
        </w:rPr>
      </w:pPr>
    </w:p>
    <w:p>
      <w:pPr>
        <w:ind w:left="520" w:right="100" w:hanging="255"/>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71" w:lineRule="exact"/>
        <w:rPr>
          <w:rFonts w:ascii="Arial" w:cs="Arial" w:eastAsia="Arial" w:hAnsi="Arial"/>
          <w:sz w:val="18"/>
          <w:szCs w:val="18"/>
          <w:color w:val="auto"/>
        </w:rPr>
      </w:pPr>
    </w:p>
    <w:p>
      <w:pPr>
        <w:ind w:left="780" w:right="60" w:hanging="259"/>
        <w:spacing w:after="0" w:line="282" w:lineRule="auto"/>
        <w:tabs>
          <w:tab w:leader="none" w:pos="7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subject to the first-priority security interest.</w:t>
      </w:r>
    </w:p>
    <w:p>
      <w:pPr>
        <w:spacing w:after="0" w:line="53" w:lineRule="exact"/>
        <w:rPr>
          <w:rFonts w:ascii="Arial" w:cs="Arial" w:eastAsia="Arial" w:hAnsi="Arial"/>
          <w:sz w:val="18"/>
          <w:szCs w:val="18"/>
          <w:color w:val="auto"/>
        </w:rPr>
      </w:pPr>
    </w:p>
    <w:p>
      <w:pPr>
        <w:ind w:left="780" w:hanging="259"/>
        <w:spacing w:after="0" w:line="255" w:lineRule="auto"/>
        <w:tabs>
          <w:tab w:leader="none" w:pos="7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“Last out” first-lien loans. </w:t>
      </w:r>
      <w:r>
        <w:rPr>
          <w:rFonts w:ascii="Arial" w:cs="Arial" w:eastAsia="Arial" w:hAnsi="Arial"/>
          <w:sz w:val="18"/>
          <w:szCs w:val="18"/>
          <w:color w:val="auto"/>
        </w:rPr>
        <w:t>“Last out” first-lien loans have a secondary priority behind super-senior “first out” first-lien loans in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7" w:lineRule="exact"/>
        <w:rPr>
          <w:rFonts w:ascii="Arial" w:cs="Arial" w:eastAsia="Arial" w:hAnsi="Arial"/>
          <w:sz w:val="18"/>
          <w:szCs w:val="18"/>
          <w:color w:val="auto"/>
        </w:rPr>
      </w:pPr>
    </w:p>
    <w:p>
      <w:pPr>
        <w:ind w:left="780" w:hanging="259"/>
        <w:spacing w:after="0" w:line="289" w:lineRule="auto"/>
        <w:tabs>
          <w:tab w:leader="none" w:pos="780" w:val="left"/>
        </w:tabs>
        <w:numPr>
          <w:ilvl w:val="1"/>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“Unitranche” loans. </w:t>
      </w:r>
      <w:r>
        <w:rPr>
          <w:rFonts w:ascii="Arial" w:cs="Arial" w:eastAsia="Arial" w:hAnsi="Arial"/>
          <w:sz w:val="17"/>
          <w:szCs w:val="17"/>
          <w:color w:val="auto"/>
        </w:rPr>
        <w:t>Unitranche loans combine features of first-lien, second-lien and mezzanine debt, generally in a first-lien position. In many</w:t>
      </w:r>
      <w:r>
        <w:rPr>
          <w:rFonts w:ascii="Arial" w:cs="Arial" w:eastAsia="Arial" w:hAnsi="Arial"/>
          <w:sz w:val="17"/>
          <w:szCs w:val="17"/>
          <w:b w:val="1"/>
          <w:bCs w:val="1"/>
          <w:color w:val="auto"/>
        </w:rPr>
        <w:t xml:space="preserve"> </w:t>
      </w:r>
      <w:r>
        <w:rPr>
          <w:rFonts w:ascii="Arial" w:cs="Arial" w:eastAsia="Arial" w:hAnsi="Arial"/>
          <w:sz w:val="17"/>
          <w:szCs w:val="17"/>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0" w:lineRule="exact"/>
        <w:rPr>
          <w:rFonts w:ascii="Arial" w:cs="Arial" w:eastAsia="Arial" w:hAnsi="Arial"/>
          <w:sz w:val="17"/>
          <w:szCs w:val="17"/>
          <w:color w:val="auto"/>
        </w:rPr>
      </w:pPr>
    </w:p>
    <w:p>
      <w:pPr>
        <w:ind w:left="520" w:right="160" w:hanging="255"/>
        <w:spacing w:after="0" w:line="28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left="520" w:right="60"/>
        <w:spacing w:after="0" w:line="264" w:lineRule="auto"/>
        <w:rPr>
          <w:sz w:val="20"/>
          <w:szCs w:val="20"/>
          <w:color w:val="auto"/>
        </w:rPr>
      </w:pPr>
      <w:r>
        <w:rPr>
          <w:rFonts w:ascii="Arial" w:cs="Arial" w:eastAsia="Arial" w:hAnsi="Arial"/>
          <w:sz w:val="18"/>
          <w:szCs w:val="18"/>
          <w:color w:val="auto"/>
        </w:rPr>
        <w:t>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69" w:lineRule="exact"/>
        <w:rPr>
          <w:sz w:val="20"/>
          <w:szCs w:val="20"/>
          <w:color w:val="auto"/>
        </w:rPr>
      </w:pPr>
    </w:p>
    <w:p>
      <w:pPr>
        <w:ind w:left="520" w:right="80" w:hanging="255"/>
        <w:spacing w:after="0" w:line="291"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“Mezzanine” and “Unsecured” debt. </w:t>
      </w:r>
      <w:r>
        <w:rPr>
          <w:rFonts w:ascii="Arial" w:cs="Arial" w:eastAsia="Arial" w:hAnsi="Arial"/>
          <w:sz w:val="16"/>
          <w:szCs w:val="16"/>
          <w:color w:val="auto"/>
        </w:rPr>
        <w:t>Structurally, mezzanine debt usually ranks subordinate in priority of payment to first-lien and second-lien debt</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64"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2" w:lineRule="exact"/>
        <w:rPr>
          <w:sz w:val="20"/>
          <w:szCs w:val="20"/>
          <w:color w:val="auto"/>
        </w:rPr>
      </w:pPr>
    </w:p>
    <w:p>
      <w:pPr>
        <w:ind w:left="520" w:hanging="255"/>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28" w:lineRule="exact"/>
        <w:rPr>
          <w:rFonts w:ascii="Arial" w:cs="Arial" w:eastAsia="Arial" w:hAnsi="Arial"/>
          <w:sz w:val="17"/>
          <w:szCs w:val="17"/>
          <w:color w:val="auto"/>
        </w:rPr>
      </w:pPr>
    </w:p>
    <w:p>
      <w:pPr>
        <w:ind w:left="520" w:right="20" w:hanging="255"/>
        <w:spacing w:after="0" w:line="259"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Other Investments</w:t>
      </w:r>
    </w:p>
    <w:p>
      <w:pPr>
        <w:spacing w:after="0" w:line="11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also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As of December 31, 2015 and 2014, we had made investments with an aggregate fair value of $1,485.7 million and $1,263.5 million, respectively, in 46 and 34 portfolio companies,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consisted of the following at December 31,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2015</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gridSpan w:val="2"/>
          </w:tcPr>
          <w:p>
            <w:pPr>
              <w:ind w:left="1140"/>
              <w:spacing w:after="0"/>
              <w:rPr>
                <w:sz w:val="20"/>
                <w:szCs w:val="20"/>
                <w:color w:val="auto"/>
              </w:rPr>
            </w:pPr>
            <w:r>
              <w:rPr>
                <w:rFonts w:ascii="Arial" w:cs="Arial" w:eastAsia="Arial" w:hAnsi="Arial"/>
                <w:sz w:val="14"/>
                <w:szCs w:val="14"/>
                <w:color w:val="auto"/>
              </w:rPr>
              <w:t>($ in millions)</w:t>
            </w:r>
          </w:p>
        </w:tc>
        <w:tc>
          <w:tcPr>
            <w:tcW w:w="2660" w:type="dxa"/>
            <w:vAlign w:val="bottom"/>
            <w:gridSpan w:val="3"/>
          </w:tcPr>
          <w:p>
            <w:pPr>
              <w:ind w:left="148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4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vMerge w:val="continue"/>
            <w:shd w:val="clear" w:color="auto" w:fill="CFF0FC"/>
          </w:tcPr>
          <w:p>
            <w:pPr>
              <w:spacing w:after="0"/>
              <w:rPr>
                <w:sz w:val="19"/>
                <w:szCs w:val="19"/>
                <w:color w:val="auto"/>
              </w:rPr>
            </w:pPr>
          </w:p>
        </w:tc>
        <w:tc>
          <w:tcPr>
            <w:tcW w:w="14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1,310.2</w:t>
            </w:r>
          </w:p>
        </w:tc>
        <w:tc>
          <w:tcPr>
            <w:tcW w:w="2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vMerge w:val="continue"/>
            <w:shd w:val="clear" w:color="auto" w:fill="CFF0FC"/>
          </w:tcPr>
          <w:p>
            <w:pPr>
              <w:spacing w:after="0"/>
              <w:rPr>
                <w:sz w:val="19"/>
                <w:szCs w:val="19"/>
                <w:color w:val="auto"/>
              </w:rPr>
            </w:pPr>
          </w:p>
        </w:tc>
        <w:tc>
          <w:tcPr>
            <w:tcW w:w="14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CFF0FC"/>
            </w:tcBorders>
            <w:vMerge w:val="restart"/>
          </w:tcPr>
          <w:p>
            <w:pPr>
              <w:jc w:val="right"/>
              <w:ind w:right="619"/>
              <w:spacing w:after="0"/>
              <w:rPr>
                <w:sz w:val="20"/>
                <w:szCs w:val="20"/>
                <w:color w:val="auto"/>
              </w:rPr>
            </w:pPr>
            <w:r>
              <w:rPr>
                <w:rFonts w:ascii="Arial" w:cs="Arial" w:eastAsia="Arial" w:hAnsi="Arial"/>
                <w:sz w:val="18"/>
                <w:szCs w:val="18"/>
                <w:color w:val="auto"/>
              </w:rPr>
              <w:t>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2014</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80" w:type="dxa"/>
            <w:vAlign w:val="bottom"/>
            <w:gridSpan w:val="3"/>
          </w:tcPr>
          <w:p>
            <w:pPr>
              <w:ind w:left="11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1,124.2</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2015 and 2014 was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5"/>
              </w:rPr>
              <w:t>December 31, 2015</w:t>
            </w:r>
          </w:p>
        </w:tc>
        <w:tc>
          <w:tcPr>
            <w:tcW w:w="3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December 31, 2014</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Chemicals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Electronics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Healthcare</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Internet services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Metals and mining</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Pharmaceuticals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2015 and 2014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2015</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 2014</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40" w:type="dxa"/>
            <w:vAlign w:val="bottom"/>
          </w:tcPr>
          <w:p>
            <w:pPr>
              <w:ind w:left="240"/>
              <w:spacing w:after="0"/>
              <w:rPr>
                <w:sz w:val="20"/>
                <w:szCs w:val="20"/>
                <w:color w:val="auto"/>
              </w:rPr>
            </w:pPr>
            <w:r>
              <w:rPr>
                <w:rFonts w:ascii="Arial" w:cs="Arial" w:eastAsia="Arial" w:hAnsi="Arial"/>
                <w:sz w:val="18"/>
                <w:szCs w:val="18"/>
                <w:color w:val="auto"/>
              </w:rPr>
              <w:t>Midwest</w:t>
            </w:r>
          </w:p>
        </w:tc>
        <w:tc>
          <w:tcPr>
            <w:tcW w:w="4040" w:type="dxa"/>
            <w:vAlign w:val="bottom"/>
            <w:gridSpan w:val="3"/>
          </w:tcPr>
          <w:p>
            <w:pPr>
              <w:jc w:val="right"/>
              <w:ind w:right="160"/>
              <w:spacing w:after="0"/>
              <w:rPr>
                <w:sz w:val="20"/>
                <w:szCs w:val="20"/>
                <w:color w:val="auto"/>
              </w:rPr>
            </w:pPr>
            <w:r>
              <w:rPr>
                <w:rFonts w:ascii="Arial" w:cs="Arial" w:eastAsia="Arial" w:hAnsi="Arial"/>
                <w:sz w:val="18"/>
                <w:szCs w:val="18"/>
                <w:color w:val="auto"/>
              </w:rPr>
              <w:t>9.9%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4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21.9%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40" w:type="dxa"/>
            <w:vAlign w:val="bottom"/>
          </w:tcPr>
          <w:p>
            <w:pPr>
              <w:ind w:left="240"/>
              <w:spacing w:after="0"/>
              <w:rPr>
                <w:sz w:val="20"/>
                <w:szCs w:val="20"/>
                <w:color w:val="auto"/>
              </w:rPr>
            </w:pPr>
            <w:r>
              <w:rPr>
                <w:rFonts w:ascii="Arial" w:cs="Arial" w:eastAsia="Arial" w:hAnsi="Arial"/>
                <w:sz w:val="18"/>
                <w:szCs w:val="18"/>
                <w:color w:val="auto"/>
              </w:rPr>
              <w:t>South</w:t>
            </w:r>
          </w:p>
        </w:tc>
        <w:tc>
          <w:tcPr>
            <w:tcW w:w="4040" w:type="dxa"/>
            <w:vAlign w:val="bottom"/>
            <w:gridSpan w:val="3"/>
          </w:tcPr>
          <w:p>
            <w:pPr>
              <w:jc w:val="right"/>
              <w:ind w:right="160"/>
              <w:spacing w:after="0"/>
              <w:rPr>
                <w:sz w:val="20"/>
                <w:szCs w:val="20"/>
                <w:color w:val="auto"/>
              </w:rPr>
            </w:pPr>
            <w:r>
              <w:rPr>
                <w:rFonts w:ascii="Arial" w:cs="Arial" w:eastAsia="Arial" w:hAnsi="Arial"/>
                <w:sz w:val="18"/>
                <w:szCs w:val="18"/>
                <w:color w:val="auto"/>
              </w:rPr>
              <w:t>26.1%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4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29.7%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Canada</w:t>
            </w:r>
          </w:p>
        </w:tc>
        <w:tc>
          <w:tcPr>
            <w:tcW w:w="404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24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vMerge w:val="restart"/>
          </w:tcPr>
          <w:p>
            <w:pPr>
              <w:jc w:val="right"/>
              <w:ind w:right="690"/>
              <w:spacing w:after="0"/>
              <w:rPr>
                <w:sz w:val="20"/>
                <w:szCs w:val="20"/>
                <w:color w:val="auto"/>
              </w:rPr>
            </w:pPr>
            <w:r>
              <w:rPr>
                <w:rFonts w:ascii="Arial" w:cs="Arial" w:eastAsia="Arial" w:hAnsi="Arial"/>
                <w:sz w:val="18"/>
                <w:szCs w:val="18"/>
                <w:color w:val="auto"/>
              </w:rPr>
              <w:t>10</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Loan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2015 and 2014, we had the following commitments to fund investments: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December 31, 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revolving loan commitments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42,797</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term loan commitments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35,849</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6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78,646</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Arial" w:cs="Arial" w:eastAsia="Arial" w:hAnsi="Arial"/>
          <w:sz w:val="18"/>
          <w:szCs w:val="18"/>
          <w:i w:val="1"/>
          <w:iCs w:val="1"/>
          <w:color w:val="auto"/>
        </w:rPr>
        <w:t>ITEM 1A. RISK FACTORS—Risks Related to Our Business and Structure</w:t>
      </w:r>
      <w:r>
        <w:rPr>
          <w:rFonts w:ascii="Arial" w:cs="Arial" w:eastAsia="Arial" w:hAnsi="Arial"/>
          <w:sz w:val="18"/>
          <w:szCs w:val="18"/>
          <w:color w:val="auto"/>
        </w:rPr>
        <w:t xml:space="preserve"> </w:t>
      </w:r>
      <w:r>
        <w:rPr>
          <w:rFonts w:ascii="Arial" w:cs="Arial" w:eastAsia="Arial" w:hAnsi="Arial"/>
          <w:sz w:val="18"/>
          <w:szCs w:val="18"/>
          <w:i w:val="1"/>
          <w:iCs w:val="1"/>
          <w:color w:val="auto"/>
        </w:rPr>
        <w:t>—We operate in a highly competitive market for investment opportunities.</w:t>
      </w:r>
      <w:r>
        <w:rPr>
          <w:rFonts w:ascii="Arial" w:cs="Arial" w:eastAsia="Arial" w:hAnsi="Arial"/>
          <w:sz w:val="18"/>
          <w:szCs w:val="18"/>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We anticipate generating cash in the future from issuances of common stock and cash flows from operations, including interest received on our cash and cash equivalents, U.S. government securities and other high-quality debt investments that mature in one year or less.</w:t>
      </w:r>
    </w:p>
    <w:p>
      <w:pPr>
        <w:spacing w:after="0" w:line="170" w:lineRule="exact"/>
        <w:rPr>
          <w:sz w:val="20"/>
          <w:szCs w:val="20"/>
          <w:color w:val="auto"/>
        </w:rPr>
      </w:pPr>
    </w:p>
    <w:p>
      <w:pPr>
        <w:jc w:val="both"/>
        <w:ind w:right="60" w:firstLine="259"/>
        <w:spacing w:after="0" w:line="286" w:lineRule="auto"/>
        <w:rPr>
          <w:sz w:val="20"/>
          <w:szCs w:val="20"/>
          <w:color w:val="auto"/>
        </w:rPr>
      </w:pPr>
      <w:r>
        <w:rPr>
          <w:rFonts w:ascii="Arial" w:cs="Arial" w:eastAsia="Arial" w:hAnsi="Arial"/>
          <w:sz w:val="17"/>
          <w:szCs w:val="17"/>
          <w:color w:val="auto"/>
        </w:rPr>
        <w:t>Additionally, we are permitted, under specified conditions, to issue multiple classes of indebtedness and one class of shares senior to our common stock if our asset coverage, as defined in the 1940 Act, is at least equal to 200% immediately after each such issuance. As of December 31, 2015 and 2014, our asset coverage was 225.7% and 311.0%, respectively. See “</w:t>
      </w:r>
      <w:r>
        <w:rPr>
          <w:rFonts w:ascii="Arial" w:cs="Arial" w:eastAsia="Arial" w:hAnsi="Arial"/>
          <w:sz w:val="17"/>
          <w:szCs w:val="17"/>
          <w:i w:val="1"/>
          <w:iCs w:val="1"/>
          <w:color w:val="auto"/>
        </w:rPr>
        <w:t>Regulation as a Business Development Company—Senior Securities</w:t>
      </w:r>
      <w:r>
        <w:rPr>
          <w:rFonts w:ascii="Arial" w:cs="Arial" w:eastAsia="Arial" w:hAnsi="Arial"/>
          <w:sz w:val="17"/>
          <w:szCs w:val="17"/>
          <w:color w:val="auto"/>
        </w:rPr>
        <w:t>” below.</w:t>
      </w:r>
    </w:p>
    <w:p>
      <w:pPr>
        <w:spacing w:after="0" w:line="166"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debt obligations consisted of the following as of December 31, 2015 and 2014:</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2"/>
              </w:rPr>
              <w:t>Borrowings</w:t>
            </w:r>
          </w:p>
        </w:tc>
        <w:tc>
          <w:tcPr>
            <w:tcW w:w="100" w:type="dxa"/>
            <w:vAlign w:val="bottom"/>
          </w:tcPr>
          <w:p>
            <w:pPr>
              <w:spacing w:after="0"/>
              <w:rPr>
                <w:sz w:val="12"/>
                <w:szCs w:val="12"/>
                <w:color w:val="auto"/>
              </w:rPr>
            </w:pPr>
          </w:p>
        </w:tc>
        <w:tc>
          <w:tcPr>
            <w:tcW w:w="86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color w:val="auto"/>
              </w:rPr>
              <w:t>($ in millions)</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Facility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 Obligations</w:t>
            </w: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0"/>
        </w:trPr>
        <w:tc>
          <w:tcPr>
            <w:tcW w:w="4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Borrowings</w:t>
            </w:r>
          </w:p>
        </w:tc>
        <w:tc>
          <w:tcPr>
            <w:tcW w:w="10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r>
      <w:tr>
        <w:trPr>
          <w:trHeight w:val="219"/>
        </w:trPr>
        <w:tc>
          <w:tcPr>
            <w:tcW w:w="4520" w:type="dxa"/>
            <w:vAlign w:val="bottom"/>
          </w:tcPr>
          <w:p>
            <w:pPr>
              <w:spacing w:after="0"/>
              <w:rPr>
                <w:sz w:val="20"/>
                <w:szCs w:val="20"/>
                <w:color w:val="auto"/>
              </w:rPr>
            </w:pPr>
            <w:r>
              <w:rPr>
                <w:rFonts w:ascii="Arial" w:cs="Arial" w:eastAsia="Arial" w:hAnsi="Arial"/>
                <w:sz w:val="14"/>
                <w:szCs w:val="14"/>
                <w:color w:val="auto"/>
              </w:rPr>
              <w:t>($ in millions)</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Facility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(2)</w:t>
            </w: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466.2</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b w:val="1"/>
                <w:bCs w:val="1"/>
                <w:color w:val="auto"/>
              </w:rPr>
              <w:t>Total Debt Obligations</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r>
              <w:rPr>
                <w:rFonts w:ascii="Arial" w:cs="Arial" w:eastAsia="Arial" w:hAnsi="Arial"/>
                <w:sz w:val="18"/>
                <w:szCs w:val="18"/>
                <w:u w:val="single" w:color="auto"/>
                <w:color w:val="auto"/>
              </w:rPr>
              <w:t>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6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3540" w:hanging="5612"/>
        <w:spacing w:after="0" w:line="528" w:lineRule="auto"/>
        <w:tabs>
          <w:tab w:leader="none" w:pos="5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color w:val="auto"/>
        </w:rPr>
        <w:t>For the years ended December 31, 2015, 2014 and 2013, the components of interest expense were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440" w:type="dxa"/>
            <w:vAlign w:val="bottom"/>
            <w:gridSpan w:val="3"/>
          </w:tcPr>
          <w:p>
            <w:pPr>
              <w:ind w:left="1260"/>
              <w:spacing w:after="0"/>
              <w:rPr>
                <w:sz w:val="20"/>
                <w:szCs w:val="20"/>
                <w:color w:val="auto"/>
              </w:rPr>
            </w:pPr>
            <w:r>
              <w:rPr>
                <w:rFonts w:ascii="Arial" w:cs="Arial" w:eastAsia="Arial" w:hAnsi="Arial"/>
                <w:sz w:val="14"/>
                <w:szCs w:val="14"/>
                <w:b w:val="1"/>
                <w:bCs w:val="1"/>
                <w:color w:val="auto"/>
                <w:w w:val="91"/>
              </w:rPr>
              <w:t>December 31, 2015</w:t>
            </w:r>
          </w:p>
        </w:tc>
        <w:tc>
          <w:tcPr>
            <w:tcW w:w="140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December 31, 2014</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December 31, 2013</w:t>
            </w: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Commitment fees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For more information on our debt, see “</w:t>
      </w:r>
      <w:r>
        <w:rPr>
          <w:rFonts w:ascii="Arial" w:cs="Arial" w:eastAsia="Arial" w:hAnsi="Arial"/>
          <w:sz w:val="18"/>
          <w:szCs w:val="18"/>
          <w:i w:val="1"/>
          <w:iCs w:val="1"/>
          <w:color w:val="auto"/>
        </w:rPr>
        <w:t>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OPERATIONS——Financial Condition, Liquidity and Capital Resources.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520" w:hanging="255"/>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520" w:right="100" w:hanging="255"/>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 </w:t>
      </w:r>
      <w:r>
        <w:rPr>
          <w:rFonts w:ascii="Arial" w:cs="Arial" w:eastAsia="Arial" w:hAnsi="Arial"/>
          <w:sz w:val="18"/>
          <w:szCs w:val="18"/>
          <w:i w:val="1"/>
          <w:iCs w:val="1"/>
          <w:color w:val="auto"/>
        </w:rPr>
        <w:t>See “ITEM 1A. RISK FACTORS—Risks Related to Our Business and Structure—We will be subject to corporate-level income tax if we are</w:t>
      </w:r>
      <w:r>
        <w:rPr>
          <w:rFonts w:ascii="Arial" w:cs="Arial" w:eastAsia="Arial" w:hAnsi="Arial"/>
          <w:sz w:val="18"/>
          <w:szCs w:val="18"/>
          <w:color w:val="auto"/>
        </w:rPr>
        <w:t xml:space="preserve"> </w:t>
      </w:r>
      <w:r>
        <w:rPr>
          <w:rFonts w:ascii="Arial" w:cs="Arial" w:eastAsia="Arial" w:hAnsi="Arial"/>
          <w:sz w:val="18"/>
          <w:szCs w:val="18"/>
          <w:i w:val="1"/>
          <w:iCs w:val="1"/>
          <w:color w:val="auto"/>
        </w:rPr>
        <w:t>unable to maintain our qualification as a RIC under Subchapter M of the Code.”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We expect to use primarily newly issued shares to make distributions under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 w:name="page13"/>
    <w:bookmarkEnd w:id="12"/>
    <w:p>
      <w:pPr>
        <w:ind w:right="200"/>
        <w:spacing w:after="0" w:line="302" w:lineRule="auto"/>
        <w:rPr>
          <w:sz w:val="20"/>
          <w:szCs w:val="20"/>
          <w:color w:val="auto"/>
        </w:rPr>
      </w:pPr>
      <w:r>
        <w:rPr>
          <w:rFonts w:ascii="Arial" w:cs="Arial" w:eastAsia="Arial" w:hAnsi="Arial"/>
          <w:sz w:val="16"/>
          <w:szCs w:val="16"/>
          <w:color w:val="auto"/>
        </w:rPr>
        <w:t>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54"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Arial" w:cs="Arial" w:eastAsia="Arial" w:hAnsi="Arial"/>
          <w:sz w:val="17"/>
          <w:szCs w:val="17"/>
          <w:i w:val="1"/>
          <w:iCs w:val="1"/>
          <w:color w:val="auto"/>
        </w:rPr>
        <w:t>Investment Advisory Agreement; Administration Agreement; License Agreement</w:t>
      </w:r>
      <w:r>
        <w:rPr>
          <w:rFonts w:ascii="Arial" w:cs="Arial" w:eastAsia="Arial" w:hAnsi="Arial"/>
          <w:sz w:val="17"/>
          <w:szCs w:val="17"/>
          <w:color w:val="auto"/>
        </w:rPr>
        <w:t>”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 the Investment Advisory Agreement, the Adviser:</w:t>
      </w:r>
    </w:p>
    <w:p>
      <w:pPr>
        <w:spacing w:after="0" w:line="117" w:lineRule="exact"/>
        <w:rPr>
          <w:sz w:val="20"/>
          <w:szCs w:val="20"/>
          <w:color w:val="auto"/>
        </w:rPr>
      </w:pPr>
    </w:p>
    <w:p>
      <w:pPr>
        <w:ind w:left="520" w:hanging="255"/>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determines the composition of our portfolio, the nature and timing of the changes to our portfolio and the manner of implementing those changes;</w:t>
      </w:r>
    </w:p>
    <w:p>
      <w:pPr>
        <w:spacing w:after="0" w:line="128" w:lineRule="exact"/>
        <w:rPr>
          <w:rFonts w:ascii="Arial" w:cs="Arial" w:eastAsia="Arial" w:hAnsi="Arial"/>
          <w:sz w:val="17"/>
          <w:szCs w:val="17"/>
          <w:color w:val="auto"/>
        </w:rPr>
      </w:pPr>
    </w:p>
    <w:p>
      <w:pPr>
        <w:ind w:left="520" w:right="68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closes, monitors and administers the investments we make, including the exercise of any rights in our capacity as a lender or equity holder; and</w:t>
      </w:r>
    </w:p>
    <w:p>
      <w:pPr>
        <w:spacing w:after="0" w:line="128" w:lineRule="exact"/>
        <w:rPr>
          <w:rFonts w:ascii="Arial" w:cs="Arial" w:eastAsia="Arial" w:hAnsi="Arial"/>
          <w:sz w:val="17"/>
          <w:szCs w:val="17"/>
          <w:color w:val="auto"/>
        </w:rPr>
      </w:pPr>
    </w:p>
    <w:p>
      <w:pPr>
        <w:ind w:left="520" w:right="12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1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 ended December 31, 2015, Management Fees were $21.3 million, of which $0.1 million were waived (see below).</w:t>
      </w:r>
    </w:p>
    <w:p>
      <w:pPr>
        <w:spacing w:after="0" w:line="225"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Until our initial public offering, or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(the “Pre-IPO Waiver”).</w:t>
      </w:r>
    </w:p>
    <w:p>
      <w:pPr>
        <w:spacing w:after="0" w:line="181"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In addition, the Adviser has voluntarily waived the Management Fee on our ownership of shares of common stock in TICC Capital Corp. (the “TICC Shares”) for any period in which TICC Capital Corp. remains our portfolio company.</w:t>
      </w:r>
    </w:p>
    <w:p>
      <w:pPr>
        <w:spacing w:after="0" w:line="170" w:lineRule="exact"/>
        <w:rPr>
          <w:sz w:val="20"/>
          <w:szCs w:val="20"/>
          <w:color w:val="auto"/>
        </w:rPr>
      </w:pPr>
    </w:p>
    <w:p>
      <w:pPr>
        <w:ind w:right="400" w:firstLine="259"/>
        <w:spacing w:after="0" w:line="286" w:lineRule="auto"/>
        <w:rPr>
          <w:sz w:val="20"/>
          <w:szCs w:val="20"/>
          <w:color w:val="auto"/>
        </w:rPr>
      </w:pPr>
      <w:r>
        <w:rPr>
          <w:rFonts w:ascii="Arial" w:cs="Arial" w:eastAsia="Arial" w:hAnsi="Arial"/>
          <w:sz w:val="17"/>
          <w:szCs w:val="17"/>
          <w:color w:val="auto"/>
        </w:rPr>
        <w:t>For the year ended December 31, 2015, Management Fees of $0.1 million were waived, consisting solely of Management Fees attributable to our ownership of the TICC Shares. For the years ended December 31, 2014 and 2013, Management Fees of $2.5 million and $7.1 million, respectively, were waived pursuant to the Pre-IPO Waiver. Any waived Management Fees are not subject to recoupment by the Adviser.</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780" w:hanging="515"/>
        <w:spacing w:after="0" w:line="271"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Through March 31, 2014, the quarter in which we completed our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was the rate at which catch-up was achieved. Once the “hurdle rate” was reached and catch-up was achieved, 15% of any pre-Incentive Fee net investment income in excess of 1.76% in any quarter was payable to the Adviser.</w:t>
      </w:r>
    </w:p>
    <w:p>
      <w:pPr>
        <w:spacing w:after="0" w:line="70" w:lineRule="exact"/>
        <w:rPr>
          <w:rFonts w:ascii="Arial" w:cs="Arial" w:eastAsia="Arial" w:hAnsi="Arial"/>
          <w:sz w:val="17"/>
          <w:szCs w:val="17"/>
          <w:color w:val="auto"/>
        </w:rPr>
      </w:pPr>
    </w:p>
    <w:p>
      <w:pPr>
        <w:ind w:left="780" w:right="40"/>
        <w:spacing w:after="0" w:line="271" w:lineRule="auto"/>
        <w:rPr>
          <w:rFonts w:ascii="Arial" w:cs="Arial" w:eastAsia="Arial" w:hAnsi="Arial"/>
          <w:sz w:val="17"/>
          <w:szCs w:val="17"/>
          <w:color w:val="auto"/>
        </w:rPr>
      </w:pPr>
      <w:r>
        <w:rPr>
          <w:rFonts w:ascii="Arial" w:cs="Arial" w:eastAsia="Arial" w:hAnsi="Arial"/>
          <w:sz w:val="17"/>
          <w:szCs w:val="17"/>
          <w:color w:val="auto"/>
        </w:rPr>
        <w:t>Beginning April 1, 2014, the first quarter after our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0" w:lineRule="exact"/>
        <w:rPr>
          <w:rFonts w:ascii="Arial" w:cs="Arial" w:eastAsia="Arial" w:hAnsi="Arial"/>
          <w:sz w:val="17"/>
          <w:szCs w:val="17"/>
          <w:color w:val="auto"/>
        </w:rPr>
      </w:pPr>
    </w:p>
    <w:p>
      <w:pPr>
        <w:ind w:left="780" w:right="80"/>
        <w:spacing w:after="0" w:line="255" w:lineRule="auto"/>
        <w:rPr>
          <w:rFonts w:ascii="Arial" w:cs="Arial" w:eastAsia="Arial" w:hAnsi="Arial"/>
          <w:sz w:val="17"/>
          <w:szCs w:val="17"/>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81" w:lineRule="exact"/>
        <w:rPr>
          <w:rFonts w:ascii="Arial" w:cs="Arial" w:eastAsia="Arial" w:hAnsi="Arial"/>
          <w:sz w:val="17"/>
          <w:szCs w:val="17"/>
          <w:color w:val="auto"/>
        </w:rPr>
      </w:pPr>
    </w:p>
    <w:p>
      <w:pPr>
        <w:ind w:left="780" w:hanging="515"/>
        <w:spacing w:after="0" w:line="270"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20" w:firstLine="259"/>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16" w:lineRule="exact"/>
        <w:rPr>
          <w:sz w:val="20"/>
          <w:szCs w:val="20"/>
          <w:color w:val="auto"/>
        </w:rPr>
      </w:pPr>
    </w:p>
    <w:p>
      <w:pPr>
        <w:ind w:left="520" w:hanging="255"/>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17" w:lineRule="exact"/>
        <w:rPr>
          <w:rFonts w:ascii="Arial" w:cs="Arial" w:eastAsia="Arial" w:hAnsi="Arial"/>
          <w:sz w:val="18"/>
          <w:szCs w:val="18"/>
          <w:color w:val="auto"/>
        </w:rPr>
      </w:pPr>
    </w:p>
    <w:p>
      <w:pPr>
        <w:ind w:left="520" w:right="340" w:hanging="255"/>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62" w:lineRule="exact"/>
        <w:rPr>
          <w:rFonts w:ascii="Arial" w:cs="Arial" w:eastAsia="Arial" w:hAnsi="Arial"/>
          <w:sz w:val="18"/>
          <w:szCs w:val="18"/>
          <w:color w:val="auto"/>
        </w:rPr>
      </w:pPr>
    </w:p>
    <w:p>
      <w:pPr>
        <w:ind w:left="520" w:right="260" w:hanging="255"/>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70" w:lineRule="exact"/>
        <w:rPr>
          <w:sz w:val="20"/>
          <w:szCs w:val="20"/>
          <w:color w:val="auto"/>
        </w:rPr>
      </w:pPr>
    </w:p>
    <w:p>
      <w:pPr>
        <w:ind w:right="780" w:firstLine="259"/>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100" w:firstLine="259"/>
        <w:spacing w:after="0" w:line="279" w:lineRule="auto"/>
        <w:rPr>
          <w:sz w:val="20"/>
          <w:szCs w:val="20"/>
          <w:color w:val="auto"/>
        </w:rPr>
      </w:pPr>
      <w:r>
        <w:rPr>
          <w:rFonts w:ascii="Arial" w:cs="Arial" w:eastAsia="Arial" w:hAnsi="Arial"/>
          <w:sz w:val="17"/>
          <w:szCs w:val="17"/>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2015, Incentive Fees were $20.2 million, comprised of fees related to pre-incentive fee net investment income. For the year ended December 31, 2015, no incentive fees were accrued related to capital gains.</w:t>
      </w:r>
    </w:p>
    <w:p>
      <w:pPr>
        <w:spacing w:after="0" w:line="17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Capital Gains Fee attributable to our ownership of the TICC Shares and, accordingly, any realized capital gains or losses and unrealized capital depreciation with respect to the TICC Shares will be applied against our cumulative realized capital gains on which the Capital Gains Fee is calculated.</w:t>
      </w:r>
    </w:p>
    <w:p>
      <w:pPr>
        <w:spacing w:after="0" w:line="171"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For the year ended December 31, 2015, Incentive Fees of $0.2 million were waived, consisting solely of Incentive Fees attributable to our ownership of the TICC Shares. Any waived Incentive Fees are not subject to recoupment by the Adviser.</w:t>
      </w:r>
    </w:p>
    <w:p>
      <w:pPr>
        <w:spacing w:after="0" w:line="170"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Following the IPO, with the exception of its waiver of Management Fees and certain Incentive Fees attributable to our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TICC Shares, as the Adviser can discontinue the voluntary waiver at any time. Accordingly, we may be required to continue to pay the full amount of the Management Fee and Incentive Fee, including with respect to the TICC Shares, in future periods.</w:t>
      </w:r>
    </w:p>
    <w:p>
      <w:pPr>
        <w:spacing w:after="0" w:line="188"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until November 3, 2016,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400" w:firstLine="259"/>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right="100" w:firstLine="259"/>
        <w:spacing w:after="0" w:line="272" w:lineRule="auto"/>
        <w:rPr>
          <w:sz w:val="20"/>
          <w:szCs w:val="20"/>
          <w:color w:val="auto"/>
        </w:rPr>
      </w:pPr>
      <w:r>
        <w:rPr>
          <w:rFonts w:ascii="Arial" w:cs="Arial" w:eastAsia="Arial" w:hAnsi="Arial"/>
          <w:sz w:val="17"/>
          <w:szCs w:val="17"/>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7"/>
          <w:szCs w:val="17"/>
          <w:i w:val="1"/>
          <w:iCs w:val="1"/>
          <w:color w:val="auto"/>
        </w:rPr>
        <w:t>Payment of</w:t>
      </w:r>
      <w:r>
        <w:rPr>
          <w:rFonts w:ascii="Arial" w:cs="Arial" w:eastAsia="Arial" w:hAnsi="Arial"/>
          <w:sz w:val="17"/>
          <w:szCs w:val="17"/>
          <w:color w:val="auto"/>
        </w:rPr>
        <w:t xml:space="preserve"> </w:t>
      </w:r>
      <w:r>
        <w:rPr>
          <w:rFonts w:ascii="Arial" w:cs="Arial" w:eastAsia="Arial" w:hAnsi="Arial"/>
          <w:sz w:val="17"/>
          <w:szCs w:val="17"/>
          <w:i w:val="1"/>
          <w:iCs w:val="1"/>
          <w:color w:val="auto"/>
        </w:rPr>
        <w:t>Our Expenses</w:t>
      </w:r>
      <w:r>
        <w:rPr>
          <w:rFonts w:ascii="Arial" w:cs="Arial" w:eastAsia="Arial" w:hAnsi="Arial"/>
          <w:sz w:val="17"/>
          <w:szCs w:val="17"/>
          <w:color w:val="auto"/>
        </w:rPr>
        <w:t>” below. In addition, the Adviser is permitted to delegate its duties under the Administration Agreement to affiliates or third parties and we pay</w:t>
      </w:r>
      <w:r>
        <w:rPr>
          <w:rFonts w:ascii="Arial" w:cs="Arial" w:eastAsia="Arial" w:hAnsi="Arial"/>
          <w:sz w:val="17"/>
          <w:szCs w:val="17"/>
          <w:i w:val="1"/>
          <w:iCs w:val="1"/>
          <w:color w:val="auto"/>
        </w:rPr>
        <w:t xml:space="preserve"> </w:t>
      </w:r>
      <w:r>
        <w:rPr>
          <w:rFonts w:ascii="Arial" w:cs="Arial" w:eastAsia="Arial" w:hAnsi="Arial"/>
          <w:sz w:val="17"/>
          <w:szCs w:val="17"/>
          <w:color w:val="auto"/>
        </w:rPr>
        <w:t>or reimburse the Adviser expenses incurred by any such affiliates or third parties for work done on our behalf. For the year ended December 31, 2015, we incurred expenses of $3.6 million for administrative services payable under the terms of the Administration Agreement.</w:t>
      </w:r>
    </w:p>
    <w:p>
      <w:pPr>
        <w:spacing w:after="0" w:line="17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until November 3,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8"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259"/>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left="260"/>
        <w:spacing w:after="0"/>
        <w:rPr>
          <w:sz w:val="20"/>
          <w:szCs w:val="20"/>
          <w:color w:val="auto"/>
        </w:rPr>
      </w:pPr>
      <w:r>
        <w:rPr>
          <w:rFonts w:ascii="Arial" w:cs="Arial" w:eastAsia="Arial" w:hAnsi="Arial"/>
          <w:sz w:val="16"/>
          <w:szCs w:val="16"/>
          <w:color w:val="auto"/>
        </w:rPr>
        <w:t>The following is a graphical representation of the calculation of the income-related portion of the Incentive Fee:</w:t>
      </w:r>
    </w:p>
    <w:p>
      <w:pPr>
        <w:spacing w:after="0" w:line="35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Quarterly Incentive Fee Based on Net Investment Income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152400</wp:posOffset>
            </wp:positionV>
            <wp:extent cx="4562475" cy="883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6247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Percentage of pre-Incentive Fee net investment income allocated to income-related portion of Incentive Fee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right="433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Pre-Incentive Fee net investment income does not exceed hurdle rate, therefore there is no Incentive Fee.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right="433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940" w:hanging="15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0.3%</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260" w:right="390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0.513%</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520" w:hanging="512"/>
        <w:spacing w:after="0" w:line="265"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20" w:right="40" w:hanging="255"/>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73" w:lineRule="exact"/>
        <w:rPr>
          <w:rFonts w:ascii="Arial" w:cs="Arial" w:eastAsia="Arial" w:hAnsi="Arial"/>
          <w:sz w:val="18"/>
          <w:szCs w:val="18"/>
          <w:color w:val="auto"/>
        </w:rPr>
      </w:pPr>
    </w:p>
    <w:p>
      <w:pPr>
        <w:ind w:left="520" w:right="40" w:hanging="255"/>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62" w:lineRule="exact"/>
        <w:rPr>
          <w:rFonts w:ascii="Arial" w:cs="Arial" w:eastAsia="Arial" w:hAnsi="Arial"/>
          <w:sz w:val="18"/>
          <w:szCs w:val="18"/>
          <w:color w:val="auto"/>
        </w:rPr>
      </w:pPr>
    </w:p>
    <w:p>
      <w:pPr>
        <w:ind w:left="520" w:right="520" w:hanging="255"/>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38" w:lineRule="exact"/>
        <w:rPr>
          <w:rFonts w:ascii="Arial" w:cs="Arial" w:eastAsia="Arial" w:hAnsi="Arial"/>
          <w:sz w:val="17"/>
          <w:szCs w:val="17"/>
          <w:color w:val="auto"/>
        </w:rPr>
      </w:pPr>
    </w:p>
    <w:p>
      <w:pPr>
        <w:ind w:left="520" w:right="60" w:hanging="255"/>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62" w:lineRule="exact"/>
        <w:rPr>
          <w:rFonts w:ascii="Arial" w:cs="Arial" w:eastAsia="Arial" w:hAnsi="Arial"/>
          <w:sz w:val="18"/>
          <w:szCs w:val="18"/>
          <w:color w:val="auto"/>
        </w:rPr>
      </w:pPr>
    </w:p>
    <w:p>
      <w:pPr>
        <w:ind w:left="520" w:right="240" w:hanging="255"/>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Year 6: Investment B sold for $16 million, FMV of Investment E determined to be $8 million and FMV of Investment F determined to be $15 million.</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8" w:name="page19"/>
    <w:bookmarkEnd w:id="18"/>
    <w:p>
      <w:pPr>
        <w:ind w:left="2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0" w:lineRule="exact"/>
        <w:rPr>
          <w:sz w:val="20"/>
          <w:szCs w:val="20"/>
          <w:color w:val="auto"/>
        </w:rPr>
      </w:pPr>
    </w:p>
    <w:tbl>
      <w:tblPr>
        <w:tblLayout w:type="fixed"/>
        <w:tblInd w:w="204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62"/>
        </w:trPr>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Realized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Realized</w:t>
            </w:r>
          </w:p>
        </w:tc>
      </w:tr>
      <w:tr>
        <w:trPr>
          <w:trHeight w:val="162"/>
        </w:trPr>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Year 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Year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w:t>
            </w:r>
          </w:p>
        </w:tc>
        <w:tc>
          <w:tcPr>
            <w:tcW w:w="12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00"/>
              <w:spacing w:after="0"/>
              <w:rPr>
                <w:sz w:val="20"/>
                <w:szCs w:val="20"/>
                <w:color w:val="auto"/>
              </w:rPr>
            </w:pPr>
            <w:r>
              <w:rPr>
                <w:rFonts w:ascii="Arial" w:cs="Arial" w:eastAsia="Arial" w:hAnsi="Arial"/>
                <w:sz w:val="18"/>
                <w:szCs w:val="18"/>
                <w:color w:val="auto"/>
              </w:rPr>
              <w:t>(cost basis)</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00"/>
              <w:spacing w:after="0"/>
              <w:rPr>
                <w:sz w:val="20"/>
                <w:szCs w:val="20"/>
                <w:color w:val="auto"/>
              </w:rPr>
            </w:pPr>
            <w:r>
              <w:rPr>
                <w:rFonts w:ascii="Arial" w:cs="Arial" w:eastAsia="Arial" w:hAnsi="Arial"/>
                <w:sz w:val="18"/>
                <w:szCs w:val="18"/>
                <w:color w:val="auto"/>
              </w:rPr>
              <w:t>(cost basis)</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$8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$12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ind w:left="440"/>
              <w:spacing w:after="0"/>
              <w:rPr>
                <w:sz w:val="20"/>
                <w:szCs w:val="20"/>
                <w:color w:val="auto"/>
              </w:rPr>
            </w:pPr>
            <w:r>
              <w:rPr>
                <w:rFonts w:ascii="Arial" w:cs="Arial" w:eastAsia="Arial" w:hAnsi="Arial"/>
                <w:sz w:val="18"/>
                <w:szCs w:val="18"/>
                <w:color w:val="auto"/>
              </w:rPr>
              <w:t>$2 million</w:t>
            </w:r>
          </w:p>
        </w:tc>
        <w:tc>
          <w:tcPr>
            <w:tcW w:w="800" w:type="dxa"/>
            <w:vAlign w:val="bottom"/>
          </w:tcPr>
          <w:p>
            <w:pPr>
              <w:ind w:left="160"/>
              <w:spacing w:after="0"/>
              <w:rPr>
                <w:sz w:val="20"/>
                <w:szCs w:val="20"/>
                <w:color w:val="auto"/>
              </w:rPr>
            </w:pPr>
            <w:r>
              <w:rPr>
                <w:rFonts w:ascii="Arial" w:cs="Arial" w:eastAsia="Arial" w:hAnsi="Arial"/>
                <w:sz w:val="18"/>
                <w:szCs w:val="18"/>
                <w:color w:val="auto"/>
              </w:rPr>
              <w:t>—</w:t>
            </w:r>
          </w:p>
        </w:tc>
        <w:tc>
          <w:tcPr>
            <w:tcW w:w="1280" w:type="dxa"/>
            <w:vAlign w:val="bottom"/>
          </w:tcPr>
          <w:p>
            <w:pPr>
              <w:ind w:left="440"/>
              <w:spacing w:after="0"/>
              <w:rPr>
                <w:sz w:val="20"/>
                <w:szCs w:val="20"/>
                <w:color w:val="auto"/>
              </w:rPr>
            </w:pPr>
            <w:r>
              <w:rPr>
                <w:rFonts w:ascii="Arial" w:cs="Arial" w:eastAsia="Arial" w:hAnsi="Arial"/>
                <w:sz w:val="18"/>
                <w:szCs w:val="18"/>
                <w:color w:val="auto"/>
                <w:w w:val="95"/>
              </w:rPr>
              <w:t>$10 million</w:t>
            </w:r>
          </w:p>
        </w:tc>
      </w:tr>
      <w:tr>
        <w:trPr>
          <w:trHeight w:val="228"/>
        </w:trPr>
        <w:tc>
          <w:tcPr>
            <w:tcW w:w="940" w:type="dxa"/>
            <w:vAlign w:val="bottom"/>
          </w:tcPr>
          <w:p>
            <w:pPr>
              <w:spacing w:after="0"/>
              <w:rPr>
                <w:sz w:val="20"/>
                <w:szCs w:val="20"/>
                <w:color w:val="auto"/>
              </w:rPr>
            </w:pPr>
            <w:r>
              <w:rPr>
                <w:rFonts w:ascii="Arial" w:cs="Arial" w:eastAsia="Arial" w:hAnsi="Arial"/>
                <w:sz w:val="18"/>
                <w:szCs w:val="18"/>
                <w:color w:val="auto"/>
              </w:rPr>
              <w:t>(sale price)</w:t>
            </w:r>
          </w:p>
        </w:tc>
        <w:tc>
          <w:tcPr>
            <w:tcW w:w="1060" w:type="dxa"/>
            <w:vAlign w:val="bottom"/>
          </w:tcPr>
          <w:p>
            <w:pPr>
              <w:ind w:left="100"/>
              <w:spacing w:after="0"/>
              <w:rPr>
                <w:sz w:val="20"/>
                <w:szCs w:val="20"/>
                <w:color w:val="auto"/>
              </w:rPr>
            </w:pPr>
            <w:r>
              <w:rPr>
                <w:rFonts w:ascii="Arial" w:cs="Arial" w:eastAsia="Arial" w:hAnsi="Arial"/>
                <w:sz w:val="18"/>
                <w:szCs w:val="18"/>
                <w:color w:val="auto"/>
              </w:rPr>
              <w:t>FMV</w:t>
            </w:r>
          </w:p>
        </w:tc>
        <w:tc>
          <w:tcPr>
            <w:tcW w:w="1040" w:type="dxa"/>
            <w:vAlign w:val="bottom"/>
          </w:tcPr>
          <w:p>
            <w:pPr>
              <w:ind w:left="100"/>
              <w:spacing w:after="0"/>
              <w:rPr>
                <w:sz w:val="20"/>
                <w:szCs w:val="20"/>
                <w:color w:val="auto"/>
              </w:rPr>
            </w:pPr>
            <w:r>
              <w:rPr>
                <w:rFonts w:ascii="Arial" w:cs="Arial" w:eastAsia="Arial" w:hAnsi="Arial"/>
                <w:sz w:val="18"/>
                <w:szCs w:val="18"/>
                <w:color w:val="auto"/>
              </w:rPr>
              <w:t>FMV</w:t>
            </w:r>
          </w:p>
        </w:tc>
        <w:tc>
          <w:tcPr>
            <w:tcW w:w="1060" w:type="dxa"/>
            <w:vAlign w:val="bottom"/>
          </w:tcPr>
          <w:p>
            <w:pPr>
              <w:ind w:left="120"/>
              <w:spacing w:after="0"/>
              <w:rPr>
                <w:sz w:val="20"/>
                <w:szCs w:val="20"/>
                <w:color w:val="auto"/>
              </w:rPr>
            </w:pPr>
            <w:r>
              <w:rPr>
                <w:rFonts w:ascii="Arial" w:cs="Arial" w:eastAsia="Arial" w:hAnsi="Arial"/>
                <w:sz w:val="18"/>
                <w:szCs w:val="18"/>
                <w:color w:val="auto"/>
              </w:rPr>
              <w:t>FMV</w:t>
            </w:r>
          </w:p>
        </w:tc>
        <w:tc>
          <w:tcPr>
            <w:tcW w:w="1060" w:type="dxa"/>
            <w:vAlign w:val="bottom"/>
          </w:tcPr>
          <w:p>
            <w:pPr>
              <w:ind w:left="100"/>
              <w:spacing w:after="0"/>
              <w:rPr>
                <w:sz w:val="20"/>
                <w:szCs w:val="20"/>
                <w:color w:val="auto"/>
              </w:rPr>
            </w:pPr>
            <w:r>
              <w:rPr>
                <w:rFonts w:ascii="Arial" w:cs="Arial" w:eastAsia="Arial" w:hAnsi="Arial"/>
                <w:sz w:val="18"/>
                <w:szCs w:val="18"/>
                <w:color w:val="auto"/>
              </w:rPr>
              <w:t>FMV</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10" w:lineRule="exact"/>
        <w:rPr>
          <w:sz w:val="20"/>
          <w:szCs w:val="20"/>
          <w:color w:val="auto"/>
        </w:rPr>
      </w:pPr>
    </w:p>
    <w:p>
      <w:pPr>
        <w:sectPr>
          <w:pgSz w:w="11900" w:h="16838" w:orient="portrait"/>
          <w:cols w:equalWidth="0" w:num="2">
            <w:col w:w="1320" w:space="720"/>
            <w:col w:w="938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shd w:val="clear" w:color="auto" w:fill="CFF0FC"/>
          </w:tcPr>
          <w:p>
            <w:pPr>
              <w:spacing w:after="0"/>
              <w:rPr>
                <w:sz w:val="17"/>
                <w:szCs w:val="17"/>
                <w:color w:val="auto"/>
              </w:rPr>
            </w:pP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$8 million</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$14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$14 million</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$16 million</w:t>
            </w:r>
          </w:p>
        </w:tc>
        <w:tc>
          <w:tcPr>
            <w:tcW w:w="1060" w:type="dxa"/>
            <w:vAlign w:val="bottom"/>
            <w:shd w:val="clear" w:color="auto" w:fill="CFF0FC"/>
          </w:tcPr>
          <w:p>
            <w:pPr>
              <w:spacing w:after="0"/>
              <w:rPr>
                <w:sz w:val="17"/>
                <w:szCs w:val="17"/>
                <w:color w:val="auto"/>
              </w:rPr>
            </w:pP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 million</w:t>
            </w:r>
          </w:p>
        </w:tc>
        <w:tc>
          <w:tcPr>
            <w:tcW w:w="1100" w:type="dxa"/>
            <w:vAlign w:val="bottom"/>
            <w:shd w:val="clear" w:color="auto" w:fill="CFF0FC"/>
          </w:tcPr>
          <w:p>
            <w:pPr>
              <w:spacing w:after="0"/>
              <w:rPr>
                <w:sz w:val="17"/>
                <w:szCs w:val="17"/>
                <w:color w:val="auto"/>
              </w:rPr>
            </w:pP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$10 million</w:t>
            </w: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Year 3 (IPO)</w:t>
            </w:r>
          </w:p>
        </w:tc>
        <w:tc>
          <w:tcPr>
            <w:tcW w:w="1180" w:type="dxa"/>
            <w:vAlign w:val="bottom"/>
            <w:shd w:val="clear" w:color="auto" w:fill="CFF0FC"/>
          </w:tcPr>
          <w:p>
            <w:pPr>
              <w:spacing w:after="0"/>
              <w:rPr>
                <w:sz w:val="18"/>
                <w:szCs w:val="18"/>
                <w:color w:val="auto"/>
              </w:rPr>
            </w:pP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FMV at</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IPO</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20"/>
                <w:szCs w:val="20"/>
                <w:color w:val="auto"/>
              </w:rPr>
            </w:pP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4</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$16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$12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$14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$12 million</w:t>
            </w: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ind w:left="420"/>
              <w:spacing w:after="0"/>
              <w:rPr>
                <w:sz w:val="20"/>
                <w:szCs w:val="20"/>
                <w:color w:val="auto"/>
              </w:rPr>
            </w:pPr>
            <w:r>
              <w:rPr>
                <w:rFonts w:ascii="Arial" w:cs="Arial" w:eastAsia="Arial" w:hAnsi="Arial"/>
                <w:sz w:val="18"/>
                <w:szCs w:val="18"/>
                <w:color w:val="auto"/>
              </w:rPr>
              <w:t>FMV</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(sale price)</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w w:val="99"/>
              </w:rPr>
              <w:t>(cost basis)</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5</w:t>
            </w: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$14 million</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$12 million</w:t>
            </w: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$22 million</w:t>
            </w:r>
          </w:p>
        </w:tc>
        <w:tc>
          <w:tcPr>
            <w:tcW w:w="0" w:type="dxa"/>
            <w:vAlign w:val="bottom"/>
          </w:tcPr>
          <w:p>
            <w:pPr>
              <w:spacing w:after="0"/>
              <w:rPr>
                <w:sz w:val="1"/>
                <w:szCs w:val="1"/>
                <w:color w:val="auto"/>
              </w:rPr>
            </w:pPr>
          </w:p>
        </w:tc>
      </w:tr>
      <w:tr>
        <w:trPr>
          <w:trHeight w:val="122"/>
        </w:trPr>
        <w:tc>
          <w:tcPr>
            <w:tcW w:w="1480" w:type="dxa"/>
            <w:vAlign w:val="bottom"/>
            <w:vMerge w:val="continue"/>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380" w:type="dxa"/>
            <w:vAlign w:val="bottom"/>
            <w:vMerge w:val="restart"/>
            <w:shd w:val="clear" w:color="auto" w:fill="CFF0FC"/>
          </w:tcPr>
          <w:p>
            <w:pPr>
              <w:ind w:left="420"/>
              <w:spacing w:after="0"/>
              <w:rPr>
                <w:sz w:val="20"/>
                <w:szCs w:val="20"/>
                <w:color w:val="auto"/>
              </w:rPr>
            </w:pPr>
            <w:r>
              <w:rPr>
                <w:rFonts w:ascii="Arial" w:cs="Arial" w:eastAsia="Arial" w:hAnsi="Arial"/>
                <w:sz w:val="18"/>
                <w:szCs w:val="18"/>
                <w:color w:val="auto"/>
              </w:rPr>
              <w:t>FMV</w:t>
            </w:r>
          </w:p>
        </w:tc>
        <w:tc>
          <w:tcPr>
            <w:tcW w:w="104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(sale price)</w:t>
            </w:r>
          </w:p>
        </w:tc>
        <w:tc>
          <w:tcPr>
            <w:tcW w:w="10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FMV</w:t>
            </w:r>
          </w:p>
        </w:tc>
        <w:tc>
          <w:tcPr>
            <w:tcW w:w="10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380" w:type="dxa"/>
            <w:vAlign w:val="bottom"/>
            <w:vMerge w:val="continue"/>
            <w:shd w:val="clear" w:color="auto" w:fill="CFF0FC"/>
          </w:tcPr>
          <w:p>
            <w:pPr>
              <w:spacing w:after="0"/>
              <w:rPr>
                <w:sz w:val="9"/>
                <w:szCs w:val="9"/>
                <w:color w:val="auto"/>
              </w:rPr>
            </w:pPr>
          </w:p>
        </w:tc>
        <w:tc>
          <w:tcPr>
            <w:tcW w:w="1040" w:type="dxa"/>
            <w:vAlign w:val="bottom"/>
            <w:vMerge w:val="continue"/>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6</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$16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$8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$15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$2 million</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$28 million</w:t>
            </w: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ind w:left="420"/>
              <w:spacing w:after="0"/>
              <w:rPr>
                <w:sz w:val="20"/>
                <w:szCs w:val="20"/>
                <w:color w:val="auto"/>
              </w:rPr>
            </w:pPr>
            <w:r>
              <w:rPr>
                <w:rFonts w:ascii="Arial" w:cs="Arial" w:eastAsia="Arial" w:hAnsi="Arial"/>
                <w:sz w:val="18"/>
                <w:szCs w:val="18"/>
                <w:color w:val="auto"/>
              </w:rPr>
              <w:t>(sale price)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FMV</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7</w:t>
            </w: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$8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$17 million</w:t>
            </w: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 million</w:t>
            </w: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$28 million</w:t>
            </w:r>
          </w:p>
        </w:tc>
        <w:tc>
          <w:tcPr>
            <w:tcW w:w="0" w:type="dxa"/>
            <w:vAlign w:val="bottom"/>
          </w:tcPr>
          <w:p>
            <w:pPr>
              <w:spacing w:after="0"/>
              <w:rPr>
                <w:sz w:val="1"/>
                <w:szCs w:val="1"/>
                <w:color w:val="auto"/>
              </w:rPr>
            </w:pPr>
          </w:p>
        </w:tc>
      </w:tr>
      <w:tr>
        <w:trPr>
          <w:trHeight w:val="122"/>
        </w:trPr>
        <w:tc>
          <w:tcPr>
            <w:tcW w:w="1480" w:type="dxa"/>
            <w:vAlign w:val="bottom"/>
            <w:vMerge w:val="continue"/>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(sale price)</w:t>
            </w:r>
          </w:p>
        </w:tc>
        <w:tc>
          <w:tcPr>
            <w:tcW w:w="106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FMV</w:t>
            </w:r>
          </w:p>
        </w:tc>
        <w:tc>
          <w:tcPr>
            <w:tcW w:w="10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8</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$18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ind w:left="160"/>
              <w:spacing w:after="0"/>
              <w:rPr>
                <w:sz w:val="20"/>
                <w:szCs w:val="20"/>
                <w:color w:val="auto"/>
              </w:rPr>
            </w:pPr>
            <w:r>
              <w:rPr>
                <w:rFonts w:ascii="Arial" w:cs="Arial" w:eastAsia="Arial" w:hAnsi="Arial"/>
                <w:sz w:val="18"/>
                <w:szCs w:val="18"/>
                <w:color w:val="auto"/>
              </w:rPr>
              <w:t>$2 million</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$36 million</w:t>
            </w: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(sale price)</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1040" w:right="82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62" w:lineRule="exact"/>
        <w:rPr>
          <w:sz w:val="20"/>
          <w:szCs w:val="20"/>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1040" w:right="48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1040" w:right="46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62"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1040" w:right="18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1040" w:right="50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9" w:name="page20"/>
    <w:bookmarkEnd w:id="19"/>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1040" w:right="2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194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7"/>
          <w:szCs w:val="17"/>
          <w:b w:val="1"/>
          <w:bCs w:val="1"/>
          <w:color w:val="auto"/>
        </w:rPr>
        <w:t>15.68%</w:t>
      </w:r>
    </w:p>
    <w:p>
      <w:pPr>
        <w:spacing w:after="0" w:line="38"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1040" w:right="32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104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sz w:val="20"/>
          <w:szCs w:val="20"/>
          <w:color w:val="auto"/>
        </w:rPr>
      </w:pPr>
    </w:p>
    <w:p>
      <w:pPr>
        <w:ind w:left="520" w:hanging="255"/>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1040" w:right="24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104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sz w:val="20"/>
          <w:szCs w:val="20"/>
          <w:color w:val="auto"/>
        </w:rPr>
      </w:pPr>
    </w:p>
    <w:p>
      <w:pPr>
        <w:ind w:left="520" w:hanging="255"/>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1040" w:right="24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104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320" w:hanging="255"/>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bookmarkStart w:id="20" w:name="page21"/>
    <w:bookmarkEnd w:id="20"/>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hanging="255"/>
        <w:spacing w:after="0" w:line="30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right="320" w:hanging="255"/>
        <w:spacing w:after="0" w:line="34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3, 2016,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Arial" w:cs="Arial" w:eastAsia="Arial" w:hAnsi="Arial"/>
          <w:sz w:val="16"/>
          <w:szCs w:val="16"/>
          <w:i w:val="1"/>
          <w:iCs w:val="1"/>
          <w:color w:val="auto"/>
        </w:rPr>
        <w:t>ITEM 1A. RISK FACTORS—Risks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Business and Structure—We are dependent upon management personnel of the Adviser, TSSP, TPG and their affiliates for our future success</w:t>
      </w:r>
      <w:r>
        <w:rPr>
          <w:rFonts w:ascii="Arial" w:cs="Arial" w:eastAsia="Arial" w:hAnsi="Arial"/>
          <w:sz w:val="16"/>
          <w:szCs w:val="16"/>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560"/>
        <w:spacing w:after="0" w:line="277" w:lineRule="auto"/>
        <w:rPr>
          <w:sz w:val="20"/>
          <w:szCs w:val="20"/>
          <w:color w:val="auto"/>
        </w:rPr>
      </w:pPr>
      <w:r>
        <w:rPr>
          <w:rFonts w:ascii="Arial" w:cs="Arial" w:eastAsia="Arial" w:hAnsi="Arial"/>
          <w:sz w:val="18"/>
          <w:szCs w:val="18"/>
          <w:color w:val="auto"/>
        </w:rPr>
        <w:t>liability or the matter has been settled) arising by reason of willful misfeasance, bad faith, gross negligence, or reckless disregard of duties, and require reasonable and fair means for determining whether indemnification will be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jc w:val="both"/>
        <w:ind w:right="40" w:firstLine="259"/>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2015. In its consideration of the Investment Advisory Agreement at the time of approval and renewal, the Board focused on information it had received relating to, among other things:</w:t>
      </w:r>
    </w:p>
    <w:p>
      <w:pPr>
        <w:spacing w:after="0" w:line="57" w:lineRule="exact"/>
        <w:rPr>
          <w:sz w:val="20"/>
          <w:szCs w:val="20"/>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17" w:lineRule="exact"/>
        <w:rPr>
          <w:rFonts w:ascii="Arial" w:cs="Arial" w:eastAsia="Arial" w:hAnsi="Arial"/>
          <w:sz w:val="18"/>
          <w:szCs w:val="18"/>
          <w:color w:val="auto"/>
        </w:rPr>
      </w:pPr>
    </w:p>
    <w:p>
      <w:pPr>
        <w:ind w:left="520" w:right="120" w:hanging="255"/>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the Adviser from its relationships with us and the profitability of those income sources;</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those services under 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21"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7"/>
          <w:szCs w:val="17"/>
          <w:i w:val="1"/>
          <w:iCs w:val="1"/>
          <w:color w:val="auto"/>
        </w:rPr>
        <w:t>ITEM 1A.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FACTORS—Risks Related to Our Business and Structure—We borrow money, which magnifies the potential for gain or loss and increases the risk of investing in us</w:t>
      </w:r>
      <w:r>
        <w:rPr>
          <w:rFonts w:ascii="Arial" w:cs="Arial" w:eastAsia="Arial" w:hAnsi="Arial"/>
          <w:sz w:val="17"/>
          <w:szCs w:val="17"/>
          <w:color w:val="auto"/>
        </w:rPr>
        <w:t>.” As of December 31, 2015 and 2014, our asset coverage was 225.7% and 311.0%, respectively.</w:t>
      </w:r>
    </w:p>
    <w:p>
      <w:pPr>
        <w:spacing w:after="0" w:line="178"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ind w:right="280"/>
        <w:spacing w:after="0" w:line="277" w:lineRule="auto"/>
        <w:rPr>
          <w:sz w:val="20"/>
          <w:szCs w:val="20"/>
          <w:color w:val="auto"/>
        </w:rPr>
      </w:pPr>
      <w:r>
        <w:rPr>
          <w:rFonts w:ascii="Arial" w:cs="Arial" w:eastAsia="Arial" w:hAnsi="Arial"/>
          <w:sz w:val="18"/>
          <w:szCs w:val="18"/>
          <w:color w:val="auto"/>
        </w:rPr>
        <w:t>more than 50% of the outstanding voting securities of such company are present or represented by proxy, and (b) more than 50% of the outstanding voting securities of such company.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anticipate any substantial change in the nature of our business.</w:t>
      </w:r>
    </w:p>
    <w:p>
      <w:pPr>
        <w:spacing w:after="0" w:line="225"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8"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7"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w:t>
      </w:r>
      <w:r>
        <w:rPr>
          <w:rFonts w:ascii="Arial" w:cs="Arial" w:eastAsia="Arial" w:hAnsi="Arial"/>
          <w:sz w:val="16"/>
          <w:szCs w:val="16"/>
          <w:i w:val="1"/>
          <w:iCs w:val="1"/>
          <w:color w:val="auto"/>
        </w:rPr>
        <w:t>ITEM 1A. RISK FACTORS—Risks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and Structure—Regulations governing our operation as a BDC affect our ability to, and the way in which we, raise additional capital.</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a BDC, we are subject to certain risks and uncertainties. See “</w:t>
      </w:r>
      <w:r>
        <w:rPr>
          <w:rFonts w:ascii="Arial" w:cs="Arial" w:eastAsia="Arial" w:hAnsi="Arial"/>
          <w:sz w:val="17"/>
          <w:szCs w:val="17"/>
          <w:i w:val="1"/>
          <w:iCs w:val="1"/>
          <w:color w:val="auto"/>
        </w:rPr>
        <w:t>ITEM 1A. RISK FACTORS—Risks Related to Our Business and Structure.</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our affiliates</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On December 16, 2014, we were granted an exemptive relief order from the SEC that, if certain conditions are met, allows us to co-invest, to the extent the size of an investment opportunity exceeds the amount our Adviser independently determines is appropriate for us to invest, with affiliates of TSSP and TPG in middle-market loan origination activities for companies domiciled in the United States and certain “follow-on” investments in companies in which we have already co-invested pursuant to the order and remain invested . These conditions include, among others, prior approval by a majority of our Independent Directors and that the terms and conditions of the investment applicable to any affiliates of TSSP and TPG also must be the same as those applicable to us.</w:t>
      </w:r>
    </w:p>
    <w:p>
      <w:pPr>
        <w:spacing w:after="0" w:line="158"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ind w:right="400" w:firstLine="259"/>
        <w:spacing w:after="0" w:line="342" w:lineRule="auto"/>
        <w:rPr>
          <w:sz w:val="20"/>
          <w:szCs w:val="20"/>
          <w:color w:val="auto"/>
        </w:rPr>
      </w:pPr>
      <w:r>
        <w:rPr>
          <w:rFonts w:ascii="Arial" w:cs="Arial" w:eastAsia="Arial" w:hAnsi="Arial"/>
          <w:sz w:val="16"/>
          <w:szCs w:val="16"/>
          <w:color w:val="auto"/>
        </w:rPr>
        <w:t>Further, in accordance with the exemptive relief order, we have undertaken that, in connection with any commitment to a co-investment or follow-on investment, a “required majority” (as defined in Section 57(o) of the 1940 Act) of Independent Directors must make certain conclusions, including that:</w:t>
      </w:r>
    </w:p>
    <w:p>
      <w:pPr>
        <w:spacing w:after="0" w:line="16" w:lineRule="exact"/>
        <w:rPr>
          <w:sz w:val="20"/>
          <w:szCs w:val="20"/>
          <w:color w:val="auto"/>
        </w:rPr>
      </w:pPr>
    </w:p>
    <w:p>
      <w:pPr>
        <w:ind w:left="520" w:right="340" w:hanging="255"/>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investment will not benefit any affiliate other than the affiliate participating in the investment, and as otherwise permitted by the order.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13. CERTAIN RELATIONSHIPS AND RELATED TRANSACTIONS, AND DIRECTOR INDEPENDENCE.</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3" w:lineRule="exact"/>
        <w:rPr>
          <w:sz w:val="20"/>
          <w:szCs w:val="20"/>
          <w:color w:val="auto"/>
        </w:rPr>
      </w:pPr>
    </w:p>
    <w:p>
      <w:pPr>
        <w:ind w:left="520" w:right="20" w:hanging="255"/>
        <w:spacing w:after="0" w:line="288"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w:t>
      </w:r>
    </w:p>
    <w:p>
      <w:pPr>
        <w:ind w:left="520"/>
        <w:spacing w:after="0"/>
        <w:rPr>
          <w:rFonts w:ascii="Arial" w:cs="Arial" w:eastAsia="Arial" w:hAnsi="Arial"/>
          <w:sz w:val="16"/>
          <w:szCs w:val="16"/>
          <w:color w:val="auto"/>
        </w:rPr>
      </w:pPr>
      <w:r>
        <w:rPr>
          <w:rFonts w:ascii="Arial" w:cs="Arial" w:eastAsia="Arial" w:hAnsi="Arial"/>
          <w:sz w:val="18"/>
          <w:szCs w:val="18"/>
          <w:color w:val="auto"/>
        </w:rPr>
        <w:t>1940 Act as any issuer which:</w:t>
      </w:r>
    </w:p>
    <w:p>
      <w:pPr>
        <w:spacing w:after="0" w:line="102" w:lineRule="exact"/>
        <w:rPr>
          <w:rFonts w:ascii="Arial" w:cs="Arial" w:eastAsia="Arial" w:hAnsi="Arial"/>
          <w:sz w:val="16"/>
          <w:szCs w:val="16"/>
          <w:color w:val="auto"/>
        </w:rPr>
      </w:pPr>
    </w:p>
    <w:p>
      <w:pPr>
        <w:ind w:left="780" w:hanging="259"/>
        <w:spacing w:after="0"/>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780" w:right="220" w:hanging="259"/>
        <w:spacing w:after="0" w:line="277" w:lineRule="auto"/>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300" w:hanging="266"/>
        <w:spacing w:after="0"/>
        <w:tabs>
          <w:tab w:leader="none" w:pos="1300" w:val="left"/>
        </w:tabs>
        <w:numPr>
          <w:ilvl w:val="2"/>
          <w:numId w:val="35"/>
        </w:numPr>
        <w:rPr>
          <w:rFonts w:ascii="Arial" w:cs="Arial" w:eastAsia="Arial" w:hAnsi="Arial"/>
          <w:sz w:val="16"/>
          <w:szCs w:val="16"/>
          <w:color w:val="auto"/>
        </w:rPr>
      </w:pPr>
      <w:r>
        <w:rPr>
          <w:rFonts w:ascii="Arial" w:cs="Arial" w:eastAsia="Arial" w:hAnsi="Arial"/>
          <w:sz w:val="16"/>
          <w:szCs w:val="16"/>
          <w:color w:val="auto"/>
        </w:rPr>
        <w:t>has an equity market capitalization of less than $250 million or does not have any class of securities listed on a national securities exchange;</w:t>
      </w:r>
    </w:p>
    <w:p>
      <w:pPr>
        <w:spacing w:after="0" w:line="140" w:lineRule="exact"/>
        <w:rPr>
          <w:rFonts w:ascii="Arial" w:cs="Arial" w:eastAsia="Arial" w:hAnsi="Arial"/>
          <w:sz w:val="16"/>
          <w:szCs w:val="16"/>
          <w:color w:val="auto"/>
        </w:rPr>
      </w:pPr>
    </w:p>
    <w:p>
      <w:pPr>
        <w:ind w:left="1300" w:right="80" w:hanging="266"/>
        <w:spacing w:after="0" w:line="264" w:lineRule="auto"/>
        <w:tabs>
          <w:tab w:leader="none" w:pos="13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73" w:lineRule="exact"/>
        <w:rPr>
          <w:rFonts w:ascii="Arial" w:cs="Arial" w:eastAsia="Arial" w:hAnsi="Arial"/>
          <w:sz w:val="18"/>
          <w:szCs w:val="18"/>
          <w:color w:val="auto"/>
        </w:rPr>
      </w:pPr>
    </w:p>
    <w:p>
      <w:pPr>
        <w:ind w:left="1300" w:hanging="266"/>
        <w:spacing w:after="0"/>
        <w:tabs>
          <w:tab w:leader="none" w:pos="1300" w:val="left"/>
        </w:tabs>
        <w:numPr>
          <w:ilvl w:val="2"/>
          <w:numId w:val="35"/>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520" w:right="120" w:hanging="255"/>
        <w:spacing w:after="0" w:line="31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38" w:lineRule="exact"/>
        <w:rPr>
          <w:rFonts w:ascii="Arial" w:cs="Arial" w:eastAsia="Arial" w:hAnsi="Arial"/>
          <w:sz w:val="16"/>
          <w:szCs w:val="16"/>
          <w:color w:val="auto"/>
        </w:rPr>
      </w:pPr>
    </w:p>
    <w:p>
      <w:pPr>
        <w:ind w:left="520" w:right="260" w:hanging="255"/>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20" w:right="380" w:hanging="255"/>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As a BDC, we generally must have 200% asset coverage for our debt after incurring any new indebtedness, meaning that the total value of our assets must be at least twice the amount of the debt (i.e., 50% leverage). As of December 31, 2015 and 2014, our asset coverage was 225.7% and 311.0%, respectively.</w:t>
      </w:r>
    </w:p>
    <w:p>
      <w:pPr>
        <w:spacing w:after="0" w:line="124"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as defined in the 1940 Act, is at least equal to 200% immediately after each such issuance. In addition, while any preferred stock or publicly-traded debt securities are outstanding, we may be prohibited from making distributions to our stockholders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w:t>
      </w:r>
    </w:p>
    <w:p>
      <w:pPr>
        <w:spacing w:after="0" w:line="188"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1940 Act imposes limitations on a BDC’s issuance of preferred stock, which is considered a “senior security” and thus is subject to the 200% asset coverage requirement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Co-Chief Executive Officers or Chief Financial Officer.</w:t>
      </w:r>
    </w:p>
    <w:p>
      <w:pPr>
        <w:spacing w:after="0" w:line="193"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We hereby undertake to provide a copy of the codes to any person, without charge, upon request. Requests for a copy of the codes may be made in writing addressed to the Secretary of the Company,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340" w:firstLine="259"/>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520" w:right="54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62" w:lineRule="exact"/>
        <w:rPr>
          <w:rFonts w:ascii="Arial" w:cs="Arial" w:eastAsia="Arial" w:hAnsi="Arial"/>
          <w:sz w:val="18"/>
          <w:szCs w:val="18"/>
          <w:color w:val="auto"/>
        </w:rPr>
      </w:pPr>
    </w:p>
    <w:p>
      <w:pPr>
        <w:ind w:left="520" w:right="80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5" w:name="page26"/>
    <w:bookmarkEnd w:id="25"/>
    <w:p>
      <w:pPr>
        <w:ind w:left="520" w:right="140" w:hanging="255"/>
        <w:spacing w:after="0" w:line="342"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5" w:lineRule="exact"/>
        <w:rPr>
          <w:rFonts w:ascii="Arial" w:cs="Arial" w:eastAsia="Arial" w:hAnsi="Arial"/>
          <w:sz w:val="16"/>
          <w:szCs w:val="16"/>
          <w:color w:val="auto"/>
        </w:rPr>
      </w:pPr>
    </w:p>
    <w:p>
      <w:pPr>
        <w:jc w:val="both"/>
        <w:ind w:left="520" w:right="120" w:hanging="255"/>
        <w:spacing w:after="0" w:line="286"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NYSE Corporate Governance Rules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services to us and our investors. We maintain physical, electronic and procedural safeguards to seek to guard investor nonpublic personal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Attention: TSLX Investor Relations, or by emailing us at </w:t>
      </w:r>
      <w:r>
        <w:rPr>
          <w:rFonts w:ascii="Arial" w:cs="Arial" w:eastAsia="Arial" w:hAnsi="Arial"/>
          <w:sz w:val="16"/>
          <w:szCs w:val="16"/>
          <w:i w:val="1"/>
          <w:iCs w:val="1"/>
          <w:color w:val="auto"/>
        </w:rPr>
        <w:t>IRTSL@tpg.com</w:t>
      </w:r>
      <w:r>
        <w:rPr>
          <w:rFonts w:ascii="Arial" w:cs="Arial" w:eastAsia="Arial" w:hAnsi="Arial"/>
          <w:sz w:val="16"/>
          <w:szCs w:val="16"/>
          <w:color w:val="auto"/>
        </w:rPr>
        <w:t>.</w:t>
      </w:r>
    </w:p>
    <w:p>
      <w:pPr>
        <w:spacing w:after="0" w:line="14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non-U.S. stockholders with respect to our taxable years commencing April 1, 2015 will be eligible for look-through tax treatment.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17" w:lineRule="exact"/>
        <w:rPr>
          <w:sz w:val="20"/>
          <w:szCs w:val="20"/>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17" w:lineRule="exact"/>
        <w:rPr>
          <w:rFonts w:ascii="Arial" w:cs="Arial" w:eastAsia="Arial" w:hAnsi="Arial"/>
          <w:sz w:val="18"/>
          <w:szCs w:val="18"/>
          <w:color w:val="auto"/>
        </w:rPr>
      </w:pPr>
    </w:p>
    <w:p>
      <w:pPr>
        <w:ind w:left="520" w:right="60" w:hanging="255"/>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17" w:lineRule="exact"/>
        <w:rPr>
          <w:rFonts w:ascii="Arial" w:cs="Arial" w:eastAsia="Arial" w:hAnsi="Arial"/>
          <w:sz w:val="18"/>
          <w:szCs w:val="18"/>
          <w:color w:val="auto"/>
        </w:rPr>
      </w:pPr>
    </w:p>
    <w:p>
      <w:pPr>
        <w:ind w:left="780" w:right="300" w:hanging="259"/>
        <w:spacing w:after="0" w:line="286" w:lineRule="auto"/>
        <w:tabs>
          <w:tab w:leader="none" w:pos="7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7" w:lineRule="exact"/>
        <w:rPr>
          <w:rFonts w:ascii="Arial" w:cs="Arial" w:eastAsia="Arial" w:hAnsi="Arial"/>
          <w:sz w:val="17"/>
          <w:szCs w:val="17"/>
          <w:color w:val="auto"/>
        </w:rPr>
      </w:pPr>
    </w:p>
    <w:p>
      <w:pPr>
        <w:ind w:left="780" w:right="20" w:hanging="259"/>
        <w:spacing w:after="0" w:line="264" w:lineRule="auto"/>
        <w:tabs>
          <w:tab w:leader="none" w:pos="7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780" w:hanging="25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780" w:right="80" w:hanging="259"/>
        <w:spacing w:after="0" w:line="277"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100" w:firstLine="259"/>
        <w:spacing w:after="0" w:line="259"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and distributions on behalf of those investors that do not elect to receive their dividends in cash. See “—</w:t>
      </w:r>
      <w:r>
        <w:rPr>
          <w:rFonts w:ascii="Arial" w:cs="Arial" w:eastAsia="Arial" w:hAnsi="Arial"/>
          <w:sz w:val="18"/>
          <w:szCs w:val="18"/>
          <w:i w:val="1"/>
          <w:iCs w:val="1"/>
          <w:color w:val="auto"/>
        </w:rPr>
        <w:t>Dividend Policy</w:t>
      </w:r>
      <w:r>
        <w:rPr>
          <w:rFonts w:ascii="Arial" w:cs="Arial" w:eastAsia="Arial" w:hAnsi="Arial"/>
          <w:sz w:val="18"/>
          <w:szCs w:val="18"/>
          <w:color w:val="auto"/>
        </w:rPr>
        <w:t>” and “—</w:t>
      </w:r>
      <w:r>
        <w:rPr>
          <w:rFonts w:ascii="Arial" w:cs="Arial" w:eastAsia="Arial" w:hAnsi="Arial"/>
          <w:sz w:val="18"/>
          <w:szCs w:val="18"/>
          <w:i w:val="1"/>
          <w:iCs w:val="1"/>
          <w:color w:val="auto"/>
        </w:rPr>
        <w:t>Dividend Reinvestment Plan</w:t>
      </w:r>
      <w:r>
        <w:rPr>
          <w:rFonts w:ascii="Arial" w:cs="Arial" w:eastAsia="Arial" w:hAnsi="Arial"/>
          <w:sz w:val="18"/>
          <w:szCs w:val="18"/>
          <w:color w:val="auto"/>
        </w:rPr>
        <w:t>” for a description of our dividend policy and obligations. One or more of the considerations described below, however, could result in the deferral of dividend distributions until the end of the fiscal year:</w:t>
      </w:r>
    </w:p>
    <w:p>
      <w:pPr>
        <w:spacing w:after="0" w:line="79" w:lineRule="exact"/>
        <w:rPr>
          <w:sz w:val="20"/>
          <w:szCs w:val="20"/>
          <w:color w:val="auto"/>
        </w:rPr>
      </w:pPr>
    </w:p>
    <w:p>
      <w:pPr>
        <w:ind w:left="520" w:right="180" w:hanging="255"/>
        <w:spacing w:after="0" w:line="312" w:lineRule="auto"/>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38" w:lineRule="exact"/>
        <w:rPr>
          <w:rFonts w:ascii="Arial" w:cs="Arial" w:eastAsia="Arial" w:hAnsi="Arial"/>
          <w:sz w:val="16"/>
          <w:szCs w:val="16"/>
          <w:color w:val="auto"/>
        </w:rPr>
      </w:pPr>
    </w:p>
    <w:p>
      <w:pPr>
        <w:ind w:left="520" w:right="240" w:hanging="255"/>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80" w:firstLine="259"/>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40" w:firstLine="259"/>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ind w:right="380" w:firstLine="259"/>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The 1940 Act imposes numerous constraints on the operations of BDCs. See “</w:t>
      </w:r>
      <w:r>
        <w:rPr>
          <w:rFonts w:ascii="Arial" w:cs="Arial" w:eastAsia="Arial" w:hAnsi="Arial"/>
          <w:sz w:val="16"/>
          <w:szCs w:val="16"/>
          <w:i w:val="1"/>
          <w:iCs w:val="1"/>
          <w:color w:val="auto"/>
        </w:rPr>
        <w:t>ITEM 1. BUSINESS—Regulation as a Business Development Company</w:t>
      </w:r>
      <w:r>
        <w:rPr>
          <w:rFonts w:ascii="Arial" w:cs="Arial" w:eastAsia="Arial" w:hAnsi="Arial"/>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54"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0"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Arial" w:cs="Arial" w:eastAsia="Arial" w:hAnsi="Arial"/>
          <w:sz w:val="16"/>
          <w:szCs w:val="16"/>
          <w:i w:val="1"/>
          <w:iCs w:val="1"/>
          <w:color w:val="auto"/>
        </w:rPr>
        <w:t>—Risks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Portfolio Company Investments</w:t>
      </w:r>
      <w:r>
        <w:rPr>
          <w:rFonts w:ascii="Arial" w:cs="Arial" w:eastAsia="Arial" w:hAnsi="Arial"/>
          <w:sz w:val="16"/>
          <w:szCs w:val="16"/>
          <w:b w:val="1"/>
          <w:bCs w:val="1"/>
          <w:color w:val="auto"/>
        </w:rPr>
        <w:t>—</w:t>
      </w:r>
      <w:r>
        <w:rPr>
          <w:rFonts w:ascii="Arial" w:cs="Arial" w:eastAsia="Arial" w:hAnsi="Arial"/>
          <w:sz w:val="16"/>
          <w:szCs w:val="16"/>
          <w:i w:val="1"/>
          <w:iCs w:val="1"/>
          <w:color w:val="auto"/>
        </w:rPr>
        <w:t>We may securitize certain of our investments, which may subject us to certain structured financing risks</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right="40"/>
        <w:spacing w:after="0" w:line="271" w:lineRule="auto"/>
        <w:rPr>
          <w:sz w:val="20"/>
          <w:szCs w:val="20"/>
          <w:color w:val="auto"/>
        </w:rPr>
      </w:pPr>
      <w:r>
        <w:rPr>
          <w:rFonts w:ascii="Arial" w:cs="Arial" w:eastAsia="Arial" w:hAnsi="Arial"/>
          <w:sz w:val="17"/>
          <w:szCs w:val="17"/>
          <w:color w:val="auto"/>
        </w:rPr>
        <w:t>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Arial" w:cs="Arial" w:eastAsia="Arial" w:hAnsi="Arial"/>
          <w:sz w:val="17"/>
          <w:szCs w:val="17"/>
          <w:i w:val="1"/>
          <w:iCs w:val="1"/>
          <w:color w:val="auto"/>
        </w:rPr>
        <w:t>—Risks Related to Our Business and Structure—Even in the event the value of your 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declines, the Management Fee and, in certain circumstances, the Incentive Fee will still be payable to the Adviser</w:t>
      </w:r>
      <w:r>
        <w:rPr>
          <w:rFonts w:ascii="Arial" w:cs="Arial" w:eastAsia="Arial" w:hAnsi="Arial"/>
          <w:sz w:val="17"/>
          <w:szCs w:val="17"/>
          <w:color w:val="auto"/>
        </w:rPr>
        <w:t>.” The amount of leverage that we employ</w:t>
      </w:r>
      <w:r>
        <w:rPr>
          <w:rFonts w:ascii="Arial" w:cs="Arial" w:eastAsia="Arial" w:hAnsi="Arial"/>
          <w:sz w:val="17"/>
          <w:szCs w:val="17"/>
          <w:i w:val="1"/>
          <w:iCs w:val="1"/>
          <w:color w:val="auto"/>
        </w:rPr>
        <w:t xml:space="preserve"> </w:t>
      </w:r>
      <w:r>
        <w:rPr>
          <w:rFonts w:ascii="Arial" w:cs="Arial" w:eastAsia="Arial" w:hAnsi="Arial"/>
          <w:sz w:val="17"/>
          <w:szCs w:val="17"/>
          <w:color w:val="auto"/>
        </w:rPr>
        <w:t>will depend on our Adviser’s and our Board’s assessment of market and other factors at the time of any proposed borrowing. We cannot assure you that we will be able to obtain credit at all or on terms acceptable to us.</w:t>
      </w:r>
    </w:p>
    <w:p>
      <w:pPr>
        <w:spacing w:after="0" w:line="179"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the date of this Annual Report,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of December 31, 2015, we had $655.3 million of outstanding indebtedness, which had an annualized interest cost of 2.52% under the terms of our debt, excluding fees (such as fees on undrawn amounts and amortization of upfront fees) and giving effect to the swap-adjusted interest rate on our Convertible Senior Notes. As of December 31, 2015, the interest rate on our 4.50% Convertible Senior Notes due 2019, or the Convertible Senior Notes, as adjusted to give effect to the interest rate swaps, was three-month LIBOR plus 286 basis points.</w:t>
      </w:r>
    </w:p>
    <w:p>
      <w:pPr>
        <w:spacing w:after="0" w:line="187"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5"/>
          </w:tcPr>
          <w:p>
            <w:pPr>
              <w:jc w:val="center"/>
              <w:ind w:left="688"/>
              <w:spacing w:after="0"/>
              <w:rPr>
                <w:sz w:val="20"/>
                <w:szCs w:val="20"/>
                <w:color w:val="auto"/>
              </w:rPr>
            </w:pPr>
            <w:r>
              <w:rPr>
                <w:rFonts w:ascii="Arial" w:cs="Arial" w:eastAsia="Arial" w:hAnsi="Arial"/>
                <w:sz w:val="14"/>
                <w:szCs w:val="14"/>
                <w:b w:val="1"/>
                <w:bCs w:val="1"/>
                <w:color w:val="auto"/>
                <w:w w:val="94"/>
              </w:rPr>
              <w:t>Assumed Return on Our Portfolio</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5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center"/>
              <w:ind w:right="500"/>
              <w:spacing w:after="0" w:line="153" w:lineRule="exact"/>
              <w:rPr>
                <w:sz w:val="20"/>
                <w:szCs w:val="20"/>
                <w:color w:val="auto"/>
              </w:rPr>
            </w:pPr>
            <w:r>
              <w:rPr>
                <w:rFonts w:ascii="Arial" w:cs="Arial" w:eastAsia="Arial" w:hAnsi="Arial"/>
                <w:sz w:val="14"/>
                <w:szCs w:val="14"/>
                <w:b w:val="1"/>
                <w:bCs w:val="1"/>
                <w:color w:val="auto"/>
                <w:w w:val="88"/>
              </w:rPr>
              <w:t>(net of expenses)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7"/>
        </w:trPr>
        <w:tc>
          <w:tcPr>
            <w:tcW w:w="5280" w:type="dxa"/>
            <w:vAlign w:val="bottom"/>
          </w:tcPr>
          <w:p>
            <w:pPr>
              <w:spacing w:after="0"/>
              <w:rPr>
                <w:sz w:val="14"/>
                <w:szCs w:val="14"/>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color w:val="auto"/>
              </w:rPr>
              <w:t>-5%</w:t>
            </w: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99"/>
              <w:spacing w:after="0"/>
              <w:rPr>
                <w:sz w:val="20"/>
                <w:szCs w:val="20"/>
                <w:color w:val="auto"/>
              </w:rPr>
            </w:pPr>
            <w:r>
              <w:rPr>
                <w:rFonts w:ascii="Arial" w:cs="Arial" w:eastAsia="Arial" w:hAnsi="Arial"/>
                <w:sz w:val="14"/>
                <w:szCs w:val="14"/>
                <w:color w:val="auto"/>
              </w:rPr>
              <w:t>5%</w:t>
            </w:r>
          </w:p>
        </w:tc>
        <w:tc>
          <w:tcPr>
            <w:tcW w:w="1240" w:type="dxa"/>
            <w:vAlign w:val="bottom"/>
            <w:gridSpan w:val="2"/>
          </w:tcPr>
          <w:p>
            <w:pPr>
              <w:jc w:val="right"/>
              <w:ind w:right="350"/>
              <w:spacing w:after="0"/>
              <w:rPr>
                <w:sz w:val="20"/>
                <w:szCs w:val="20"/>
                <w:color w:val="auto"/>
              </w:rPr>
            </w:pPr>
            <w:r>
              <w:rPr>
                <w:rFonts w:ascii="Arial" w:cs="Arial" w:eastAsia="Arial" w:hAnsi="Arial"/>
                <w:sz w:val="14"/>
                <w:szCs w:val="14"/>
                <w:color w:val="auto"/>
              </w:rPr>
              <w:t>10%</w:t>
            </w:r>
          </w:p>
        </w:tc>
      </w:tr>
      <w:tr>
        <w:trPr>
          <w:trHeight w:val="210"/>
        </w:trPr>
        <w:tc>
          <w:tcPr>
            <w:tcW w:w="5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15"/>
                <w:szCs w:val="15"/>
                <w:color w:val="auto"/>
              </w:rPr>
              <w:t>(1)</w:t>
            </w:r>
          </w:p>
        </w:tc>
        <w:tc>
          <w:tcPr>
            <w:tcW w:w="1140" w:type="dxa"/>
            <w:vAlign w:val="bottom"/>
            <w:tcBorders>
              <w:top w:val="single" w:sz="8" w:color="auto"/>
            </w:tcBorders>
            <w:shd w:val="clear" w:color="auto" w:fill="CCEEFF"/>
          </w:tcPr>
          <w:p>
            <w:pPr>
              <w:jc w:val="center"/>
              <w:ind w:right="179"/>
              <w:spacing w:after="0"/>
              <w:rPr>
                <w:sz w:val="20"/>
                <w:szCs w:val="20"/>
                <w:color w:val="auto"/>
              </w:rPr>
            </w:pPr>
            <w:r>
              <w:rPr>
                <w:rFonts w:ascii="Arial" w:cs="Arial" w:eastAsia="Arial" w:hAnsi="Arial"/>
                <w:sz w:val="18"/>
                <w:szCs w:val="18"/>
                <w:color w:val="auto"/>
              </w:rPr>
              <w:t>-20.50</w:t>
            </w: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right="208"/>
              <w:spacing w:after="0"/>
              <w:rPr>
                <w:sz w:val="20"/>
                <w:szCs w:val="20"/>
                <w:color w:val="auto"/>
              </w:rPr>
            </w:pPr>
            <w:r>
              <w:rPr>
                <w:rFonts w:ascii="Arial" w:cs="Arial" w:eastAsia="Arial" w:hAnsi="Arial"/>
                <w:sz w:val="14"/>
                <w:szCs w:val="14"/>
                <w:color w:val="auto"/>
              </w:rPr>
              <w:t>-</w:t>
            </w:r>
            <w:r>
              <w:rPr>
                <w:rFonts w:ascii="Arial" w:cs="Arial" w:eastAsia="Arial" w:hAnsi="Arial"/>
                <w:sz w:val="18"/>
                <w:szCs w:val="18"/>
                <w:color w:val="auto"/>
              </w:rPr>
              <w:t>11.26</w:t>
            </w: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right="248"/>
              <w:spacing w:after="0"/>
              <w:rPr>
                <w:sz w:val="20"/>
                <w:szCs w:val="20"/>
                <w:color w:val="auto"/>
              </w:rPr>
            </w:pPr>
            <w:r>
              <w:rPr>
                <w:rFonts w:ascii="Arial" w:cs="Arial" w:eastAsia="Arial" w:hAnsi="Arial"/>
                <w:sz w:val="14"/>
                <w:szCs w:val="14"/>
                <w:color w:val="auto"/>
              </w:rPr>
              <w:t>-</w:t>
            </w:r>
            <w:r>
              <w:rPr>
                <w:rFonts w:ascii="Arial" w:cs="Arial" w:eastAsia="Arial" w:hAnsi="Arial"/>
                <w:sz w:val="18"/>
                <w:szCs w:val="18"/>
                <w:color w:val="auto"/>
              </w:rPr>
              <w:t>2.01</w:t>
            </w: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ind w:right="259"/>
              <w:spacing w:after="0"/>
              <w:rPr>
                <w:sz w:val="20"/>
                <w:szCs w:val="20"/>
                <w:color w:val="auto"/>
              </w:rPr>
            </w:pPr>
            <w:r>
              <w:rPr>
                <w:rFonts w:ascii="Arial" w:cs="Arial" w:eastAsia="Arial" w:hAnsi="Arial"/>
                <w:sz w:val="18"/>
                <w:szCs w:val="18"/>
                <w:color w:val="auto"/>
                <w:w w:val="84"/>
              </w:rPr>
              <w:t>7.23</w:t>
            </w:r>
            <w:r>
              <w:rPr>
                <w:rFonts w:ascii="Arial" w:cs="Arial" w:eastAsia="Arial" w:hAnsi="Arial"/>
                <w:sz w:val="14"/>
                <w:szCs w:val="14"/>
                <w:color w:val="auto"/>
                <w:w w:val="84"/>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rPr>
              <w:t>16.47</w:t>
            </w:r>
            <w:r>
              <w:rPr>
                <w:rFonts w:ascii="Arial" w:cs="Arial" w:eastAsia="Arial" w:hAnsi="Arial"/>
                <w:sz w:val="14"/>
                <w:szCs w:val="14"/>
                <w:color w:val="auto"/>
              </w:rPr>
              <w:t>%</w:t>
            </w:r>
          </w:p>
        </w:tc>
      </w:tr>
    </w:tbl>
    <w:p>
      <w:pPr>
        <w:spacing w:after="0" w:line="202" w:lineRule="exact"/>
        <w:rPr>
          <w:sz w:val="20"/>
          <w:szCs w:val="20"/>
          <w:color w:val="auto"/>
        </w:rPr>
      </w:pPr>
    </w:p>
    <w:p>
      <w:pPr>
        <w:ind w:left="520" w:right="6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Assumes, as of December 31, 2015, (i) $1.5 billion in total assets, (ii) $655.3 million in outstanding indebtedness, (iii) $820.7 million in net assets and (iv) annualized interest cost of 2.52%, under the terms of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U.S. House of Representatives, if passed, would modify this section of the 1940 Act and increase the amount of debt that BDCs may incur by modifying the asset coverage percentage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ind w:right="80"/>
        <w:spacing w:after="0" w:line="264" w:lineRule="auto"/>
        <w:rPr>
          <w:sz w:val="20"/>
          <w:szCs w:val="20"/>
          <w:color w:val="auto"/>
        </w:rPr>
      </w:pPr>
      <w:r>
        <w:rPr>
          <w:rFonts w:ascii="Arial" w:cs="Arial" w:eastAsia="Arial" w:hAnsi="Arial"/>
          <w:sz w:val="18"/>
          <w:szCs w:val="18"/>
          <w:color w:val="auto"/>
        </w:rPr>
        <w:t>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65"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180" w:firstLine="259"/>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Annual Report.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300" w:firstLine="259"/>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incur significant realized capital losses and unrealized capital depreciation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right="100"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00" w:firstLine="259"/>
        <w:spacing w:after="0" w:line="291"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jc w:val="both"/>
        <w:ind w:right="140" w:firstLine="259"/>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46" w:lineRule="exact"/>
        <w:rPr>
          <w:sz w:val="20"/>
          <w:szCs w:val="20"/>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17" w:lineRule="exact"/>
        <w:rPr>
          <w:rFonts w:ascii="Arial" w:cs="Arial" w:eastAsia="Arial" w:hAnsi="Arial"/>
          <w:sz w:val="18"/>
          <w:szCs w:val="18"/>
          <w:color w:val="auto"/>
        </w:rPr>
      </w:pPr>
    </w:p>
    <w:p>
      <w:pPr>
        <w:ind w:left="780" w:right="520" w:hanging="259"/>
        <w:spacing w:after="0" w:line="277" w:lineRule="auto"/>
        <w:tabs>
          <w:tab w:leader="none" w:pos="7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117" w:lineRule="exact"/>
        <w:rPr>
          <w:sz w:val="20"/>
          <w:szCs w:val="20"/>
          <w:color w:val="auto"/>
        </w:rPr>
      </w:pPr>
    </w:p>
    <w:p>
      <w:pPr>
        <w:ind w:left="520"/>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46" w:lineRule="exact"/>
        <w:rPr>
          <w:sz w:val="20"/>
          <w:szCs w:val="20"/>
          <w:color w:val="auto"/>
        </w:rPr>
      </w:pPr>
    </w:p>
    <w:p>
      <w:pPr>
        <w:ind w:left="520" w:right="100" w:hanging="255"/>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62" w:lineRule="exact"/>
        <w:rPr>
          <w:rFonts w:ascii="Arial" w:cs="Arial" w:eastAsia="Arial" w:hAnsi="Arial"/>
          <w:sz w:val="18"/>
          <w:szCs w:val="18"/>
          <w:color w:val="auto"/>
        </w:rPr>
      </w:pPr>
    </w:p>
    <w:p>
      <w:pPr>
        <w:ind w:left="520" w:right="360" w:hanging="255"/>
        <w:spacing w:after="0" w:line="312"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2" w:name="page33"/>
    <w:bookmarkEnd w:id="32"/>
    <w:p>
      <w:pPr>
        <w:ind w:right="18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60" w:firstLine="259"/>
        <w:spacing w:after="0" w:line="255" w:lineRule="auto"/>
        <w:rPr>
          <w:sz w:val="20"/>
          <w:szCs w:val="20"/>
          <w:color w:val="auto"/>
        </w:rPr>
      </w:pPr>
      <w:r>
        <w:rPr>
          <w:rFonts w:ascii="Arial" w:cs="Arial" w:eastAsia="Arial" w:hAnsi="Arial"/>
          <w:sz w:val="18"/>
          <w:szCs w:val="18"/>
          <w:color w:val="auto"/>
        </w:rPr>
        <w:t>As of December 31, 2015 and December 31, 2014, we elected to retain approximately $38 million and $31 million of taxable income and capital gains, respectively, in order to provide us with additional liquidity and we recorded a net expense of $1.5 million and $1.1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Arial" w:cs="Arial" w:eastAsia="Arial" w:hAnsi="Arial"/>
          <w:sz w:val="18"/>
          <w:szCs w:val="18"/>
          <w:i w:val="1"/>
          <w:iCs w:val="1"/>
          <w:color w:val="auto"/>
        </w:rPr>
        <w:t>ITEM 1. BUSINESS—Regulation as a Business Development Company—Regulated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Classification</w:t>
      </w:r>
      <w:r>
        <w:rPr>
          <w:rFonts w:ascii="Arial" w:cs="Arial" w:eastAsia="Arial" w:hAnsi="Arial"/>
          <w:sz w:val="18"/>
          <w:szCs w:val="18"/>
          <w:color w:val="auto"/>
        </w:rPr>
        <w:t>” for more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40" w:firstLine="259"/>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If TPG and the Adviser were to determine that an investment is appropriate both for us and for one or more other TSSP or TPG vehicles, we would only be able to make the investment in conjunction with another vehicle to the extent the exemptive relief order granted to us by the SEC permits us to do so or the investment is otherwise permitted under relevant SEC guidance. 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w:t>
      </w:r>
    </w:p>
    <w:p>
      <w:pPr>
        <w:spacing w:after="0" w:line="28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 Any new investment advisory agreement would require stockholder approval.</w:t>
      </w:r>
    </w:p>
    <w:p>
      <w:pPr>
        <w:spacing w:after="0" w:line="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and requires stockholder consent to renew. If the Adviser resigns or is terminated, or if we do not obtain the requisite consents to renew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82"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3" w:name="page34"/>
    <w:bookmarkEnd w:id="33"/>
    <w:p>
      <w:pPr>
        <w:ind w:right="40" w:firstLine="259"/>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320" w:firstLine="259"/>
        <w:spacing w:after="0" w:line="279" w:lineRule="auto"/>
        <w:rPr>
          <w:sz w:val="20"/>
          <w:szCs w:val="20"/>
          <w:color w:val="auto"/>
        </w:rPr>
      </w:pPr>
      <w:r>
        <w:rPr>
          <w:rFonts w:ascii="Arial" w:cs="Arial" w:eastAsia="Arial" w:hAnsi="Arial"/>
          <w:sz w:val="17"/>
          <w:szCs w:val="17"/>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320" w:firstLine="259"/>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60" w:firstLine="259"/>
        <w:spacing w:after="0" w:line="267" w:lineRule="auto"/>
        <w:rPr>
          <w:sz w:val="20"/>
          <w:szCs w:val="20"/>
          <w:color w:val="auto"/>
        </w:rPr>
      </w:pPr>
      <w:r>
        <w:rPr>
          <w:rFonts w:ascii="Arial" w:cs="Arial" w:eastAsia="Arial" w:hAnsi="Arial"/>
          <w:sz w:val="17"/>
          <w:szCs w:val="17"/>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46" w:lineRule="exact"/>
        <w:rPr>
          <w:sz w:val="20"/>
          <w:szCs w:val="20"/>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ind w:right="22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40" w:firstLine="259"/>
        <w:spacing w:after="0" w:line="287"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3"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80" w:firstLine="259"/>
        <w:spacing w:after="0" w:line="270" w:lineRule="auto"/>
        <w:rPr>
          <w:sz w:val="20"/>
          <w:szCs w:val="20"/>
          <w:color w:val="auto"/>
        </w:rPr>
      </w:pPr>
      <w:r>
        <w:rPr>
          <w:rFonts w:ascii="Arial" w:cs="Arial" w:eastAsia="Arial" w:hAnsi="Arial"/>
          <w:sz w:val="17"/>
          <w:szCs w:val="17"/>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w:t>
      </w:r>
      <w:r>
        <w:rPr>
          <w:rFonts w:ascii="Arial" w:cs="Arial" w:eastAsia="Arial" w:hAnsi="Arial"/>
          <w:sz w:val="17"/>
          <w:szCs w:val="17"/>
          <w:i w:val="1"/>
          <w:iCs w:val="1"/>
          <w:color w:val="auto"/>
        </w:rPr>
        <w:t>Risks Related to our Portfolio</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Investments.</w:t>
      </w:r>
      <w:r>
        <w:rPr>
          <w:rFonts w:ascii="Arial" w:cs="Arial" w:eastAsia="Arial" w:hAnsi="Arial"/>
          <w:sz w:val="17"/>
          <w:szCs w:val="17"/>
          <w:color w:val="auto"/>
        </w:rPr>
        <w:t>”</w:t>
      </w:r>
    </w:p>
    <w:p>
      <w:pPr>
        <w:spacing w:after="0" w:line="182"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On July 21, 2010, the Wall Street Reform and Consumer Protection Act, or the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9"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right="580"/>
        <w:spacing w:after="0" w:line="277" w:lineRule="auto"/>
        <w:rPr>
          <w:sz w:val="20"/>
          <w:szCs w:val="20"/>
          <w:color w:val="auto"/>
        </w:rPr>
      </w:pPr>
      <w:r>
        <w:rPr>
          <w:rFonts w:ascii="Arial" w:cs="Arial" w:eastAsia="Arial" w:hAnsi="Arial"/>
          <w:sz w:val="18"/>
          <w:szCs w:val="18"/>
          <w:color w:val="auto"/>
        </w:rPr>
        <w:t>bank credit extension could negatively impact our operations, cash flows or financial condition, impose additional costs on us, intensify the regulatory supervision of us or otherwise adversely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0" w:lineRule="exact"/>
        <w:rPr>
          <w:sz w:val="20"/>
          <w:szCs w:val="20"/>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5, 2011. Further, Moody’s and Fitch warned that they may downgrade the federal government’s credit rating. Further downgrades or warnings by S&amp;P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rating agencies, and the government’s credit and deficit concerns in general, could cause interest rates and borrowing costs to rise, which may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negatively impact both the perception of credit risk associated with our debt portfolio and our ability to access the debt markets on favorable terms.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a decreased credit rating could create broader financial turmoil and uncertainty, which may weigh heavily on our financial performance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of our common stock. Also, to the extent uncertainty regarding any economic recovery in Europe continues to negatively impact consumer confidence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consumer credit factors, our business and results of operations could be significantly and adversely affected.</w:t>
      </w:r>
    </w:p>
    <w:p>
      <w:pPr>
        <w:spacing w:after="0" w:line="211"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December 2015, the Federal Reserve raised the target range for the federal funds rate by 0.25%. However, if key economic indicators, such as the unemployment rate or inflation, do not progress at a rate consistent with the Federal Reserve's objectives, the target range for the federal funds rate may further increase and cause interest rates and borrowing costs to rise, which may negatively impact our ability to access the debt markets on favorable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investments in energy companies.</w:t>
      </w:r>
    </w:p>
    <w:p>
      <w:pPr>
        <w:spacing w:after="0" w:line="117"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As of December 31, 2015, our investments in portfolio companies that operate in the oil, gas and consumable fuels industry represent 3.2% of our total portfolio. The energy industry has been in a period of disruption and volatility that has been characterized by decreases in oil and gas prices and production levels. This disruption and volatility has led to, and future disruptions and volatility may lead to, decreases in the credit quality and performance of certain of our debt and equity investments in energy companies, which could, in turn, negatively impact the fair value of our investments in energy companies. Any prolonged decline in oil and gas prices or production levels could adversely impact the ability of our portfolio companies in the energy industry to satisfy financial or operating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right="200"/>
        <w:spacing w:after="0" w:line="297" w:lineRule="auto"/>
        <w:rPr>
          <w:sz w:val="20"/>
          <w:szCs w:val="20"/>
          <w:color w:val="auto"/>
        </w:rPr>
      </w:pPr>
      <w:r>
        <w:rPr>
          <w:rFonts w:ascii="Arial" w:cs="Arial" w:eastAsia="Arial" w:hAnsi="Arial"/>
          <w:sz w:val="16"/>
          <w:szCs w:val="16"/>
          <w:color w:val="auto"/>
        </w:rPr>
        <w:t>covenants that may be imposed by us and other lenders or to make payments to us as and when due, which could have a material adverse effect on our business, financial condition and results of operations. In addition, energy companies are subject to supply and demand fluctuations in the markets in which they operate, which are impacted by numerous factors, including weather, use of renewable fuel sources, natural disasters, governmental regulation and general economic conditions, in addition to the effects of increasing regulation and general operational risks, any of which could have a material adverse effect on the performance and value of our energy-related investments as well as our cash flows from such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When we make a first-lien loan, we generally take a security interest in the available assets of the portfolio company, including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17" w:lineRule="exact"/>
        <w:rPr>
          <w:sz w:val="20"/>
          <w:szCs w:val="20"/>
          <w:color w:val="auto"/>
        </w:rPr>
      </w:pPr>
    </w:p>
    <w:p>
      <w:pPr>
        <w:ind w:left="780" w:right="220" w:hanging="259"/>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73" w:lineRule="exact"/>
        <w:rPr>
          <w:rFonts w:ascii="Arial" w:cs="Arial" w:eastAsia="Arial" w:hAnsi="Arial"/>
          <w:sz w:val="18"/>
          <w:szCs w:val="18"/>
          <w:color w:val="auto"/>
        </w:rPr>
      </w:pPr>
    </w:p>
    <w:p>
      <w:pPr>
        <w:ind w:left="780" w:right="180" w:hanging="259"/>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2" w:lineRule="exact"/>
        <w:rPr>
          <w:rFonts w:ascii="Arial" w:cs="Arial" w:eastAsia="Arial" w:hAnsi="Arial"/>
          <w:sz w:val="18"/>
          <w:szCs w:val="18"/>
          <w:color w:val="auto"/>
        </w:rPr>
      </w:pPr>
    </w:p>
    <w:p>
      <w:pPr>
        <w:ind w:left="780" w:right="40" w:hanging="259"/>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17" w:lineRule="exact"/>
        <w:rPr>
          <w:sz w:val="20"/>
          <w:szCs w:val="20"/>
          <w:color w:val="auto"/>
        </w:rPr>
      </w:pPr>
    </w:p>
    <w:p>
      <w:pPr>
        <w:ind w:left="780" w:right="100" w:hanging="259"/>
        <w:spacing w:after="0" w:line="264"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left="780" w:right="320" w:hanging="259"/>
        <w:spacing w:after="0" w:line="342"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ind w:left="780" w:right="20" w:hanging="259"/>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780" w:right="120" w:hanging="259"/>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73"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2" w:lineRule="exact"/>
        <w:rPr>
          <w:rFonts w:ascii="Arial" w:cs="Arial" w:eastAsia="Arial" w:hAnsi="Arial"/>
          <w:sz w:val="18"/>
          <w:szCs w:val="18"/>
          <w:color w:val="auto"/>
        </w:rPr>
      </w:pPr>
    </w:p>
    <w:p>
      <w:pPr>
        <w:ind w:left="780" w:right="620" w:hanging="259"/>
        <w:spacing w:after="0" w:line="277"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62" w:lineRule="exact"/>
        <w:rPr>
          <w:rFonts w:ascii="Arial" w:cs="Arial" w:eastAsia="Arial" w:hAnsi="Arial"/>
          <w:sz w:val="18"/>
          <w:szCs w:val="18"/>
          <w:color w:val="auto"/>
        </w:rPr>
      </w:pPr>
    </w:p>
    <w:p>
      <w:pPr>
        <w:ind w:left="780" w:hanging="259"/>
        <w:spacing w:after="0" w:line="342"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15" w:lineRule="exact"/>
        <w:rPr>
          <w:rFonts w:ascii="Arial" w:cs="Arial" w:eastAsia="Arial" w:hAnsi="Arial"/>
          <w:sz w:val="16"/>
          <w:szCs w:val="16"/>
          <w:color w:val="auto"/>
        </w:rPr>
      </w:pPr>
    </w:p>
    <w:p>
      <w:pPr>
        <w:ind w:left="780" w:right="180" w:hanging="259"/>
        <w:spacing w:after="0" w:line="277"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8" w:lineRule="exact"/>
        <w:rPr>
          <w:sz w:val="20"/>
          <w:szCs w:val="20"/>
          <w:color w:val="auto"/>
        </w:rPr>
      </w:pPr>
    </w:p>
    <w:p>
      <w:pPr>
        <w:ind w:right="120" w:firstLine="259"/>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jc w:val="both"/>
        <w:ind w:right="20" w:firstLine="259"/>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right="140" w:firstLine="259"/>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9" w:name="page40"/>
    <w:bookmarkEnd w:id="39"/>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7" w:lineRule="exact"/>
        <w:rPr>
          <w:sz w:val="20"/>
          <w:szCs w:val="20"/>
          <w:color w:val="auto"/>
        </w:rPr>
      </w:pPr>
    </w:p>
    <w:p>
      <w:pPr>
        <w:ind w:right="100" w:firstLine="259"/>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58" w:lineRule="exact"/>
        <w:rPr>
          <w:sz w:val="20"/>
          <w:szCs w:val="20"/>
          <w:color w:val="auto"/>
        </w:rPr>
      </w:pPr>
    </w:p>
    <w:p>
      <w:pPr>
        <w:ind w:right="100" w:firstLine="259"/>
        <w:spacing w:after="0" w:line="308" w:lineRule="auto"/>
        <w:rPr>
          <w:sz w:val="20"/>
          <w:szCs w:val="20"/>
          <w:color w:val="auto"/>
        </w:rPr>
      </w:pPr>
      <w:r>
        <w:rPr>
          <w:rFonts w:ascii="Arial" w:cs="Arial" w:eastAsia="Arial" w:hAnsi="Arial"/>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Arial" w:cs="Arial" w:eastAsia="Arial" w:hAnsi="Arial"/>
          <w:sz w:val="17"/>
          <w:szCs w:val="17"/>
          <w:i w:val="1"/>
          <w:iCs w:val="1"/>
          <w:color w:val="auto"/>
        </w:rPr>
        <w:t>ITEM 1. BUSINESS – Regulation as a Business Development Company.”</w:t>
      </w:r>
    </w:p>
    <w:p>
      <w:pPr>
        <w:spacing w:after="0" w:line="25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right="40"/>
        <w:spacing w:after="0" w:line="264" w:lineRule="auto"/>
        <w:rPr>
          <w:sz w:val="20"/>
          <w:szCs w:val="20"/>
          <w:color w:val="auto"/>
        </w:rPr>
      </w:pPr>
      <w:r>
        <w:rPr>
          <w:rFonts w:ascii="Arial" w:cs="Arial" w:eastAsia="Arial" w:hAnsi="Arial"/>
          <w:sz w:val="18"/>
          <w:szCs w:val="18"/>
          <w:color w:val="auto"/>
        </w:rPr>
        <w:t>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1"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Arial" w:cs="Arial" w:eastAsia="Arial" w:hAnsi="Arial"/>
          <w:sz w:val="16"/>
          <w:szCs w:val="16"/>
          <w:i w:val="1"/>
          <w:iCs w:val="1"/>
          <w:color w:val="auto"/>
        </w:rPr>
        <w:t>—Risks Related to Economic 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Uncertainty about financial stability could have a significant adverse effect on our business, results of operations and financial condition.</w:t>
      </w:r>
      <w:r>
        <w:rPr>
          <w:rFonts w:ascii="Arial" w:cs="Arial" w:eastAsia="Arial" w:hAnsi="Arial"/>
          <w:sz w:val="16"/>
          <w:szCs w:val="16"/>
          <w:color w:val="auto"/>
        </w:rPr>
        <w:t>”</w:t>
      </w:r>
    </w:p>
    <w:p>
      <w:pPr>
        <w:spacing w:after="0" w:line="167"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Arial" w:cs="Arial" w:eastAsia="Arial" w:hAnsi="Arial"/>
          <w:sz w:val="18"/>
          <w:szCs w:val="18"/>
          <w:i w:val="1"/>
          <w:iCs w:val="1"/>
          <w:color w:val="auto"/>
        </w:rPr>
        <w:t>—Risks Related to Our Portfolio Company Investments—We expose ourselves to</w:t>
      </w:r>
      <w:r>
        <w:rPr>
          <w:rFonts w:ascii="Arial" w:cs="Arial" w:eastAsia="Arial" w:hAnsi="Arial"/>
          <w:sz w:val="18"/>
          <w:szCs w:val="18"/>
          <w:color w:val="auto"/>
        </w:rPr>
        <w:t xml:space="preserve"> </w:t>
      </w:r>
      <w:r>
        <w:rPr>
          <w:rFonts w:ascii="Arial" w:cs="Arial" w:eastAsia="Arial" w:hAnsi="Arial"/>
          <w:sz w:val="18"/>
          <w:szCs w:val="18"/>
          <w:i w:val="1"/>
          <w:iCs w:val="1"/>
          <w:color w:val="auto"/>
        </w:rPr>
        <w:t>risks when we engage in hedging transactions.</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ind w:firstLine="259"/>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240" w:firstLine="259"/>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to:</w:t>
      </w:r>
    </w:p>
    <w:p>
      <w:pPr>
        <w:spacing w:after="0" w:line="129" w:lineRule="exact"/>
        <w:rPr>
          <w:sz w:val="20"/>
          <w:szCs w:val="20"/>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right="200" w:firstLine="259"/>
        <w:spacing w:after="0" w:line="279" w:lineRule="auto"/>
        <w:rPr>
          <w:sz w:val="20"/>
          <w:szCs w:val="20"/>
          <w:color w:val="auto"/>
        </w:rPr>
      </w:pPr>
      <w:r>
        <w:rPr>
          <w:rFonts w:ascii="Arial" w:cs="Arial" w:eastAsia="Arial" w:hAnsi="Arial"/>
          <w:sz w:val="17"/>
          <w:szCs w:val="17"/>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7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relief order or in the limited circumstances otherwise currently permitted by regulatory guidance.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65"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73"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t>
      </w:r>
      <w:r>
        <w:rPr>
          <w:rFonts w:ascii="Arial" w:cs="Arial" w:eastAsia="Arial" w:hAnsi="Arial"/>
          <w:sz w:val="17"/>
          <w:szCs w:val="17"/>
          <w:i w:val="1"/>
          <w:iCs w:val="1"/>
          <w:color w:val="auto"/>
        </w:rPr>
        <w:t>—Risks Related to Our Portfolio Company Investments—We are exposed to risks</w:t>
      </w:r>
      <w:r>
        <w:rPr>
          <w:rFonts w:ascii="Arial" w:cs="Arial" w:eastAsia="Arial" w:hAnsi="Arial"/>
          <w:sz w:val="17"/>
          <w:szCs w:val="17"/>
          <w:color w:val="auto"/>
        </w:rPr>
        <w:t xml:space="preserve"> </w:t>
      </w:r>
      <w:r>
        <w:rPr>
          <w:rFonts w:ascii="Arial" w:cs="Arial" w:eastAsia="Arial" w:hAnsi="Arial"/>
          <w:sz w:val="17"/>
          <w:szCs w:val="17"/>
          <w:i w:val="1"/>
          <w:iCs w:val="1"/>
          <w:color w:val="auto"/>
        </w:rPr>
        <w:t>associated with changes in interest rates</w:t>
      </w:r>
      <w:r>
        <w:rPr>
          <w:rFonts w:ascii="Arial" w:cs="Arial" w:eastAsia="Arial" w:hAnsi="Arial"/>
          <w:sz w:val="17"/>
          <w:szCs w:val="17"/>
          <w:color w:val="auto"/>
        </w:rPr>
        <w:t>” and “</w:t>
      </w:r>
      <w:r>
        <w:rPr>
          <w:rFonts w:ascii="Arial" w:cs="Arial" w:eastAsia="Arial" w:hAnsi="Arial"/>
          <w:sz w:val="17"/>
          <w:szCs w:val="17"/>
          <w:i w:val="1"/>
          <w:iCs w:val="1"/>
          <w:color w:val="auto"/>
        </w:rPr>
        <w:t>ITEM 7. MANAGEMENT’S DISCUSSION AND ANALYSIS OF FINANCIAL CONDITION AND RESULTS OF OPERATIONS—Results of Operations—Hedging</w:t>
      </w:r>
      <w:r>
        <w:rPr>
          <w:rFonts w:ascii="Arial" w:cs="Arial" w:eastAsia="Arial" w:hAnsi="Arial"/>
          <w:sz w:val="17"/>
          <w:szCs w:val="17"/>
          <w:color w:val="auto"/>
        </w:rPr>
        <w:t>.”</w:t>
      </w:r>
    </w:p>
    <w:p>
      <w:pPr>
        <w:spacing w:after="0" w:line="178" w:lineRule="exact"/>
        <w:rPr>
          <w:sz w:val="20"/>
          <w:szCs w:val="20"/>
          <w:color w:val="auto"/>
        </w:rPr>
      </w:pPr>
    </w:p>
    <w:p>
      <w:pPr>
        <w:ind w:right="100" w:firstLine="259"/>
        <w:spacing w:after="0" w:line="293" w:lineRule="auto"/>
        <w:rPr>
          <w:sz w:val="20"/>
          <w:szCs w:val="20"/>
          <w:color w:val="auto"/>
        </w:rPr>
      </w:pPr>
      <w:r>
        <w:rPr>
          <w:rFonts w:ascii="Arial" w:cs="Arial" w:eastAsia="Arial" w:hAnsi="Arial"/>
          <w:sz w:val="16"/>
          <w:szCs w:val="16"/>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103" w:lineRule="exact"/>
        <w:rPr>
          <w:sz w:val="20"/>
          <w:szCs w:val="20"/>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259"/>
        <w:spacing w:after="0" w:line="288"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Arial" w:cs="Arial" w:eastAsia="Arial" w:hAnsi="Arial"/>
          <w:sz w:val="16"/>
          <w:szCs w:val="16"/>
          <w:i w:val="1"/>
          <w:iCs w:val="1"/>
          <w:color w:val="auto"/>
        </w:rPr>
        <w:t>ITEM 1. BUSINESS—Regulation as 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Development Company</w:t>
      </w:r>
      <w:r>
        <w:rPr>
          <w:rFonts w:ascii="Arial" w:cs="Arial" w:eastAsia="Arial" w:hAnsi="Arial"/>
          <w:sz w:val="16"/>
          <w:szCs w:val="16"/>
          <w:color w:val="auto"/>
        </w:rPr>
        <w:t>—</w:t>
      </w:r>
      <w:r>
        <w:rPr>
          <w:rFonts w:ascii="Arial" w:cs="Arial" w:eastAsia="Arial" w:hAnsi="Arial"/>
          <w:sz w:val="16"/>
          <w:szCs w:val="16"/>
          <w:i w:val="1"/>
          <w:iCs w:val="1"/>
          <w:color w:val="auto"/>
        </w:rPr>
        <w:t>Regulated Investment Company Classification</w:t>
      </w:r>
      <w:r>
        <w:rPr>
          <w:rFonts w:ascii="Arial" w:cs="Arial" w:eastAsia="Arial" w:hAnsi="Arial"/>
          <w:sz w:val="16"/>
          <w:szCs w:val="16"/>
          <w:color w:val="auto"/>
        </w:rPr>
        <w:t>” for more information.</w:t>
      </w:r>
    </w:p>
    <w:p>
      <w:pPr>
        <w:spacing w:after="0" w:line="27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conditions for income accrual are met, the borrower could still default when our actual collection is supposed to occur at the maturity of the obligation.</w:t>
      </w:r>
    </w:p>
    <w:p>
      <w:pPr>
        <w:spacing w:after="0" w:line="237"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47"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For accounting purposes, any cash distributions to stockholders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Annual Report.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Portfolio Company Investments—There are certain risks associated with holding debt obligations that have original issue discount or payment-in-kind interest</w:t>
      </w:r>
      <w:r>
        <w:rPr>
          <w:rFonts w:ascii="Arial" w:cs="Arial" w:eastAsia="Arial" w:hAnsi="Arial"/>
          <w:sz w:val="18"/>
          <w:szCs w:val="18"/>
          <w:color w:val="auto"/>
        </w:rPr>
        <w:t>.”</w:t>
      </w:r>
    </w:p>
    <w:p>
      <w:pPr>
        <w:spacing w:after="0" w:line="188"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2" w:lineRule="exact"/>
        <w:rPr>
          <w:sz w:val="20"/>
          <w:szCs w:val="20"/>
          <w:color w:val="auto"/>
        </w:rPr>
      </w:pPr>
    </w:p>
    <w:p>
      <w:pPr>
        <w:ind w:left="520" w:right="100" w:hanging="255"/>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17"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concerns regarding European sovereign debt;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below net asset value.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800" w:firstLine="259"/>
        <w:spacing w:after="0" w:line="27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right="320"/>
        <w:spacing w:after="0" w:line="264" w:lineRule="auto"/>
        <w:rPr>
          <w:sz w:val="20"/>
          <w:szCs w:val="20"/>
          <w:color w:val="auto"/>
        </w:rPr>
      </w:pPr>
      <w:r>
        <w:rPr>
          <w:rFonts w:ascii="Arial" w:cs="Arial" w:eastAsia="Arial" w:hAnsi="Arial"/>
          <w:sz w:val="18"/>
          <w:szCs w:val="18"/>
          <w:color w:val="auto"/>
        </w:rPr>
        <w:t>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jc w:val="both"/>
        <w:ind w:right="20" w:firstLine="259"/>
        <w:spacing w:after="0" w:line="272" w:lineRule="auto"/>
        <w:rPr>
          <w:sz w:val="20"/>
          <w:szCs w:val="20"/>
          <w:color w:val="auto"/>
        </w:rPr>
      </w:pPr>
      <w:r>
        <w:rPr>
          <w:rFonts w:ascii="Arial" w:cs="Arial" w:eastAsia="Arial" w:hAnsi="Arial"/>
          <w:sz w:val="17"/>
          <w:szCs w:val="17"/>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Reinvestment Plan</w:t>
      </w:r>
      <w:r>
        <w:rPr>
          <w:rFonts w:ascii="Arial" w:cs="Arial" w:eastAsia="Arial" w:hAnsi="Arial"/>
          <w:sz w:val="18"/>
          <w:szCs w:val="18"/>
          <w:color w:val="auto"/>
        </w:rPr>
        <w:t>” for a description of our dividend policy and obligations.</w:t>
      </w:r>
    </w:p>
    <w:p>
      <w:pPr>
        <w:spacing w:after="0" w:line="18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entered into an agreement with Goldman, Sachs &amp; Co., which we refer to as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February 29, 2016. On February 24, 2016, our Board of Directors authorized the extension of the termination date of the Company 10b5-1 Plan to August 31, 2016.</w:t>
      </w:r>
    </w:p>
    <w:p>
      <w:pPr>
        <w:spacing w:after="0" w:line="17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8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Because purchases under the Company 10b5-1 Plan are made beginning at any price below our most recently reported net asset value per share, if our net asset value per share as of the end of a quarter is lower than 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jc w:val="both"/>
        <w:ind w:right="100"/>
        <w:spacing w:after="0" w:line="264" w:lineRule="auto"/>
        <w:rPr>
          <w:sz w:val="20"/>
          <w:szCs w:val="20"/>
          <w:color w:val="auto"/>
        </w:rPr>
      </w:pPr>
      <w:r>
        <w:rPr>
          <w:rFonts w:ascii="Arial" w:cs="Arial" w:eastAsia="Arial" w:hAnsi="Arial"/>
          <w:sz w:val="18"/>
          <w:szCs w:val="18"/>
          <w:color w:val="auto"/>
        </w:rPr>
        <w:t>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maintain our principal executive office at 301 Commerce Street, Suite 3300, Fort Worth, Texas 76102. We do not own any real estate.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offered hereby will trade at, above or below net asset value. See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our Securities—We cannot assure you that a market for our common stock will be sustained or that the market price of shares of our common stock will not decline</w:t>
      </w:r>
      <w:r>
        <w:rPr>
          <w:rFonts w:ascii="Arial" w:cs="Arial" w:eastAsia="Arial" w:hAnsi="Arial"/>
          <w:sz w:val="18"/>
          <w:szCs w:val="18"/>
          <w:color w:val="auto"/>
        </w:rPr>
        <w:t>.”</w:t>
      </w:r>
    </w:p>
    <w:p>
      <w:pPr>
        <w:spacing w:after="0" w:line="187"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The following table sets forth, for each fiscal quarter since our IPO, the net asset value per share of our common stock, the range of high and low closing sales prices of our common stock reported on the NYSE, the closing sales price as a premium (discount) to net asset value and the dividends or distributions declared by us. On February 23, 2016, the last reported closing sales price of our common stock on the NYSE was $15.69 per share, which represented a premium of approximately 3.6% to the net asset value per share reported by us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High</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Low</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Sales</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 to</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 to</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Net Asset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Price Range</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Net Asset</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Net Asset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56"/>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2015</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w w:val="99"/>
              </w:rPr>
              <w:t>Low</w:t>
            </w:r>
          </w:p>
        </w:tc>
        <w:tc>
          <w:tcPr>
            <w:tcW w:w="22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 xml:space="preserve">Share </w:t>
            </w:r>
            <w:r>
              <w:rPr>
                <w:rFonts w:ascii="Arial" w:cs="Arial" w:eastAsia="Arial" w:hAnsi="Arial"/>
                <w:sz w:val="12"/>
                <w:szCs w:val="12"/>
                <w:b w:val="1"/>
                <w:bCs w:val="1"/>
                <w:color w:val="auto"/>
                <w:w w:val="90"/>
              </w:rPr>
              <w:t>(3)</w:t>
            </w:r>
          </w:p>
        </w:tc>
        <w:tc>
          <w:tcPr>
            <w:tcW w:w="0" w:type="dxa"/>
            <w:vAlign w:val="bottom"/>
          </w:tcPr>
          <w:p>
            <w:pPr>
              <w:spacing w:after="0"/>
              <w:rPr>
                <w:sz w:val="1"/>
                <w:szCs w:val="1"/>
                <w:color w:val="auto"/>
              </w:rPr>
            </w:pPr>
          </w:p>
        </w:tc>
      </w:tr>
      <w:tr>
        <w:trPr>
          <w:trHeight w:val="142"/>
        </w:trPr>
        <w:tc>
          <w:tcPr>
            <w:tcW w:w="38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9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18.8%</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15.2%</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0"/>
              </w:rPr>
              <w:t>Year ended December 31, 2014</w:t>
            </w: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 Quarter (beginning March 21, 2014)</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42.8%</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right="200" w:hanging="512"/>
        <w:spacing w:after="0" w:line="291"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20" w:hanging="512"/>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23, 2016, there were approximately 12 holders of record of our common stock (including Cede &amp; Co.).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years ended December 31, 2015 and 2014: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right"/>
              <w:ind w:right="69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 Declared</w:t>
            </w:r>
          </w:p>
        </w:tc>
        <w:tc>
          <w:tcPr>
            <w:tcW w:w="1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gridSpan w:val="2"/>
            <w:vMerge w:val="continue"/>
          </w:tcPr>
          <w:p>
            <w:pPr>
              <w:spacing w:after="0"/>
              <w:rPr>
                <w:sz w:val="13"/>
                <w:szCs w:val="13"/>
                <w:color w:val="auto"/>
              </w:rPr>
            </w:pPr>
          </w:p>
        </w:tc>
        <w:tc>
          <w:tcPr>
            <w:tcW w:w="1920" w:type="dxa"/>
            <w:vAlign w:val="bottom"/>
            <w:gridSpan w:val="2"/>
          </w:tcPr>
          <w:p>
            <w:pPr>
              <w:ind w:left="500"/>
              <w:spacing w:after="0" w:line="155" w:lineRule="exact"/>
              <w:rPr>
                <w:sz w:val="20"/>
                <w:szCs w:val="20"/>
                <w:color w:val="auto"/>
              </w:rPr>
            </w:pPr>
            <w:r>
              <w:rPr>
                <w:rFonts w:ascii="Arial" w:cs="Arial" w:eastAsia="Arial" w:hAnsi="Arial"/>
                <w:sz w:val="14"/>
                <w:szCs w:val="14"/>
                <w:b w:val="1"/>
                <w:bCs w:val="1"/>
                <w:color w:val="auto"/>
              </w:rPr>
              <w:t>Record Date</w:t>
            </w:r>
          </w:p>
        </w:tc>
        <w:tc>
          <w:tcPr>
            <w:tcW w:w="1760" w:type="dxa"/>
            <w:vAlign w:val="bottom"/>
          </w:tcPr>
          <w:p>
            <w:pPr>
              <w:jc w:val="right"/>
              <w:ind w:right="378"/>
              <w:spacing w:after="0" w:line="155"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3"/>
                <w:szCs w:val="13"/>
                <w:color w:val="auto"/>
              </w:rPr>
            </w:pP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5"/>
              </w:rPr>
              <w:t>Dividend per Share</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2015</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2015</w:t>
            </w:r>
          </w:p>
        </w:tc>
        <w:tc>
          <w:tcPr>
            <w:tcW w:w="1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2015</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May 7, 2015</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2015</w:t>
            </w:r>
          </w:p>
        </w:tc>
        <w:tc>
          <w:tcPr>
            <w:tcW w:w="1760" w:type="dxa"/>
            <w:vAlign w:val="bottom"/>
          </w:tcPr>
          <w:p>
            <w:pPr>
              <w:jc w:val="right"/>
              <w:spacing w:after="0"/>
              <w:rPr>
                <w:sz w:val="20"/>
                <w:szCs w:val="20"/>
                <w:color w:val="auto"/>
              </w:rPr>
            </w:pPr>
            <w:r>
              <w:rPr>
                <w:rFonts w:ascii="Arial" w:cs="Arial" w:eastAsia="Arial" w:hAnsi="Arial"/>
                <w:sz w:val="18"/>
                <w:szCs w:val="18"/>
                <w:color w:val="auto"/>
              </w:rPr>
              <w:t>July 31, 2015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August 4, 2015</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30, 2015</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30, 2015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3, 2015</w:t>
            </w:r>
          </w:p>
        </w:tc>
        <w:tc>
          <w:tcPr>
            <w:tcW w:w="192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31, 2015</w:t>
            </w:r>
          </w:p>
        </w:tc>
        <w:tc>
          <w:tcPr>
            <w:tcW w:w="1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29, 2016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7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vMerge w:val="restart"/>
          </w:tcPr>
          <w:p>
            <w:pPr>
              <w:jc w:val="right"/>
              <w:ind w:right="1013"/>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0" w:name="page51"/>
    <w:bookmarkEnd w:id="50"/>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right"/>
              <w:ind w:right="69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w w:val="93"/>
              </w:rPr>
              <w:t>December 31, 2014</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gridSpan w:val="2"/>
            <w:vMerge w:val="continue"/>
          </w:tcPr>
          <w:p>
            <w:pPr>
              <w:spacing w:after="0"/>
              <w:rPr>
                <w:sz w:val="13"/>
                <w:szCs w:val="13"/>
                <w:color w:val="auto"/>
              </w:rPr>
            </w:pPr>
          </w:p>
        </w:tc>
        <w:tc>
          <w:tcPr>
            <w:tcW w:w="1920" w:type="dxa"/>
            <w:vAlign w:val="bottom"/>
            <w:gridSpan w:val="2"/>
          </w:tcPr>
          <w:p>
            <w:pPr>
              <w:ind w:left="500"/>
              <w:spacing w:after="0" w:line="155" w:lineRule="exact"/>
              <w:rPr>
                <w:sz w:val="20"/>
                <w:szCs w:val="20"/>
                <w:color w:val="auto"/>
              </w:rPr>
            </w:pPr>
            <w:r>
              <w:rPr>
                <w:rFonts w:ascii="Arial" w:cs="Arial" w:eastAsia="Arial" w:hAnsi="Arial"/>
                <w:sz w:val="14"/>
                <w:szCs w:val="14"/>
                <w:b w:val="1"/>
                <w:bCs w:val="1"/>
                <w:color w:val="auto"/>
              </w:rPr>
              <w:t>Record Date</w:t>
            </w:r>
          </w:p>
        </w:tc>
        <w:tc>
          <w:tcPr>
            <w:tcW w:w="1760" w:type="dxa"/>
            <w:vAlign w:val="bottom"/>
          </w:tcPr>
          <w:p>
            <w:pPr>
              <w:jc w:val="right"/>
              <w:ind w:right="378"/>
              <w:spacing w:after="0" w:line="155"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3"/>
                <w:szCs w:val="13"/>
                <w:color w:val="auto"/>
              </w:rPr>
            </w:pP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5"/>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26, 2014</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2014</w:t>
            </w:r>
          </w:p>
        </w:tc>
        <w:tc>
          <w:tcPr>
            <w:tcW w:w="1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2014</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May 6, 2014</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2014</w:t>
            </w:r>
          </w:p>
        </w:tc>
        <w:tc>
          <w:tcPr>
            <w:tcW w:w="1760" w:type="dxa"/>
            <w:vAlign w:val="bottom"/>
          </w:tcPr>
          <w:p>
            <w:pPr>
              <w:jc w:val="right"/>
              <w:spacing w:after="0"/>
              <w:rPr>
                <w:sz w:val="20"/>
                <w:szCs w:val="20"/>
                <w:color w:val="auto"/>
              </w:rPr>
            </w:pPr>
            <w:r>
              <w:rPr>
                <w:rFonts w:ascii="Arial" w:cs="Arial" w:eastAsia="Arial" w:hAnsi="Arial"/>
                <w:sz w:val="18"/>
                <w:szCs w:val="18"/>
                <w:color w:val="auto"/>
              </w:rPr>
              <w:t>July 31, 2014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August 4, 2014</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30, 2014</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31, 2014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3, 2014</w:t>
            </w:r>
          </w:p>
        </w:tc>
        <w:tc>
          <w:tcPr>
            <w:tcW w:w="192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31, 2014</w:t>
            </w:r>
          </w:p>
        </w:tc>
        <w:tc>
          <w:tcPr>
            <w:tcW w:w="1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30, 2015</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7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The dividends declared during the years ended December 31, 2015 and December 31, 2014, were derived from net investment income and net realized capital gains, determined on a tax basis.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 Reinvestment Plan</w:t>
      </w:r>
      <w:r>
        <w:rPr>
          <w:rFonts w:ascii="Arial" w:cs="Arial" w:eastAsia="Arial" w:hAnsi="Arial"/>
          <w:sz w:val="18"/>
          <w:szCs w:val="18"/>
          <w:color w:val="auto"/>
        </w:rPr>
        <w:t>” for a description of our dividend policy and obligations.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 Graph</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This graph compares the stockholder return on our common stock from March 21, 2014 (the date of our IPO) to December 31, 2015 with that of the Standard &amp; Poor’s BDC Index, the Standard &amp; Poor’s 500 Stock Index, the S&amp;P LSTA Leveraged Loan Index and the S&amp;P U.S. Issued High Yield Corporate Bond Index. This graph assumes that on March 21, 2014, $100 was invested in our common stock, the Standard &amp; Poor’s BDC Index, the Standard &amp; Poor’s 500 Stock Index, the S&amp;P LSTA Leveraged Loan Index and the S&amp;P U.S. Issued High Yield Corporate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114935</wp:posOffset>
            </wp:positionV>
            <wp:extent cx="5625465" cy="3224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2546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The table below sets forth our selected consolidated historical financial data for the periods indicated. The selected consolidated financial data for the years ended December 31, 2015, 2014, 2013, 2012 and 2011 have been derived from our audited consolidated financial statements, which are included elsewhere in this Form 10-K and our SEC filings.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51" w:name="page52"/>
    <w:bookmarkEnd w:id="51"/>
    <w:p>
      <w:pPr>
        <w:ind w:right="40" w:firstLine="259"/>
        <w:spacing w:after="0" w:line="264" w:lineRule="auto"/>
        <w:rPr>
          <w:sz w:val="20"/>
          <w:szCs w:val="20"/>
          <w:color w:val="auto"/>
        </w:rPr>
      </w:pPr>
      <w:r>
        <w:rPr>
          <w:rFonts w:ascii="Arial" w:cs="Arial" w:eastAsia="Arial" w:hAnsi="Arial"/>
          <w:sz w:val="18"/>
          <w:szCs w:val="18"/>
          <w:color w:val="auto"/>
        </w:rPr>
        <w:t>The selected consolidated financial information and other data presented below should be read in conjunction with the information contained in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 audited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the notes thereto included elsewhere in this annual report on Form 10-K.</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 except per share amounts)</w:t>
            </w:r>
          </w:p>
        </w:tc>
        <w:tc>
          <w:tcPr>
            <w:tcW w:w="4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 Income</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163.3</w:t>
            </w:r>
          </w:p>
        </w:tc>
        <w:tc>
          <w:tcPr>
            <w:tcW w:w="18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Expenses</w:t>
            </w: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Net Investment Income (Loss) Before Income</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Taxes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(Loss)</w:t>
            </w: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Change in Net Unrealized Gain (Loss)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Net Realized Gain (Loss)</w:t>
            </w: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w:t>
            </w: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1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(1)(2)</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20"/>
                <w:szCs w:val="20"/>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20"/>
                <w:szCs w:val="20"/>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FF0FC"/>
          </w:tcPr>
          <w:p>
            <w:pPr>
              <w:spacing w:after="0"/>
              <w:rPr>
                <w:sz w:val="20"/>
                <w:szCs w:val="20"/>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2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4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1,039.2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liabilities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464.5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assets</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 xml:space="preserve">Net asset value per share </w:t>
            </w:r>
            <w:r>
              <w:rPr>
                <w:rFonts w:ascii="Arial" w:cs="Arial" w:eastAsia="Arial" w:hAnsi="Arial"/>
                <w:sz w:val="15"/>
                <w:szCs w:val="15"/>
                <w:color w:val="auto"/>
              </w:rPr>
              <w:t>(1)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Data:</w:t>
            </w: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Number of portfolio companies at year end</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15"/>
                <w:szCs w:val="15"/>
                <w:color w:val="auto"/>
              </w:rPr>
              <w:t>(1)</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(3)</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w:t>
            </w: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at fair value </w:t>
            </w:r>
            <w:r>
              <w:rPr>
                <w:rFonts w:ascii="Arial" w:cs="Arial" w:eastAsia="Arial" w:hAnsi="Arial"/>
                <w:sz w:val="15"/>
                <w:szCs w:val="15"/>
                <w:color w:val="auto"/>
              </w:rPr>
              <w:t>(4)</w:t>
            </w:r>
          </w:p>
        </w:tc>
        <w:tc>
          <w:tcPr>
            <w:tcW w:w="4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Weighted average yield of debt and income</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 xml:space="preserve">producing securities at amortized cost </w:t>
            </w:r>
            <w:r>
              <w:rPr>
                <w:rFonts w:ascii="Arial" w:cs="Arial" w:eastAsia="Arial" w:hAnsi="Arial"/>
                <w:sz w:val="15"/>
                <w:szCs w:val="15"/>
                <w:color w:val="auto"/>
              </w:rPr>
              <w:t>(4)</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debt investments as a percentage of</w:t>
            </w: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principal</w:t>
            </w:r>
          </w:p>
        </w:tc>
        <w:tc>
          <w:tcPr>
            <w:tcW w:w="4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96.7%</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98.2%</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Weighted average fair value of debt investments</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as a percentage of call price</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180" w:hanging="512"/>
        <w:spacing w:after="0" w:line="258"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10-K.</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9" w:lineRule="exact"/>
        <w:rPr>
          <w:rFonts w:ascii="Arial" w:cs="Arial" w:eastAsia="Arial" w:hAnsi="Arial"/>
          <w:sz w:val="18"/>
          <w:szCs w:val="18"/>
          <w:color w:val="auto"/>
        </w:rPr>
      </w:pPr>
    </w:p>
    <w:p>
      <w:pPr>
        <w:ind w:left="520" w:right="20" w:hanging="512"/>
        <w:spacing w:after="0" w:line="265"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w:t>
      </w:r>
    </w:p>
    <w:p>
      <w:pPr>
        <w:ind w:left="520"/>
        <w:spacing w:after="0" w:line="271" w:lineRule="auto"/>
        <w:rPr>
          <w:rFonts w:ascii="Arial" w:cs="Arial" w:eastAsia="Arial" w:hAnsi="Arial"/>
          <w:sz w:val="17"/>
          <w:szCs w:val="17"/>
          <w:color w:val="auto"/>
        </w:rPr>
      </w:pPr>
      <w:r>
        <w:rPr>
          <w:rFonts w:ascii="Arial" w:cs="Arial" w:eastAsia="Arial" w:hAnsi="Arial"/>
          <w:sz w:val="17"/>
          <w:szCs w:val="17"/>
          <w:color w:val="auto"/>
        </w:rPr>
        <w:t>Our total return set forth in the table above for the years ended December 31, 2015, 2014, 2013, 2012 and 2011 reflects the Adviser’s waivers of its right to receive a portion of the Management Fee and Incentive Fees prior to our IPO and separately with respect to our ownership of shares of common stock of TICC Capital Corp. The Management Fee, excluding the effects of the waivers, would have been $21.3 million, $18.3 million, $13.4 million, $8.9 million and $1.6 million for the years ended December 31, 2015, 2014, 2013, 2012 and 2011, respectively. The Incentive Fee excluding the effects of the waiver would have been $20.2 million for the year ended December 31, 2015.</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2" w:name="page53"/>
    <w:bookmarkEnd w:id="52"/>
    <w:p>
      <w:pPr>
        <w:ind w:left="520" w:right="40" w:hanging="512"/>
        <w:spacing w:after="0" w:line="255"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374" w:lineRule="exact"/>
        <w:rPr>
          <w:sz w:val="20"/>
          <w:szCs w:val="20"/>
          <w:color w:val="auto"/>
        </w:rPr>
      </w:pPr>
    </w:p>
    <w:p>
      <w:pPr>
        <w:ind w:right="14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ind w:right="100" w:firstLine="259"/>
        <w:spacing w:after="0" w:line="286" w:lineRule="auto"/>
        <w:rPr>
          <w:sz w:val="20"/>
          <w:szCs w:val="20"/>
          <w:color w:val="auto"/>
        </w:rPr>
      </w:pPr>
      <w:r>
        <w:rPr>
          <w:rFonts w:ascii="Arial" w:cs="Arial" w:eastAsia="Arial" w:hAnsi="Arial"/>
          <w:sz w:val="17"/>
          <w:szCs w:val="17"/>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180"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August 4, 2015, our Board authorized us to enter into a new stock repurchase plan, the Company 10b5-1 Plan, to acquire up to $50 million in the aggregate of our common stock at prices just below our net asset value over a specified period, in accordance with the guidelines specified in Rule 10b-18 and Rule 10b5-1 of the Exchange Act, on substantially the same terms as our prior stock repurchase plan, which expired in accordance with its terms on June 30, 2015. Unless extended or terminated by the Board, the Company 10b5-1 Plan will be in effect through the earlier of February 29, 2016 or such time as the approved $50 million repurchase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660"/>
        <w:spacing w:after="0" w:line="277" w:lineRule="auto"/>
        <w:rPr>
          <w:sz w:val="20"/>
          <w:szCs w:val="20"/>
          <w:color w:val="auto"/>
        </w:rPr>
      </w:pPr>
      <w:r>
        <w:rPr>
          <w:rFonts w:ascii="Arial" w:cs="Arial" w:eastAsia="Arial" w:hAnsi="Arial"/>
          <w:sz w:val="18"/>
          <w:szCs w:val="18"/>
          <w:color w:val="auto"/>
        </w:rPr>
        <w:t>amount has been fully utilized, subject to certain conditions. On February 24, 2016, our Board authorized the extension of the termination date of the Company 10b5-1 plan to August 31, 2016.</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2015, we have originated more than $4.3 billion aggregate principal amount of investments and retained approximately $2.9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2015, our core portfolio companies, which excludes certain investments that fall outside of our typical borrower profile and represent 87% of our total investments based on fair value, had weighted average annual revenue of $128 million and weighted average annual EBITDA of $33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2015, the average investment size in each of our portfolio companies was approximately $32 million based on fair value.</w:t>
      </w:r>
    </w:p>
    <w:p>
      <w:pPr>
        <w:spacing w:after="0" w:line="237"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December 31, 2015, the largest single investment based on fair value represented 4.9% of our total investment portfolio.</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2015, no industry represented more than 21.2% of our total investment portfolio based on fair value.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December 31, 2015, approximately</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96.3% of our portfolio was invested in secured debt, including 88.2%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2015, the weighted average term on new investment commitments in new portfolio companies was 5.0 years.</w:t>
      </w:r>
    </w:p>
    <w:p>
      <w:pPr>
        <w:spacing w:after="0" w:line="194"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jc w:val="both"/>
        <w:ind w:right="80" w:firstLine="259"/>
        <w:spacing w:after="0" w:line="28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December 31, 2015, we had call protection on 87.8% of our debt investments based on fair value, with weighted average call prices of 106.1% for the first year, 103.1% for the second year and 101.4% for the third year, in each case from the date of the initial investment. As of December 31, 2015,</w:t>
      </w:r>
    </w:p>
    <w:p>
      <w:pPr>
        <w:ind w:right="160"/>
        <w:spacing w:after="0" w:line="261" w:lineRule="auto"/>
        <w:rPr>
          <w:sz w:val="20"/>
          <w:szCs w:val="20"/>
          <w:color w:val="auto"/>
        </w:rPr>
      </w:pPr>
      <w:r>
        <w:rPr>
          <w:rFonts w:ascii="Arial" w:cs="Arial" w:eastAsia="Arial" w:hAnsi="Arial"/>
          <w:sz w:val="18"/>
          <w:szCs w:val="18"/>
          <w:color w:val="auto"/>
        </w:rPr>
        <w:t>95.3% of our debt investments based on fair value bore interest at floating rates (when including investment specific hedges), with 94.2% of these subject to interest rate floors, which we believe helps act as a portfolio-wide hedge against inflation.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or TSSP.</w:t>
      </w:r>
    </w:p>
    <w:p>
      <w:pPr>
        <w:spacing w:after="0" w:line="178" w:lineRule="exact"/>
        <w:rPr>
          <w:sz w:val="20"/>
          <w:szCs w:val="20"/>
          <w:color w:val="auto"/>
        </w:rPr>
      </w:pPr>
    </w:p>
    <w:p>
      <w:pPr>
        <w:ind w:right="140" w:firstLine="259"/>
        <w:spacing w:after="0" w:line="272" w:lineRule="auto"/>
        <w:rPr>
          <w:sz w:val="20"/>
          <w:szCs w:val="20"/>
          <w:color w:val="auto"/>
        </w:rPr>
      </w:pPr>
      <w:r>
        <w:rPr>
          <w:rFonts w:ascii="Arial" w:cs="Arial" w:eastAsia="Arial" w:hAnsi="Arial"/>
          <w:sz w:val="17"/>
          <w:szCs w:val="17"/>
          <w:color w:val="auto"/>
        </w:rPr>
        <w:t>TSSP, with over $16 billion of assets under management as of December 31, 2015,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 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Twenty six (26) of these personnel are dedicated to our business, including 18 investment professionals.</w:t>
      </w:r>
    </w:p>
    <w:p>
      <w:pPr>
        <w:spacing w:after="0" w:line="178"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December 31, 2015, 95.3% of these investments based on fair value bear interest at a floating rate (when including investment specific hedges), with 94.2% of these subject to interest rate floors. Interest on debt investments is generally payable quarterly or semiannually. Some of our investments provide for deferred interest payments or PIK interest. For the year ended December 31, 2015, 3.0% of our total investment income was comprised of PIK interest.</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420" w:firstLine="259"/>
        <w:spacing w:after="0" w:line="279" w:lineRule="auto"/>
        <w:rPr>
          <w:sz w:val="20"/>
          <w:szCs w:val="20"/>
          <w:color w:val="auto"/>
        </w:rPr>
      </w:pPr>
      <w:r>
        <w:rPr>
          <w:rFonts w:ascii="Arial" w:cs="Arial" w:eastAsia="Arial" w:hAnsi="Arial"/>
          <w:sz w:val="17"/>
          <w:szCs w:val="17"/>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on our outstanding debt. We bear all other costs and expenses of our operations, administration and transactions, including those relating to:</w:t>
      </w:r>
    </w:p>
    <w:p>
      <w:pPr>
        <w:spacing w:after="0" w:line="117" w:lineRule="exact"/>
        <w:rPr>
          <w:sz w:val="20"/>
          <w:szCs w:val="20"/>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hanging="255"/>
        <w:spacing w:after="0" w:line="302"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right="320" w:hanging="255"/>
        <w:spacing w:after="0" w:line="342"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to financing facilities from time to time.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As of December 31, 2015, our portfolio based on fair value consisted of 88.2% first-lien debt investments, 8.1% second-lien debt investments, 1.9% mezzanine and unsecured debt investments, and 1.8% equity and other investments. As of December 31, 2014, our portfolio based on fair value consisted of 89.0% first-lien debt investments, 8.8% second-lien debt investments, 1.0% mezzanine and unsecured debt investments and 1.2% equity and other investments.</w:t>
      </w:r>
    </w:p>
    <w:p>
      <w:pPr>
        <w:spacing w:after="0" w:line="187"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As of December 31, 2015 and December 31, 2014, our weighted average total yield of debt and income producing securities at fair value (which includes interest income and amortization of fees and discounts) was 10.3% and 10.3%, respectively, and our weighted average total yield of debt and income producing securities at amortized cost (which includes interest income and amortization of fees and discounts) was 10.1% and 10.3%, respectively.</w:t>
      </w:r>
    </w:p>
    <w:p>
      <w:pPr>
        <w:spacing w:after="0" w:line="14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As of December 31, 2015 and December 31, 2014, we had investments in 46 and 34 portfolio companies, respectively, with an aggregate fair value of $1,485.7 million and $1,263.5 million, respectively.</w:t>
      </w:r>
    </w:p>
    <w:p>
      <w:pPr>
        <w:spacing w:after="0" w:line="170"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For the year ended December 31, 2015, we made new investment commitments of $718.7 million, including $631.6 million in 20 new portfolio companies and $87.1 million in 14 existing portfolio companies. For this period, we had $385.2 million aggregate principal amount in exits and repayments, resulting in a net portfolio increase of $278.8 million aggregate principal amount.</w:t>
      </w:r>
    </w:p>
    <w:p>
      <w:pPr>
        <w:spacing w:after="0" w:line="181" w:lineRule="exact"/>
        <w:rPr>
          <w:sz w:val="20"/>
          <w:szCs w:val="20"/>
          <w:color w:val="auto"/>
        </w:rPr>
      </w:pPr>
    </w:p>
    <w:p>
      <w:pPr>
        <w:jc w:val="both"/>
        <w:ind w:right="780" w:firstLine="259"/>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including $805.7 million in 20 new portfolio companies and $78.7 million in seven existing portfolio companies. For this period, we had $518.4 million aggregate principal amount in exits and repayments, resulting in a net portfolio increase of $296.5 million aggregate principal amount.</w:t>
      </w:r>
    </w:p>
    <w:p>
      <w:pPr>
        <w:spacing w:after="0" w:line="181"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For the year ended December 31, 2013, we made new investment commitments of $606.2 million, including $536.0 million in 14 new portfolio companies and $70.2 million in five existing portfolio companies. For this period, we had $192.1 million aggregate principal amount in exits and repayments, resulting in a net portfolio increase of $387.3 million aggregate principal amount.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p>
      <w:pPr>
        <w:ind w:right="60" w:firstLine="518"/>
        <w:spacing w:after="0" w:line="277" w:lineRule="auto"/>
        <w:rPr>
          <w:sz w:val="20"/>
          <w:szCs w:val="20"/>
          <w:color w:val="auto"/>
        </w:rPr>
      </w:pPr>
      <w:r>
        <w:rPr>
          <w:rFonts w:ascii="Arial" w:cs="Arial" w:eastAsia="Arial" w:hAnsi="Arial"/>
          <w:sz w:val="18"/>
          <w:szCs w:val="18"/>
          <w:color w:val="auto"/>
        </w:rPr>
        <w:t>Our investment activity for the years ended December 31, 2015, 2014 and 2013 is presented below (information presented herein is at par value unless otherwise indicated).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964.2</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1,120.1</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7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581.3</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681.3</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353.3</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395.0</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Number of new investment commitments in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new portfolio companies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new portfolio companies</w:t>
            </w:r>
          </w:p>
        </w:tc>
        <w:tc>
          <w:tcPr>
            <w:tcW w:w="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commitments in new portfolio companies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(in years)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color w:val="auto"/>
              </w:rPr>
              <w:t>(1)</w:t>
            </w: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at fixed rates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investment commitments</w:t>
            </w: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floating rate investment commitments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sold or paid down</w:t>
            </w: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520" w:hanging="512"/>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one fixed rate investment for the year ended December 31, 2015 for which we entered into an interest rate swap agreement to swap to a floating rate.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2015 and 2014, our investments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Pr>
          <w:p>
            <w:pPr>
              <w:spacing w:after="0"/>
              <w:rPr>
                <w:sz w:val="14"/>
                <w:szCs w:val="14"/>
                <w:color w:val="auto"/>
              </w:rPr>
            </w:pPr>
          </w:p>
        </w:tc>
        <w:tc>
          <w:tcPr>
            <w:tcW w:w="250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1,124.2</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5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80" w:type="dxa"/>
            <w:vAlign w:val="bottom"/>
            <w:vMerge w:val="restart"/>
          </w:tcPr>
          <w:p>
            <w:pPr>
              <w:jc w:val="right"/>
              <w:ind w:right="7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color w:val="auto"/>
        </w:rPr>
        <w:t>The following table shows the amortized cost of our performing and non-accrual investments as of December 31,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990"/>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Pr>
          <w:p>
            <w:pPr>
              <w:spacing w:after="0"/>
              <w:rPr>
                <w:sz w:val="14"/>
                <w:szCs w:val="14"/>
                <w:color w:val="auto"/>
              </w:rPr>
            </w:pPr>
          </w:p>
        </w:tc>
        <w:tc>
          <w:tcPr>
            <w:tcW w:w="2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FF0FC"/>
            </w:tcBorders>
            <w:vMerge w:val="continue"/>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w w:val="98"/>
              </w:rPr>
              <w:t>Amortized Cost</w:t>
            </w:r>
          </w:p>
        </w:tc>
        <w:tc>
          <w:tcPr>
            <w:tcW w:w="30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 w:hanging="512"/>
        <w:spacing w:after="0" w:line="255"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“—Critical Accounting Policies— Interest and Dividend Income Recognition.”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weighted average yields and interest rates of our debt investments at fair value as of December 31, 2015 and 2014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 2015</w:t>
            </w:r>
          </w:p>
        </w:tc>
        <w:tc>
          <w:tcPr>
            <w:tcW w:w="1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2014</w:t>
            </w:r>
          </w:p>
        </w:tc>
      </w:tr>
      <w:tr>
        <w:trPr>
          <w:trHeight w:val="209"/>
        </w:trPr>
        <w:tc>
          <w:tcPr>
            <w:tcW w:w="20" w:type="dxa"/>
            <w:vAlign w:val="bottom"/>
          </w:tcPr>
          <w:p>
            <w:pPr>
              <w:spacing w:after="0"/>
              <w:rPr>
                <w:sz w:val="18"/>
                <w:szCs w:val="18"/>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5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producing securities</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10.3%</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producing securities</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15"/>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rate investments</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r>
    </w:tbl>
    <w:p>
      <w:pPr>
        <w:spacing w:after="0" w:line="229"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40" w:hanging="255"/>
        <w:spacing w:after="0" w:line="27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ind w:left="520" w:right="40" w:hanging="255"/>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73" w:lineRule="exact"/>
        <w:rPr>
          <w:rFonts w:ascii="Arial" w:cs="Arial" w:eastAsia="Arial" w:hAnsi="Arial"/>
          <w:sz w:val="18"/>
          <w:szCs w:val="18"/>
          <w:color w:val="auto"/>
        </w:rPr>
      </w:pPr>
    </w:p>
    <w:p>
      <w:pPr>
        <w:ind w:left="520" w:right="280" w:hanging="255"/>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right="20" w:hanging="255"/>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right="300" w:hanging="255"/>
        <w:spacing w:after="0" w:line="259"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left="520" w:right="240"/>
        <w:spacing w:after="0" w:line="277" w:lineRule="auto"/>
        <w:rPr>
          <w:sz w:val="20"/>
          <w:szCs w:val="20"/>
          <w:color w:val="auto"/>
        </w:rPr>
      </w:pPr>
      <w:r>
        <w:rPr>
          <w:rFonts w:ascii="Arial" w:cs="Arial" w:eastAsia="Arial" w:hAnsi="Arial"/>
          <w:sz w:val="18"/>
          <w:szCs w:val="18"/>
          <w:color w:val="auto"/>
        </w:rPr>
        <w:t>take immediate action to protect its position. These remedies may include negotiating for additional collateral, modifying loan terms or structure, or payment of amendment and waiver fees.</w:t>
      </w:r>
    </w:p>
    <w:p>
      <w:pPr>
        <w:spacing w:after="0" w:line="62" w:lineRule="exact"/>
        <w:rPr>
          <w:sz w:val="20"/>
          <w:szCs w:val="20"/>
          <w:color w:val="auto"/>
        </w:rPr>
      </w:pPr>
    </w:p>
    <w:p>
      <w:pPr>
        <w:ind w:left="520" w:right="120" w:hanging="255"/>
        <w:spacing w:after="0" w:line="259"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2015 and 2014.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December 31, 2015</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0"/>
              </w:rPr>
              <w:t>December 31, 2014</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4"/>
          </w:tcPr>
          <w:p>
            <w:pPr>
              <w:jc w:val="center"/>
              <w:ind w:right="7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center"/>
              <w:ind w:right="7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4"/>
                <w:szCs w:val="14"/>
                <w:color w:val="auto"/>
              </w:rPr>
            </w:pPr>
          </w:p>
        </w:tc>
        <w:tc>
          <w:tcPr>
            <w:tcW w:w="12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Fair Value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Percentage of</w:t>
            </w: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80" w:type="dxa"/>
            <w:vAlign w:val="bottom"/>
            <w:tcBorders>
              <w:bottom w:val="single" w:sz="8" w:color="CFF0FC"/>
            </w:tcBorders>
          </w:tcPr>
          <w:p>
            <w:pPr>
              <w:spacing w:after="0"/>
              <w:rPr>
                <w:sz w:val="14"/>
                <w:szCs w:val="1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3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2"/>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1,078.3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2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0"/>
        </w:trPr>
        <w:tc>
          <w:tcPr>
            <w:tcW w:w="1760" w:type="dxa"/>
            <w:vAlign w:val="bottom"/>
          </w:tcPr>
          <w:p>
            <w:pPr>
              <w:jc w:val="right"/>
              <w:ind w:right="716"/>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266.1</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jc w:val="right"/>
              <w:ind w:right="716"/>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280" w:type="dxa"/>
            <w:vAlign w:val="bottom"/>
          </w:tcPr>
          <w:p>
            <w:pPr>
              <w:spacing w:after="0"/>
              <w:rPr>
                <w:sz w:val="19"/>
                <w:szCs w:val="19"/>
                <w:color w:val="auto"/>
              </w:rPr>
            </w:pP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1,485.7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c>
          <w:tcPr>
            <w:tcW w:w="600" w:type="dxa"/>
            <w:vAlign w:val="bottom"/>
          </w:tcPr>
          <w:p>
            <w:pPr>
              <w:jc w:val="right"/>
              <w:ind w:right="42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1,263.5</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years ended December 31, 2015, 2014 and 2013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30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9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9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9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realized gains (losses) (1)</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 (1)</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(17.7)</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9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530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53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0" w:type="dxa"/>
            <w:vAlign w:val="bottom"/>
          </w:tcPr>
          <w:p>
            <w:pPr>
              <w:spacing w:after="0"/>
              <w:rPr>
                <w:sz w:val="24"/>
                <w:szCs w:val="24"/>
                <w:color w:val="auto"/>
              </w:rPr>
            </w:pPr>
          </w:p>
        </w:tc>
        <w:tc>
          <w:tcPr>
            <w:tcW w:w="530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96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164.6</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Dividend income</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960" w:type="dxa"/>
            <w:vAlign w:val="bottom"/>
            <w:gridSpan w:val="2"/>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173.4</w:t>
            </w:r>
          </w:p>
        </w:tc>
        <w:tc>
          <w:tcPr>
            <w:tcW w:w="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2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from investments, which includes amortization of upfront fees and prepayment fees, increased from $154.0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to $164.6 million for the year ended December 31, 2015, primarily due to the increase in the size of our investment portfolio. The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size of our investment portfolio increased from $1.2 billion during the year ended December 31, 2014 to $1.4 billion during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Accelerated amortization of upfront fees primarily from unscheduled paydowns decreased from $12.5 million for the year ended December 31, 2014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$6.9 million for the year ended December 31, 2015, and prepayment fees decreased from $21.0 million for the year ended December 31, 2014 to</w:t>
      </w:r>
    </w:p>
    <w:p>
      <w:pPr>
        <w:spacing w:after="0" w:line="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$15.4 million for the year ended December 31, 2015. The accelerated amortization and prepayment fees primarily resulted from partial paydowns on two portfolio investments, full paydowns on thirteen portfolio investments and the expiration of one unfunded commitment during the year ended December 31, 2014 and a partial paydown on one portfolio investment and full paydowns on eleven portfolio investments during the year ended December 31, 2015. Dividend income for the year ended December 31, 2015 was $0.9 million. We did not have dividend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1" w:name="page62"/>
    <w:bookmarkEnd w:id="61"/>
    <w:p>
      <w:pPr>
        <w:ind w:right="120"/>
        <w:spacing w:after="0" w:line="277" w:lineRule="auto"/>
        <w:rPr>
          <w:sz w:val="20"/>
          <w:szCs w:val="20"/>
          <w:color w:val="auto"/>
        </w:rPr>
      </w:pPr>
      <w:r>
        <w:rPr>
          <w:rFonts w:ascii="Arial" w:cs="Arial" w:eastAsia="Arial" w:hAnsi="Arial"/>
          <w:sz w:val="18"/>
          <w:szCs w:val="18"/>
          <w:color w:val="auto"/>
        </w:rPr>
        <w:t>income for the year ended December 31, 2014. Other income decreased from $9.3 million for the year ended December 31, 2014 to $7.9 million for the year ended December 31, 2015, primarily due to higher syndication, amendment and agency fees earned during 2014.</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from investments, which includes amortization of upfront fees and prepayment fees, increased from $90.4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to $154.0 million for the year ended December 31, 2014, primarily due to the increase in the size of our investment portfolio. The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size of our investment portfolio increased from $0.8 billion during the year ended December 31, 2013 to $1.2 billion during the year ended December 31,</w:t>
      </w:r>
    </w:p>
    <w:p>
      <w:pPr>
        <w:spacing w:after="0" w:line="3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2014. Accelerated amortization of upfront fees primarily from unscheduled paydowns increased from $3.0 million for the year ended December 31, 2013 to $12.5 million for the year ended December 31, 2014 and prepayment fees increased from $3.0 million for the year ended December 31, 2013 to $21.0 million for the year ended December 31, 2014. The accelerated amortization and prepayment fees primarily resulted from partial paydowns on three portfolio investments and full paydowns on five portfolio investments during the year ended December 31, 2013 and from partial paydowns on two portfolio investments, full paydowns on thirteen portfolio investments and the expiration of one unfunded commitment during the year ended December 31, 2014. Other income increased from $2.2 million for the year ended December 31, 2013 to $9.3 million for the year ended December 31, 2014, primarily due to higher syndication, amendment and agency fees earned during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years ended December 31, 2015, 2014 and 2013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 income</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jc w:val="right"/>
              <w:ind w:right="3972"/>
              <w:spacing w:after="0"/>
              <w:rPr>
                <w:sz w:val="20"/>
                <w:szCs w:val="20"/>
                <w:color w:val="auto"/>
              </w:rPr>
            </w:pPr>
            <w:r>
              <w:rPr>
                <w:rFonts w:ascii="Arial" w:cs="Arial" w:eastAsia="Arial" w:hAnsi="Arial"/>
                <w:sz w:val="18"/>
                <w:szCs w:val="18"/>
                <w:color w:val="auto"/>
              </w:rPr>
              <w:t>(net of waivers)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 (losses)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Directors fees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jc w:val="right"/>
              <w:ind w:right="3972"/>
              <w:spacing w:after="0"/>
              <w:rPr>
                <w:sz w:val="20"/>
                <w:szCs w:val="20"/>
                <w:color w:val="auto"/>
              </w:rPr>
            </w:pPr>
            <w:r>
              <w:rPr>
                <w:rFonts w:ascii="Arial" w:cs="Arial" w:eastAsia="Arial" w:hAnsi="Arial"/>
                <w:sz w:val="18"/>
                <w:szCs w:val="18"/>
                <w:b w:val="1"/>
                <w:bCs w:val="1"/>
                <w:color w:val="auto"/>
              </w:rPr>
              <w:t>Net Expenses</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$15.1 million for the year ended December 31, 2014 to $22.0 million for the year ended December 31, 2015. This increase was primarily due to an increase in the weighted average debt outstanding from $377 million for the year ended December 31, 2014 to $541 million for the year ended December 31, 2015. The average interest rate on our debt outstanding for both the year ended December 31, 2014 and the year ended December 31, 2015 was 2.6%.</w:t>
      </w:r>
    </w:p>
    <w:p>
      <w:pPr>
        <w:spacing w:after="0" w:line="187"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Interest expense, including other debt financing expenses, increased from $10.5 million for the year ended December 31, 2013 to $15.1 million for the year ended December 31, 2014. This increase was primarily due to an increase in the weighted average debt outstanding from $266 million for the year ended December 31, 2013 to $377 million for the year ended December 31, 2014. The increase in average debt outstanding was offset by a decrease in the average interest rate on our debt outstanding from 2.7% for the year ended December 31, 2013 to 2.6% for the year ended December 31, 2014.</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80" w:firstLine="259"/>
        <w:spacing w:after="0" w:line="293" w:lineRule="auto"/>
        <w:rPr>
          <w:sz w:val="20"/>
          <w:szCs w:val="20"/>
          <w:color w:val="auto"/>
        </w:rPr>
      </w:pPr>
      <w:r>
        <w:rPr>
          <w:rFonts w:ascii="Arial" w:cs="Arial" w:eastAsia="Arial" w:hAnsi="Arial"/>
          <w:sz w:val="16"/>
          <w:szCs w:val="16"/>
          <w:color w:val="auto"/>
        </w:rPr>
        <w:t>Management Fees (net of waivers) increased from $15.8 million for the year ended December 31, 2014 to $21.2 million for the year ended December 31, 2015. Management Fees increased from $18.3 million for the year ended December 31, 2014 to $21.3 million for the year ended December 31, 2015 due to the increase in total assets, which increased from an average of $1.2 billion for the year ended December 31, 2014 to an average of $1.4 billion for the year ended December 31, 2015. Management Fees waived decreased from $2.5 million for the year ended December 31, 2014 to $0.1 million for the year ended December 31, 2015. There were no Management Fees waived during the period April 1, 2014 through December 31, 2014, following our IPO. Management Fees waived during the year ended December 31, 2015 were solely attributable to our ownership of TICC Shares.</w:t>
      </w:r>
    </w:p>
    <w:p>
      <w:pPr>
        <w:spacing w:after="0" w:line="165"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Management Fees (net of waivers) increased from $6.2 million for the year ended December 31, 2013 to $15.8 million for the year ended December 31, 2014. Management Fees increased from $13.4 million for the year ended December 31, 2013 to $18.3 million for the year ended December 31, 2014 due to the increase in total assets, which increased from an average of $0.9 billion for the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right="80"/>
        <w:spacing w:after="0" w:line="264" w:lineRule="auto"/>
        <w:rPr>
          <w:sz w:val="20"/>
          <w:szCs w:val="20"/>
          <w:color w:val="auto"/>
        </w:rPr>
      </w:pPr>
      <w:r>
        <w:rPr>
          <w:rFonts w:ascii="Arial" w:cs="Arial" w:eastAsia="Arial" w:hAnsi="Arial"/>
          <w:sz w:val="18"/>
          <w:szCs w:val="18"/>
          <w:color w:val="auto"/>
        </w:rPr>
        <w:t>ended December 31, 2013 to an average of $1.2 billion for the year ended December 31, 2014. Management Fees waived decreased from $7.1 million for the year ended December 31, 2013 to $2.5 million for the year ended December 31, 2014, as there were no management fees waived during the period April 1, 2014 through December 31, 2014, following our IPO.</w:t>
      </w:r>
    </w:p>
    <w:p>
      <w:pPr>
        <w:spacing w:after="0" w:line="181"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In addition, the Adviser has voluntarily waived the Management Fee on our ownership of the TICC Shares for any period in which TICC Capital Corp. remains our portfolio company.</w:t>
      </w:r>
    </w:p>
    <w:p>
      <w:pPr>
        <w:spacing w:after="0" w:line="18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continue to pay the full amount of the Management Fee, including with respect to the TICC Shares, in future periods.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Incentive Fees (net of waivers) related to pre-Incentive Fee net investment income remained relatively flat at $20.8 million for the year ended December 31, 2014 and $20.0 million for the year ended December 31, 2015. For the year ended December 31, 2015, Incentive Fees related to pre-Incentive Fee net investment income of $0.2 million were waived, consisting solely of Incentive Fees attributable to our ownership of the TICC Shares. There were no Incentive Fees related to pre-Incentive Fee net investment income waived for the year ended December 31, 2014, as we did not hold any TICC Shares during the period. Incentive Fees related to capital gains and losses were ($2.9) million for the year ended December 31, 2014 due to unrealized losses on our investments and realized losses on foreign exchange transactions. There were no Incentive Fees related to capital gains and losses for the year ended December 31, 2015 due to unrealized losses on our investments and realized losses on our investments.</w:t>
      </w:r>
    </w:p>
    <w:p>
      <w:pPr>
        <w:spacing w:after="0" w:line="17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Incentive Fees related to pre-Incentive Fee net investment income increased from $10.4 million for the year ended December 31, 2013 to $20.8 million for the year ended December 31, 2014. This increase resulted from the increase in the size of the portfolio and related increase in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and losses decreased from $1.4 million for the year ended December 31, 2013 to ($2.9) million for the year ended December 31, 2014 due to changes in unrealized gains and losses on our investments, realized gains on our investments and realized losses on foreign currency transactions.</w:t>
      </w:r>
    </w:p>
    <w:p>
      <w:pPr>
        <w:spacing w:after="0" w:line="189"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depreciation with respect to the TICC Shares will be applied against the our cumulative realized capital gains on which the Incentive Fee related to capital gains and losses is calculated.</w:t>
      </w:r>
    </w:p>
    <w:p>
      <w:pPr>
        <w:spacing w:after="0" w:line="188"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continue to pay the full amount of the Incentive Fee, including with respect to the TICC Shares, in future periods.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jc w:val="both"/>
        <w:ind w:right="360" w:firstLine="259"/>
        <w:spacing w:after="0" w:line="259" w:lineRule="auto"/>
        <w:rPr>
          <w:sz w:val="20"/>
          <w:szCs w:val="20"/>
          <w:color w:val="auto"/>
        </w:rPr>
      </w:pPr>
      <w:r>
        <w:rPr>
          <w:rFonts w:ascii="Arial" w:cs="Arial" w:eastAsia="Arial" w:hAnsi="Arial"/>
          <w:sz w:val="18"/>
          <w:szCs w:val="18"/>
          <w:color w:val="auto"/>
        </w:rPr>
        <w:t>Professional fees increased from $4.7 million for the year ended December 31, 2014 to $8.2 million for the year ended December 31, 2015 and other general and administrative fees increased from $3.9 million for the year ended December 31, 2014 to $4.8 million for the year ended December 31, 2015, both due to an increase in costs associated with servicing a growing investment portfolio, as well as incremental professional fees incurred relating to our investment in the TICC shares and related activity.</w:t>
      </w:r>
    </w:p>
    <w:p>
      <w:pPr>
        <w:spacing w:after="0" w:line="187" w:lineRule="exact"/>
        <w:rPr>
          <w:sz w:val="20"/>
          <w:szCs w:val="20"/>
          <w:color w:val="auto"/>
        </w:rPr>
      </w:pPr>
    </w:p>
    <w:p>
      <w:pPr>
        <w:jc w:val="both"/>
        <w:ind w:right="360" w:firstLine="259"/>
        <w:spacing w:after="0" w:line="264" w:lineRule="auto"/>
        <w:rPr>
          <w:sz w:val="20"/>
          <w:szCs w:val="20"/>
          <w:color w:val="auto"/>
        </w:rPr>
      </w:pPr>
      <w:r>
        <w:rPr>
          <w:rFonts w:ascii="Arial" w:cs="Arial" w:eastAsia="Arial" w:hAnsi="Arial"/>
          <w:sz w:val="18"/>
          <w:szCs w:val="18"/>
          <w:color w:val="auto"/>
        </w:rPr>
        <w:t>Professional fees increased from $3.7 million for the year ended December 31, 2013 to $4.7 million for the year ended December 31, 2014 and other general and administrative fees increased from $2.4 million for the year ended December 31, 2013 to $3.9 million for the year ended December 31, 2014, both due to an increase in costs associated with servicing a growing investment portfolio.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For the calendar years ended December 31, 2015, 2014 and 2013 we recorded a net expense of $1.5 million, $1.1 million and $0.2 million, respectively, for U.S. federal excise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2015, 2014 and 2013:</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7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(5.0)</w:t>
            </w: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investments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on foreign currency borrowings</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9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7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(34.3)</w:t>
            </w: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(depreciation) on foreign</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7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9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For the years ended December 31, 2015, 2014 and 2013, we had net realized losses on investments of $5.0 million and net realized gains on investments of $0.1 million and $1.1 million, respectively. For the year ended December 31, 2015, we had net realized gains on interest rate swaps of $1.8 million. We did not have realized gains or losses on interest rate swaps for the years ended December 31, 2014 or 2013. For the years ended December 31, 2015, 2014 and 2013, we had net realized gains on foreign currency transactions of less than $0.1 million, net realized losses on foreign currency transactions of $0.4 million and net realized gains on foreign currency transactions of less than $0.1 million, respectively, primarily as a result of translating foreign currency related to our non-USD denominated investments. For the years ended December 31, 2015, 2014 and 2013, we had net realized gains on foreign currency forward contracts of less than $0.1 million, net realized losses on foreign currency forward contracts of $1.6 million and net realized gains on foreign currency forward contracts of less than $0.1 million, respectively, primarily as a result of settling our foreign currency forward contracts. For the year ended December 31, 2015, we had net realized losses on foreign currency investments of $0.4 million. We did not have realized gains or losses on foreign currency investments for the years ended December 31, 2014 or 2013. For the years ended December 31, 2015 and 2014, we had net realized gains on foreign currency borrowings of $0.4 million and $0.2 million, respectively. We did not have realized gains or losses on foreign currency borrowings for the year ended December 31, 2013.</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4" w:name="page65"/>
    <w:bookmarkEnd w:id="64"/>
    <w:p>
      <w:pPr>
        <w:ind w:firstLine="259"/>
        <w:spacing w:after="0" w:line="279" w:lineRule="auto"/>
        <w:rPr>
          <w:sz w:val="20"/>
          <w:szCs w:val="20"/>
          <w:color w:val="auto"/>
        </w:rPr>
      </w:pPr>
      <w:r>
        <w:rPr>
          <w:rFonts w:ascii="Arial" w:cs="Arial" w:eastAsia="Arial" w:hAnsi="Arial"/>
          <w:sz w:val="17"/>
          <w:szCs w:val="17"/>
          <w:color w:val="auto"/>
        </w:rPr>
        <w:t>For the year ended December 31, 2015 we had $9.0 million in unrealized appreciation on 15 portfolio company investments, which was offset by $43.3 million in unrealized depreciation on 40 portfolio company investments. Unrealized appreciation for the year ended December 31, 2015 resulted from an increase in fair value, primarily due to positive valuation adjustments. Unrealized depreciation for the year ended December 31, 2015 resulted from widening in credit spreads, the reversal of prior period unrealized appreciation and in some instances negative credit-related adjustments.</w:t>
      </w:r>
    </w:p>
    <w:p>
      <w:pPr>
        <w:spacing w:after="0" w:line="171"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For the year ended December 31, 2014 we had $5.4 million in unrealized appreciation on 10 portfolio company investments, which was offset by $34.3 million in unrealized depreciation on 35 portfolio company investments. Unrealized appreciation for the year ended December 31, 2014 resulted from an increase in fair value, primarily due to a tightening spread environment during the six months ended June 30, 2014 and positive credit-related adjustments. Unrealized depreciation for the year ended December 31, 2014 resulted from the reversal of prior period unrealized appreciation, primarily due to a widening spread environment during the six months ended December 31, 2014, and in some instances negative credit-related and energy-related adjustments.</w:t>
      </w:r>
    </w:p>
    <w:p>
      <w:pPr>
        <w:spacing w:after="0" w:line="158"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 company investments. Unrealized appreciation for the year ended December 31, 2013 resulted from increases in fair value, primarily due to a tightening spread environment and positive credit-related adjustments. Unrealized depreciation for the year ended December 31, 2013 primarily resulted from the reversal of prior period unrealized appreciation and in some instances negative credit-related adjustments.</w:t>
      </w:r>
    </w:p>
    <w:p>
      <w:pPr>
        <w:spacing w:after="0" w:line="188"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For the years ended December 31, 2015 and 2014 we had unrealized appreciation on foreign currency borrowings of $6.3 million and $8.9 million, respectively, primarily as a result of fluctuations in the GBP, SEK and EUR exchange rates. For the year ended December 31, 2013, we did not have unrealized appreciation or depreciation on foreign currency borrowings. For the years ended December 31, 2015, 2014 and 2013, we had unrealized depreciation on foreign currency cash and forward contracts of less than $0.1 million, unrealized appreciation on foreign currency cash and forward contracts of $1.3 million, and unrealized depreciation on foreign currency cash and forward contracts of $1.2 million, respectively, primarily as a result of settling our foreign currency forward contracts. For the years ended December 31, 2015 and 2014, we had unrealized depreciation on interest rate swaps of $0.5 million and unrealized appreciation on interest rate swaps of $1.0 million, respectively, due to fluctuations in interest rates. For the year ended December 31, 2013, we did not have unrealized appreciation or depreciation on interest rate swaps.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Since we began investing in 2011 through December 31, 2015, our exited investments have resulted in an aggregate cash flow realized gross internal rate of return to us of 16.3% (based on cash invested of $1.2 billion and total proceeds from these exited investments of $1.5 billion). Ninety percent of these exited investments resulted in an aggregate cash flow realized gross internal rate of return to us of 10% or greater.</w:t>
      </w:r>
    </w:p>
    <w:p>
      <w:pPr>
        <w:spacing w:after="0" w:line="166"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2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16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65" w:name="page66"/>
    <w:bookmarkEnd w:id="65"/>
    <w:p>
      <w:pPr>
        <w:ind w:right="440" w:firstLine="259"/>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Our current approach to hedging the foreign currency exposure in our non-U.S. dollar denominated investments is primarily to borrow the necessary local currency under our Revolving Credit Facility to fund these investments. For the years ended December 31, 2015 and 2014, we had $6.3 million and $8.9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2015 and 2014. We did not have non-U.S. dollar denominated debt in the year ended December 31, 2013. See Note 2 for additional disclosure regarding our accounting for foreign currency. See Note 7 for additional disclosure regarding the amounts of outstanding debt denominated in each foreign currency at December 31, 2015. See our consolidated schedule of investments for additional disclosure regarding the foreign currency amounts (in both par and fair value) of our non-U.S. dollar denominated investments.</w:t>
      </w:r>
    </w:p>
    <w:p>
      <w:pPr>
        <w:spacing w:after="0" w:line="179" w:lineRule="exact"/>
        <w:rPr>
          <w:sz w:val="20"/>
          <w:szCs w:val="20"/>
          <w:color w:val="auto"/>
        </w:rPr>
      </w:pPr>
    </w:p>
    <w:p>
      <w:pPr>
        <w:ind w:right="120" w:firstLine="259"/>
        <w:spacing w:after="0" w:line="254" w:lineRule="auto"/>
        <w:rPr>
          <w:sz w:val="20"/>
          <w:szCs w:val="20"/>
          <w:color w:val="auto"/>
        </w:rPr>
      </w:pPr>
      <w:r>
        <w:rPr>
          <w:rFonts w:ascii="Arial" w:cs="Arial" w:eastAsia="Arial" w:hAnsi="Arial"/>
          <w:sz w:val="18"/>
          <w:szCs w:val="18"/>
          <w:color w:val="auto"/>
        </w:rPr>
        <w:t>During the years ended December 31, 2015, 2014 and 2013 we entered into foreign currency forward contracts related to our non-USD denominated investments. During the year ended December 31, 2015, our foreign currency forward contracts generated an unrealized loss of less than $0.1 million and a realized gain of less than $0.1 million. As of December 31, 2015, we did not have any open foreign currency forward contracts. During the year ended December 31, 2014, our foreign currency forward contracts generated an unrealized gain of $1.3 million and a realized loss of $1.6 million. During the year ended December 31, 2013, our foreign currency forward contracts generated an unrealized loss of $1.2 million and a realized gain of less than $0.1 million. We also entered into interest rate swaps in connection with one of our portfolio investments during the year ended December 31, 2015. We bear the costs incurred in connection with entering into, administering and settling derivative contracts. There can be no assurance any hedging strategy we employ will be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2015, 2014 and 2013, our asset coverage ratio was 225.7%, 311.0% and 232.9%, respectively. We carefully consider our unfunded commitments for the purpose of planning our ongoing financial leverage. Further, we maintain sufficient borrowing capacity within the 200% asset coverage limitation to cover any outstanding unfunded commitments we are required to fund.</w:t>
      </w:r>
    </w:p>
    <w:p>
      <w:pPr>
        <w:spacing w:after="0" w:line="197"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Cash and cash equivalents as of December 31, 2015, taken together with cash available under our credit facilities, is expected to be sufficient for our investing activities and to conduct our operations in the near term. As of December 31, 2015, we had approximately $280.9 million of availability on our Revolving Credit Facility.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December 31, 2015, we had $2.4 million in cash and cash equivalents. During the year ended December 31, 2015, we used $183.5 million in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operating activities, primarily as a result of funding portfolio investments of $757.3 million, which was partially offset by proceeds from investments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$39.1 million, repayments on investments of $474.5 million, other operating activity of $3.4 million, and an increase in net assets resulting from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$63.6 million. Lastly, cash provided by financing activities was $183.5 million during the period, primarily due to borrowings of $847.5 million, partially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offset by repayments on debt of $584.5 million, debt issuance costs of $1.4 million and dividends paid of $78.1 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6" w:name="page67"/>
    <w:bookmarkEnd w:id="66"/>
    <w:p>
      <w:pPr>
        <w:ind w:right="180" w:firstLine="259"/>
        <w:spacing w:after="0" w:line="273" w:lineRule="auto"/>
        <w:rPr>
          <w:sz w:val="20"/>
          <w:szCs w:val="20"/>
          <w:color w:val="auto"/>
        </w:rPr>
      </w:pPr>
      <w:r>
        <w:rPr>
          <w:rFonts w:ascii="Arial" w:cs="Arial" w:eastAsia="Arial" w:hAnsi="Arial"/>
          <w:sz w:val="17"/>
          <w:szCs w:val="17"/>
          <w:color w:val="auto"/>
        </w:rPr>
        <w:t>As of December 31, 2014, we had $2.4 million in cash and cash equivalents, a decrease of $1.1 million from December 31, 2013. During the year ended December 31, 2014, we used net $148.8 million in cash for operating activities, primarily as a result of funding portfolio investments of $974.8 million, which was partially offset by proceeds from investments of $100.7 million, repayments on investments of $620.7 million, other operating activity of $19.6 million, and an increase in net assets resulting from operations of $85.0 million. Lastly, cash provided by financing activities was $147.8 million during the period, primarily due to net borrowings of $1,108.1 million and proceeds from issuance of common stock of $234.4 million, partially offset by net repayments on debt of $1,135.4 million, debt issuance costs of $6.8 million and dividends paid of $52.6 million.</w:t>
      </w:r>
    </w:p>
    <w:p>
      <w:pPr>
        <w:spacing w:after="0" w:line="178"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As of December 31, 2015, we had $0.9 million of restricted cash pledged as collateral under our interest rate swap agreements, which we initially entered into in June 2014 and November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760" w:firstLine="259"/>
        <w:spacing w:after="0" w:line="342" w:lineRule="auto"/>
        <w:rPr>
          <w:sz w:val="20"/>
          <w:szCs w:val="20"/>
          <w:color w:val="auto"/>
        </w:rPr>
      </w:pPr>
      <w:r>
        <w:rPr>
          <w:rFonts w:ascii="Arial" w:cs="Arial" w:eastAsia="Arial" w:hAnsi="Arial"/>
          <w:sz w:val="16"/>
          <w:szCs w:val="16"/>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24" w:lineRule="exact"/>
        <w:rPr>
          <w:sz w:val="20"/>
          <w:szCs w:val="20"/>
          <w:color w:val="auto"/>
        </w:rPr>
      </w:pPr>
    </w:p>
    <w:p>
      <w:pPr>
        <w:jc w:val="both"/>
        <w:ind w:right="160" w:firstLine="259"/>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81"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On December 31, 2013, we delivered a capital drawdown notice to our private phase investors relating to the sale of 4,234,501 shares of our common stock for an aggregate offering price of $65.0 million. The sale closed on January 15, 2014. This capital drawdown notice is reflected in the number of shares issued for the year ended December 31, 2014 in this section and the consolidated financial statements for the year ended December 31, 2014. During the year ended December 31, 2014, we did not deliver any drawdown notices to our private phase investors.</w:t>
      </w:r>
    </w:p>
    <w:p>
      <w:pPr>
        <w:spacing w:after="0" w:line="171"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remaining unfunded commitments under the subscription agreements terminated upon the completion of our IPO in March 2014, and hence as of December 31, 2015 no longer remain in effect.</w:t>
      </w:r>
    </w:p>
    <w:p>
      <w:pPr>
        <w:spacing w:after="0" w:line="170"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During the years ended December 31, 2015 and 2014, we also issued 368,602 and 1,361,850 shares of our common stock, respectively, to investors who have not opted out of our dividend reinvestment plan for proceeds of $6.1 million and $22.6 million, respectively. On February 1, 2016, we issued 147,809 shares of our common stock through our dividend reinvestment plan for proceeds of $2.3 million, which is not reflected in the number of shares issued for the year ended December 31, 2015 in this section or the consolidated financial statements for the year ended December 31, 2015.</w:t>
      </w:r>
    </w:p>
    <w:p>
      <w:pPr>
        <w:spacing w:after="0" w:line="154"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Company 10b5-1 Plan expired in accordance with its terms on June 30, 2015. On August 4, 2015, the Board authorized us to enter into a new stock repurchase plan, on substantially the same terms as the prior stock repurchase plan. Unless extended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right="120"/>
        <w:spacing w:after="0" w:line="264" w:lineRule="auto"/>
        <w:rPr>
          <w:sz w:val="20"/>
          <w:szCs w:val="20"/>
          <w:color w:val="auto"/>
        </w:rPr>
      </w:pPr>
      <w:r>
        <w:rPr>
          <w:rFonts w:ascii="Arial" w:cs="Arial" w:eastAsia="Arial" w:hAnsi="Arial"/>
          <w:sz w:val="18"/>
          <w:szCs w:val="18"/>
          <w:color w:val="auto"/>
        </w:rPr>
        <w:t>terminated by the Board, the Company 10b5-1 Plan will be in effect through the earlier of February 29, 2016 or such time as the approved $50 million repurchase amount has been fully utilized, subject to certain conditions. On February 24, 2016, the Board authorized the extension of the termination date of the Company 10b5-1 Plan to August 31, 2016.</w:t>
      </w:r>
    </w:p>
    <w:p>
      <w:pPr>
        <w:spacing w:after="0" w:line="18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During the year ended December 31, 2015, the Company repurchased 2,000 shares under the Company 10b5-1 Plan at a weighted average price per share of $14.44, inclusive of commissions, for a total cost of $29 thousand. No shares were repurchased under the Company 10b5-1 Plan during the year ended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consisted of the following as of December 31, 2015 and 2014:</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44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18"/>
              <w:spacing w:after="0" w:line="147" w:lineRule="exact"/>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7"/>
              <w:spacing w:after="0" w:line="147"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57"/>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r>
      <w:tr>
        <w:trPr>
          <w:trHeight w:val="171"/>
        </w:trPr>
        <w:tc>
          <w:tcPr>
            <w:tcW w:w="444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Available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540,305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112,483</w:t>
            </w:r>
          </w:p>
        </w:tc>
        <w:tc>
          <w:tcPr>
            <w:tcW w:w="120" w:type="dxa"/>
            <w:vAlign w:val="bottom"/>
            <w:tcBorders>
              <w:bottom w:val="single" w:sz="8" w:color="CFF0FC"/>
            </w:tcBorders>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936,250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655,305</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652,788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444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18"/>
              <w:spacing w:after="0" w:line="147" w:lineRule="exact"/>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7"/>
              <w:spacing w:after="0" w:line="147"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57"/>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r>
      <w:tr>
        <w:trPr>
          <w:trHeight w:val="171"/>
        </w:trPr>
        <w:tc>
          <w:tcPr>
            <w:tcW w:w="444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Available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SPV Asset Facility</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45,279</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177,216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177,216</w:t>
            </w:r>
          </w:p>
        </w:tc>
        <w:tc>
          <w:tcPr>
            <w:tcW w:w="1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111,923</w:t>
            </w:r>
          </w:p>
        </w:tc>
        <w:tc>
          <w:tcPr>
            <w:tcW w:w="120" w:type="dxa"/>
            <w:vAlign w:val="bottom"/>
            <w:shd w:val="clear" w:color="auto" w:fill="CFF0FC"/>
          </w:tcPr>
          <w:p>
            <w:pPr>
              <w:spacing w:after="0"/>
              <w:rPr>
                <w:sz w:val="19"/>
                <w:szCs w:val="19"/>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1,071,250</w:t>
            </w:r>
          </w:p>
        </w:tc>
        <w:tc>
          <w:tcPr>
            <w:tcW w:w="2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398,941</w:t>
            </w:r>
          </w:p>
        </w:tc>
        <w:tc>
          <w:tcPr>
            <w:tcW w:w="1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511,468</w:t>
            </w:r>
          </w:p>
        </w:tc>
        <w:tc>
          <w:tcPr>
            <w:tcW w:w="200" w:type="dxa"/>
            <w:vAlign w:val="bottom"/>
            <w:gridSpan w:val="2"/>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395,864</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As of December 31, 2015 and December 31, 2014,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520" w:right="180" w:hanging="255"/>
        <w:spacing w:after="0" w:line="277"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ind w:firstLine="259"/>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17" w:lineRule="exact"/>
        <w:rPr>
          <w:sz w:val="20"/>
          <w:szCs w:val="20"/>
          <w:color w:val="auto"/>
        </w:rPr>
      </w:pPr>
    </w:p>
    <w:p>
      <w:pPr>
        <w:ind w:left="520" w:right="120" w:hanging="255"/>
        <w:spacing w:after="0" w:line="308" w:lineRule="auto"/>
        <w:tabs>
          <w:tab w:leader="none" w:pos="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100" w:hanging="255"/>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December 31, 2015, we had outstanding debt denominated in Swedish Krona (SEK) of 195.2 million, Euro (EUR) of 43.9 million and Pound Sterling (GBP) of 21.0 million on our Revolving Credit Facility, included in the Outstanding Principal amount in the table above.</w:t>
      </w:r>
    </w:p>
    <w:p>
      <w:pPr>
        <w:spacing w:after="0" w:line="181" w:lineRule="exact"/>
        <w:rPr>
          <w:sz w:val="20"/>
          <w:szCs w:val="20"/>
          <w:color w:val="auto"/>
        </w:rPr>
      </w:pPr>
    </w:p>
    <w:p>
      <w:pPr>
        <w:jc w:val="both"/>
        <w:ind w:right="60" w:firstLine="259"/>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120" w:firstLine="259"/>
        <w:spacing w:after="0" w:line="254" w:lineRule="auto"/>
        <w:rPr>
          <w:sz w:val="20"/>
          <w:szCs w:val="20"/>
          <w:color w:val="auto"/>
        </w:rPr>
      </w:pPr>
      <w:r>
        <w:rPr>
          <w:rFonts w:ascii="Arial" w:cs="Arial" w:eastAsia="Arial" w:hAnsi="Arial"/>
          <w:sz w:val="18"/>
          <w:szCs w:val="18"/>
          <w:color w:val="auto"/>
        </w:rPr>
        <w:t>On May 8, 2012, the Closing Date, our wholly owned subsidiary TPG SL SPV, LLC, a Delaware limited liability company, which we refer to as TPG SL SPV,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92"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After giving effect to amendments to the credit and security agreement in January 2014 and March 2015, the facility had commitments of $175 million and the pricing ranged from cost of funds + 2.25% to LIBOR + 2.35% and the facility was scheduled to mature on January 21, 2021.</w:t>
      </w:r>
    </w:p>
    <w:p>
      <w:pPr>
        <w:spacing w:after="0" w:line="147"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47"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As of December 31, 2015 and 2014, TPG SL SPV had $230.3 million and $334.0 million, respectively, in investments at fair value. As of December 31, 2014, TPG SL SPV had $108.8 million in liabilities, including the outstanding borrowings, on its balance sheet. As of December 31, 2015, TPG SL SPV’s liabilities had been fully prepaid. As of December 31, 2014, TPG SL SPV had $10.2 million in restricted cash, a component of prepaid expenses and other assets, in the accompanying consolidated financial statements. TPG SL SPV did not have restricted cash as of December 31, 2015.</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Borrowings of TPG SL SPV are considered our borrowings for purposes of complying with the asset coverage requirements of the 1940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interest rate swaps to continue to align the interest rates of our liabilities with our investment portfolio, which consists of predominately floating rate loans. As a result of the swaps, our effective interest rate on the Convertible Senior Notes is three-month LIBOR plus 286 basis points.</w:t>
      </w:r>
    </w:p>
    <w:p>
      <w:pPr>
        <w:spacing w:after="0" w:line="169" w:lineRule="exact"/>
        <w:rPr>
          <w:sz w:val="20"/>
          <w:szCs w:val="20"/>
          <w:color w:val="auto"/>
        </w:rPr>
      </w:pPr>
    </w:p>
    <w:p>
      <w:pPr>
        <w:ind w:right="80" w:firstLine="259"/>
        <w:spacing w:after="0" w:line="254" w:lineRule="auto"/>
        <w:rPr>
          <w:sz w:val="20"/>
          <w:szCs w:val="20"/>
          <w:color w:val="auto"/>
        </w:rPr>
      </w:pPr>
      <w:r>
        <w:rPr>
          <w:rFonts w:ascii="Arial" w:cs="Arial" w:eastAsia="Arial" w:hAnsi="Arial"/>
          <w:sz w:val="18"/>
          <w:szCs w:val="18"/>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w:t>
      </w:r>
    </w:p>
    <w:p>
      <w:pPr>
        <w:spacing w:after="0" w:line="192"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As of December 31, 2015,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2015, we were in compliance with the terms of the Convertible Senior Notes Indenture.</w:t>
      </w:r>
    </w:p>
    <w:p>
      <w:pPr>
        <w:spacing w:after="0" w:line="17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380" w:firstLine="259"/>
        <w:spacing w:after="0" w:line="264"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ind w:right="520"/>
        <w:spacing w:after="0" w:line="277" w:lineRule="auto"/>
        <w:rPr>
          <w:sz w:val="20"/>
          <w:szCs w:val="20"/>
          <w:color w:val="auto"/>
        </w:rPr>
      </w:pPr>
      <w:r>
        <w:rPr>
          <w:rFonts w:ascii="Arial" w:cs="Arial" w:eastAsia="Arial" w:hAnsi="Arial"/>
          <w:sz w:val="18"/>
          <w:szCs w:val="18"/>
          <w:color w:val="auto"/>
        </w:rPr>
        <w:t>term as the associated loan agreement. Undrawn senior secured term loan commitments generally have a shorter availability period than the term of the associated loan agreement. As of December 31, 2015 and 2014, we had the following commitments to fund investments: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tcPr>
          <w:p>
            <w:pPr>
              <w:spacing w:after="0"/>
              <w:rPr>
                <w:sz w:val="20"/>
                <w:szCs w:val="20"/>
                <w:color w:val="auto"/>
              </w:rPr>
            </w:pPr>
            <w:r>
              <w:rPr>
                <w:rFonts w:ascii="Arial" w:cs="Arial" w:eastAsia="Arial" w:hAnsi="Arial"/>
                <w:sz w:val="14"/>
                <w:szCs w:val="14"/>
                <w:color w:val="auto"/>
              </w:rPr>
              <w:t>($ in millions)</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2014</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revolving loan commitments</w:t>
            </w: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term loan commitments</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2015 and December 31, 2014, we had outstanding commitments to fund investments totaling $78.6 million and $48.0 million, respectively.</w:t>
      </w:r>
    </w:p>
    <w:p>
      <w:pPr>
        <w:spacing w:after="0" w:line="187"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December 31, 2015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Convertible Senior Notes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 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2" w:name="page73"/>
    <w:bookmarkEnd w:id="72"/>
    <w:p>
      <w:pPr>
        <w:jc w:val="both"/>
        <w:ind w:right="36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60" w:hanging="255"/>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7"/>
          <w:szCs w:val="17"/>
          <w:i w:val="1"/>
          <w:iCs w:val="1"/>
          <w:color w:val="auto"/>
        </w:rPr>
        <w:t>ITEM 1A. RISK FACTORS</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4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73" w:name="page74"/>
    <w:bookmarkEnd w:id="73"/>
    <w:p>
      <w:pPr>
        <w:ind w:firstLine="259"/>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17" w:lineRule="exact"/>
        <w:rPr>
          <w:sz w:val="20"/>
          <w:szCs w:val="20"/>
          <w:color w:val="auto"/>
        </w:rPr>
      </w:pPr>
    </w:p>
    <w:p>
      <w:pPr>
        <w:ind w:left="520" w:hanging="255"/>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17" w:lineRule="exact"/>
        <w:rPr>
          <w:rFonts w:ascii="Arial" w:cs="Arial" w:eastAsia="Arial" w:hAnsi="Arial"/>
          <w:sz w:val="18"/>
          <w:szCs w:val="18"/>
          <w:color w:val="auto"/>
        </w:rPr>
      </w:pPr>
    </w:p>
    <w:p>
      <w:pPr>
        <w:ind w:left="520" w:right="420" w:hanging="255"/>
        <w:spacing w:after="0" w:line="277"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620" w:firstLine="259"/>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00" w:hanging="255"/>
        <w:spacing w:after="0" w:line="277"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20" w:hanging="255"/>
        <w:spacing w:after="0" w:line="26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17" w:lineRule="exact"/>
        <w:rPr>
          <w:rFonts w:ascii="Arial" w:cs="Arial" w:eastAsia="Arial" w:hAnsi="Arial"/>
          <w:sz w:val="18"/>
          <w:szCs w:val="18"/>
          <w:color w:val="auto"/>
        </w:rPr>
      </w:pPr>
    </w:p>
    <w:p>
      <w:pPr>
        <w:ind w:left="520" w:right="700" w:hanging="255"/>
        <w:spacing w:after="0" w:line="277"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both"/>
        <w:ind w:right="460" w:firstLine="259"/>
        <w:spacing w:after="0" w:line="259"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74" w:name="page75"/>
    <w:bookmarkEnd w:id="74"/>
    <w:p>
      <w:pPr>
        <w:ind w:right="160"/>
        <w:spacing w:after="0" w:line="259" w:lineRule="auto"/>
        <w:rPr>
          <w:sz w:val="20"/>
          <w:szCs w:val="20"/>
          <w:color w:val="auto"/>
        </w:rPr>
      </w:pPr>
      <w:r>
        <w:rPr>
          <w:rFonts w:ascii="Arial" w:cs="Arial" w:eastAsia="Arial" w:hAnsi="Arial"/>
          <w:sz w:val="18"/>
          <w:szCs w:val="18"/>
          <w:color w:val="auto"/>
        </w:rPr>
        <w:t>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87"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our consolidated financial statements included in this Form 10-K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80" w:firstLine="259"/>
        <w:spacing w:after="0" w:line="297"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58"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ind w:right="280" w:firstLine="259"/>
        <w:spacing w:after="0" w:line="257"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88"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5" w:name="page76"/>
    <w:bookmarkEnd w:id="75"/>
    <w:p>
      <w:pPr>
        <w:spacing w:after="0" w:line="259" w:lineRule="auto"/>
        <w:rPr>
          <w:sz w:val="20"/>
          <w:szCs w:val="20"/>
          <w:color w:val="auto"/>
        </w:rPr>
      </w:pPr>
      <w:r>
        <w:rPr>
          <w:rFonts w:ascii="Arial" w:cs="Arial" w:eastAsia="Arial" w:hAnsi="Arial"/>
          <w:sz w:val="18"/>
          <w:szCs w:val="18"/>
          <w:color w:val="auto"/>
        </w:rPr>
        <w:t>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2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of December 31, 2015, 95.3% of our debt investments based on fair value in our portfolio bore interest at floating rates (when including investment specific hedges), with 94.2% of these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December 31, 2015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rPr>
              <w:t>TPG SPECIALTY LENDING, INC.</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20" w:type="dxa"/>
            <w:vAlign w:val="bottom"/>
            <w:gridSpan w:val="2"/>
            <w:vMerge w:val="restart"/>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Report of Independent Registered Public Accounting Firm</w:t>
              </w:r>
            </w:hyperlink>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Balance Sheets as of December 31, 2015 and 2014</w:t>
              </w:r>
            </w:hyperlink>
          </w:p>
        </w:tc>
        <w:tc>
          <w:tcPr>
            <w:tcW w:w="5620" w:type="dxa"/>
            <w:vAlign w:val="bottom"/>
            <w:gridSpan w:val="5"/>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12"/>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Operations for the Years Ended December 31, 2015, 2014 and 2013</w:t>
              </w:r>
            </w:hyperlink>
          </w:p>
        </w:tc>
        <w:tc>
          <w:tcPr>
            <w:tcW w:w="3360" w:type="dxa"/>
            <w:vAlign w:val="bottom"/>
            <w:gridSpan w:val="3"/>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12"/>
        </w:trPr>
        <w:tc>
          <w:tcPr>
            <w:tcW w:w="10280" w:type="dxa"/>
            <w:vAlign w:val="bottom"/>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Schedules of Investments as of December 31, 2015 and 2014</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80" w:type="dxa"/>
            <w:vAlign w:val="bottom"/>
            <w:gridSpan w:val="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Consolidated Statements of Changes in Net Assets for the Years Ended December 31, 2015, 2014 and 2013</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412"/>
        </w:trPr>
        <w:tc>
          <w:tcPr>
            <w:tcW w:w="7740" w:type="dxa"/>
            <w:vAlign w:val="bottom"/>
            <w:tcBorders>
              <w:top w:val="single" w:sz="8" w:color="0000EE"/>
            </w:tcBorders>
            <w:gridSpan w:val="7"/>
          </w:tcPr>
          <w:p>
            <w:pPr>
              <w:spacing w:after="0"/>
              <w:rPr>
                <w:rFonts w:ascii="Arial" w:cs="Arial" w:eastAsia="Arial" w:hAnsi="Arial"/>
                <w:sz w:val="18"/>
                <w:szCs w:val="18"/>
                <w:color w:val="0000EE"/>
                <w:w w:val="99"/>
              </w:rPr>
            </w:pPr>
            <w:hyperlink w:anchor="page90">
              <w:r>
                <w:rPr>
                  <w:rFonts w:ascii="Arial" w:cs="Arial" w:eastAsia="Arial" w:hAnsi="Arial"/>
                  <w:sz w:val="18"/>
                  <w:szCs w:val="18"/>
                  <w:color w:val="0000EE"/>
                  <w:w w:val="99"/>
                </w:rPr>
                <w:t>Consolidated Statements of Cash Flows for the Years Ended December 31, 2015, 2014 and 2013</w:t>
              </w:r>
            </w:hyperlink>
          </w:p>
        </w:tc>
        <w:tc>
          <w:tcPr>
            <w:tcW w:w="25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5"/>
          </w:tcPr>
          <w:p>
            <w:pPr>
              <w:spacing w:after="0"/>
              <w:rPr>
                <w:sz w:val="24"/>
                <w:szCs w:val="24"/>
                <w:color w:val="auto"/>
              </w:rPr>
            </w:pPr>
          </w:p>
        </w:tc>
        <w:tc>
          <w:tcPr>
            <w:tcW w:w="3320" w:type="dxa"/>
            <w:vAlign w:val="bottom"/>
            <w:gridSpan w:val="2"/>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TPG Specialty Lending, Inc. (and subsidiaries) (the Company), including the consolidated schedules of investments, as of December 31, 2015 and 2014, and the related consolidated statements of operations, changes in net assets, and cash flows for each of the years in the three-year period ended December 31, 2015. We also have audited TPG Specialty Lending, Inc.’s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December 31, 2015 and 2014, by correspondence with custodians, or by other appropriate auditing procedures.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balance sheets of TPG Specialty Lending, Inc. (and subsidiaries), including the consolidated schedules of investments, as of December 31, 2015 and 2014, and the related consolidated statements of operations, changes in net assets, and cash flows for each of the years in the three-year period ended December 31, 2015, in conformity with U.S. generally accepted accounting principles. Also in our opinion, TPG Specialty Lending,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$1,443,017</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$1,225,672, respectively)</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1,422,211</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1,221,875</w:t>
            </w:r>
          </w:p>
        </w:tc>
        <w:tc>
          <w:tcPr>
            <w:tcW w:w="120" w:type="dxa"/>
            <w:vAlign w:val="bottom"/>
            <w:shd w:val="clear" w:color="auto" w:fill="CFF0FC"/>
          </w:tcPr>
          <w:p>
            <w:pPr>
              <w:spacing w:after="0"/>
              <w:rPr>
                <w:sz w:val="20"/>
                <w:szCs w:val="20"/>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$86,659 and $47,580,</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41,636</w:t>
            </w:r>
          </w:p>
        </w:tc>
        <w:tc>
          <w:tcPr>
            <w:tcW w:w="120" w:type="dxa"/>
            <w:vAlign w:val="bottom"/>
            <w:tcBorders>
              <w:bottom w:val="single" w:sz="8" w:color="CFF0FC"/>
            </w:tcBorders>
          </w:tcPr>
          <w:p>
            <w:pPr>
              <w:spacing w:after="0"/>
              <w:rPr>
                <w:sz w:val="20"/>
                <w:szCs w:val="20"/>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$1,529,676 and $1,273,252,</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120" w:type="dxa"/>
            <w:vAlign w:val="bottom"/>
            <w:shd w:val="clear" w:color="auto" w:fill="CFF0FC"/>
          </w:tcPr>
          <w:p>
            <w:pPr>
              <w:spacing w:after="0"/>
              <w:rPr>
                <w:sz w:val="20"/>
                <w:szCs w:val="20"/>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6,137</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30,650</w:t>
            </w:r>
          </w:p>
        </w:tc>
        <w:tc>
          <w:tcPr>
            <w:tcW w:w="12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1,516,933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120" w:type="dxa"/>
            <w:vAlign w:val="bottom"/>
            <w:tcBorders>
              <w:bottom w:val="single" w:sz="8" w:color="CFF0FC"/>
            </w:tcBorders>
          </w:tcPr>
          <w:p>
            <w:pPr>
              <w:spacing w:after="0"/>
              <w:rPr>
                <w:sz w:val="22"/>
                <w:szCs w:val="22"/>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652,788</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395,864</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20,981</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29,017</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696,192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468,326</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and outstanding</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54,166,959 and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53,798,357 shares issued, respectively; and 54,163,960 and 53,797,358 shares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FF0FC"/>
          </w:tcPr>
          <w:p>
            <w:pPr>
              <w:spacing w:after="0"/>
              <w:rPr>
                <w:sz w:val="20"/>
                <w:szCs w:val="20"/>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812,586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808,053</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2,999 and 999 shares held, respectively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6,555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(28,380)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Undistributed net realized gains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835,405</w:t>
            </w:r>
          </w:p>
        </w:tc>
        <w:tc>
          <w:tcPr>
            <w:tcW w:w="12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1,516,933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120" w:type="dxa"/>
            <w:vAlign w:val="bottom"/>
            <w:tcBorders>
              <w:bottom w:val="single" w:sz="8" w:color="CFF0FC"/>
            </w:tcBorders>
          </w:tcPr>
          <w:p>
            <w:pPr>
              <w:spacing w:after="0"/>
              <w:rPr>
                <w:sz w:val="22"/>
                <w:szCs w:val="22"/>
                <w:color w:val="auto"/>
              </w:rPr>
            </w:pPr>
          </w:p>
        </w:tc>
      </w:tr>
      <w:tr>
        <w:trPr>
          <w:trHeight w:val="210"/>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December 31, 2015</w:t>
            </w:r>
          </w:p>
        </w:tc>
        <w:tc>
          <w:tcPr>
            <w:tcW w:w="10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December 31, 2014</w:t>
            </w:r>
          </w:p>
        </w:tc>
        <w:tc>
          <w:tcPr>
            <w:tcW w:w="10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2013</w:t>
            </w: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86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157,964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151,020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90,374</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Interest from cash and cash equivalents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09"/>
        </w:trPr>
        <w:tc>
          <w:tcPr>
            <w:tcW w:w="6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6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0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166,537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160,183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92,610</w:t>
            </w:r>
          </w:p>
        </w:tc>
        <w:tc>
          <w:tcPr>
            <w:tcW w:w="100" w:type="dxa"/>
            <w:vAlign w:val="bottom"/>
            <w:shd w:val="clear" w:color="auto" w:fill="CFF0FC"/>
          </w:tcPr>
          <w:p>
            <w:pPr>
              <w:spacing w:after="0"/>
              <w:rPr>
                <w:sz w:val="20"/>
                <w:szCs w:val="20"/>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0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173,415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163,320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92,610</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Interest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10,469</w:t>
            </w: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Incentive fees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17,839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Directors’ fees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FF0FC"/>
          </w:tcPr>
          <w:p>
            <w:pPr>
              <w:spacing w:after="0"/>
              <w:rPr>
                <w:sz w:val="19"/>
                <w:szCs w:val="19"/>
                <w:color w:val="auto"/>
              </w:rPr>
            </w:pPr>
          </w:p>
        </w:tc>
      </w:tr>
      <w:tr>
        <w:trPr>
          <w:trHeight w:val="223"/>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incentive fees waived (Note 3)</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(7,135)</w:t>
            </w:r>
          </w:p>
        </w:tc>
        <w:tc>
          <w:tcPr>
            <w:tcW w:w="100" w:type="dxa"/>
            <w:vAlign w:val="bottom"/>
            <w:shd w:val="clear" w:color="auto" w:fill="CFF0FC"/>
          </w:tcPr>
          <w:p>
            <w:pPr>
              <w:spacing w:after="0"/>
              <w:rPr>
                <w:sz w:val="19"/>
                <w:szCs w:val="19"/>
                <w:color w:val="auto"/>
              </w:rPr>
            </w:pPr>
          </w:p>
        </w:tc>
      </w:tr>
      <w:tr>
        <w:trPr>
          <w:trHeight w:val="223"/>
        </w:trPr>
        <w:tc>
          <w:tcPr>
            <w:tcW w:w="60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Net Expenses</w:t>
            </w:r>
          </w:p>
        </w:tc>
        <w:tc>
          <w:tcPr>
            <w:tcW w:w="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105,619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57,700</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 including excise taxes</w:t>
            </w:r>
          </w:p>
        </w:tc>
        <w:tc>
          <w:tcPr>
            <w:tcW w:w="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Income</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104,475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57,501</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(17,008)</w:t>
            </w:r>
          </w:p>
        </w:tc>
        <w:tc>
          <w:tcPr>
            <w:tcW w:w="1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(22,950)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(17,217)</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(5,945)</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Translation of assets and liabilities in foreign currencies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r>
      <w:tr>
        <w:trPr>
          <w:trHeight w:val="223"/>
        </w:trPr>
        <w:tc>
          <w:tcPr>
            <w:tcW w:w="60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 (losses)</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Realized gains (losses):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transactions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3"/>
        </w:trPr>
        <w:tc>
          <w:tcPr>
            <w:tcW w:w="60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realized gains (losses)</w:t>
            </w:r>
          </w:p>
        </w:tc>
        <w:tc>
          <w:tcPr>
            <w:tcW w:w="6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(19,425)</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9,482</w:t>
            </w:r>
          </w:p>
        </w:tc>
        <w:tc>
          <w:tcPr>
            <w:tcW w:w="100" w:type="dxa"/>
            <w:vAlign w:val="bottom"/>
            <w:shd w:val="clear" w:color="auto" w:fill="CFF0FC"/>
          </w:tcPr>
          <w:p>
            <w:pPr>
              <w:spacing w:after="0"/>
              <w:rPr>
                <w:sz w:val="19"/>
                <w:szCs w:val="19"/>
                <w:color w:val="auto"/>
              </w:rPr>
            </w:pPr>
          </w:p>
        </w:tc>
      </w:tr>
      <w:tr>
        <w:trPr>
          <w:trHeight w:val="263"/>
        </w:trPr>
        <w:tc>
          <w:tcPr>
            <w:tcW w:w="60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6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63,568</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85,050</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66,983</w:t>
            </w:r>
          </w:p>
        </w:tc>
        <w:tc>
          <w:tcPr>
            <w:tcW w:w="100" w:type="dxa"/>
            <w:vAlign w:val="bottom"/>
            <w:tcBorders>
              <w:bottom w:val="single" w:sz="8" w:color="CFF0FC"/>
            </w:tcBorders>
          </w:tcPr>
          <w:p>
            <w:pPr>
              <w:spacing w:after="0"/>
              <w:rPr>
                <w:sz w:val="22"/>
                <w:szCs w:val="22"/>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6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54,006,322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50,509,692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34,635,208</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20" w:type="dxa"/>
            <w:vAlign w:val="bottom"/>
          </w:tcPr>
          <w:p>
            <w:pPr>
              <w:spacing w:after="0"/>
              <w:rPr>
                <w:sz w:val="16"/>
                <w:szCs w:val="16"/>
                <w:color w:val="auto"/>
              </w:rPr>
            </w:pPr>
          </w:p>
        </w:tc>
      </w:tr>
      <w:tr>
        <w:trPr>
          <w:trHeight w:val="228"/>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20" w:type="dxa"/>
            <w:vAlign w:val="bottom"/>
          </w:tcPr>
          <w:p>
            <w:pPr>
              <w:ind w:left="86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20" w:type="dxa"/>
            <w:vAlign w:val="bottom"/>
          </w:tcPr>
          <w:p>
            <w:pPr>
              <w:spacing w:after="0"/>
              <w:rPr>
                <w:sz w:val="19"/>
                <w:szCs w:val="19"/>
                <w:color w:val="auto"/>
              </w:rPr>
            </w:pPr>
          </w:p>
        </w:tc>
      </w:tr>
      <w:tr>
        <w:trPr>
          <w:trHeight w:val="223"/>
        </w:trPr>
        <w:tc>
          <w:tcPr>
            <w:tcW w:w="3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 Holdings,</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($31,271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6/2017)</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r>
      <w:tr>
        <w:trPr>
          <w:trHeight w:val="215"/>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First-lien revolving loan</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($2,722 par, due 6/2017)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10.75%</w:t>
            </w:r>
          </w:p>
        </w:tc>
        <w:tc>
          <w:tcPr>
            <w:tcW w:w="960" w:type="dxa"/>
            <w:vAlign w:val="bottom"/>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23"/>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($63,660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3/2020)</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($59,915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4/2018)</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420" w:type="dxa"/>
            <w:vAlign w:val="bottom"/>
          </w:tcPr>
          <w:p>
            <w:pPr>
              <w:spacing w:after="0"/>
              <w:rPr>
                <w:sz w:val="20"/>
                <w:szCs w:val="20"/>
                <w:color w:val="auto"/>
              </w:rPr>
            </w:pPr>
            <w:r>
              <w:rPr>
                <w:rFonts w:ascii="Arial" w:cs="Arial" w:eastAsia="Arial" w:hAnsi="Arial"/>
                <w:sz w:val="18"/>
                <w:szCs w:val="18"/>
                <w:color w:val="auto"/>
              </w:rPr>
              <w:t>First-lien loan ($45,000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11/2020)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8.50%</w:t>
            </w:r>
          </w:p>
        </w:tc>
        <w:tc>
          <w:tcPr>
            <w:tcW w:w="960" w:type="dxa"/>
            <w:vAlign w:val="bottom"/>
          </w:tcPr>
          <w:p>
            <w:pPr>
              <w:jc w:val="right"/>
              <w:spacing w:after="0"/>
              <w:rPr>
                <w:sz w:val="20"/>
                <w:szCs w:val="20"/>
                <w:color w:val="auto"/>
              </w:rPr>
            </w:pPr>
            <w:r>
              <w:rPr>
                <w:rFonts w:ascii="Arial" w:cs="Arial" w:eastAsia="Arial" w:hAnsi="Arial"/>
                <w:sz w:val="18"/>
                <w:szCs w:val="18"/>
                <w:color w:val="auto"/>
              </w:rPr>
              <w:t>11/12/2015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43,763</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($22,388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4/2019)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($62,500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4/2021)</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6.50%</w:t>
            </w:r>
          </w:p>
        </w:tc>
        <w:tc>
          <w:tcPr>
            <w:tcW w:w="960" w:type="dxa"/>
            <w:vAlign w:val="bottom"/>
          </w:tcPr>
          <w:p>
            <w:pPr>
              <w:jc w:val="right"/>
              <w:spacing w:after="0"/>
              <w:rPr>
                <w:sz w:val="20"/>
                <w:szCs w:val="20"/>
                <w:color w:val="auto"/>
              </w:rPr>
            </w:pPr>
            <w:r>
              <w:rPr>
                <w:rFonts w:ascii="Arial" w:cs="Arial" w:eastAsia="Arial" w:hAnsi="Arial"/>
                <w:sz w:val="18"/>
                <w:szCs w:val="18"/>
                <w:color w:val="auto"/>
              </w:rPr>
              <w:t>10/9/2015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55,937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4"/>
              </w:rPr>
              <w:t>First-lien loan ($28,565 par, due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6/2019)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27,877</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($25,782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9/2018)</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7.75%</w:t>
            </w:r>
          </w:p>
        </w:tc>
        <w:tc>
          <w:tcPr>
            <w:tcW w:w="960" w:type="dxa"/>
            <w:vAlign w:val="bottom"/>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25,981</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($18,857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12/2019)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256,124</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r>
      <w:tr>
        <w:trPr>
          <w:trHeight w:val="223"/>
        </w:trPr>
        <w:tc>
          <w:tcPr>
            <w:tcW w:w="31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($10,839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10/2019)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10.50%</w:t>
            </w:r>
          </w:p>
        </w:tc>
        <w:tc>
          <w:tcPr>
            <w:tcW w:w="960" w:type="dxa"/>
            <w:vAlign w:val="bottom"/>
          </w:tcPr>
          <w:p>
            <w:pPr>
              <w:jc w:val="right"/>
              <w:spacing w:after="0"/>
              <w:rPr>
                <w:sz w:val="20"/>
                <w:szCs w:val="20"/>
                <w:color w:val="auto"/>
              </w:rPr>
            </w:pPr>
            <w:r>
              <w:rPr>
                <w:rFonts w:ascii="Arial" w:cs="Arial" w:eastAsia="Arial" w:hAnsi="Arial"/>
                <w:sz w:val="18"/>
                <w:szCs w:val="18"/>
                <w:color w:val="auto"/>
              </w:rPr>
              <w:t>10/31/2014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7,804</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30"/>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Education</w:t>
            </w: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(3)(5)</w:t>
            </w:r>
          </w:p>
        </w:tc>
        <w:tc>
          <w:tcPr>
            <w:tcW w:w="2420" w:type="dxa"/>
            <w:vAlign w:val="bottom"/>
          </w:tcPr>
          <w:p>
            <w:pPr>
              <w:spacing w:after="0"/>
              <w:rPr>
                <w:sz w:val="20"/>
                <w:szCs w:val="20"/>
                <w:color w:val="auto"/>
              </w:rPr>
            </w:pPr>
            <w:r>
              <w:rPr>
                <w:rFonts w:ascii="Arial" w:cs="Arial" w:eastAsia="Arial" w:hAnsi="Arial"/>
                <w:sz w:val="18"/>
                <w:szCs w:val="18"/>
                <w:color w:val="auto"/>
              </w:rPr>
              <w:t>First-lien loan ($26,277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9/2018)</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tcPr>
          <w:p>
            <w:pPr>
              <w:jc w:val="right"/>
              <w:spacing w:after="0"/>
              <w:rPr>
                <w:sz w:val="20"/>
                <w:szCs w:val="20"/>
                <w:color w:val="auto"/>
              </w:rPr>
            </w:pPr>
            <w:r>
              <w:rPr>
                <w:rFonts w:ascii="Arial" w:cs="Arial" w:eastAsia="Arial" w:hAnsi="Arial"/>
                <w:sz w:val="18"/>
                <w:szCs w:val="18"/>
                <w:color w:val="auto"/>
              </w:rPr>
              <w:t>9/30/2013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26,277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30"/>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Electronics</w:t>
            </w: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($62,371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61,887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APX Group Inc.</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Senior notes 8.75% ($24,818</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par, due 12/2020)</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82,052</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3"/>
        </w:trPr>
        <w:tc>
          <w:tcPr>
            <w:tcW w:w="31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w w:val="94"/>
              </w:rPr>
              <w:t>First-lien loan ($23,400 par, due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8/2020)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22,765</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7"/>
              </w:rPr>
              <w:t>Second-lien loan ($31,897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8/2020)</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10.50%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($33,639 par,</w:t>
            </w:r>
          </w:p>
        </w:tc>
        <w:tc>
          <w:tcPr>
            <w:tcW w:w="1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10.00% (incl.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3/2020)</w:t>
            </w:r>
          </w:p>
        </w:tc>
        <w:tc>
          <w:tcPr>
            <w:tcW w:w="1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6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32,980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32,769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r>
      <w:tr>
        <w:trPr>
          <w:trHeight w:val="223"/>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Healthcare</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(3)(5)</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($33,250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5/2019)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7.00%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33,918</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80" w:type="dxa"/>
            <w:vAlign w:val="bottom"/>
            <w:gridSpan w:val="3"/>
          </w:tcPr>
          <w:p>
            <w:pPr>
              <w:jc w:val="right"/>
              <w:ind w:right="1280"/>
              <w:spacing w:after="0"/>
              <w:rPr>
                <w:sz w:val="20"/>
                <w:szCs w:val="20"/>
                <w:color w:val="auto"/>
              </w:rPr>
            </w:pPr>
            <w:r>
              <w:rPr>
                <w:rFonts w:ascii="Arial" w:cs="Arial" w:eastAsia="Arial" w:hAnsi="Arial"/>
                <w:sz w:val="18"/>
                <w:szCs w:val="18"/>
                <w:color w:val="auto"/>
              </w:rPr>
              <w:t>F-5</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tcPr>
          <w:p>
            <w:pPr>
              <w:jc w:val="right"/>
              <w:ind w:right="31"/>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20" w:type="dxa"/>
            <w:vAlign w:val="bottom"/>
            <w:gridSpan w:val="2"/>
          </w:tcPr>
          <w:p>
            <w:pPr>
              <w:ind w:left="820"/>
              <w:spacing w:after="0"/>
              <w:rPr>
                <w:sz w:val="20"/>
                <w:szCs w:val="20"/>
                <w:color w:val="auto"/>
              </w:rPr>
            </w:pPr>
            <w:r>
              <w:rPr>
                <w:rFonts w:ascii="Arial" w:cs="Arial" w:eastAsia="Arial" w:hAnsi="Arial"/>
                <w:sz w:val="14"/>
                <w:szCs w:val="14"/>
                <w:b w:val="1"/>
                <w:bCs w:val="1"/>
                <w:color w:val="auto"/>
              </w:rPr>
              <w:t>Investment</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Pr>
          <w:p>
            <w:pPr>
              <w:jc w:val="right"/>
              <w:ind w:right="7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100" w:type="dxa"/>
            <w:vAlign w:val="bottom"/>
          </w:tcPr>
          <w:p>
            <w:pPr>
              <w:spacing w:after="0"/>
              <w:rPr>
                <w:sz w:val="18"/>
                <w:szCs w:val="18"/>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First-lien loan (EUR 35,912</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40,572</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par, due 9/2019)</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960" w:type="dxa"/>
            <w:vAlign w:val="bottom"/>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42,402</w:t>
            </w: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(EUR 37,349)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revolving loan</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(EUR 300 par, due 9/2019)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(EUR 400)</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($45,000 par,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due 12/2021)</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960" w:type="dxa"/>
            <w:vAlign w:val="bottom"/>
          </w:tcPr>
          <w:p>
            <w:pPr>
              <w:jc w:val="right"/>
              <w:spacing w:after="0"/>
              <w:rPr>
                <w:sz w:val="20"/>
                <w:szCs w:val="20"/>
                <w:color w:val="auto"/>
              </w:rPr>
            </w:pPr>
            <w:r>
              <w:rPr>
                <w:rFonts w:ascii="Arial" w:cs="Arial" w:eastAsia="Arial" w:hAnsi="Arial"/>
                <w:sz w:val="18"/>
                <w:szCs w:val="18"/>
                <w:color w:val="auto"/>
              </w:rPr>
              <w:t>12/17/2015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44,100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($45,411 par,</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9.00% (incl.</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9/2020)</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Mediware Information Systems,</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($67,574 par,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1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(3)(5)</w:t>
            </w:r>
          </w:p>
        </w:tc>
        <w:tc>
          <w:tcPr>
            <w:tcW w:w="24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960" w:type="dxa"/>
            <w:vAlign w:val="bottom"/>
          </w:tcPr>
          <w:p>
            <w:pPr>
              <w:jc w:val="right"/>
              <w:spacing w:after="0"/>
              <w:rPr>
                <w:sz w:val="20"/>
                <w:szCs w:val="20"/>
                <w:color w:val="auto"/>
              </w:rPr>
            </w:pPr>
            <w:r>
              <w:rPr>
                <w:rFonts w:ascii="Arial" w:cs="Arial" w:eastAsia="Arial" w:hAnsi="Arial"/>
                <w:sz w:val="18"/>
                <w:szCs w:val="18"/>
                <w:color w:val="auto"/>
              </w:rPr>
              <w:t>11/9/2012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68,250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($31,875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12/2017)</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31,477</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($2,000 par, due 12/2017)</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960" w:type="dxa"/>
            <w:vAlign w:val="bottom"/>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263,655</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264,398</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rPr>
              <w:t>Hotel, gaming, and leisure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($25,452 par,</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9.00% (incl.</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4/2020)</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($20,260 par,</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10.10% (incl.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due 9/2019)</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5.00% PIK)</w:t>
            </w:r>
          </w:p>
        </w:tc>
        <w:tc>
          <w:tcPr>
            <w:tcW w:w="96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19,500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First-lien revolver loan ($7,448</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10.10% (incl.</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9/2019)</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5.00%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7,169</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2420" w:type="dxa"/>
            <w:vAlign w:val="bottom"/>
            <w:gridSpan w:val="2"/>
          </w:tcPr>
          <w:p>
            <w:pPr>
              <w:spacing w:after="0"/>
              <w:rPr>
                <w:sz w:val="20"/>
                <w:szCs w:val="20"/>
                <w:color w:val="auto"/>
              </w:rPr>
            </w:pPr>
            <w:r>
              <w:rPr>
                <w:rFonts w:ascii="Arial" w:cs="Arial" w:eastAsia="Arial" w:hAnsi="Arial"/>
                <w:sz w:val="18"/>
                <w:szCs w:val="18"/>
                <w:color w:val="auto"/>
                <w:w w:val="96"/>
              </w:rPr>
              <w:t>Second-lien bond (GBP 20,375</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30,781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par, due 10/2018)</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960" w:type="dxa"/>
            <w:vAlign w:val="bottom"/>
          </w:tcPr>
          <w:p>
            <w:pPr>
              <w:jc w:val="right"/>
              <w:spacing w:after="0"/>
              <w:rPr>
                <w:sz w:val="20"/>
                <w:szCs w:val="20"/>
                <w:color w:val="auto"/>
              </w:rPr>
            </w:pPr>
            <w:r>
              <w:rPr>
                <w:rFonts w:ascii="Arial" w:cs="Arial" w:eastAsia="Arial" w:hAnsi="Arial"/>
                <w:sz w:val="18"/>
                <w:szCs w:val="18"/>
                <w:color w:val="auto"/>
              </w:rPr>
              <w:t>9/20/2013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6"/>
              </w:rPr>
              <w:t>(GBP 20,884)</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85,636</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gridSpan w:val="2"/>
          </w:tcPr>
          <w:p>
            <w:pPr>
              <w:ind w:left="24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2"/>
          </w:tcPr>
          <w:p>
            <w:pPr>
              <w:ind w:left="360"/>
              <w:spacing w:after="0"/>
              <w:rPr>
                <w:sz w:val="20"/>
                <w:szCs w:val="20"/>
                <w:color w:val="auto"/>
              </w:rPr>
            </w:pPr>
            <w:r>
              <w:rPr>
                <w:rFonts w:ascii="Arial" w:cs="Arial" w:eastAsia="Arial" w:hAnsi="Arial"/>
                <w:sz w:val="18"/>
                <w:szCs w:val="18"/>
                <w:b w:val="1"/>
                <w:bCs w:val="1"/>
                <w:color w:val="auto"/>
              </w:rPr>
              <w:t>Services</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($54,725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3/2021)</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53,767</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($500 par,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960" w:type="dxa"/>
            <w:vAlign w:val="bottom"/>
          </w:tcPr>
          <w:p>
            <w:pPr>
              <w:jc w:val="right"/>
              <w:spacing w:after="0"/>
              <w:rPr>
                <w:sz w:val="20"/>
                <w:szCs w:val="20"/>
                <w:color w:val="auto"/>
              </w:rPr>
            </w:pPr>
            <w:r>
              <w:rPr>
                <w:rFonts w:ascii="Arial" w:cs="Arial" w:eastAsia="Arial" w:hAnsi="Arial"/>
                <w:sz w:val="18"/>
                <w:szCs w:val="18"/>
                <w:color w:val="auto"/>
              </w:rPr>
              <w:t>11/5/2015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54,579</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rPr>
              <w:t>Insurance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($65,452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10/2020)</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63,980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Internet Services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($50,987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7/2018)</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50,095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($2,800 par, due 7/2018)</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53,249</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52,843</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rPr>
              <w:t>Manufacturing</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Jeeves Information Systems</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(SEK 192,573</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23,470</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(3)(4)(5)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3/2019)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6/5/2013</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29,289</w:t>
            </w:r>
          </w:p>
        </w:tc>
        <w:tc>
          <w:tcPr>
            <w:tcW w:w="152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(SEK 197,869)</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rPr>
              <w:t>Office products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($36,811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36,579</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36,370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rPr>
              <w:t>Oil, gas and consumable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2"/>
          </w:tcPr>
          <w:p>
            <w:pPr>
              <w:ind w:left="360"/>
              <w:spacing w:after="0"/>
              <w:rPr>
                <w:sz w:val="20"/>
                <w:szCs w:val="20"/>
                <w:color w:val="auto"/>
              </w:rPr>
            </w:pPr>
            <w:r>
              <w:rPr>
                <w:rFonts w:ascii="Arial" w:cs="Arial" w:eastAsia="Arial" w:hAnsi="Arial"/>
                <w:sz w:val="18"/>
                <w:szCs w:val="18"/>
                <w:b w:val="1"/>
                <w:bCs w:val="1"/>
                <w:color w:val="auto"/>
              </w:rPr>
              <w:t>fuels</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($13,504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6/2020)</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1080"/>
              <w:spacing w:after="0"/>
              <w:rPr>
                <w:sz w:val="20"/>
                <w:szCs w:val="20"/>
                <w:color w:val="auto"/>
              </w:rPr>
            </w:pPr>
            <w:r>
              <w:rPr>
                <w:rFonts w:ascii="Arial" w:cs="Arial" w:eastAsia="Arial" w:hAnsi="Arial"/>
                <w:sz w:val="18"/>
                <w:szCs w:val="18"/>
                <w:color w:val="auto"/>
              </w:rPr>
              <w:t>F-6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20" w:type="dxa"/>
            <w:vAlign w:val="bottom"/>
          </w:tcPr>
          <w:p>
            <w:pPr>
              <w:spacing w:after="0"/>
              <w:rPr>
                <w:sz w:val="16"/>
                <w:szCs w:val="16"/>
                <w:color w:val="auto"/>
              </w:rPr>
            </w:pPr>
          </w:p>
        </w:tc>
      </w:tr>
      <w:tr>
        <w:trPr>
          <w:trHeight w:val="228"/>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00" w:type="dxa"/>
            <w:vAlign w:val="bottom"/>
          </w:tcPr>
          <w:p>
            <w:pPr>
              <w:ind w:left="84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10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First-lien loan ($46,679 par,</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 (incl.</w:t>
            </w: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due 6/2018)</w:t>
            </w:r>
          </w:p>
        </w:tc>
        <w:tc>
          <w:tcPr>
            <w:tcW w:w="1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1.50% PIK)</w:t>
            </w:r>
          </w:p>
        </w:tc>
        <w:tc>
          <w:tcPr>
            <w:tcW w:w="960" w:type="dxa"/>
            <w:vAlign w:val="bottom"/>
          </w:tcPr>
          <w:p>
            <w:pPr>
              <w:jc w:val="right"/>
              <w:spacing w:after="0"/>
              <w:rPr>
                <w:sz w:val="20"/>
                <w:szCs w:val="20"/>
                <w:color w:val="auto"/>
              </w:rPr>
            </w:pPr>
            <w:r>
              <w:rPr>
                <w:rFonts w:ascii="Arial" w:cs="Arial" w:eastAsia="Arial" w:hAnsi="Arial"/>
                <w:sz w:val="18"/>
                <w:szCs w:val="18"/>
                <w:color w:val="auto"/>
              </w:rPr>
              <w:t>6/4/2014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46,081</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36,682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b w:val="1"/>
                <w:bCs w:val="1"/>
                <w:color w:val="auto"/>
              </w:rPr>
              <w:t>Pharmaceuticals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w w:val="93"/>
              </w:rPr>
              <w:t>Secured note ($74,950 par, due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10/2020)</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74,005</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73,076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b w:val="1"/>
                <w:bCs w:val="1"/>
                <w:color w:val="auto"/>
              </w:rPr>
              <w:t>Real Estate</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JL Secured Promissory Note </w:t>
            </w:r>
            <w:r>
              <w:rPr>
                <w:rFonts w:ascii="Arial" w:cs="Arial" w:eastAsia="Arial" w:hAnsi="Arial"/>
                <w:sz w:val="15"/>
                <w:szCs w:val="15"/>
                <w:color w:val="auto"/>
              </w:rPr>
              <w:t>(4)</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w w:val="93"/>
              </w:rPr>
              <w:t>Secured note ($10,224 par, due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9/2017)</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7.00%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080" w:type="dxa"/>
            <w:vAlign w:val="bottom"/>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Retail and consumer</w:t>
            </w: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FF0FC"/>
          </w:tcPr>
          <w:p>
            <w:pPr>
              <w:ind w:left="360"/>
              <w:spacing w:after="0"/>
              <w:rPr>
                <w:sz w:val="20"/>
                <w:szCs w:val="20"/>
                <w:color w:val="auto"/>
              </w:rPr>
            </w:pPr>
            <w:r>
              <w:rPr>
                <w:rFonts w:ascii="Arial" w:cs="Arial" w:eastAsia="Arial" w:hAnsi="Arial"/>
                <w:sz w:val="18"/>
                <w:szCs w:val="18"/>
                <w:b w:val="1"/>
                <w:bCs w:val="1"/>
                <w:color w:val="auto"/>
              </w:rPr>
              <w:t>products</w:t>
            </w:r>
          </w:p>
        </w:tc>
        <w:tc>
          <w:tcPr>
            <w:tcW w:w="2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American Achievement</w:t>
            </w:r>
          </w:p>
        </w:tc>
        <w:tc>
          <w:tcPr>
            <w:tcW w:w="2400" w:type="dxa"/>
            <w:vAlign w:val="bottom"/>
          </w:tcPr>
          <w:p>
            <w:pPr>
              <w:spacing w:after="0"/>
              <w:rPr>
                <w:sz w:val="20"/>
                <w:szCs w:val="20"/>
                <w:color w:val="auto"/>
              </w:rPr>
            </w:pPr>
            <w:r>
              <w:rPr>
                <w:rFonts w:ascii="Arial" w:cs="Arial" w:eastAsia="Arial" w:hAnsi="Arial"/>
                <w:sz w:val="18"/>
                <w:szCs w:val="18"/>
                <w:color w:val="auto"/>
                <w:w w:val="93"/>
              </w:rPr>
              <w:t>First-lien loan ($25,000 par, due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400" w:type="dxa"/>
            <w:vAlign w:val="bottom"/>
          </w:tcPr>
          <w:p>
            <w:pPr>
              <w:spacing w:after="0"/>
              <w:rPr>
                <w:sz w:val="20"/>
                <w:szCs w:val="20"/>
                <w:color w:val="auto"/>
              </w:rPr>
            </w:pPr>
            <w:r>
              <w:rPr>
                <w:rFonts w:ascii="Arial" w:cs="Arial" w:eastAsia="Arial" w:hAnsi="Arial"/>
                <w:sz w:val="18"/>
                <w:szCs w:val="18"/>
                <w:color w:val="auto"/>
              </w:rPr>
              <w:t>9/2020)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8.25%</w:t>
            </w:r>
          </w:p>
        </w:tc>
        <w:tc>
          <w:tcPr>
            <w:tcW w:w="960" w:type="dxa"/>
            <w:vAlign w:val="bottom"/>
          </w:tcPr>
          <w:p>
            <w:pPr>
              <w:jc w:val="right"/>
              <w:spacing w:after="0"/>
              <w:rPr>
                <w:sz w:val="20"/>
                <w:szCs w:val="20"/>
                <w:color w:val="auto"/>
              </w:rPr>
            </w:pPr>
            <w:r>
              <w:rPr>
                <w:rFonts w:ascii="Arial" w:cs="Arial" w:eastAsia="Arial" w:hAnsi="Arial"/>
                <w:sz w:val="18"/>
                <w:szCs w:val="18"/>
                <w:color w:val="auto"/>
              </w:rPr>
              <w:t>9/30/2015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24,664</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24,563</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Quiksilver - Boardriders SA</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Bond (EUR 7,599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12/2017)</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8.88%</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1"/>
              </w:rPr>
              <w:t>(EUR 7,181)</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(4)(6)</w:t>
            </w:r>
          </w:p>
        </w:tc>
        <w:tc>
          <w:tcPr>
            <w:tcW w:w="2400" w:type="dxa"/>
            <w:vAlign w:val="bottom"/>
          </w:tcPr>
          <w:p>
            <w:pPr>
              <w:spacing w:after="0"/>
              <w:rPr>
                <w:sz w:val="20"/>
                <w:szCs w:val="20"/>
                <w:color w:val="auto"/>
              </w:rPr>
            </w:pPr>
            <w:r>
              <w:rPr>
                <w:rFonts w:ascii="Arial" w:cs="Arial" w:eastAsia="Arial" w:hAnsi="Arial"/>
                <w:sz w:val="18"/>
                <w:szCs w:val="18"/>
                <w:color w:val="auto"/>
              </w:rPr>
              <w:t>First-lien ABL revolving loan</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($303 par, due 4/2016)</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2.84%</w:t>
            </w:r>
          </w:p>
        </w:tc>
        <w:tc>
          <w:tcPr>
            <w:tcW w:w="960" w:type="dxa"/>
            <w:vAlign w:val="bottom"/>
          </w:tcPr>
          <w:p>
            <w:pPr>
              <w:jc w:val="right"/>
              <w:spacing w:after="0"/>
              <w:rPr>
                <w:sz w:val="20"/>
                <w:szCs w:val="20"/>
                <w:color w:val="auto"/>
              </w:rPr>
            </w:pPr>
            <w:r>
              <w:rPr>
                <w:rFonts w:ascii="Arial" w:cs="Arial" w:eastAsia="Arial" w:hAnsi="Arial"/>
                <w:sz w:val="18"/>
                <w:szCs w:val="18"/>
                <w:color w:val="auto"/>
              </w:rPr>
              <w:t>4/15/2015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Sports Authority </w:t>
            </w:r>
            <w:r>
              <w:rPr>
                <w:rFonts w:ascii="Arial" w:cs="Arial" w:eastAsia="Arial" w:hAnsi="Arial"/>
                <w:sz w:val="15"/>
                <w:szCs w:val="15"/>
                <w:color w:val="auto"/>
              </w:rPr>
              <w:t>(3)(5)</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($45,000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6/2017)</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7.40%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44,249</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400" w:type="dxa"/>
            <w:vAlign w:val="bottom"/>
          </w:tcPr>
          <w:p>
            <w:pPr>
              <w:spacing w:after="0"/>
              <w:rPr>
                <w:sz w:val="20"/>
                <w:szCs w:val="20"/>
                <w:color w:val="auto"/>
              </w:rPr>
            </w:pPr>
            <w:r>
              <w:rPr>
                <w:rFonts w:ascii="Arial" w:cs="Arial" w:eastAsia="Arial" w:hAnsi="Arial"/>
                <w:sz w:val="18"/>
                <w:szCs w:val="18"/>
                <w:color w:val="auto"/>
              </w:rPr>
              <w:t>First-lien loan ($51,000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due 10/2019)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8.25%</w:t>
            </w:r>
          </w:p>
        </w:tc>
        <w:tc>
          <w:tcPr>
            <w:tcW w:w="960" w:type="dxa"/>
            <w:vAlign w:val="bottom"/>
          </w:tcPr>
          <w:p>
            <w:pPr>
              <w:jc w:val="right"/>
              <w:spacing w:after="0"/>
              <w:rPr>
                <w:sz w:val="20"/>
                <w:szCs w:val="20"/>
                <w:color w:val="auto"/>
              </w:rPr>
            </w:pPr>
            <w:r>
              <w:rPr>
                <w:rFonts w:ascii="Arial" w:cs="Arial" w:eastAsia="Arial" w:hAnsi="Arial"/>
                <w:sz w:val="18"/>
                <w:szCs w:val="18"/>
                <w:color w:val="auto"/>
              </w:rPr>
              <w:t>10/10/2014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50,313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49,470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127,404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125,853</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b w:val="1"/>
                <w:bCs w:val="1"/>
                <w:color w:val="auto"/>
              </w:rPr>
              <w:t>Transportation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($13,441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1/2019)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(3)(4)</w:t>
            </w:r>
          </w:p>
        </w:tc>
        <w:tc>
          <w:tcPr>
            <w:tcW w:w="2400" w:type="dxa"/>
            <w:vAlign w:val="bottom"/>
          </w:tcPr>
          <w:p>
            <w:pPr>
              <w:spacing w:after="0"/>
              <w:rPr>
                <w:sz w:val="20"/>
                <w:szCs w:val="20"/>
                <w:color w:val="auto"/>
              </w:rPr>
            </w:pPr>
            <w:r>
              <w:rPr>
                <w:rFonts w:ascii="Arial" w:cs="Arial" w:eastAsia="Arial" w:hAnsi="Arial"/>
                <w:sz w:val="18"/>
                <w:szCs w:val="18"/>
                <w:color w:val="auto"/>
                <w:w w:val="96"/>
              </w:rPr>
              <w:t>Second-lien loan ($62,500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due 10/2019)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9.50%</w:t>
            </w:r>
          </w:p>
        </w:tc>
        <w:tc>
          <w:tcPr>
            <w:tcW w:w="960" w:type="dxa"/>
            <w:vAlign w:val="bottom"/>
          </w:tcPr>
          <w:p>
            <w:pPr>
              <w:jc w:val="right"/>
              <w:spacing w:after="0"/>
              <w:rPr>
                <w:sz w:val="20"/>
                <w:szCs w:val="20"/>
                <w:color w:val="auto"/>
              </w:rPr>
            </w:pPr>
            <w:r>
              <w:rPr>
                <w:rFonts w:ascii="Arial" w:cs="Arial" w:eastAsia="Arial" w:hAnsi="Arial"/>
                <w:sz w:val="18"/>
                <w:szCs w:val="18"/>
                <w:color w:val="auto"/>
              </w:rPr>
              <w:t>10/2/2013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61,614</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59,531</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74,245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 Investments</w:t>
            </w: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1,488,879</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1,459,372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19"/>
                <w:szCs w:val="19"/>
                <w:color w:val="auto"/>
              </w:rPr>
            </w:pPr>
          </w:p>
        </w:tc>
      </w:tr>
      <w:tr>
        <w:trPr>
          <w:trHeight w:val="223"/>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Equity and Other Investments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Business services</w:t>
            </w: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2400" w:type="dxa"/>
            <w:vAlign w:val="bottom"/>
          </w:tcPr>
          <w:p>
            <w:pPr>
              <w:spacing w:after="0"/>
              <w:rPr>
                <w:sz w:val="20"/>
                <w:szCs w:val="20"/>
                <w:color w:val="auto"/>
              </w:rPr>
            </w:pPr>
            <w:r>
              <w:rPr>
                <w:rFonts w:ascii="Arial" w:cs="Arial" w:eastAsia="Arial" w:hAnsi="Arial"/>
                <w:sz w:val="18"/>
                <w:szCs w:val="18"/>
                <w:color w:val="auto"/>
              </w:rPr>
              <w:t>Non-Voting Preferred Units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(774,099 units)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Financial Services</w:t>
            </w: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AvidXchange, Inc.</w:t>
            </w:r>
          </w:p>
        </w:tc>
        <w:tc>
          <w:tcPr>
            <w:tcW w:w="2400" w:type="dxa"/>
            <w:vAlign w:val="bottom"/>
          </w:tcPr>
          <w:p>
            <w:pPr>
              <w:spacing w:after="0"/>
              <w:rPr>
                <w:sz w:val="20"/>
                <w:szCs w:val="20"/>
                <w:color w:val="auto"/>
              </w:rPr>
            </w:pPr>
            <w:r>
              <w:rPr>
                <w:rFonts w:ascii="Arial" w:cs="Arial" w:eastAsia="Arial" w:hAnsi="Arial"/>
                <w:sz w:val="18"/>
                <w:szCs w:val="18"/>
                <w:color w:val="auto"/>
              </w:rPr>
              <w:t>Series E Preferred Equity</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(214,132 shares)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Common Shares (1,633,660</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13,779</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3080" w:type="dxa"/>
            <w:vAlign w:val="bottom"/>
            <w:tcBorders>
              <w:top w:val="single" w:sz="8" w:color="CFF0FC"/>
            </w:tcBorders>
            <w:gridSpan w:val="2"/>
            <w:shd w:val="clear" w:color="auto" w:fill="CFF0FC"/>
          </w:tcPr>
          <w:p>
            <w:pPr>
              <w:ind w:left="240"/>
              <w:spacing w:after="0" w:line="205" w:lineRule="exact"/>
              <w:rPr>
                <w:sz w:val="20"/>
                <w:szCs w:val="20"/>
                <w:color w:val="auto"/>
              </w:rPr>
            </w:pPr>
            <w:r>
              <w:rPr>
                <w:rFonts w:ascii="Arial" w:cs="Arial" w:eastAsia="Arial" w:hAnsi="Arial"/>
                <w:sz w:val="18"/>
                <w:szCs w:val="18"/>
                <w:b w:val="1"/>
                <w:bCs w:val="1"/>
                <w:color w:val="auto"/>
              </w:rPr>
              <w:t>Healthcare and</w:t>
            </w:r>
          </w:p>
        </w:tc>
        <w:tc>
          <w:tcPr>
            <w:tcW w:w="24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FF0FC"/>
          </w:tcPr>
          <w:p>
            <w:pPr>
              <w:ind w:left="360"/>
              <w:spacing w:after="0"/>
              <w:rPr>
                <w:sz w:val="20"/>
                <w:szCs w:val="20"/>
                <w:color w:val="auto"/>
              </w:rPr>
            </w:pPr>
            <w:r>
              <w:rPr>
                <w:rFonts w:ascii="Arial" w:cs="Arial" w:eastAsia="Arial" w:hAnsi="Arial"/>
                <w:sz w:val="18"/>
                <w:szCs w:val="18"/>
                <w:b w:val="1"/>
                <w:bCs w:val="1"/>
                <w:color w:val="auto"/>
              </w:rPr>
              <w:t>pharmaceuticals</w:t>
            </w:r>
          </w:p>
        </w:tc>
        <w:tc>
          <w:tcPr>
            <w:tcW w:w="2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Global Healthcare Exchange,</w:t>
            </w:r>
          </w:p>
        </w:tc>
        <w:tc>
          <w:tcPr>
            <w:tcW w:w="2400" w:type="dxa"/>
            <w:vAlign w:val="bottom"/>
          </w:tcPr>
          <w:p>
            <w:pPr>
              <w:spacing w:after="0"/>
              <w:rPr>
                <w:sz w:val="20"/>
                <w:szCs w:val="20"/>
                <w:color w:val="auto"/>
              </w:rPr>
            </w:pPr>
            <w:r>
              <w:rPr>
                <w:rFonts w:ascii="Arial" w:cs="Arial" w:eastAsia="Arial" w:hAnsi="Arial"/>
                <w:sz w:val="18"/>
                <w:szCs w:val="18"/>
                <w:color w:val="auto"/>
                <w:w w:val="97"/>
              </w:rPr>
              <w:t>Common Shares Class A (598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LLC</w:t>
            </w:r>
          </w:p>
        </w:tc>
        <w:tc>
          <w:tcPr>
            <w:tcW w:w="2400" w:type="dxa"/>
            <w:vAlign w:val="bottom"/>
          </w:tcPr>
          <w:p>
            <w:pPr>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3/11/2014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w w:val="97"/>
              </w:rPr>
              <w:t>Common Shares Class B (196</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40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(EUR 888)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Common Shares Class A</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(1,980 shares)</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Common Shares Class B</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(2,953,020 shares)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12/28/2012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42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gridSpan w:val="3"/>
          </w:tcPr>
          <w:p>
            <w:pPr>
              <w:jc w:val="right"/>
              <w:ind w:right="1240"/>
              <w:spacing w:after="0"/>
              <w:rPr>
                <w:sz w:val="20"/>
                <w:szCs w:val="20"/>
                <w:color w:val="auto"/>
              </w:rPr>
            </w:pPr>
            <w:r>
              <w:rPr>
                <w:rFonts w:ascii="Arial" w:cs="Arial" w:eastAsia="Arial" w:hAnsi="Arial"/>
                <w:sz w:val="18"/>
                <w:szCs w:val="18"/>
                <w:color w:val="auto"/>
              </w:rPr>
              <w:t>F-7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tcPr>
          <w:p>
            <w:pPr>
              <w:jc w:val="right"/>
              <w:ind w:right="33"/>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8"/>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00" w:type="dxa"/>
            <w:vAlign w:val="bottom"/>
            <w:tcBorders>
              <w:bottom w:val="single" w:sz="8" w:color="CFF0FC"/>
            </w:tcBorders>
          </w:tcPr>
          <w:p>
            <w:pPr>
              <w:spacing w:after="0"/>
              <w:rPr>
                <w:sz w:val="19"/>
                <w:szCs w:val="19"/>
                <w:color w:val="auto"/>
              </w:rPr>
            </w:pPr>
          </w:p>
        </w:tc>
        <w:tc>
          <w:tcPr>
            <w:tcW w:w="24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Interest</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Net Assets</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3100" w:type="dxa"/>
            <w:vAlign w:val="bottom"/>
            <w:gridSpan w:val="2"/>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Units (5,000,000 units)</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Class C-1 Units (8,800,000</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units)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310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380"/>
              <w:spacing w:after="0"/>
              <w:rPr>
                <w:sz w:val="20"/>
                <w:szCs w:val="20"/>
                <w:color w:val="auto"/>
              </w:rPr>
            </w:pPr>
            <w:r>
              <w:rPr>
                <w:rFonts w:ascii="Arial" w:cs="Arial" w:eastAsia="Arial" w:hAnsi="Arial"/>
                <w:sz w:val="18"/>
                <w:szCs w:val="18"/>
                <w:b w:val="1"/>
                <w:bCs w:val="1"/>
                <w:color w:val="auto"/>
              </w:rPr>
              <w:t>fuels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Member Units (933</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units)</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Structured Product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8/21/2015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2520" w:type="dxa"/>
            <w:vAlign w:val="bottom"/>
            <w:gridSpan w:val="2"/>
          </w:tcPr>
          <w:p>
            <w:pPr>
              <w:spacing w:after="0"/>
              <w:rPr>
                <w:sz w:val="20"/>
                <w:szCs w:val="20"/>
                <w:color w:val="auto"/>
              </w:rPr>
            </w:pPr>
            <w:r>
              <w:rPr>
                <w:rFonts w:ascii="Arial" w:cs="Arial" w:eastAsia="Arial" w:hAnsi="Arial"/>
                <w:sz w:val="18"/>
                <w:szCs w:val="18"/>
                <w:color w:val="auto"/>
              </w:rPr>
              <w:t>Structured Product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960" w:type="dxa"/>
            <w:vAlign w:val="bottom"/>
          </w:tcPr>
          <w:p>
            <w:pPr>
              <w:jc w:val="right"/>
              <w:spacing w:after="0"/>
              <w:rPr>
                <w:sz w:val="20"/>
                <w:szCs w:val="20"/>
                <w:color w:val="auto"/>
              </w:rPr>
            </w:pPr>
            <w:r>
              <w:rPr>
                <w:rFonts w:ascii="Arial" w:cs="Arial" w:eastAsia="Arial" w:hAnsi="Arial"/>
                <w:sz w:val="18"/>
                <w:szCs w:val="18"/>
                <w:color w:val="auto"/>
              </w:rPr>
              <w:t>11/17/2014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5,100</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8,876</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310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380"/>
              <w:spacing w:after="0"/>
              <w:rPr>
                <w:sz w:val="20"/>
                <w:szCs w:val="20"/>
                <w:color w:val="auto"/>
              </w:rPr>
            </w:pPr>
            <w:r>
              <w:rPr>
                <w:rFonts w:ascii="Arial" w:cs="Arial" w:eastAsia="Arial" w:hAnsi="Arial"/>
                <w:sz w:val="18"/>
                <w:szCs w:val="18"/>
                <w:b w:val="1"/>
                <w:bCs w:val="1"/>
                <w:color w:val="auto"/>
              </w:rPr>
              <w:t>Investments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40,797</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26,337</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gridSpan w:val="2"/>
            <w:vMerge w:val="continue"/>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$ 1,529,676</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$ 1,485,709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180.8%</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80" w:hanging="512"/>
        <w:spacing w:after="0" w:line="250"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jc w:val="both"/>
        <w:ind w:left="520" w:right="40" w:hanging="512"/>
        <w:spacing w:after="0" w:line="250"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20" w:right="400" w:hanging="512"/>
        <w:spacing w:after="0" w:line="250"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Fair Value at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Net Unrealized</w:t>
            </w:r>
          </w:p>
        </w:tc>
        <w:tc>
          <w:tcPr>
            <w:tcW w:w="98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Realized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Fair Value at</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Income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Gain/(Loss)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Gain/(Losses)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37"/>
        </w:trPr>
        <w:tc>
          <w:tcPr>
            <w:tcW w:w="170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Mississippi</w:t>
            </w: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Resources, LLC</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41,636</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7,833</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(459)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(12,328)</w:t>
            </w:r>
          </w:p>
        </w:tc>
        <w:tc>
          <w:tcPr>
            <w:tcW w:w="980" w:type="dxa"/>
            <w:vAlign w:val="bottom"/>
            <w:shd w:val="clear" w:color="auto" w:fill="CFF0FC"/>
          </w:tcPr>
          <w:p>
            <w:pPr>
              <w:jc w:val="right"/>
              <w:ind w:right="858"/>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36,682</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line="143" w:lineRule="exact"/>
              <w:rPr>
                <w:sz w:val="20"/>
                <w:szCs w:val="20"/>
                <w:color w:val="auto"/>
              </w:rPr>
            </w:pPr>
            <w:r>
              <w:rPr>
                <w:rFonts w:ascii="Arial" w:cs="Arial" w:eastAsia="Arial" w:hAnsi="Arial"/>
                <w:sz w:val="14"/>
                <w:szCs w:val="14"/>
                <w:color w:val="auto"/>
              </w:rPr>
              <w:t>IRGSE Holding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ind w:left="120"/>
              <w:spacing w:after="0"/>
              <w:rPr>
                <w:sz w:val="20"/>
                <w:szCs w:val="20"/>
                <w:color w:val="auto"/>
              </w:rPr>
            </w:pPr>
            <w:r>
              <w:rPr>
                <w:rFonts w:ascii="Arial" w:cs="Arial" w:eastAsia="Arial" w:hAnsi="Arial"/>
                <w:sz w:val="14"/>
                <w:szCs w:val="14"/>
                <w:color w:val="auto"/>
              </w:rPr>
              <w:t>Corp.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31,704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(4,888)</w:t>
            </w:r>
          </w:p>
        </w:tc>
        <w:tc>
          <w:tcPr>
            <w:tcW w:w="98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26,816</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39,537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(459)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(17,216)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ind w:right="858"/>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63,498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240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6,639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40" w:right="140" w:hanging="376"/>
        <w:spacing w:after="0" w:line="258"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140" w:right="260" w:hanging="376"/>
        <w:spacing w:after="0" w:line="261"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2015, the tax cost of the Company’s investments approximates their amortized cost.</w:t>
      </w:r>
    </w:p>
    <w:p>
      <w:pPr>
        <w:spacing w:after="0" w:line="23"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00" w:type="dxa"/>
            <w:vAlign w:val="bottom"/>
          </w:tcPr>
          <w:p>
            <w:pPr>
              <w:spacing w:after="0"/>
              <w:rPr>
                <w:sz w:val="19"/>
                <w:szCs w:val="19"/>
                <w:color w:val="auto"/>
              </w:rPr>
            </w:pPr>
          </w:p>
        </w:tc>
        <w:tc>
          <w:tcPr>
            <w:tcW w:w="2400" w:type="dxa"/>
            <w:vAlign w:val="bottom"/>
          </w:tcPr>
          <w:p>
            <w:pPr>
              <w:ind w:left="880"/>
              <w:spacing w:after="0"/>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(2)(9)</w:t>
            </w:r>
          </w:p>
        </w:tc>
        <w:tc>
          <w:tcPr>
            <w:tcW w:w="2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of Net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Automotive</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 Holdings,</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($32,826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(3)(4)</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6/2017)</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32,340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30,447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First-lien revolving loan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($4,500 par, due 6/2017)</w:t>
            </w:r>
          </w:p>
        </w:tc>
        <w:tc>
          <w:tcPr>
            <w:tcW w:w="1640" w:type="dxa"/>
            <w:vAlign w:val="bottom"/>
            <w:gridSpan w:val="4"/>
          </w:tcPr>
          <w:p>
            <w:pPr>
              <w:jc w:val="right"/>
              <w:ind w:right="120"/>
              <w:spacing w:after="0"/>
              <w:rPr>
                <w:sz w:val="20"/>
                <w:szCs w:val="20"/>
                <w:color w:val="auto"/>
              </w:rPr>
            </w:pPr>
            <w:r>
              <w:rPr>
                <w:rFonts w:ascii="Arial" w:cs="Arial" w:eastAsia="Arial" w:hAnsi="Arial"/>
                <w:sz w:val="18"/>
                <w:szCs w:val="18"/>
                <w:color w:val="auto"/>
              </w:rPr>
              <w:t>10.75%</w:t>
            </w:r>
          </w:p>
        </w:tc>
        <w:tc>
          <w:tcPr>
            <w:tcW w:w="98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36,761</w:t>
            </w:r>
          </w:p>
        </w:tc>
        <w:tc>
          <w:tcPr>
            <w:tcW w:w="22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(3)(4)(6)</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($64,399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3/2020)</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6.25%</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63,102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63,111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Great Atlantic &amp; Pacific Tea Co.</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First-lien loan ($22,787 par,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due 9/2019)</w:t>
            </w:r>
          </w:p>
        </w:tc>
        <w:tc>
          <w:tcPr>
            <w:tcW w:w="1640" w:type="dxa"/>
            <w:vAlign w:val="bottom"/>
            <w:gridSpan w:val="4"/>
          </w:tcPr>
          <w:p>
            <w:pPr>
              <w:jc w:val="right"/>
              <w:ind w:right="120"/>
              <w:spacing w:after="0"/>
              <w:rPr>
                <w:sz w:val="20"/>
                <w:szCs w:val="20"/>
                <w:color w:val="auto"/>
              </w:rPr>
            </w:pPr>
            <w:r>
              <w:rPr>
                <w:rFonts w:ascii="Arial" w:cs="Arial" w:eastAsia="Arial" w:hAnsi="Arial"/>
                <w:sz w:val="18"/>
                <w:szCs w:val="18"/>
                <w:color w:val="auto"/>
              </w:rPr>
              <w:t>9.85%</w:t>
            </w:r>
          </w:p>
        </w:tc>
        <w:tc>
          <w:tcPr>
            <w:tcW w:w="980" w:type="dxa"/>
            <w:vAlign w:val="bottom"/>
          </w:tcPr>
          <w:p>
            <w:pPr>
              <w:jc w:val="right"/>
              <w:spacing w:after="0"/>
              <w:rPr>
                <w:sz w:val="20"/>
                <w:szCs w:val="20"/>
                <w:color w:val="auto"/>
              </w:rPr>
            </w:pPr>
            <w:r>
              <w:rPr>
                <w:rFonts w:ascii="Arial" w:cs="Arial" w:eastAsia="Arial" w:hAnsi="Arial"/>
                <w:sz w:val="18"/>
                <w:szCs w:val="18"/>
                <w:color w:val="auto"/>
              </w:rPr>
              <w:t>9/17/2014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22,426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22,274</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85,528</w:t>
            </w:r>
          </w:p>
        </w:tc>
        <w:tc>
          <w:tcPr>
            <w:tcW w:w="22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Business services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(3)(4)(6)</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($63,933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4/2018)</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62,282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63,933</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(3)(4)(5)</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w w:val="93"/>
              </w:rPr>
              <w:t>First-lien loan ($16,418 par, due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6/2019)</w:t>
            </w:r>
          </w:p>
        </w:tc>
        <w:tc>
          <w:tcPr>
            <w:tcW w:w="1640" w:type="dxa"/>
            <w:vAlign w:val="bottom"/>
            <w:gridSpan w:val="4"/>
          </w:tcPr>
          <w:p>
            <w:pPr>
              <w:jc w:val="right"/>
              <w:ind w:right="120"/>
              <w:spacing w:after="0"/>
              <w:rPr>
                <w:sz w:val="20"/>
                <w:szCs w:val="20"/>
                <w:color w:val="auto"/>
              </w:rPr>
            </w:pPr>
            <w:r>
              <w:rPr>
                <w:rFonts w:ascii="Arial" w:cs="Arial" w:eastAsia="Arial" w:hAnsi="Arial"/>
                <w:sz w:val="18"/>
                <w:szCs w:val="18"/>
                <w:color w:val="auto"/>
              </w:rPr>
              <w:t>7.50%</w:t>
            </w:r>
          </w:p>
        </w:tc>
        <w:tc>
          <w:tcPr>
            <w:tcW w:w="980" w:type="dxa"/>
            <w:vAlign w:val="bottom"/>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16,003</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(3)(4)</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($29,659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9/2018)</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9/12/2013</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29,506</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(3)(4)</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First-lien loan ($16,071 par,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due 12/2019)</w:t>
            </w:r>
          </w:p>
        </w:tc>
        <w:tc>
          <w:tcPr>
            <w:tcW w:w="1640" w:type="dxa"/>
            <w:vAlign w:val="bottom"/>
            <w:gridSpan w:val="4"/>
          </w:tcPr>
          <w:p>
            <w:pPr>
              <w:jc w:val="right"/>
              <w:ind w:right="120"/>
              <w:spacing w:after="0"/>
              <w:rPr>
                <w:sz w:val="20"/>
                <w:szCs w:val="20"/>
                <w:color w:val="auto"/>
              </w:rPr>
            </w:pPr>
            <w:r>
              <w:rPr>
                <w:rFonts w:ascii="Arial" w:cs="Arial" w:eastAsia="Arial" w:hAnsi="Arial"/>
                <w:sz w:val="18"/>
                <w:szCs w:val="18"/>
                <w:color w:val="auto"/>
              </w:rPr>
              <w:t>7.50%</w:t>
            </w:r>
          </w:p>
        </w:tc>
        <w:tc>
          <w:tcPr>
            <w:tcW w:w="980" w:type="dxa"/>
            <w:vAlign w:val="bottom"/>
          </w:tcPr>
          <w:p>
            <w:pPr>
              <w:jc w:val="right"/>
              <w:spacing w:after="0"/>
              <w:rPr>
                <w:sz w:val="20"/>
                <w:szCs w:val="20"/>
                <w:color w:val="auto"/>
              </w:rPr>
            </w:pPr>
            <w:r>
              <w:rPr>
                <w:rFonts w:ascii="Arial" w:cs="Arial" w:eastAsia="Arial" w:hAnsi="Arial"/>
                <w:sz w:val="18"/>
                <w:szCs w:val="18"/>
                <w:color w:val="auto"/>
              </w:rPr>
              <w:t>12/30/2014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15,621</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123,191</w:t>
            </w:r>
          </w:p>
        </w:tc>
        <w:tc>
          <w:tcPr>
            <w:tcW w:w="22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125,063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Chemicals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(3)(4)</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($19,950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10/2019)</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10.50%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10/31/2014</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18,753</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Communications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IPC Systems, Inc. </w:t>
            </w:r>
            <w:r>
              <w:rPr>
                <w:rFonts w:ascii="Arial" w:cs="Arial" w:eastAsia="Arial" w:hAnsi="Arial"/>
                <w:sz w:val="15"/>
                <w:szCs w:val="15"/>
                <w:color w:val="auto"/>
              </w:rPr>
              <w:t>(3)(4)</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6"/>
              </w:rPr>
              <w:t>Second-lien loan ($17,000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5/2021)</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9.50%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5/2/2014</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17,680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Containers and packaging</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5"/>
                <w:szCs w:val="15"/>
                <w:color w:val="auto"/>
              </w:rPr>
              <w:t>(3)(4)</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($39,240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2/2018)</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2/8/2013</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40,025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Education</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(3)(4)(6)</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($28,125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9/2018)</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9/30/2013</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27,914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Electronics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(3)(4)</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($61,861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1/2018)</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1/9/2014</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60,893</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MyAlarm Center, LLC</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w w:val="90"/>
              </w:rPr>
              <w:t>Mezzanine loan ($4,887 par, due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16.25% (incl.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7/2018)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4.25% PIK)</w:t>
            </w:r>
          </w:p>
        </w:tc>
        <w:tc>
          <w:tcPr>
            <w:tcW w:w="980" w:type="dxa"/>
            <w:vAlign w:val="bottom"/>
          </w:tcPr>
          <w:p>
            <w:pPr>
              <w:jc w:val="right"/>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4,520</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APX Group Inc.</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6"/>
              </w:rPr>
              <w:t>First-lien bond 6.375% ($5,000</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par, due 12/2019)</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6.38%</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12/12/2014</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4,788</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w w:val="96"/>
              </w:rPr>
              <w:t>First-lien bond 8.75% ($10,000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par, due 12/2020)</w:t>
            </w:r>
          </w:p>
        </w:tc>
        <w:tc>
          <w:tcPr>
            <w:tcW w:w="1640" w:type="dxa"/>
            <w:vAlign w:val="bottom"/>
            <w:gridSpan w:val="4"/>
          </w:tcPr>
          <w:p>
            <w:pPr>
              <w:jc w:val="right"/>
              <w:ind w:right="120"/>
              <w:spacing w:after="0"/>
              <w:rPr>
                <w:sz w:val="20"/>
                <w:szCs w:val="20"/>
                <w:color w:val="auto"/>
              </w:rPr>
            </w:pPr>
            <w:r>
              <w:rPr>
                <w:rFonts w:ascii="Arial" w:cs="Arial" w:eastAsia="Arial" w:hAnsi="Arial"/>
                <w:sz w:val="18"/>
                <w:szCs w:val="18"/>
                <w:color w:val="auto"/>
              </w:rPr>
              <w:t>8.75%</w:t>
            </w:r>
          </w:p>
        </w:tc>
        <w:tc>
          <w:tcPr>
            <w:tcW w:w="980" w:type="dxa"/>
            <w:vAlign w:val="bottom"/>
          </w:tcPr>
          <w:p>
            <w:pPr>
              <w:jc w:val="right"/>
              <w:spacing w:after="0"/>
              <w:rPr>
                <w:sz w:val="20"/>
                <w:szCs w:val="20"/>
                <w:color w:val="auto"/>
              </w:rPr>
            </w:pPr>
            <w:r>
              <w:rPr>
                <w:rFonts w:ascii="Arial" w:cs="Arial" w:eastAsia="Arial" w:hAnsi="Arial"/>
                <w:sz w:val="18"/>
                <w:szCs w:val="18"/>
                <w:color w:val="auto"/>
              </w:rPr>
              <w:t>12/11/2014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8,444</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79,155</w:t>
            </w:r>
          </w:p>
        </w:tc>
        <w:tc>
          <w:tcPr>
            <w:tcW w:w="22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78,645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Embarcadero Technologies,</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First-lien loan ($40,243 par,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(3)(4)(6)</w:t>
            </w:r>
          </w:p>
        </w:tc>
        <w:tc>
          <w:tcPr>
            <w:tcW w:w="2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due 12/2017)</w:t>
            </w:r>
          </w:p>
        </w:tc>
        <w:tc>
          <w:tcPr>
            <w:tcW w:w="16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8.00%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40,544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5"/>
                <w:szCs w:val="15"/>
                <w:color w:val="auto"/>
              </w:rPr>
              <w:t>(3)(4)(6)</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First-lien loan ($66,470 par,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due 12/2018)</w:t>
            </w:r>
          </w:p>
        </w:tc>
        <w:tc>
          <w:tcPr>
            <w:tcW w:w="1640" w:type="dxa"/>
            <w:vAlign w:val="bottom"/>
            <w:gridSpan w:val="4"/>
          </w:tcPr>
          <w:p>
            <w:pPr>
              <w:jc w:val="right"/>
              <w:ind w:right="120"/>
              <w:spacing w:after="0"/>
              <w:rPr>
                <w:sz w:val="20"/>
                <w:szCs w:val="20"/>
                <w:color w:val="auto"/>
              </w:rPr>
            </w:pPr>
            <w:r>
              <w:rPr>
                <w:rFonts w:ascii="Arial" w:cs="Arial" w:eastAsia="Arial" w:hAnsi="Arial"/>
                <w:sz w:val="18"/>
                <w:szCs w:val="18"/>
                <w:color w:val="auto"/>
              </w:rPr>
              <w:t>7.50%</w:t>
            </w:r>
          </w:p>
        </w:tc>
        <w:tc>
          <w:tcPr>
            <w:tcW w:w="980" w:type="dxa"/>
            <w:vAlign w:val="bottom"/>
          </w:tcPr>
          <w:p>
            <w:pPr>
              <w:jc w:val="right"/>
              <w:spacing w:after="0"/>
              <w:rPr>
                <w:sz w:val="20"/>
                <w:szCs w:val="20"/>
                <w:color w:val="auto"/>
              </w:rPr>
            </w:pPr>
            <w:r>
              <w:rPr>
                <w:rFonts w:ascii="Arial" w:cs="Arial" w:eastAsia="Arial" w:hAnsi="Arial"/>
                <w:sz w:val="18"/>
                <w:szCs w:val="18"/>
                <w:color w:val="auto"/>
              </w:rPr>
              <w:t>11/21/2012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65,344</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65,971</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104,929</w:t>
            </w:r>
          </w:p>
        </w:tc>
        <w:tc>
          <w:tcPr>
            <w:tcW w:w="22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106,515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gridSpan w:val="4"/>
          </w:tcPr>
          <w:p>
            <w:pPr>
              <w:jc w:val="right"/>
              <w:ind w:right="1360"/>
              <w:spacing w:after="0"/>
              <w:rPr>
                <w:sz w:val="20"/>
                <w:szCs w:val="20"/>
                <w:color w:val="auto"/>
              </w:rPr>
            </w:pPr>
            <w:r>
              <w:rPr>
                <w:rFonts w:ascii="Arial" w:cs="Arial" w:eastAsia="Arial" w:hAnsi="Arial"/>
                <w:sz w:val="18"/>
                <w:szCs w:val="18"/>
                <w:color w:val="auto"/>
                <w:w w:val="96"/>
              </w:rPr>
              <w:t>F-9</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43"/>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Healthcare</w:t>
            </w:r>
          </w:p>
        </w:tc>
        <w:tc>
          <w:tcPr>
            <w:tcW w:w="3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(3)(4)(6)</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($34,563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5/2019)</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5/8/2014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33,714</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33,526</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Global Healthcare Exchange,</w:t>
            </w:r>
          </w:p>
        </w:tc>
        <w:tc>
          <w:tcPr>
            <w:tcW w:w="3000" w:type="dxa"/>
            <w:vAlign w:val="bottom"/>
          </w:tcPr>
          <w:p>
            <w:pPr>
              <w:ind w:left="260"/>
              <w:spacing w:after="0"/>
              <w:rPr>
                <w:sz w:val="20"/>
                <w:szCs w:val="20"/>
                <w:color w:val="auto"/>
              </w:rPr>
            </w:pPr>
            <w:r>
              <w:rPr>
                <w:rFonts w:ascii="Arial" w:cs="Arial" w:eastAsia="Arial" w:hAnsi="Arial"/>
                <w:sz w:val="18"/>
                <w:szCs w:val="18"/>
                <w:color w:val="auto"/>
              </w:rPr>
              <w:t>First-lien loan ($46,250 par,</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w:t>
            </w:r>
          </w:p>
        </w:tc>
        <w:tc>
          <w:tcPr>
            <w:tcW w:w="3000" w:type="dxa"/>
            <w:vAlign w:val="bottom"/>
          </w:tcPr>
          <w:p>
            <w:pPr>
              <w:ind w:left="260"/>
              <w:spacing w:after="0"/>
              <w:rPr>
                <w:sz w:val="20"/>
                <w:szCs w:val="20"/>
                <w:color w:val="auto"/>
              </w:rPr>
            </w:pPr>
            <w:r>
              <w:rPr>
                <w:rFonts w:ascii="Arial" w:cs="Arial" w:eastAsia="Arial" w:hAnsi="Arial"/>
                <w:sz w:val="18"/>
                <w:szCs w:val="18"/>
                <w:color w:val="auto"/>
              </w:rPr>
              <w:t>due 3/2020)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800" w:type="dxa"/>
            <w:vAlign w:val="bottom"/>
          </w:tcPr>
          <w:p>
            <w:pPr>
              <w:jc w:val="right"/>
              <w:spacing w:after="0"/>
              <w:rPr>
                <w:sz w:val="20"/>
                <w:szCs w:val="20"/>
                <w:color w:val="auto"/>
              </w:rPr>
            </w:pPr>
            <w:r>
              <w:rPr>
                <w:rFonts w:ascii="Arial" w:cs="Arial" w:eastAsia="Arial" w:hAnsi="Arial"/>
                <w:sz w:val="18"/>
                <w:szCs w:val="18"/>
                <w:color w:val="auto"/>
              </w:rPr>
              <w:t>45,149</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45,139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(3)(5)</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(EUR 28,014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32,373</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shd w:val="clear" w:color="auto" w:fill="CFF0FC"/>
          </w:tcPr>
          <w:p>
            <w:pPr>
              <w:spacing w:after="0"/>
              <w:rPr>
                <w:sz w:val="18"/>
                <w:szCs w:val="18"/>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9/2019)</w:t>
            </w:r>
          </w:p>
        </w:tc>
        <w:tc>
          <w:tcPr>
            <w:tcW w:w="13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4"/>
              </w:rPr>
              <w:t>11.50% (incl.</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(EUR</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3.00% PIK)</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33,761</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26,753)</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r>
        <w:trPr>
          <w:trHeight w:val="215"/>
        </w:trPr>
        <w:tc>
          <w:tcPr>
            <w:tcW w:w="290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8"/>
                <w:szCs w:val="18"/>
                <w:color w:val="auto"/>
              </w:rPr>
              <w:t>First-lien revolving loan</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3000" w:type="dxa"/>
            <w:vAlign w:val="bottom"/>
          </w:tcPr>
          <w:p>
            <w:pPr>
              <w:ind w:left="260"/>
              <w:spacing w:after="0"/>
              <w:rPr>
                <w:sz w:val="20"/>
                <w:szCs w:val="20"/>
                <w:color w:val="auto"/>
              </w:rPr>
            </w:pPr>
            <w:r>
              <w:rPr>
                <w:rFonts w:ascii="Arial" w:cs="Arial" w:eastAsia="Arial" w:hAnsi="Arial"/>
                <w:sz w:val="18"/>
                <w:szCs w:val="18"/>
                <w:color w:val="auto"/>
              </w:rPr>
              <w:t>(EUR 300 par, due 9/2019)</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(EUR 188)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Mediware Information Systems,</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($69,405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(3)(4)(6)</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5/2018)</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11/9/2012</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68,221</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(3)(4)</w:t>
            </w:r>
          </w:p>
        </w:tc>
        <w:tc>
          <w:tcPr>
            <w:tcW w:w="3000" w:type="dxa"/>
            <w:vAlign w:val="bottom"/>
          </w:tcPr>
          <w:p>
            <w:pPr>
              <w:ind w:left="260"/>
              <w:spacing w:after="0"/>
              <w:rPr>
                <w:sz w:val="20"/>
                <w:szCs w:val="20"/>
                <w:color w:val="auto"/>
              </w:rPr>
            </w:pPr>
            <w:r>
              <w:rPr>
                <w:rFonts w:ascii="Arial" w:cs="Arial" w:eastAsia="Arial" w:hAnsi="Arial"/>
                <w:sz w:val="18"/>
                <w:szCs w:val="18"/>
                <w:color w:val="auto"/>
              </w:rPr>
              <w:t>First-lien loan ($33,750 par,</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3000" w:type="dxa"/>
            <w:vAlign w:val="bottom"/>
          </w:tcPr>
          <w:p>
            <w:pPr>
              <w:ind w:left="260"/>
              <w:spacing w:after="0"/>
              <w:rPr>
                <w:sz w:val="20"/>
                <w:szCs w:val="20"/>
                <w:color w:val="auto"/>
              </w:rPr>
            </w:pPr>
            <w:r>
              <w:rPr>
                <w:rFonts w:ascii="Arial" w:cs="Arial" w:eastAsia="Arial" w:hAnsi="Arial"/>
                <w:sz w:val="18"/>
                <w:szCs w:val="18"/>
                <w:color w:val="auto"/>
              </w:rPr>
              <w:t>due 12/2017)</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800" w:type="dxa"/>
            <w:vAlign w:val="bottom"/>
          </w:tcPr>
          <w:p>
            <w:pPr>
              <w:jc w:val="right"/>
              <w:spacing w:after="0"/>
              <w:rPr>
                <w:sz w:val="20"/>
                <w:szCs w:val="20"/>
                <w:color w:val="auto"/>
              </w:rPr>
            </w:pPr>
            <w:r>
              <w:rPr>
                <w:rFonts w:ascii="Arial" w:cs="Arial" w:eastAsia="Arial" w:hAnsi="Arial"/>
                <w:sz w:val="18"/>
                <w:szCs w:val="18"/>
                <w:color w:val="auto"/>
              </w:rPr>
              <w:t>33,192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33,834</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r>
      <w:tr>
        <w:trPr>
          <w:trHeight w:val="215"/>
        </w:trPr>
        <w:tc>
          <w:tcPr>
            <w:tcW w:w="2900" w:type="dxa"/>
            <w:vAlign w:val="bottom"/>
            <w:shd w:val="clear" w:color="auto" w:fill="CFF0FC"/>
          </w:tcPr>
          <w:p>
            <w:pPr>
              <w:spacing w:after="0"/>
              <w:rPr>
                <w:sz w:val="18"/>
                <w:szCs w:val="18"/>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revolving loan</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($2,000 par, due 12/2017)</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216,205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215,989</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r>
      <w:tr>
        <w:trPr>
          <w:trHeight w:val="223"/>
        </w:trPr>
        <w:tc>
          <w:tcPr>
            <w:tcW w:w="29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30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5"/>
                <w:szCs w:val="15"/>
                <w:color w:val="auto"/>
              </w:rPr>
              <w:t>(3)(4)</w:t>
            </w:r>
          </w:p>
        </w:tc>
        <w:tc>
          <w:tcPr>
            <w:tcW w:w="3000" w:type="dxa"/>
            <w:vAlign w:val="bottom"/>
          </w:tcPr>
          <w:p>
            <w:pPr>
              <w:ind w:left="260"/>
              <w:spacing w:after="0"/>
              <w:rPr>
                <w:sz w:val="20"/>
                <w:szCs w:val="20"/>
                <w:color w:val="auto"/>
              </w:rPr>
            </w:pPr>
            <w:r>
              <w:rPr>
                <w:rFonts w:ascii="Arial" w:cs="Arial" w:eastAsia="Arial" w:hAnsi="Arial"/>
                <w:sz w:val="18"/>
                <w:szCs w:val="18"/>
                <w:color w:val="auto"/>
              </w:rPr>
              <w:t>Second-lien loan ($10,000 par,</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3000" w:type="dxa"/>
            <w:vAlign w:val="bottom"/>
          </w:tcPr>
          <w:p>
            <w:pPr>
              <w:ind w:left="260"/>
              <w:spacing w:after="0"/>
              <w:rPr>
                <w:sz w:val="20"/>
                <w:szCs w:val="20"/>
                <w:color w:val="auto"/>
              </w:rPr>
            </w:pPr>
            <w:r>
              <w:rPr>
                <w:rFonts w:ascii="Arial" w:cs="Arial" w:eastAsia="Arial" w:hAnsi="Arial"/>
                <w:sz w:val="18"/>
                <w:szCs w:val="18"/>
                <w:color w:val="auto"/>
              </w:rPr>
              <w:t>due 2/2020)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2/15/2013</w:t>
            </w:r>
          </w:p>
        </w:tc>
        <w:tc>
          <w:tcPr>
            <w:tcW w:w="800" w:type="dxa"/>
            <w:vAlign w:val="bottom"/>
          </w:tcPr>
          <w:p>
            <w:pPr>
              <w:jc w:val="right"/>
              <w:spacing w:after="0"/>
              <w:rPr>
                <w:sz w:val="20"/>
                <w:szCs w:val="20"/>
                <w:color w:val="auto"/>
              </w:rPr>
            </w:pPr>
            <w:r>
              <w:rPr>
                <w:rFonts w:ascii="Arial" w:cs="Arial" w:eastAsia="Arial" w:hAnsi="Arial"/>
                <w:sz w:val="18"/>
                <w:szCs w:val="18"/>
                <w:color w:val="auto"/>
              </w:rPr>
              <w:t>9,931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9,913</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IRG Sports &amp; Entertainment,</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($43,653 par, due</w:t>
            </w:r>
          </w:p>
        </w:tc>
        <w:tc>
          <w:tcPr>
            <w:tcW w:w="13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4"/>
              </w:rPr>
              <w:t>12.00% (incl.</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(3)(4)</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9/2019)</w:t>
            </w:r>
          </w:p>
        </w:tc>
        <w:tc>
          <w:tcPr>
            <w:tcW w:w="13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5.00% PIK)</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41,073</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(5)</w:t>
            </w:r>
          </w:p>
        </w:tc>
        <w:tc>
          <w:tcPr>
            <w:tcW w:w="3000" w:type="dxa"/>
            <w:vAlign w:val="bottom"/>
          </w:tcPr>
          <w:p>
            <w:pPr>
              <w:ind w:left="260"/>
              <w:spacing w:after="0"/>
              <w:rPr>
                <w:sz w:val="20"/>
                <w:szCs w:val="20"/>
                <w:color w:val="auto"/>
              </w:rPr>
            </w:pPr>
            <w:r>
              <w:rPr>
                <w:rFonts w:ascii="Arial" w:cs="Arial" w:eastAsia="Arial" w:hAnsi="Arial"/>
                <w:sz w:val="18"/>
                <w:szCs w:val="18"/>
                <w:color w:val="auto"/>
              </w:rPr>
              <w:t>Second-lien bond (GBP 13,750</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22,565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8"/>
                <w:szCs w:val="18"/>
                <w:color w:val="auto"/>
              </w:rPr>
              <w:t>par, due 10/2018)</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(GBP</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9/20/2013</w:t>
            </w:r>
          </w:p>
        </w:tc>
        <w:tc>
          <w:tcPr>
            <w:tcW w:w="800" w:type="dxa"/>
            <w:vAlign w:val="bottom"/>
          </w:tcPr>
          <w:p>
            <w:pPr>
              <w:jc w:val="right"/>
              <w:spacing w:after="0"/>
              <w:rPr>
                <w:sz w:val="20"/>
                <w:szCs w:val="20"/>
                <w:color w:val="auto"/>
              </w:rPr>
            </w:pPr>
            <w:r>
              <w:rPr>
                <w:rFonts w:ascii="Arial" w:cs="Arial" w:eastAsia="Arial" w:hAnsi="Arial"/>
                <w:sz w:val="18"/>
                <w:szCs w:val="18"/>
                <w:color w:val="auto"/>
              </w:rPr>
              <w:t>22,826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14,472)</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73,830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23"/>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5"/>
                <w:szCs w:val="15"/>
                <w:color w:val="auto"/>
              </w:rPr>
              <w:t>(3)(4)</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($35,438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6/2017)</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6/1/2012</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35,034</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15"/>
        </w:trPr>
        <w:tc>
          <w:tcPr>
            <w:tcW w:w="290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8"/>
                <w:szCs w:val="18"/>
                <w:color w:val="auto"/>
              </w:rPr>
              <w:t>First-lien revolving loan ($2,010</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3000" w:type="dxa"/>
            <w:vAlign w:val="bottom"/>
          </w:tcPr>
          <w:p>
            <w:pPr>
              <w:ind w:left="260"/>
              <w:spacing w:after="0"/>
              <w:rPr>
                <w:sz w:val="20"/>
                <w:szCs w:val="20"/>
                <w:color w:val="auto"/>
              </w:rPr>
            </w:pPr>
            <w:r>
              <w:rPr>
                <w:rFonts w:ascii="Arial" w:cs="Arial" w:eastAsia="Arial" w:hAnsi="Arial"/>
                <w:sz w:val="18"/>
                <w:szCs w:val="18"/>
                <w:color w:val="auto"/>
              </w:rPr>
              <w:t>par, due 6/2017)</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6/1/2012</w:t>
            </w:r>
          </w:p>
        </w:tc>
        <w:tc>
          <w:tcPr>
            <w:tcW w:w="800" w:type="dxa"/>
            <w:vAlign w:val="bottom"/>
          </w:tcPr>
          <w:p>
            <w:pPr>
              <w:jc w:val="right"/>
              <w:spacing w:after="0"/>
              <w:rPr>
                <w:sz w:val="20"/>
                <w:szCs w:val="20"/>
                <w:color w:val="auto"/>
              </w:rPr>
            </w:pPr>
            <w:r>
              <w:rPr>
                <w:rFonts w:ascii="Arial" w:cs="Arial" w:eastAsia="Arial" w:hAnsi="Arial"/>
                <w:sz w:val="18"/>
                <w:szCs w:val="18"/>
                <w:color w:val="auto"/>
              </w:rPr>
              <w:t>1,961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1,985</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(3)(4)(6)</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($65,000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10/2020)</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10/31/2014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64,363</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101,358</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101,270</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r>
      <w:tr>
        <w:trPr>
          <w:trHeight w:val="223"/>
        </w:trPr>
        <w:tc>
          <w:tcPr>
            <w:tcW w:w="29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Internet Services</w:t>
            </w:r>
          </w:p>
        </w:tc>
        <w:tc>
          <w:tcPr>
            <w:tcW w:w="30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(3)(4)</w:t>
            </w:r>
          </w:p>
        </w:tc>
        <w:tc>
          <w:tcPr>
            <w:tcW w:w="3000" w:type="dxa"/>
            <w:vAlign w:val="bottom"/>
          </w:tcPr>
          <w:p>
            <w:pPr>
              <w:ind w:left="260"/>
              <w:spacing w:after="0"/>
              <w:rPr>
                <w:sz w:val="20"/>
                <w:szCs w:val="20"/>
                <w:color w:val="auto"/>
              </w:rPr>
            </w:pPr>
            <w:r>
              <w:rPr>
                <w:rFonts w:ascii="Arial" w:cs="Arial" w:eastAsia="Arial" w:hAnsi="Arial"/>
                <w:sz w:val="18"/>
                <w:szCs w:val="18"/>
                <w:color w:val="auto"/>
              </w:rPr>
              <w:t>First-lien loan ($41,401 par, due</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3000" w:type="dxa"/>
            <w:vAlign w:val="bottom"/>
          </w:tcPr>
          <w:p>
            <w:pPr>
              <w:ind w:left="260"/>
              <w:spacing w:after="0"/>
              <w:rPr>
                <w:sz w:val="20"/>
                <w:szCs w:val="20"/>
                <w:color w:val="auto"/>
              </w:rPr>
            </w:pPr>
            <w:r>
              <w:rPr>
                <w:rFonts w:ascii="Arial" w:cs="Arial" w:eastAsia="Arial" w:hAnsi="Arial"/>
                <w:sz w:val="18"/>
                <w:szCs w:val="18"/>
                <w:color w:val="auto"/>
              </w:rPr>
              <w:t>7/2018)</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3/7/2014</w:t>
            </w:r>
          </w:p>
        </w:tc>
        <w:tc>
          <w:tcPr>
            <w:tcW w:w="800" w:type="dxa"/>
            <w:vAlign w:val="bottom"/>
          </w:tcPr>
          <w:p>
            <w:pPr>
              <w:jc w:val="right"/>
              <w:spacing w:after="0"/>
              <w:rPr>
                <w:sz w:val="20"/>
                <w:szCs w:val="20"/>
                <w:color w:val="auto"/>
              </w:rPr>
            </w:pPr>
            <w:r>
              <w:rPr>
                <w:rFonts w:ascii="Arial" w:cs="Arial" w:eastAsia="Arial" w:hAnsi="Arial"/>
                <w:sz w:val="18"/>
                <w:szCs w:val="18"/>
                <w:color w:val="auto"/>
              </w:rPr>
              <w:t>40,931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40,859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230"/>
        </w:trPr>
        <w:tc>
          <w:tcPr>
            <w:tcW w:w="290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Jeeves Information Systems</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(SEK 203,140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(3)(5)(6)</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3/2019)</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(SEK</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6/5/2013</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30,897</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201,109)</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Metals and mining</w:t>
            </w:r>
          </w:p>
        </w:tc>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5"/>
                <w:szCs w:val="15"/>
                <w:color w:val="auto"/>
              </w:rPr>
              <w:t>(3)(4)(6)</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($19,973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11/2019)</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11/21/2013</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Office products</w:t>
            </w:r>
          </w:p>
        </w:tc>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(3)(4)(6)</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($35,390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3/2019)</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34,868</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11"/>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Milagro Exploration, LLC </w:t>
            </w:r>
            <w:r>
              <w:rPr>
                <w:rFonts w:ascii="Arial" w:cs="Arial" w:eastAsia="Arial" w:hAnsi="Arial"/>
                <w:sz w:val="15"/>
                <w:szCs w:val="15"/>
                <w:color w:val="auto"/>
              </w:rPr>
              <w:t>(3)(4)</w:t>
            </w: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 loan ($62,857 par,</w:t>
            </w:r>
          </w:p>
        </w:tc>
        <w:tc>
          <w:tcPr>
            <w:tcW w:w="1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p>
        </w:tc>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9/2017)</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9/4/2014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62,130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61,457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Mississippi Resources,</w:t>
            </w:r>
          </w:p>
        </w:tc>
        <w:tc>
          <w:tcPr>
            <w:tcW w:w="3000" w:type="dxa"/>
            <w:vAlign w:val="bottom"/>
          </w:tcPr>
          <w:p>
            <w:pPr>
              <w:ind w:left="260"/>
              <w:spacing w:after="0"/>
              <w:rPr>
                <w:sz w:val="20"/>
                <w:szCs w:val="20"/>
                <w:color w:val="auto"/>
              </w:rPr>
            </w:pPr>
            <w:r>
              <w:rPr>
                <w:rFonts w:ascii="Arial" w:cs="Arial" w:eastAsia="Arial" w:hAnsi="Arial"/>
                <w:sz w:val="18"/>
                <w:szCs w:val="18"/>
                <w:color w:val="auto"/>
              </w:rPr>
              <w:t>First-lien loan ($39,505 par,</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w w:val="94"/>
              </w:rPr>
              <w:t>13.00% (incl.</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(3)(4)(8)</w:t>
            </w:r>
          </w:p>
        </w:tc>
        <w:tc>
          <w:tcPr>
            <w:tcW w:w="3000" w:type="dxa"/>
            <w:vAlign w:val="bottom"/>
          </w:tcPr>
          <w:p>
            <w:pPr>
              <w:ind w:left="260"/>
              <w:spacing w:after="0"/>
              <w:rPr>
                <w:sz w:val="20"/>
                <w:szCs w:val="20"/>
                <w:color w:val="auto"/>
              </w:rPr>
            </w:pPr>
            <w:r>
              <w:rPr>
                <w:rFonts w:ascii="Arial" w:cs="Arial" w:eastAsia="Arial" w:hAnsi="Arial"/>
                <w:sz w:val="18"/>
                <w:szCs w:val="18"/>
                <w:color w:val="auto"/>
              </w:rPr>
              <w:t>due 6/2018)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1.50% PIK)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6/4/2014</w:t>
            </w:r>
          </w:p>
        </w:tc>
        <w:tc>
          <w:tcPr>
            <w:tcW w:w="800" w:type="dxa"/>
            <w:vAlign w:val="bottom"/>
          </w:tcPr>
          <w:p>
            <w:pPr>
              <w:jc w:val="right"/>
              <w:spacing w:after="0"/>
              <w:rPr>
                <w:sz w:val="20"/>
                <w:szCs w:val="20"/>
                <w:color w:val="auto"/>
              </w:rPr>
            </w:pPr>
            <w:r>
              <w:rPr>
                <w:rFonts w:ascii="Arial" w:cs="Arial" w:eastAsia="Arial" w:hAnsi="Arial"/>
                <w:sz w:val="18"/>
                <w:szCs w:val="18"/>
                <w:color w:val="auto"/>
              </w:rPr>
              <w:t>38,706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37,381</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r>
      <w:tr>
        <w:trPr>
          <w:trHeight w:val="426"/>
        </w:trPr>
        <w:tc>
          <w:tcPr>
            <w:tcW w:w="2900" w:type="dxa"/>
            <w:vAlign w:val="bottom"/>
          </w:tcPr>
          <w:p>
            <w:pPr>
              <w:spacing w:after="0"/>
              <w:rPr>
                <w:sz w:val="24"/>
                <w:szCs w:val="24"/>
                <w:color w:val="auto"/>
              </w:rPr>
            </w:pPr>
          </w:p>
        </w:tc>
        <w:tc>
          <w:tcPr>
            <w:tcW w:w="3000" w:type="dxa"/>
            <w:vAlign w:val="bottom"/>
          </w:tcPr>
          <w:p>
            <w:pPr>
              <w:ind w:left="2640"/>
              <w:spacing w:after="0"/>
              <w:rPr>
                <w:sz w:val="20"/>
                <w:szCs w:val="20"/>
                <w:color w:val="auto"/>
              </w:rPr>
            </w:pPr>
            <w:r>
              <w:rPr>
                <w:rFonts w:ascii="Arial" w:cs="Arial" w:eastAsia="Arial" w:hAnsi="Arial"/>
                <w:sz w:val="18"/>
                <w:szCs w:val="18"/>
                <w:color w:val="auto"/>
                <w:w w:val="91"/>
              </w:rPr>
              <w:t>F-10</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1"/>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3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380"/>
              <w:spacing w:after="0"/>
              <w:rPr>
                <w:sz w:val="20"/>
                <w:szCs w:val="20"/>
                <w:color w:val="auto"/>
              </w:rPr>
            </w:pPr>
            <w:r>
              <w:rPr>
                <w:rFonts w:ascii="Arial" w:cs="Arial" w:eastAsia="Arial" w:hAnsi="Arial"/>
                <w:sz w:val="18"/>
                <w:szCs w:val="18"/>
                <w:b w:val="1"/>
                <w:bCs w:val="1"/>
                <w:color w:val="auto"/>
              </w:rPr>
              <w:t>products</w:t>
            </w:r>
          </w:p>
        </w:tc>
        <w:tc>
          <w:tcPr>
            <w:tcW w:w="3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Toys 'R' Us-Delaware,</w:t>
            </w: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First-lien loan ($42,000 par,</w:t>
            </w:r>
          </w:p>
        </w:tc>
        <w:tc>
          <w:tcPr>
            <w:tcW w:w="1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w:t>
            </w: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due 10/2019)</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8.25%</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10/10/2014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41,370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Transportation</w:t>
            </w:r>
          </w:p>
        </w:tc>
        <w:tc>
          <w:tcPr>
            <w:tcW w:w="3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(3)(5)</w:t>
            </w: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Second-lien loan ($62,500 par,</w:t>
            </w:r>
          </w:p>
        </w:tc>
        <w:tc>
          <w:tcPr>
            <w:tcW w:w="1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due 10/2019)</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10/2/2013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61,428</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3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1,251,749</w:t>
            </w:r>
          </w:p>
        </w:tc>
        <w:tc>
          <w:tcPr>
            <w:tcW w:w="2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1,248,618</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Equity and Other Investments</w:t>
            </w:r>
          </w:p>
        </w:tc>
        <w:tc>
          <w:tcPr>
            <w:tcW w:w="3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Business services</w:t>
            </w:r>
          </w:p>
        </w:tc>
        <w:tc>
          <w:tcPr>
            <w:tcW w:w="3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w:t>
            </w: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Non-Voting Preferred Units</w:t>
            </w:r>
          </w:p>
        </w:tc>
        <w:tc>
          <w:tcPr>
            <w:tcW w:w="1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(774,099 units)</w:t>
            </w:r>
          </w:p>
        </w:tc>
        <w:tc>
          <w:tcPr>
            <w:tcW w:w="1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9/12/2013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1"/>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Healthcare and</w:t>
            </w:r>
          </w:p>
        </w:tc>
        <w:tc>
          <w:tcPr>
            <w:tcW w:w="3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380"/>
              <w:spacing w:after="0"/>
              <w:rPr>
                <w:sz w:val="20"/>
                <w:szCs w:val="20"/>
                <w:color w:val="auto"/>
              </w:rPr>
            </w:pPr>
            <w:r>
              <w:rPr>
                <w:rFonts w:ascii="Arial" w:cs="Arial" w:eastAsia="Arial" w:hAnsi="Arial"/>
                <w:sz w:val="18"/>
                <w:szCs w:val="18"/>
                <w:b w:val="1"/>
                <w:bCs w:val="1"/>
                <w:color w:val="auto"/>
              </w:rPr>
              <w:t>pharmaceuticals</w:t>
            </w:r>
          </w:p>
        </w:tc>
        <w:tc>
          <w:tcPr>
            <w:tcW w:w="3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Global Healthcare Exchange,</w:t>
            </w: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Shares Class A (598</w:t>
            </w:r>
          </w:p>
        </w:tc>
        <w:tc>
          <w:tcPr>
            <w:tcW w:w="1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LLC</w:t>
            </w: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w:t>
            </w:r>
          </w:p>
        </w:tc>
        <w:tc>
          <w:tcPr>
            <w:tcW w:w="1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3200" w:type="dxa"/>
            <w:vAlign w:val="bottom"/>
          </w:tcPr>
          <w:p>
            <w:pPr>
              <w:ind w:left="380"/>
              <w:spacing w:after="0"/>
              <w:rPr>
                <w:sz w:val="20"/>
                <w:szCs w:val="20"/>
                <w:color w:val="auto"/>
              </w:rPr>
            </w:pPr>
            <w:r>
              <w:rPr>
                <w:rFonts w:ascii="Arial" w:cs="Arial" w:eastAsia="Arial" w:hAnsi="Arial"/>
                <w:sz w:val="18"/>
                <w:szCs w:val="18"/>
                <w:color w:val="auto"/>
              </w:rPr>
              <w:t>Common Shares Class B (196</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3200" w:type="dxa"/>
            <w:vAlign w:val="bottom"/>
          </w:tcPr>
          <w:p>
            <w:pPr>
              <w:ind w:left="380"/>
              <w:spacing w:after="0"/>
              <w:rPr>
                <w:sz w:val="20"/>
                <w:szCs w:val="20"/>
                <w:color w:val="auto"/>
              </w:rPr>
            </w:pPr>
            <w:r>
              <w:rPr>
                <w:rFonts w:ascii="Arial" w:cs="Arial" w:eastAsia="Arial" w:hAnsi="Arial"/>
                <w:sz w:val="18"/>
                <w:szCs w:val="18"/>
                <w:color w:val="auto"/>
              </w:rPr>
              <w:t>shares)</w:t>
            </w:r>
          </w:p>
        </w:tc>
        <w:tc>
          <w:tcPr>
            <w:tcW w:w="1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(5)</w:t>
            </w: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Warrants</w:t>
            </w:r>
          </w:p>
        </w:tc>
        <w:tc>
          <w:tcPr>
            <w:tcW w:w="1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p>
        </w:tc>
        <w:tc>
          <w:tcPr>
            <w:tcW w:w="3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(EUR 694)</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SRS Parent Corp.</w:t>
            </w:r>
          </w:p>
        </w:tc>
        <w:tc>
          <w:tcPr>
            <w:tcW w:w="3200" w:type="dxa"/>
            <w:vAlign w:val="bottom"/>
          </w:tcPr>
          <w:p>
            <w:pPr>
              <w:ind w:left="380"/>
              <w:spacing w:after="0"/>
              <w:rPr>
                <w:sz w:val="20"/>
                <w:szCs w:val="20"/>
                <w:color w:val="auto"/>
              </w:rPr>
            </w:pPr>
            <w:r>
              <w:rPr>
                <w:rFonts w:ascii="Arial" w:cs="Arial" w:eastAsia="Arial" w:hAnsi="Arial"/>
                <w:sz w:val="18"/>
                <w:szCs w:val="18"/>
                <w:color w:val="auto"/>
              </w:rPr>
              <w:t>Common Shares Class A</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3200" w:type="dxa"/>
            <w:vAlign w:val="bottom"/>
          </w:tcPr>
          <w:p>
            <w:pPr>
              <w:ind w:left="380"/>
              <w:spacing w:after="0"/>
              <w:rPr>
                <w:sz w:val="20"/>
                <w:szCs w:val="20"/>
                <w:color w:val="auto"/>
              </w:rPr>
            </w:pPr>
            <w:r>
              <w:rPr>
                <w:rFonts w:ascii="Arial" w:cs="Arial" w:eastAsia="Arial" w:hAnsi="Arial"/>
                <w:sz w:val="18"/>
                <w:szCs w:val="18"/>
                <w:color w:val="auto"/>
              </w:rPr>
              <w:t>(1,980 shares)</w:t>
            </w:r>
          </w:p>
        </w:tc>
        <w:tc>
          <w:tcPr>
            <w:tcW w:w="1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840" w:type="dxa"/>
            <w:vAlign w:val="bottom"/>
          </w:tcPr>
          <w:p>
            <w:pPr>
              <w:jc w:val="right"/>
              <w:spacing w:after="0"/>
              <w:rPr>
                <w:sz w:val="20"/>
                <w:szCs w:val="20"/>
                <w:color w:val="auto"/>
              </w:rPr>
            </w:pPr>
            <w:r>
              <w:rPr>
                <w:rFonts w:ascii="Arial" w:cs="Arial" w:eastAsia="Arial" w:hAnsi="Arial"/>
                <w:sz w:val="18"/>
                <w:szCs w:val="18"/>
                <w:color w:val="auto"/>
              </w:rPr>
              <w:t>1,980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18"/>
                <w:szCs w:val="18"/>
                <w:color w:val="auto"/>
              </w:rPr>
            </w:pP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Shares Class B</w:t>
            </w:r>
          </w:p>
        </w:tc>
        <w:tc>
          <w:tcPr>
            <w:tcW w:w="1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p>
        </w:tc>
        <w:tc>
          <w:tcPr>
            <w:tcW w:w="3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(2,953,020 shares)</w:t>
            </w:r>
          </w:p>
        </w:tc>
        <w:tc>
          <w:tcPr>
            <w:tcW w:w="1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3,481</w:t>
            </w:r>
          </w:p>
        </w:tc>
        <w:tc>
          <w:tcPr>
            <w:tcW w:w="2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2,554</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3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IRG Sports &amp; Entertainment,</w:t>
            </w:r>
          </w:p>
        </w:tc>
        <w:tc>
          <w:tcPr>
            <w:tcW w:w="3200" w:type="dxa"/>
            <w:vAlign w:val="bottom"/>
          </w:tcPr>
          <w:p>
            <w:pPr>
              <w:ind w:left="380"/>
              <w:spacing w:after="0"/>
              <w:rPr>
                <w:sz w:val="20"/>
                <w:szCs w:val="20"/>
                <w:color w:val="auto"/>
              </w:rPr>
            </w:pPr>
            <w:r>
              <w:rPr>
                <w:rFonts w:ascii="Arial" w:cs="Arial" w:eastAsia="Arial" w:hAnsi="Arial"/>
                <w:sz w:val="18"/>
                <w:szCs w:val="18"/>
                <w:color w:val="auto"/>
              </w:rPr>
              <w:t>Warrants</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LLC</w:t>
            </w:r>
          </w:p>
        </w:tc>
        <w:tc>
          <w:tcPr>
            <w:tcW w:w="3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840" w:type="dxa"/>
            <w:vAlign w:val="bottom"/>
          </w:tcPr>
          <w:p>
            <w:pPr>
              <w:jc w:val="right"/>
              <w:spacing w:after="0"/>
              <w:rPr>
                <w:sz w:val="20"/>
                <w:szCs w:val="20"/>
                <w:color w:val="auto"/>
              </w:rPr>
            </w:pPr>
            <w:r>
              <w:rPr>
                <w:rFonts w:ascii="Arial" w:cs="Arial" w:eastAsia="Arial" w:hAnsi="Arial"/>
                <w:sz w:val="18"/>
                <w:szCs w:val="18"/>
                <w:color w:val="auto"/>
              </w:rPr>
              <w:t>1,494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Metals and mining</w:t>
            </w:r>
          </w:p>
        </w:tc>
        <w:tc>
          <w:tcPr>
            <w:tcW w:w="3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Metalico, Inc.</w:t>
            </w:r>
          </w:p>
        </w:tc>
        <w:tc>
          <w:tcPr>
            <w:tcW w:w="3200" w:type="dxa"/>
            <w:vAlign w:val="bottom"/>
          </w:tcPr>
          <w:p>
            <w:pPr>
              <w:ind w:left="380"/>
              <w:spacing w:after="0"/>
              <w:rPr>
                <w:sz w:val="20"/>
                <w:szCs w:val="20"/>
                <w:color w:val="auto"/>
              </w:rPr>
            </w:pPr>
            <w:r>
              <w:rPr>
                <w:rFonts w:ascii="Arial" w:cs="Arial" w:eastAsia="Arial" w:hAnsi="Arial"/>
                <w:sz w:val="18"/>
                <w:szCs w:val="18"/>
                <w:color w:val="auto"/>
              </w:rPr>
              <w:t>Warrants</w:t>
            </w:r>
          </w:p>
        </w:tc>
        <w:tc>
          <w:tcPr>
            <w:tcW w:w="1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11/21/2013</w:t>
            </w:r>
          </w:p>
        </w:tc>
        <w:tc>
          <w:tcPr>
            <w:tcW w:w="840" w:type="dxa"/>
            <w:vAlign w:val="bottom"/>
          </w:tcPr>
          <w:p>
            <w:pPr>
              <w:jc w:val="right"/>
              <w:spacing w:after="0"/>
              <w:rPr>
                <w:sz w:val="20"/>
                <w:szCs w:val="20"/>
                <w:color w:val="auto"/>
              </w:rPr>
            </w:pPr>
            <w:r>
              <w:rPr>
                <w:rFonts w:ascii="Arial" w:cs="Arial" w:eastAsia="Arial" w:hAnsi="Arial"/>
                <w:sz w:val="18"/>
                <w:szCs w:val="18"/>
                <w:color w:val="auto"/>
              </w:rPr>
              <w:t>1,343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3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fuels</w:t>
            </w:r>
          </w:p>
        </w:tc>
        <w:tc>
          <w:tcPr>
            <w:tcW w:w="3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(8)</w:t>
            </w:r>
          </w:p>
        </w:tc>
        <w:tc>
          <w:tcPr>
            <w:tcW w:w="3200" w:type="dxa"/>
            <w:vAlign w:val="bottom"/>
          </w:tcPr>
          <w:p>
            <w:pPr>
              <w:ind w:left="380"/>
              <w:spacing w:after="0"/>
              <w:rPr>
                <w:sz w:val="20"/>
                <w:szCs w:val="20"/>
                <w:color w:val="auto"/>
              </w:rPr>
            </w:pPr>
            <w:r>
              <w:rPr>
                <w:rFonts w:ascii="Arial" w:cs="Arial" w:eastAsia="Arial" w:hAnsi="Arial"/>
                <w:sz w:val="18"/>
                <w:szCs w:val="18"/>
                <w:color w:val="auto"/>
              </w:rPr>
              <w:t>Class A Member Units</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3200" w:type="dxa"/>
            <w:vAlign w:val="bottom"/>
          </w:tcPr>
          <w:p>
            <w:pPr>
              <w:ind w:left="380"/>
              <w:spacing w:after="0"/>
              <w:rPr>
                <w:sz w:val="20"/>
                <w:szCs w:val="20"/>
                <w:color w:val="auto"/>
              </w:rPr>
            </w:pPr>
            <w:r>
              <w:rPr>
                <w:rFonts w:ascii="Arial" w:cs="Arial" w:eastAsia="Arial" w:hAnsi="Arial"/>
                <w:sz w:val="18"/>
                <w:szCs w:val="18"/>
                <w:color w:val="auto"/>
              </w:rPr>
              <w:t>(933 units)</w:t>
            </w:r>
          </w:p>
        </w:tc>
        <w:tc>
          <w:tcPr>
            <w:tcW w:w="1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6/4/2014</w:t>
            </w:r>
          </w:p>
        </w:tc>
        <w:tc>
          <w:tcPr>
            <w:tcW w:w="840" w:type="dxa"/>
            <w:vAlign w:val="bottom"/>
          </w:tcPr>
          <w:p>
            <w:pPr>
              <w:jc w:val="right"/>
              <w:spacing w:after="0"/>
              <w:rPr>
                <w:sz w:val="20"/>
                <w:szCs w:val="20"/>
                <w:color w:val="auto"/>
              </w:rPr>
            </w:pPr>
            <w:r>
              <w:rPr>
                <w:rFonts w:ascii="Arial" w:cs="Arial" w:eastAsia="Arial" w:hAnsi="Arial"/>
                <w:sz w:val="18"/>
                <w:szCs w:val="18"/>
                <w:color w:val="auto"/>
              </w:rPr>
              <w:t>8,874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4,254</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Other</w:t>
            </w:r>
          </w:p>
        </w:tc>
        <w:tc>
          <w:tcPr>
            <w:tcW w:w="3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(5)(7)</w:t>
            </w:r>
          </w:p>
        </w:tc>
        <w:tc>
          <w:tcPr>
            <w:tcW w:w="3200" w:type="dxa"/>
            <w:vAlign w:val="bottom"/>
          </w:tcPr>
          <w:p>
            <w:pPr>
              <w:ind w:left="380"/>
              <w:spacing w:after="0"/>
              <w:rPr>
                <w:sz w:val="20"/>
                <w:szCs w:val="20"/>
                <w:color w:val="auto"/>
              </w:rPr>
            </w:pPr>
            <w:r>
              <w:rPr>
                <w:rFonts w:ascii="Arial" w:cs="Arial" w:eastAsia="Arial" w:hAnsi="Arial"/>
                <w:sz w:val="18"/>
                <w:szCs w:val="18"/>
                <w:color w:val="auto"/>
              </w:rPr>
              <w:t>Structured Product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5.98%</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11/17/2014</w:t>
            </w:r>
          </w:p>
        </w:tc>
        <w:tc>
          <w:tcPr>
            <w:tcW w:w="840" w:type="dxa"/>
            <w:vAlign w:val="bottom"/>
          </w:tcPr>
          <w:p>
            <w:pPr>
              <w:jc w:val="right"/>
              <w:spacing w:after="0"/>
              <w:rPr>
                <w:sz w:val="20"/>
                <w:szCs w:val="20"/>
                <w:color w:val="auto"/>
              </w:rPr>
            </w:pPr>
            <w:r>
              <w:rPr>
                <w:rFonts w:ascii="Arial" w:cs="Arial" w:eastAsia="Arial" w:hAnsi="Arial"/>
                <w:sz w:val="18"/>
                <w:szCs w:val="18"/>
                <w:color w:val="auto"/>
              </w:rPr>
              <w:t>5,531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5,526</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5"/>
        </w:trPr>
        <w:tc>
          <w:tcPr>
            <w:tcW w:w="2740" w:type="dxa"/>
            <w:vAlign w:val="bottom"/>
            <w:tcBorders>
              <w:top w:val="single" w:sz="8" w:color="CFF0FC"/>
            </w:tcBorders>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320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Investments</w:t>
            </w:r>
          </w:p>
        </w:tc>
        <w:tc>
          <w:tcPr>
            <w:tcW w:w="3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21,503</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14,893</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3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6"/>
              </w:rPr>
              <w:t>$ 1,273,252</w:t>
            </w:r>
          </w:p>
        </w:tc>
        <w:tc>
          <w:tcPr>
            <w:tcW w:w="2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6"/>
              </w:rPr>
              <w:t>$ 1,263,511</w:t>
            </w: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line="250"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ind w:left="520" w:right="380" w:hanging="512"/>
        <w:spacing w:after="0" w:line="250"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was pledged as collateral supporting the amounts outstanding under the SPV Asset Facility (see Note 7).</w:t>
      </w:r>
    </w:p>
    <w:p>
      <w:pPr>
        <w:ind w:left="520" w:right="360" w:hanging="512"/>
        <w:spacing w:after="0" w:line="265" w:lineRule="auto"/>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520" w:right="400" w:hanging="512"/>
        <w:spacing w:after="0" w:line="250"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7" w:name="page88"/>
    <w:bookmarkEnd w:id="87"/>
    <w:p>
      <w:pPr>
        <w:ind w:left="520" w:right="60" w:hanging="512"/>
        <w:spacing w:after="0" w:line="279"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left="76"/>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Fair Value at</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18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Company</w:t>
            </w:r>
          </w:p>
        </w:tc>
        <w:tc>
          <w:tcPr>
            <w:tcW w:w="1020" w:type="dxa"/>
            <w:vAlign w:val="bottom"/>
          </w:tcPr>
          <w:p>
            <w:pPr>
              <w:jc w:val="center"/>
              <w:ind w:left="7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Income</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1020" w:type="dxa"/>
            <w:vAlign w:val="bottom"/>
          </w:tcPr>
          <w:p>
            <w:pPr>
              <w:jc w:val="center"/>
              <w:ind w:left="96"/>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Gain/(Losses)</w:t>
            </w:r>
          </w:p>
        </w:tc>
        <w:tc>
          <w:tcPr>
            <w:tcW w:w="10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37"/>
        </w:trPr>
        <w:tc>
          <w:tcPr>
            <w:tcW w:w="170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Mississippi</w:t>
            </w:r>
          </w:p>
        </w:tc>
        <w:tc>
          <w:tcPr>
            <w:tcW w:w="18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Resources, LLC</w:t>
            </w:r>
          </w:p>
        </w:tc>
        <w:tc>
          <w:tcPr>
            <w:tcW w:w="1020" w:type="dxa"/>
            <w:vAlign w:val="bottom"/>
            <w:shd w:val="clear" w:color="auto" w:fill="CFF0FC"/>
          </w:tcPr>
          <w:p>
            <w:pPr>
              <w:jc w:val="right"/>
              <w:ind w:right="896"/>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47,580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(5,944)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41,636</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02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9"/>
              </w:rPr>
              <w:t>—</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47,580</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b w:val="1"/>
                <w:bCs w:val="1"/>
                <w:color w:val="auto"/>
                <w:w w:val="85"/>
              </w:rPr>
              <w:t>—</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w w:val="85"/>
              </w:rPr>
              <w:t>(5,944)</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ind w:left="860"/>
              <w:spacing w:after="0" w:line="155" w:lineRule="exact"/>
              <w:rPr>
                <w:sz w:val="20"/>
                <w:szCs w:val="20"/>
                <w:color w:val="auto"/>
              </w:rPr>
            </w:pPr>
            <w:r>
              <w:rPr>
                <w:rFonts w:ascii="Arial" w:cs="Arial" w:eastAsia="Arial" w:hAnsi="Arial"/>
                <w:sz w:val="14"/>
                <w:szCs w:val="14"/>
                <w:b w:val="1"/>
                <w:bCs w:val="1"/>
                <w:color w:val="auto"/>
                <w:w w:val="85"/>
              </w:rPr>
              <w:t>—</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right="140" w:hanging="376"/>
        <w:spacing w:after="0" w:line="258" w:lineRule="auto"/>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140" w:right="260" w:hanging="376"/>
        <w:spacing w:after="0" w:line="261" w:lineRule="auto"/>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December 31, 2014, the tax cost of the Company’s investments approximates their amortized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December 31, 2015</w:t>
            </w:r>
          </w:p>
        </w:tc>
        <w:tc>
          <w:tcPr>
            <w:tcW w:w="120" w:type="dxa"/>
            <w:vAlign w:val="bottom"/>
          </w:tcPr>
          <w:p>
            <w:pPr>
              <w:spacing w:after="0"/>
              <w:rPr>
                <w:sz w:val="14"/>
                <w:szCs w:val="14"/>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December 31, 2014</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95,298</w:t>
            </w:r>
          </w:p>
        </w:tc>
        <w:tc>
          <w:tcPr>
            <w:tcW w:w="160" w:type="dxa"/>
            <w:vAlign w:val="bottom"/>
          </w:tcPr>
          <w:p>
            <w:pPr>
              <w:spacing w:after="0"/>
              <w:rPr>
                <w:sz w:val="19"/>
                <w:szCs w:val="19"/>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104,475</w:t>
            </w:r>
          </w:p>
        </w:tc>
        <w:tc>
          <w:tcPr>
            <w:tcW w:w="26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(28,568)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(17,722)</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85,050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74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 Share</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Arial" w:cs="Arial" w:eastAsia="Arial" w:hAnsi="Arial"/>
                <w:sz w:val="18"/>
                <w:szCs w:val="18"/>
                <w:b w:val="1"/>
                <w:bCs w:val="1"/>
                <w:color w:val="auto"/>
              </w:rPr>
              <w:t>Transactions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234,419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(62,332)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(80,077)</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(48,301)</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realized gains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(1,249)</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(78,232)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175,659</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Increase (Decrease) in Net Assets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beginning of period</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820,741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835,405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574,696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Arial" w:cs="Arial" w:eastAsia="Arial" w:hAnsi="Arial"/>
                <w:sz w:val="18"/>
                <w:szCs w:val="18"/>
                <w:b w:val="1"/>
                <w:bCs w:val="1"/>
                <w:color w:val="auto"/>
              </w:rPr>
              <w:t>End of the Period</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27,521</w:t>
            </w:r>
          </w:p>
        </w:tc>
        <w:tc>
          <w:tcPr>
            <w:tcW w:w="16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6,555</w:t>
            </w:r>
          </w:p>
        </w:tc>
        <w:tc>
          <w:tcPr>
            <w:tcW w:w="26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December 31, 2015</w:t>
            </w:r>
          </w:p>
        </w:tc>
        <w:tc>
          <w:tcPr>
            <w:tcW w:w="100" w:type="dxa"/>
            <w:vAlign w:val="bottom"/>
          </w:tcPr>
          <w:p>
            <w:pPr>
              <w:spacing w:after="0"/>
              <w:rPr>
                <w:sz w:val="14"/>
                <w:szCs w:val="14"/>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December 31, 2014</w:t>
            </w:r>
          </w:p>
        </w:tc>
        <w:tc>
          <w:tcPr>
            <w:tcW w:w="100" w:type="dxa"/>
            <w:vAlign w:val="bottom"/>
          </w:tcPr>
          <w:p>
            <w:pPr>
              <w:spacing w:after="0"/>
              <w:rPr>
                <w:sz w:val="14"/>
                <w:szCs w:val="14"/>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9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63,568</w:t>
            </w:r>
          </w:p>
        </w:tc>
        <w:tc>
          <w:tcPr>
            <w:tcW w:w="160" w:type="dxa"/>
            <w:vAlign w:val="bottom"/>
          </w:tcPr>
          <w:p>
            <w:pPr>
              <w:spacing w:after="0"/>
              <w:rPr>
                <w:sz w:val="19"/>
                <w:szCs w:val="19"/>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85,050</w:t>
            </w:r>
          </w:p>
        </w:tc>
        <w:tc>
          <w:tcPr>
            <w:tcW w:w="16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used in operating activities:</w:t>
            </w: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15"/>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transactions</w:t>
            </w: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(6,275)</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(11,173)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Net change in unrealized losses on interest rate swaps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Net amortization of discount on securities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Accretion of discount on Convertible Senior Notes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investments, net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(757,295)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(974,824)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(602,988)</w:t>
            </w: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100,656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(183,506)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(148,831)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847,547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1,108,097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Payments on debt</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(584,481)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(1,135,388)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(801,569)</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(6,766)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underwriting costs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234,419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(78,063)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(52,589)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(24,396)</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147,773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and Cash Equivalents, End of Period</w:t>
            </w: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9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Excise taxes paid during the period</w:t>
            </w:r>
          </w:p>
        </w:tc>
        <w:tc>
          <w:tcPr>
            <w:tcW w:w="9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9"/>
                <w:szCs w:val="19"/>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9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84,297</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81,326</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9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6,094</w:t>
            </w:r>
          </w:p>
        </w:tc>
        <w:tc>
          <w:tcPr>
            <w:tcW w:w="160" w:type="dxa"/>
            <w:vAlign w:val="bottom"/>
          </w:tcPr>
          <w:p>
            <w:pPr>
              <w:spacing w:after="0"/>
              <w:rPr>
                <w:sz w:val="20"/>
                <w:szCs w:val="20"/>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22,566</w:t>
            </w:r>
          </w:p>
        </w:tc>
        <w:tc>
          <w:tcPr>
            <w:tcW w:w="160" w:type="dxa"/>
            <w:vAlign w:val="bottom"/>
          </w:tcPr>
          <w:p>
            <w:pPr>
              <w:spacing w:after="0"/>
              <w:rPr>
                <w:sz w:val="20"/>
                <w:szCs w:val="20"/>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1" w:name="page92"/>
    <w:bookmarkEnd w:id="91"/>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2015,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8"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59" w:lineRule="exact"/>
        <w:rPr>
          <w:sz w:val="20"/>
          <w:szCs w:val="20"/>
          <w:color w:val="auto"/>
        </w:rPr>
      </w:pPr>
    </w:p>
    <w:p>
      <w:pPr>
        <w:ind w:left="520" w:hanging="255"/>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259"/>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ind w:right="28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60" w:hanging="255"/>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80" w:hanging="255"/>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34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3" w:name="page94"/>
    <w:bookmarkEnd w:id="93"/>
    <w:p>
      <w:pPr>
        <w:ind w:right="400" w:firstLine="259"/>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22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71"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primarily uses newly issued shares to implement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 xml:space="preserve">In April 2015, the Financial Accounting Standards Board issued Accounting Standards Update No. 2015-03 (“ASU 2015-03”), </w:t>
      </w:r>
      <w:r>
        <w:rPr>
          <w:rFonts w:ascii="Arial" w:cs="Arial" w:eastAsia="Arial" w:hAnsi="Arial"/>
          <w:sz w:val="18"/>
          <w:szCs w:val="18"/>
          <w:i w:val="1"/>
          <w:iCs w:val="1"/>
          <w:color w:val="auto"/>
        </w:rPr>
        <w:t>"Interest – Imputation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(Subtopic 835-30): Simplifying the Presentation of Debt Issuance Costs." </w:t>
      </w:r>
      <w:r>
        <w:rPr>
          <w:rFonts w:ascii="Arial" w:cs="Arial" w:eastAsia="Arial" w:hAnsi="Arial"/>
          <w:sz w:val="18"/>
          <w:szCs w:val="18"/>
          <w:color w:val="auto"/>
        </w:rPr>
        <w:t>ASU 2015-03 requires that debt issuance costs be presented as a direct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from the carrying amount of the related debt liability, consistent with the presentation of debt discounts. Prior to the issuance of ASU 2015-03, debt issuance costs were required to be presented as deferred charge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is currently evaluating the impact of adopting this ASU on its consolidated financial statements.</w:t>
      </w:r>
    </w:p>
    <w:p>
      <w:pPr>
        <w:spacing w:after="0" w:line="189"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 xml:space="preserve">In February 2015, the Financial Accounting Standards Board issued Accounting Standards Update No. 2015-02 (“ASU 2015-02”), </w:t>
      </w:r>
      <w:r>
        <w:rPr>
          <w:rFonts w:ascii="Arial" w:cs="Arial" w:eastAsia="Arial" w:hAnsi="Arial"/>
          <w:sz w:val="18"/>
          <w:szCs w:val="18"/>
          <w:i w:val="1"/>
          <w:iCs w:val="1"/>
          <w:color w:val="auto"/>
        </w:rPr>
        <w:t>“Consolidation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810): Amendments to the Consolidation Analysis.” </w:t>
      </w:r>
      <w:r>
        <w:rPr>
          <w:rFonts w:ascii="Arial" w:cs="Arial" w:eastAsia="Arial" w:hAnsi="Arial"/>
          <w:sz w:val="18"/>
          <w:szCs w:val="18"/>
          <w:color w:val="auto"/>
        </w:rPr>
        <w:t>ASU 2015-02 modifies the consolidation analysis for limited partnerships and similar type entities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variable interests in a variable interest entity, particularly those that have fee arrangements and related party relationships. Additionally, it provides a scope exception to the consolidation guidance for certain entities. ASU No. 2015-02 is effective for financial statements issued for fiscal years beginning after December 15, 2015, and interim periods within those fiscal years, with early adoption permitted. The Company is currently evaluating the impact of adopting this ASU on its consolidated financial statements.</w:t>
      </w:r>
    </w:p>
    <w:p>
      <w:pPr>
        <w:spacing w:after="0" w:line="193" w:lineRule="exact"/>
        <w:rPr>
          <w:sz w:val="20"/>
          <w:szCs w:val="20"/>
          <w:color w:val="auto"/>
        </w:rPr>
      </w:pPr>
    </w:p>
    <w:p>
      <w:pPr>
        <w:ind w:right="100" w:firstLine="259"/>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Going Concern (Subtopic 205 – 40): Disclosure of Uncertainties About an Entity’s Ability to Continue as a Going Concern</w:t>
      </w:r>
      <w:r>
        <w:rPr>
          <w:rFonts w:ascii="Arial" w:cs="Arial" w:eastAsia="Arial" w:hAnsi="Arial"/>
          <w:sz w:val="17"/>
          <w:szCs w:val="17"/>
          <w:color w:val="auto"/>
        </w:rPr>
        <w:t>.” ASU 2014-15</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79"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2014-09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The guidance in this ASU supersedes the revenue recognition requirements in Topic 605, Revenue Recognition. Under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 entity should recognize revenue to depict the transfer of promised goods or services to customers in an amount that reflects the consideration to which the entity expects to be entitled in exchange for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95" w:name="page96"/>
    <w:bookmarkEnd w:id="95"/>
    <w:p>
      <w:pPr>
        <w:jc w:val="both"/>
        <w:ind w:right="220"/>
        <w:spacing w:after="0" w:line="264" w:lineRule="auto"/>
        <w:rPr>
          <w:sz w:val="20"/>
          <w:szCs w:val="20"/>
          <w:color w:val="auto"/>
        </w:rPr>
      </w:pPr>
      <w:r>
        <w:rPr>
          <w:rFonts w:ascii="Arial" w:cs="Arial" w:eastAsia="Arial" w:hAnsi="Arial"/>
          <w:sz w:val="18"/>
          <w:szCs w:val="18"/>
          <w:color w:val="auto"/>
        </w:rPr>
        <w:t>those goods or services. The amendments in ASU 2014-09 are effective for public companies for interim and annual periods beginning after December 15, 2017, with early adoption permitted for interim and annual periods beginning after December 15, 2016. The Company is currently evaluating the impact of adopting this ASU on its consolidated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For the years ended December 31, 2015, 2014 and 2013, the Company incurred expenses of $3.6 million, $2.7 million and $1.4 million, respectively, for administrative services payable to the Adviser under the terms of the Administration Agreement.</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until November 3,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years ended December 31, 2015, 2014 and 2013, Management Fees were $21.3 million, $18.3 million and $13.4 million, respectively.</w:t>
      </w:r>
    </w:p>
    <w:p>
      <w:pPr>
        <w:spacing w:after="0" w:line="23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Until the Company’s initial public offering (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 (the “Pre-IPO Waiver”).</w:t>
      </w:r>
    </w:p>
    <w:p>
      <w:pPr>
        <w:spacing w:after="0" w:line="18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In addition, the Adviser has voluntarily waived the Management Fee on the Company’s ownership of shares of common stock in TICC Capital Corp. (the “TICC Shares”) for any period in which TICC Capital Corp. remains a portfolio company of the Company.</w:t>
      </w:r>
    </w:p>
    <w:p>
      <w:pPr>
        <w:spacing w:after="0" w:line="170" w:lineRule="exact"/>
        <w:rPr>
          <w:sz w:val="20"/>
          <w:szCs w:val="20"/>
          <w:color w:val="auto"/>
        </w:rPr>
      </w:pPr>
    </w:p>
    <w:p>
      <w:pPr>
        <w:ind w:right="680" w:firstLine="259"/>
        <w:spacing w:after="0" w:line="312" w:lineRule="auto"/>
        <w:rPr>
          <w:sz w:val="20"/>
          <w:szCs w:val="20"/>
          <w:color w:val="auto"/>
        </w:rPr>
      </w:pPr>
      <w:r>
        <w:rPr>
          <w:rFonts w:ascii="Arial" w:cs="Arial" w:eastAsia="Arial" w:hAnsi="Arial"/>
          <w:sz w:val="16"/>
          <w:szCs w:val="16"/>
          <w:color w:val="auto"/>
        </w:rPr>
        <w:t>For the year ended December 31, 2015, Management Fees of $0.1 million were waived, consisting solely of Management Fees attributable to the Company’s ownership of the TICC shares. For the years ended December 31, 2014 and 2013, Management Fees of $2.5 million and $7.1 million, respectively, were waived pursuant to the Pre-IPO Waiver. Any waived Management Fees are not subject to recoupment by the Adviser.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6" w:name="page97"/>
    <w:bookmarkEnd w:id="96"/>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0" w:hanging="255"/>
        <w:spacing w:after="0" w:line="254"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84" w:lineRule="exact"/>
        <w:rPr>
          <w:rFonts w:ascii="Arial" w:cs="Arial" w:eastAsia="Arial" w:hAnsi="Arial"/>
          <w:sz w:val="18"/>
          <w:szCs w:val="18"/>
          <w:color w:val="auto"/>
        </w:rPr>
      </w:pPr>
    </w:p>
    <w:p>
      <w:pPr>
        <w:ind w:left="520"/>
        <w:spacing w:after="0" w:line="254" w:lineRule="auto"/>
        <w:rPr>
          <w:rFonts w:ascii="Arial" w:cs="Arial" w:eastAsia="Arial" w:hAnsi="Arial"/>
          <w:sz w:val="18"/>
          <w:szCs w:val="18"/>
          <w:color w:val="auto"/>
        </w:rPr>
      </w:pPr>
      <w:r>
        <w:rPr>
          <w:rFonts w:ascii="Arial" w:cs="Arial" w:eastAsia="Arial" w:hAnsi="Arial"/>
          <w:sz w:val="18"/>
          <w:szCs w:val="18"/>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rFonts w:ascii="Arial" w:cs="Arial" w:eastAsia="Arial" w:hAnsi="Arial"/>
          <w:sz w:val="18"/>
          <w:szCs w:val="18"/>
          <w:color w:val="auto"/>
        </w:rPr>
      </w:pPr>
    </w:p>
    <w:p>
      <w:pPr>
        <w:ind w:left="520" w:right="180"/>
        <w:spacing w:after="0" w:line="255" w:lineRule="auto"/>
        <w:rPr>
          <w:rFonts w:ascii="Arial" w:cs="Arial" w:eastAsia="Arial" w:hAnsi="Arial"/>
          <w:sz w:val="18"/>
          <w:szCs w:val="18"/>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81" w:lineRule="exact"/>
        <w:rPr>
          <w:rFonts w:ascii="Arial" w:cs="Arial" w:eastAsia="Arial" w:hAnsi="Arial"/>
          <w:sz w:val="18"/>
          <w:szCs w:val="18"/>
          <w:color w:val="auto"/>
        </w:rPr>
      </w:pPr>
    </w:p>
    <w:p>
      <w:pPr>
        <w:ind w:left="520" w:right="40" w:hanging="255"/>
        <w:spacing w:after="0" w:line="289" w:lineRule="auto"/>
        <w:tabs>
          <w:tab w:leader="none" w:pos="5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16" w:lineRule="exact"/>
        <w:rPr>
          <w:sz w:val="20"/>
          <w:szCs w:val="20"/>
          <w:color w:val="auto"/>
        </w:rPr>
      </w:pPr>
    </w:p>
    <w:p>
      <w:pPr>
        <w:ind w:left="520" w:hanging="255"/>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17" w:lineRule="exact"/>
        <w:rPr>
          <w:rFonts w:ascii="Arial" w:cs="Arial" w:eastAsia="Arial" w:hAnsi="Arial"/>
          <w:sz w:val="18"/>
          <w:szCs w:val="18"/>
          <w:color w:val="auto"/>
        </w:rPr>
      </w:pPr>
    </w:p>
    <w:p>
      <w:pPr>
        <w:ind w:left="520" w:right="360" w:hanging="255"/>
        <w:spacing w:after="0" w:line="277"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62" w:lineRule="exact"/>
        <w:rPr>
          <w:rFonts w:ascii="Arial" w:cs="Arial" w:eastAsia="Arial" w:hAnsi="Arial"/>
          <w:sz w:val="18"/>
          <w:szCs w:val="18"/>
          <w:color w:val="auto"/>
        </w:rPr>
      </w:pPr>
    </w:p>
    <w:p>
      <w:pPr>
        <w:ind w:left="520" w:right="280" w:hanging="255"/>
        <w:spacing w:after="0" w:line="308"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80" w:firstLine="259"/>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7" w:name="page98"/>
    <w:bookmarkEnd w:id="97"/>
    <w:p>
      <w:pPr>
        <w:ind w:right="260" w:firstLine="259"/>
        <w:spacing w:after="0" w:line="264" w:lineRule="auto"/>
        <w:rPr>
          <w:sz w:val="20"/>
          <w:szCs w:val="20"/>
          <w:color w:val="auto"/>
        </w:rPr>
      </w:pPr>
      <w:r>
        <w:rPr>
          <w:rFonts w:ascii="Arial" w:cs="Arial" w:eastAsia="Arial" w:hAnsi="Arial"/>
          <w:sz w:val="18"/>
          <w:szCs w:val="18"/>
          <w:color w:val="auto"/>
        </w:rPr>
        <w:t>For the year ended December 31, 2015, Incentive Fees were $20.2 million which were realized and payable to the Adviser. For the year ended December 31, 2014, Incentive Fees were $17.8 million, of which $20.8 million were realized and payable to the Adviser. For the year ended December 31, 2013, Incentive Fees were $11.8 million, of which $10.4 million were realized and payable to the Adviser.</w:t>
      </w:r>
    </w:p>
    <w:p>
      <w:pPr>
        <w:spacing w:after="0" w:line="181"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8"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For the year ended December 31, 2015, Incentive Fees of $0.2 million were waived, consisting solely of Incentive Fees attributable to the Company’s ownership of the TICC Shares. For the years ending December 31, 2014 and 2013, no Incentive Fees were waived, as the Company did not hold any TICC Shares during such periods. Any waived Incentive Fees are not subject to recoupment by the Adviser.</w:t>
      </w:r>
    </w:p>
    <w:p>
      <w:pPr>
        <w:spacing w:after="0" w:line="18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Following the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continue to pay the full amount of the Management Fee and Incentive Fee, including with respect to the TICC Shares, in future periods.</w:t>
      </w:r>
    </w:p>
    <w:p>
      <w:pPr>
        <w:spacing w:after="0" w:line="173"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until November 3, 2016,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40" w:firstLine="259"/>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December 31, 2015 and 2014: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2015</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6"/>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720" w:type="dxa"/>
            <w:vAlign w:val="bottom"/>
            <w:gridSpan w:val="3"/>
          </w:tcPr>
          <w:p>
            <w:pPr>
              <w:ind w:left="154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1,333,080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1,310,183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(1,786)</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(14,458)</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0" w:type="dxa"/>
            <w:vAlign w:val="bottom"/>
            <w:gridSpan w:val="2"/>
          </w:tcPr>
          <w:p>
            <w:pPr>
              <w:ind w:left="620"/>
              <w:spacing w:after="0"/>
              <w:rPr>
                <w:sz w:val="20"/>
                <w:szCs w:val="20"/>
                <w:color w:val="auto"/>
              </w:rPr>
            </w:pPr>
            <w:r>
              <w:rPr>
                <w:rFonts w:ascii="Arial" w:cs="Arial" w:eastAsia="Arial" w:hAnsi="Arial"/>
                <w:sz w:val="18"/>
                <w:szCs w:val="18"/>
                <w:color w:val="auto"/>
              </w:rPr>
              <w:t>F-22</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8" w:name="page99"/>
    <w:bookmarkEnd w:id="98"/>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2014</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80" w:type="dxa"/>
            <w:vAlign w:val="bottom"/>
            <w:gridSpan w:val="3"/>
          </w:tcPr>
          <w:p>
            <w:pPr>
              <w:ind w:left="11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Gain (Loss)</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1,127,215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1,124,246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111,120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111,408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(6,610)</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1,273,252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80" w:hanging="512"/>
        <w:spacing w:after="0" w:line="277"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2015 and 2014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5"/>
              </w:rPr>
              <w:t>December 31, 2015</w:t>
            </w:r>
          </w:p>
        </w:tc>
        <w:tc>
          <w:tcPr>
            <w:tcW w:w="3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December 31, 2014</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Chemicals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Electronics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Healthcare</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Internet services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Metals and mining</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Pharmaceuticals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2015 and 2014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2015</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Midwest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South</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14" w:right="339" w:bottom="1440" w:gutter="0" w:footer="0" w:header="0"/>
        </w:sectPr>
      </w:pPr>
    </w:p>
    <w:bookmarkStart w:id="99" w:name="page100"/>
    <w:bookmarkEnd w:id="99"/>
    <w:p>
      <w:pPr>
        <w:ind w:right="100"/>
        <w:spacing w:after="0" w:line="255" w:lineRule="auto"/>
        <w:rPr>
          <w:sz w:val="20"/>
          <w:szCs w:val="20"/>
          <w:color w:val="auto"/>
        </w:rPr>
      </w:pPr>
      <w:r>
        <w:rPr>
          <w:rFonts w:ascii="Arial" w:cs="Arial" w:eastAsia="Arial" w:hAnsi="Arial"/>
          <w:sz w:val="18"/>
          <w:szCs w:val="18"/>
          <w:color w:val="auto"/>
        </w:rPr>
        <w:t>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93"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During the year ended December 31, 2015, the Company entered into foreign currency forward contracts related to its non-USD investments. The Company did not have any open foreign currency forward contracts as of December 31, 2015.</w:t>
      </w:r>
    </w:p>
    <w:p>
      <w:pPr>
        <w:spacing w:after="0" w:line="170"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within the Company’s consolidated balance sheets.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June 2014, the Company entered into two interest rate swap transactions, each with a $57.5 million notional amount. As of December 31, 2014 the Company received fixed rate interest at 4.50% and paid variable rate interest based on the three-month London Interbank Offered Rate (“LIBOR”) plus 252.9 basis points.</w:t>
      </w:r>
    </w:p>
    <w:p>
      <w:pPr>
        <w:spacing w:after="0" w:line="181" w:lineRule="exact"/>
        <w:rPr>
          <w:sz w:val="20"/>
          <w:szCs w:val="20"/>
          <w:color w:val="auto"/>
        </w:rPr>
      </w:pPr>
    </w:p>
    <w:p>
      <w:pPr>
        <w:ind w:right="60" w:firstLine="259"/>
        <w:spacing w:after="0" w:line="308" w:lineRule="auto"/>
        <w:rPr>
          <w:sz w:val="20"/>
          <w:szCs w:val="20"/>
          <w:color w:val="auto"/>
        </w:rPr>
      </w:pPr>
      <w:r>
        <w:rPr>
          <w:rFonts w:ascii="Arial" w:cs="Arial" w:eastAsia="Arial" w:hAnsi="Arial"/>
          <w:sz w:val="17"/>
          <w:szCs w:val="17"/>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4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November 2015, the Company entered into two interest rate swap transactions, each with a $46.3 million notional amount. As of December 31, 2015, the Company receives three-month LIBOR and paid fixed rate interest at 1.16%.</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 presents the gross and net information on the Company’s interest rate swap transactions that are eligible for offset in the Company’s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6"/>
          </w:tcPr>
          <w:p>
            <w:pPr>
              <w:jc w:val="right"/>
              <w:ind w:right="7"/>
              <w:spacing w:after="0"/>
              <w:rPr>
                <w:sz w:val="20"/>
                <w:szCs w:val="20"/>
                <w:color w:val="auto"/>
              </w:rPr>
            </w:pPr>
            <w:r>
              <w:rPr>
                <w:rFonts w:ascii="Arial" w:cs="Arial" w:eastAsia="Arial" w:hAnsi="Arial"/>
                <w:sz w:val="14"/>
                <w:szCs w:val="14"/>
                <w:b w:val="1"/>
                <w:bCs w:val="1"/>
                <w:color w:val="auto"/>
              </w:rPr>
              <w:t>Year Ended December 31, 2015</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Gross Amount</w:t>
            </w:r>
          </w:p>
        </w:tc>
        <w:tc>
          <w:tcPr>
            <w:tcW w:w="300" w:type="dxa"/>
            <w:vAlign w:val="bottom"/>
          </w:tcPr>
          <w:p>
            <w:pPr>
              <w:spacing w:after="0"/>
              <w:rPr>
                <w:sz w:val="11"/>
                <w:szCs w:val="11"/>
                <w:color w:val="auto"/>
              </w:rPr>
            </w:pPr>
          </w:p>
        </w:tc>
        <w:tc>
          <w:tcPr>
            <w:tcW w:w="10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89"/>
              </w:rPr>
              <w:t>Assets in the</w:t>
            </w: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8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Account in the Consolidated</w:t>
            </w:r>
          </w:p>
        </w:tc>
        <w:tc>
          <w:tcPr>
            <w:tcW w:w="0" w:type="dxa"/>
            <w:vAlign w:val="bottom"/>
          </w:tcPr>
          <w:p>
            <w:pPr>
              <w:spacing w:after="0"/>
              <w:rPr>
                <w:sz w:val="1"/>
                <w:szCs w:val="1"/>
                <w:color w:val="auto"/>
              </w:rPr>
            </w:pPr>
          </w:p>
        </w:tc>
      </w:tr>
      <w:tr>
        <w:trPr>
          <w:trHeight w:val="149"/>
        </w:trPr>
        <w:tc>
          <w:tcPr>
            <w:tcW w:w="30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560" w:type="dxa"/>
            <w:vAlign w:val="bottom"/>
            <w:gridSpan w:val="3"/>
            <w:vMerge w:val="restart"/>
          </w:tcPr>
          <w:p>
            <w:pPr>
              <w:jc w:val="right"/>
              <w:ind w:right="425"/>
              <w:spacing w:after="0"/>
              <w:rPr>
                <w:sz w:val="20"/>
                <w:szCs w:val="20"/>
                <w:color w:val="auto"/>
              </w:rPr>
            </w:pPr>
            <w:r>
              <w:rPr>
                <w:rFonts w:ascii="Arial" w:cs="Arial" w:eastAsia="Arial" w:hAnsi="Arial"/>
                <w:sz w:val="14"/>
                <w:szCs w:val="14"/>
                <w:b w:val="1"/>
                <w:bCs w:val="1"/>
                <w:color w:val="auto"/>
              </w:rPr>
              <w:t>Maturity Date</w:t>
            </w:r>
          </w:p>
        </w:tc>
        <w:tc>
          <w:tcPr>
            <w:tcW w:w="1000" w:type="dxa"/>
            <w:vAlign w:val="bottom"/>
            <w:gridSpan w:val="2"/>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3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Balance Sheets</w:t>
            </w:r>
          </w:p>
        </w:tc>
        <w:tc>
          <w:tcPr>
            <w:tcW w:w="28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80" w:type="dxa"/>
            <w:vAlign w:val="bottom"/>
          </w:tcPr>
          <w:p>
            <w:pPr>
              <w:jc w:val="center"/>
              <w:ind w:right="99"/>
              <w:spacing w:after="0"/>
              <w:rPr>
                <w:sz w:val="20"/>
                <w:szCs w:val="20"/>
                <w:color w:val="auto"/>
              </w:rPr>
            </w:pPr>
            <w:r>
              <w:rPr>
                <w:rFonts w:ascii="Arial" w:cs="Arial" w:eastAsia="Arial" w:hAnsi="Arial"/>
                <w:sz w:val="14"/>
                <w:szCs w:val="14"/>
                <w:b w:val="1"/>
                <w:bCs w:val="1"/>
                <w:color w:val="auto"/>
                <w:w w:val="82"/>
              </w:rPr>
              <w:t>Assets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0"/>
              <w:spacing w:after="0"/>
              <w:rPr>
                <w:sz w:val="20"/>
                <w:szCs w:val="20"/>
                <w:color w:val="auto"/>
              </w:rPr>
            </w:pPr>
            <w:r>
              <w:rPr>
                <w:rFonts w:ascii="Arial" w:cs="Arial" w:eastAsia="Arial" w:hAnsi="Arial"/>
                <w:sz w:val="14"/>
                <w:szCs w:val="14"/>
                <w:b w:val="1"/>
                <w:bCs w:val="1"/>
                <w:color w:val="auto"/>
                <w:w w:val="86"/>
              </w:rPr>
              <w:t>Balance Sheets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1"/>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09"/>
        </w:trPr>
        <w:tc>
          <w:tcPr>
            <w:tcW w:w="30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Receivable for interest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12/15/2019  $</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rate swaps</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Receivable for interest</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rate swap</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10/5/2018</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bottom w:val="single" w:sz="8" w:color="CFF0FC"/>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 swaps</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40" w:hanging="512"/>
        <w:spacing w:after="0" w:line="258"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our investment in individual portfolio companies as a result of arrangements with other lenders in the syndicate.</w:t>
      </w:r>
    </w:p>
    <w:p>
      <w:pPr>
        <w:spacing w:after="0" w:line="1"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of December 31, 2015, $0.9 million of cash is pledged as collateral under the Company’s derivative instruments and is included in restricted cash as a component of Prepaid Expenses and Other Assets in the Company’s consolidated balance sheets.</w:t>
      </w:r>
    </w:p>
    <w:p>
      <w:pPr>
        <w:spacing w:after="0" w:line="184" w:lineRule="exact"/>
        <w:rPr>
          <w:sz w:val="20"/>
          <w:szCs w:val="20"/>
          <w:color w:val="auto"/>
        </w:rPr>
      </w:pPr>
    </w:p>
    <w:p>
      <w:pPr>
        <w:jc w:val="both"/>
        <w:ind w:right="40" w:firstLine="259"/>
        <w:spacing w:after="0" w:line="286" w:lineRule="auto"/>
        <w:rPr>
          <w:sz w:val="20"/>
          <w:szCs w:val="20"/>
          <w:color w:val="auto"/>
        </w:rPr>
      </w:pPr>
      <w:r>
        <w:rPr>
          <w:rFonts w:ascii="Arial" w:cs="Arial" w:eastAsia="Arial" w:hAnsi="Arial"/>
          <w:sz w:val="17"/>
          <w:szCs w:val="17"/>
          <w:color w:val="auto"/>
        </w:rPr>
        <w:t>During the year ended December 31, 2015, the Company received $5.2 million and paid $3.7 million related to the quarterly settlements of its interest rate swaps. During the year ended December 31, 2014, the Company received $2.6 million and paid $1.6 million related to the quarterly settlements of its interest rate swaps. These net amounts are reductions to interest expense in the Company’s consolidated statements of operations.</w:t>
      </w:r>
    </w:p>
    <w:p>
      <w:pPr>
        <w:spacing w:after="0" w:line="166"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For the years ended December 31, 2015 and 2014, the Company recognized ($0.6) million and $1.0 million, respectively, in unrealized depreciation and appreciation on derivatives in the consolidated statement of operations related to the swap transactions.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0" w:name="page101"/>
    <w:bookmarkEnd w:id="100"/>
    <w:p>
      <w:pPr>
        <w:ind w:right="440"/>
        <w:spacing w:after="0" w:line="277" w:lineRule="auto"/>
        <w:rPr>
          <w:sz w:val="20"/>
          <w:szCs w:val="20"/>
          <w:color w:val="auto"/>
        </w:rPr>
      </w:pPr>
      <w:r>
        <w:rPr>
          <w:rFonts w:ascii="Arial" w:cs="Arial" w:eastAsia="Arial" w:hAnsi="Arial"/>
          <w:sz w:val="18"/>
          <w:szCs w:val="18"/>
          <w:color w:val="auto"/>
        </w:rPr>
        <w:t>of December 31, 2015 and 2014, the swap transactions had a fair value of $0.4 million and $1.0 million, respectively, which is included in receivable for interest rate swaps on the Company’s consolidated balance sheet.</w:t>
      </w:r>
    </w:p>
    <w:p>
      <w:pPr>
        <w:spacing w:after="0" w:line="170"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2015, $0.9 million of cash is pledged as collateral under the Company’s derivative instruments and is included in restricted cash as a component of other assets on the Company’s consolidated balance sheet. The Company also had less than $0.1 million of cash collateral posted as of December 31, 2014, which is also included in restricted cash as a component of other assets on the Company’s consolidated balance sheet.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December 31, 2015 and 2014:</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40" w:type="dxa"/>
            <w:vAlign w:val="bottom"/>
            <w:gridSpan w:val="7"/>
          </w:tcPr>
          <w:p>
            <w:pPr>
              <w:ind w:left="40"/>
              <w:spacing w:after="0"/>
              <w:rPr>
                <w:sz w:val="20"/>
                <w:szCs w:val="20"/>
                <w:color w:val="auto"/>
              </w:rPr>
            </w:pPr>
            <w:r>
              <w:rPr>
                <w:rFonts w:ascii="Arial" w:cs="Arial" w:eastAsia="Arial" w:hAnsi="Arial"/>
                <w:sz w:val="14"/>
                <w:szCs w:val="14"/>
                <w:b w:val="1"/>
                <w:bCs w:val="1"/>
                <w:color w:val="auto"/>
                <w:w w:val="95"/>
              </w:rPr>
              <w:t>Fair Value Hierarchy at December 31, 2015</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156"/>
        </w:trPr>
        <w:tc>
          <w:tcPr>
            <w:tcW w:w="5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80,692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90,441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121,222</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26,338</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1,335,938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r>
      <w:tr>
        <w:trPr>
          <w:trHeight w:val="223"/>
        </w:trPr>
        <w:tc>
          <w:tcPr>
            <w:tcW w:w="5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1,335,938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1,486,111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7"/>
          </w:tcPr>
          <w:p>
            <w:pPr>
              <w:ind w:left="40"/>
              <w:spacing w:after="0"/>
              <w:rPr>
                <w:sz w:val="20"/>
                <w:szCs w:val="20"/>
                <w:color w:val="auto"/>
              </w:rPr>
            </w:pPr>
            <w:r>
              <w:rPr>
                <w:rFonts w:ascii="Arial" w:cs="Arial" w:eastAsia="Arial" w:hAnsi="Arial"/>
                <w:sz w:val="14"/>
                <w:szCs w:val="14"/>
                <w:b w:val="1"/>
                <w:bCs w:val="1"/>
                <w:color w:val="auto"/>
                <w:w w:val="95"/>
              </w:rPr>
              <w:t>Fair Value Hierarchy at December 31, 2014</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156"/>
        </w:trPr>
        <w:tc>
          <w:tcPr>
            <w:tcW w:w="5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64,910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1,124,246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111,408</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1,134,474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r>
      <w:tr>
        <w:trPr>
          <w:trHeight w:val="223"/>
        </w:trPr>
        <w:tc>
          <w:tcPr>
            <w:tcW w:w="5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1,134,474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1,264,531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2015 and 2014: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ind w:left="100"/>
              <w:spacing w:after="0"/>
              <w:rPr>
                <w:sz w:val="20"/>
                <w:szCs w:val="20"/>
                <w:color w:val="auto"/>
              </w:rPr>
            </w:pPr>
            <w:r>
              <w:rPr>
                <w:rFonts w:ascii="Arial" w:cs="Arial" w:eastAsia="Arial" w:hAnsi="Arial"/>
                <w:sz w:val="14"/>
                <w:szCs w:val="14"/>
                <w:b w:val="1"/>
                <w:bCs w:val="1"/>
                <w:color w:val="auto"/>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1,134,474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632,277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investments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(22,344)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(22,344)</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(438,438)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(443,325)</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(22,031)</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(5,362)</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2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1,229,491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1,335,938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F-25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5"/>
              </w:rPr>
              <w:t>December 31, 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4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debt</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and unsecured debt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and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854,972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960,307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770,732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861,414</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(94,952)</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(94,952)</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(473,178)</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(113,148)</w:t>
            </w:r>
          </w:p>
        </w:tc>
        <w:tc>
          <w:tcPr>
            <w:tcW w:w="1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(586,326)</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(15,365)</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(5,629)</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(27,003)</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18,347</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1,059,336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1,134,474</w:t>
            </w:r>
          </w:p>
        </w:tc>
        <w:tc>
          <w:tcPr>
            <w:tcW w:w="8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Quiksilver – Boardriders SA and Sears were transferred into Level 3 for fair value measurement purposes during the year ended December 31, 2015, as a result of changes in the observability of inputs into these securities valuation inputs.</w:t>
      </w:r>
    </w:p>
    <w:p>
      <w:pPr>
        <w:spacing w:after="0" w:line="170"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2015 and 2014:</w:t>
      </w:r>
    </w:p>
    <w:p>
      <w:pPr>
        <w:sectPr>
          <w:pgSz w:w="11900" w:h="16838" w:orient="portrait"/>
          <w:cols w:equalWidth="0" w:num="1">
            <w:col w:w="11420"/>
          </w:cols>
          <w:pgMar w:left="240" w:top="630" w:right="239" w:bottom="1440" w:gutter="0" w:footer="0" w:header="0"/>
        </w:sectPr>
      </w:pPr>
    </w:p>
    <w:p>
      <w:pPr>
        <w:spacing w:after="0" w:line="243"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left="506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December 31, 2015 on</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Investments Held at</w:t>
      </w:r>
    </w:p>
    <w:p>
      <w:pPr>
        <w:ind w:left="5420"/>
        <w:spacing w:after="0" w:line="233" w:lineRule="auto"/>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right="198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December 31, 2014 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Investments Held at</w:t>
      </w:r>
    </w:p>
    <w:p>
      <w:pPr>
        <w:ind w:left="360"/>
        <w:spacing w:after="0" w:line="233" w:lineRule="auto"/>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p>
    <w:p>
      <w:pPr>
        <w:sectPr>
          <w:pgSz w:w="11900" w:h="16838" w:orient="portrait"/>
          <w:cols w:equalWidth="0" w:num="2">
            <w:col w:w="6960" w:space="580"/>
            <w:col w:w="3880"/>
          </w:cols>
          <w:pgMar w:left="240" w:top="630" w:right="239" w:bottom="1440" w:gutter="0" w:footer="0" w:header="0"/>
          <w:type w:val="continuous"/>
        </w:sectPr>
      </w:pPr>
    </w:p>
    <w:tbl>
      <w:tblPr>
        <w:tblLayout w:type="fixed"/>
        <w:tblInd w:w="1720" w:type="dxa"/>
        <w:tblCellMar>
          <w:top w:w="0" w:type="dxa"/>
          <w:left w:w="0" w:type="dxa"/>
          <w:bottom w:w="0" w:type="dxa"/>
          <w:right w:w="0" w:type="dxa"/>
        </w:tblCellMar>
      </w:tblPr>
      <w:tr>
        <w:trPr>
          <w:trHeight w:val="20"/>
        </w:trPr>
        <w:tc>
          <w:tcPr>
            <w:tcW w:w="27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3"/>
        </w:trPr>
        <w:tc>
          <w:tcPr>
            <w:tcW w:w="27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First-lien debt investments</w:t>
            </w: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1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(9,373)</w:t>
            </w:r>
          </w:p>
        </w:tc>
        <w:tc>
          <w:tcPr>
            <w:tcW w:w="980" w:type="dxa"/>
            <w:vAlign w:val="bottom"/>
            <w:gridSpan w:val="2"/>
            <w:shd w:val="clear" w:color="auto" w:fill="CFF0FC"/>
          </w:tcPr>
          <w:p>
            <w:pPr>
              <w:jc w:val="right"/>
              <w:ind w:right="745"/>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(10,256)</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(2,374)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(7,378)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(5,629)</w:t>
            </w:r>
          </w:p>
        </w:tc>
      </w:tr>
      <w:tr>
        <w:trPr>
          <w:trHeight w:val="223"/>
        </w:trPr>
        <w:tc>
          <w:tcPr>
            <w:tcW w:w="2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December 31, 2015</w:t>
            </w:r>
          </w:p>
        </w:tc>
        <w:tc>
          <w:tcPr>
            <w:tcW w:w="2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46"/>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4"/>
                <w:szCs w:val="14"/>
                <w:b w:val="1"/>
                <w:bCs w:val="1"/>
                <w:color w:val="auto"/>
                <w:w w:val="95"/>
              </w:rPr>
              <w:t>Impact to Valuation</w:t>
            </w:r>
          </w:p>
        </w:tc>
      </w:t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2"/>
          </w:tcPr>
          <w:p>
            <w:pPr>
              <w:ind w:left="700"/>
              <w:spacing w:after="0"/>
              <w:rPr>
                <w:sz w:val="20"/>
                <w:szCs w:val="20"/>
                <w:color w:val="auto"/>
              </w:rPr>
            </w:pPr>
            <w:r>
              <w:rPr>
                <w:rFonts w:ascii="Arial" w:cs="Arial" w:eastAsia="Arial" w:hAnsi="Arial"/>
                <w:sz w:val="14"/>
                <w:szCs w:val="14"/>
                <w:b w:val="1"/>
                <w:bCs w:val="1"/>
                <w:color w:val="auto"/>
              </w:rPr>
              <w:t>Valuation</w:t>
            </w:r>
          </w:p>
        </w:tc>
        <w:tc>
          <w:tcPr>
            <w:tcW w:w="1960" w:type="dxa"/>
            <w:vAlign w:val="bottom"/>
            <w:gridSpan w:val="3"/>
          </w:tcPr>
          <w:p>
            <w:pPr>
              <w:ind w:left="320"/>
              <w:spacing w:after="0"/>
              <w:rPr>
                <w:sz w:val="20"/>
                <w:szCs w:val="20"/>
                <w:color w:val="auto"/>
              </w:rPr>
            </w:pPr>
            <w:r>
              <w:rPr>
                <w:rFonts w:ascii="Arial" w:cs="Arial" w:eastAsia="Arial" w:hAnsi="Arial"/>
                <w:sz w:val="14"/>
                <w:szCs w:val="14"/>
                <w:b w:val="1"/>
                <w:bCs w:val="1"/>
                <w:color w:val="auto"/>
              </w:rPr>
              <w:t>Unobservable</w:t>
            </w:r>
          </w:p>
        </w:tc>
        <w:tc>
          <w:tcPr>
            <w:tcW w:w="262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from an Increase to</w:t>
            </w: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140" w:type="dxa"/>
            <w:vAlign w:val="bottom"/>
            <w:gridSpan w:val="2"/>
          </w:tcPr>
          <w:p>
            <w:pPr>
              <w:ind w:left="680"/>
              <w:spacing w:after="0"/>
              <w:rPr>
                <w:sz w:val="20"/>
                <w:szCs w:val="20"/>
                <w:color w:val="auto"/>
              </w:rPr>
            </w:pPr>
            <w:r>
              <w:rPr>
                <w:rFonts w:ascii="Arial" w:cs="Arial" w:eastAsia="Arial" w:hAnsi="Arial"/>
                <w:sz w:val="14"/>
                <w:szCs w:val="14"/>
                <w:b w:val="1"/>
                <w:bCs w:val="1"/>
                <w:color w:val="auto"/>
              </w:rPr>
              <w:t>Technique</w:t>
            </w:r>
          </w:p>
        </w:tc>
        <w:tc>
          <w:tcPr>
            <w:tcW w:w="1960" w:type="dxa"/>
            <w:vAlign w:val="bottom"/>
            <w:gridSpan w:val="3"/>
          </w:tcPr>
          <w:p>
            <w:pPr>
              <w:ind w:left="580"/>
              <w:spacing w:after="0"/>
              <w:rPr>
                <w:sz w:val="20"/>
                <w:szCs w:val="20"/>
                <w:color w:val="auto"/>
              </w:rPr>
            </w:pPr>
            <w:r>
              <w:rPr>
                <w:rFonts w:ascii="Arial" w:cs="Arial" w:eastAsia="Arial" w:hAnsi="Arial"/>
                <w:sz w:val="14"/>
                <w:szCs w:val="14"/>
                <w:b w:val="1"/>
                <w:bCs w:val="1"/>
                <w:color w:val="auto"/>
              </w:rPr>
              <w:t>Input</w:t>
            </w:r>
          </w:p>
        </w:tc>
        <w:tc>
          <w:tcPr>
            <w:tcW w:w="2620" w:type="dxa"/>
            <w:vAlign w:val="bottom"/>
          </w:tcPr>
          <w:p>
            <w:pPr>
              <w:jc w:val="center"/>
              <w:ind w:right="236"/>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Input</w:t>
            </w:r>
          </w:p>
        </w:tc>
      </w:tr>
      <w:tr>
        <w:trPr>
          <w:trHeight w:val="209"/>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30"/>
        </w:trPr>
        <w:tc>
          <w:tcPr>
            <w:tcW w:w="2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1,229,491</w:t>
            </w:r>
          </w:p>
        </w:tc>
        <w:tc>
          <w:tcPr>
            <w:tcW w:w="24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Market yield</w:t>
            </w:r>
          </w:p>
        </w:tc>
        <w:tc>
          <w:tcPr>
            <w:tcW w:w="2620" w:type="dxa"/>
            <w:vAlign w:val="bottom"/>
            <w:shd w:val="clear" w:color="auto" w:fill="CFF0FC"/>
          </w:tcPr>
          <w:p>
            <w:pPr>
              <w:jc w:val="center"/>
              <w:ind w:right="236"/>
              <w:spacing w:after="0"/>
              <w:rPr>
                <w:sz w:val="20"/>
                <w:szCs w:val="20"/>
                <w:color w:val="auto"/>
              </w:rPr>
            </w:pPr>
            <w:r>
              <w:rPr>
                <w:rFonts w:ascii="Arial" w:cs="Arial" w:eastAsia="Arial" w:hAnsi="Arial"/>
                <w:sz w:val="18"/>
                <w:szCs w:val="18"/>
                <w:color w:val="auto"/>
                <w:w w:val="92"/>
              </w:rPr>
              <w:t>3.9% — 15.3% (10.8%)</w:t>
            </w:r>
          </w:p>
        </w:tc>
        <w:tc>
          <w:tcPr>
            <w:tcW w:w="1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tcPr>
          <w:p>
            <w:pPr>
              <w:spacing w:after="0"/>
              <w:rPr>
                <w:sz w:val="20"/>
                <w:szCs w:val="20"/>
                <w:color w:val="auto"/>
              </w:rPr>
            </w:pPr>
            <w:r>
              <w:rPr>
                <w:rFonts w:ascii="Arial" w:cs="Arial" w:eastAsia="Arial" w:hAnsi="Arial"/>
                <w:sz w:val="18"/>
                <w:szCs w:val="18"/>
                <w:color w:val="auto"/>
              </w:rPr>
              <w:t>Second-lien debt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90,441</w:t>
            </w:r>
          </w:p>
        </w:tc>
        <w:tc>
          <w:tcPr>
            <w:tcW w:w="24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960" w:type="dxa"/>
            <w:vAlign w:val="bottom"/>
            <w:gridSpan w:val="3"/>
          </w:tcPr>
          <w:p>
            <w:pPr>
              <w:spacing w:after="0"/>
              <w:rPr>
                <w:sz w:val="20"/>
                <w:szCs w:val="20"/>
                <w:color w:val="auto"/>
              </w:rPr>
            </w:pPr>
            <w:r>
              <w:rPr>
                <w:rFonts w:ascii="Arial" w:cs="Arial" w:eastAsia="Arial" w:hAnsi="Arial"/>
                <w:sz w:val="18"/>
                <w:szCs w:val="18"/>
                <w:color w:val="auto"/>
              </w:rPr>
              <w:t>Market yield</w:t>
            </w:r>
          </w:p>
        </w:tc>
        <w:tc>
          <w:tcPr>
            <w:tcW w:w="2620" w:type="dxa"/>
            <w:vAlign w:val="bottom"/>
          </w:tcPr>
          <w:p>
            <w:pPr>
              <w:jc w:val="center"/>
              <w:ind w:right="236"/>
              <w:spacing w:after="0"/>
              <w:rPr>
                <w:sz w:val="20"/>
                <w:szCs w:val="20"/>
                <w:color w:val="auto"/>
              </w:rPr>
            </w:pPr>
            <w:r>
              <w:rPr>
                <w:rFonts w:ascii="Arial" w:cs="Arial" w:eastAsia="Arial" w:hAnsi="Arial"/>
                <w:sz w:val="18"/>
                <w:szCs w:val="18"/>
                <w:color w:val="auto"/>
                <w:w w:val="91"/>
              </w:rPr>
              <w:t>12.1% — 13.8% (13.2%)</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Mezzanine and</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2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unsecured debt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2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4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approach</w:t>
            </w:r>
          </w:p>
        </w:tc>
        <w:tc>
          <w:tcPr>
            <w:tcW w:w="1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Market yield</w:t>
            </w:r>
          </w:p>
        </w:tc>
        <w:tc>
          <w:tcPr>
            <w:tcW w:w="2620" w:type="dxa"/>
            <w:vAlign w:val="bottom"/>
            <w:shd w:val="clear" w:color="auto" w:fill="CFF0FC"/>
          </w:tcPr>
          <w:p>
            <w:pPr>
              <w:jc w:val="center"/>
              <w:ind w:right="236"/>
              <w:spacing w:after="0"/>
              <w:rPr>
                <w:sz w:val="20"/>
                <w:szCs w:val="20"/>
                <w:color w:val="auto"/>
              </w:rPr>
            </w:pPr>
            <w:r>
              <w:rPr>
                <w:rFonts w:ascii="Arial" w:cs="Arial" w:eastAsia="Arial" w:hAnsi="Arial"/>
                <w:sz w:val="18"/>
                <w:szCs w:val="18"/>
                <w:color w:val="auto"/>
                <w:w w:val="91"/>
              </w:rPr>
              <w:t>12.6% — 12.6% (12.6%)</w:t>
            </w:r>
          </w:p>
        </w:tc>
        <w:tc>
          <w:tcPr>
            <w:tcW w:w="1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Comparable</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Equity and 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Market Multiple or</w:t>
            </w:r>
          </w:p>
        </w:tc>
        <w:tc>
          <w:tcPr>
            <w:tcW w:w="1960" w:type="dxa"/>
            <w:vAlign w:val="bottom"/>
            <w:gridSpan w:val="3"/>
          </w:tcPr>
          <w:p>
            <w:pPr>
              <w:spacing w:after="0"/>
              <w:rPr>
                <w:sz w:val="20"/>
                <w:szCs w:val="20"/>
                <w:color w:val="auto"/>
              </w:rPr>
            </w:pPr>
            <w:r>
              <w:rPr>
                <w:rFonts w:ascii="Arial" w:cs="Arial" w:eastAsia="Arial" w:hAnsi="Arial"/>
                <w:sz w:val="18"/>
                <w:szCs w:val="18"/>
                <w:color w:val="auto"/>
              </w:rPr>
              <w:t>multiple or discount</w:t>
            </w:r>
          </w:p>
        </w:tc>
        <w:tc>
          <w:tcPr>
            <w:tcW w:w="2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Increase or</w:t>
            </w: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8,205</w:t>
            </w:r>
          </w:p>
        </w:tc>
        <w:tc>
          <w:tcPr>
            <w:tcW w:w="24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 xml:space="preserve">Discounted Cash Flow </w:t>
            </w:r>
            <w:r>
              <w:rPr>
                <w:rFonts w:ascii="Arial" w:cs="Arial" w:eastAsia="Arial" w:hAnsi="Arial"/>
                <w:sz w:val="15"/>
                <w:szCs w:val="15"/>
                <w:color w:val="auto"/>
              </w:rPr>
              <w:t>(2)</w:t>
            </w:r>
          </w:p>
        </w:tc>
        <w:tc>
          <w:tcPr>
            <w:tcW w:w="1960" w:type="dxa"/>
            <w:vAlign w:val="bottom"/>
            <w:gridSpan w:val="3"/>
          </w:tcPr>
          <w:p>
            <w:pPr>
              <w:spacing w:after="0"/>
              <w:rPr>
                <w:sz w:val="20"/>
                <w:szCs w:val="20"/>
                <w:color w:val="auto"/>
              </w:rPr>
            </w:pPr>
            <w:r>
              <w:rPr>
                <w:rFonts w:ascii="Arial" w:cs="Arial" w:eastAsia="Arial" w:hAnsi="Arial"/>
                <w:sz w:val="18"/>
                <w:szCs w:val="18"/>
                <w:color w:val="auto"/>
              </w:rPr>
              <w:t>rate</w:t>
            </w:r>
          </w:p>
        </w:tc>
        <w:tc>
          <w:tcPr>
            <w:tcW w:w="2620" w:type="dxa"/>
            <w:vAlign w:val="bottom"/>
          </w:tcPr>
          <w:p>
            <w:pPr>
              <w:jc w:val="center"/>
              <w:ind w:right="236"/>
              <w:spacing w:after="0"/>
              <w:rPr>
                <w:sz w:val="20"/>
                <w:szCs w:val="20"/>
                <w:color w:val="auto"/>
              </w:rPr>
            </w:pPr>
            <w:r>
              <w:rPr>
                <w:rFonts w:ascii="Arial" w:cs="Arial" w:eastAsia="Arial" w:hAnsi="Arial"/>
                <w:sz w:val="18"/>
                <w:szCs w:val="18"/>
                <w:color w:val="auto"/>
                <w:w w:val="92"/>
              </w:rPr>
              <w:t>8.4x — 13.5x (11.8x) or 12.0%</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r>
    </w:tbl>
    <w:p>
      <w:pPr>
        <w:spacing w:after="0" w:line="202" w:lineRule="exact"/>
        <w:rPr>
          <w:sz w:val="20"/>
          <w:szCs w:val="20"/>
          <w:color w:val="auto"/>
        </w:rPr>
      </w:pPr>
    </w:p>
    <w:p>
      <w:pPr>
        <w:ind w:left="760" w:right="160" w:hanging="374"/>
        <w:spacing w:after="0" w:line="258" w:lineRule="auto"/>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760" w:right="80" w:hanging="374"/>
        <w:spacing w:after="0" w:line="261" w:lineRule="auto"/>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cost of the investments.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46"/>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4"/>
                <w:szCs w:val="14"/>
                <w:b w:val="1"/>
                <w:bCs w:val="1"/>
                <w:color w:val="auto"/>
                <w:w w:val="95"/>
              </w:rPr>
              <w:t>Impact to Valuation</w:t>
            </w:r>
          </w:p>
        </w:tc>
      </w:t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2"/>
          </w:tcPr>
          <w:p>
            <w:pPr>
              <w:ind w:left="700"/>
              <w:spacing w:after="0"/>
              <w:rPr>
                <w:sz w:val="20"/>
                <w:szCs w:val="20"/>
                <w:color w:val="auto"/>
              </w:rPr>
            </w:pPr>
            <w:r>
              <w:rPr>
                <w:rFonts w:ascii="Arial" w:cs="Arial" w:eastAsia="Arial" w:hAnsi="Arial"/>
                <w:sz w:val="14"/>
                <w:szCs w:val="14"/>
                <w:b w:val="1"/>
                <w:bCs w:val="1"/>
                <w:color w:val="auto"/>
              </w:rPr>
              <w:t>Valuation</w:t>
            </w:r>
          </w:p>
        </w:tc>
        <w:tc>
          <w:tcPr>
            <w:tcW w:w="1660" w:type="dxa"/>
            <w:vAlign w:val="bottom"/>
            <w:gridSpan w:val="2"/>
          </w:tcPr>
          <w:p>
            <w:pPr>
              <w:ind w:left="320"/>
              <w:spacing w:after="0"/>
              <w:rPr>
                <w:sz w:val="20"/>
                <w:szCs w:val="20"/>
                <w:color w:val="auto"/>
              </w:rPr>
            </w:pPr>
            <w:r>
              <w:rPr>
                <w:rFonts w:ascii="Arial" w:cs="Arial" w:eastAsia="Arial" w:hAnsi="Arial"/>
                <w:sz w:val="14"/>
                <w:szCs w:val="14"/>
                <w:b w:val="1"/>
                <w:bCs w:val="1"/>
                <w:color w:val="auto"/>
              </w:rPr>
              <w:t>Unobservable</w:t>
            </w: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from an Increase to</w:t>
            </w: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140" w:type="dxa"/>
            <w:vAlign w:val="bottom"/>
            <w:gridSpan w:val="2"/>
          </w:tcPr>
          <w:p>
            <w:pPr>
              <w:ind w:left="680"/>
              <w:spacing w:after="0"/>
              <w:rPr>
                <w:sz w:val="20"/>
                <w:szCs w:val="20"/>
                <w:color w:val="auto"/>
              </w:rPr>
            </w:pPr>
            <w:r>
              <w:rPr>
                <w:rFonts w:ascii="Arial" w:cs="Arial" w:eastAsia="Arial" w:hAnsi="Arial"/>
                <w:sz w:val="14"/>
                <w:szCs w:val="14"/>
                <w:b w:val="1"/>
                <w:bCs w:val="1"/>
                <w:color w:val="auto"/>
              </w:rPr>
              <w:t>Technique</w:t>
            </w: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Input</w:t>
            </w: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Input</w:t>
            </w:r>
          </w:p>
        </w:tc>
      </w:tr>
      <w:tr>
        <w:trPr>
          <w:trHeight w:val="209"/>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30"/>
        </w:trPr>
        <w:tc>
          <w:tcPr>
            <w:tcW w:w="2160" w:type="dxa"/>
            <w:vAlign w:val="bottom"/>
            <w:shd w:val="clear" w:color="auto" w:fill="CFF0FC"/>
          </w:tcPr>
          <w:p>
            <w:pPr>
              <w:jc w:val="center"/>
              <w:ind w:right="930"/>
              <w:spacing w:after="0"/>
              <w:rPr>
                <w:sz w:val="20"/>
                <w:szCs w:val="20"/>
                <w:color w:val="auto"/>
              </w:rPr>
            </w:pPr>
            <w:r>
              <w:rPr>
                <w:rFonts w:ascii="Arial" w:cs="Arial" w:eastAsia="Arial" w:hAnsi="Arial"/>
                <w:sz w:val="18"/>
                <w:szCs w:val="18"/>
                <w:color w:val="auto"/>
                <w:w w:val="89"/>
              </w:rPr>
              <w:t>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1,059,336</w:t>
            </w:r>
          </w:p>
        </w:tc>
        <w:tc>
          <w:tcPr>
            <w:tcW w:w="24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2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8.0% — 15.4% (10.9%)</w:t>
            </w:r>
          </w:p>
        </w:tc>
        <w:tc>
          <w:tcPr>
            <w:tcW w:w="1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tcPr>
          <w:p>
            <w:pPr>
              <w:spacing w:after="0"/>
              <w:rPr>
                <w:sz w:val="20"/>
                <w:szCs w:val="20"/>
                <w:color w:val="auto"/>
              </w:rPr>
            </w:pPr>
            <w:r>
              <w:rPr>
                <w:rFonts w:ascii="Arial" w:cs="Arial" w:eastAsia="Arial" w:hAnsi="Arial"/>
                <w:sz w:val="18"/>
                <w:szCs w:val="18"/>
                <w:color w:val="auto"/>
              </w:rPr>
              <w:t>Second-lien debt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160" w:type="dxa"/>
            <w:vAlign w:val="bottom"/>
          </w:tcPr>
          <w:p>
            <w:pPr>
              <w:jc w:val="center"/>
              <w:ind w:right="930"/>
              <w:spacing w:after="0"/>
              <w:rPr>
                <w:sz w:val="20"/>
                <w:szCs w:val="20"/>
                <w:color w:val="auto"/>
              </w:rPr>
            </w:pPr>
            <w:r>
              <w:rPr>
                <w:rFonts w:ascii="Arial" w:cs="Arial" w:eastAsia="Arial" w:hAnsi="Arial"/>
                <w:sz w:val="18"/>
                <w:szCs w:val="18"/>
                <w:color w:val="auto"/>
                <w:w w:val="89"/>
              </w:rPr>
              <w:t>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61,250</w:t>
            </w:r>
          </w:p>
        </w:tc>
        <w:tc>
          <w:tcPr>
            <w:tcW w:w="24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6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11.0% — 11.0% (11.0%)</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shd w:val="clear" w:color="auto" w:fill="CFF0FC"/>
          </w:tcPr>
          <w:p>
            <w:pPr>
              <w:jc w:val="center"/>
              <w:ind w:right="910"/>
              <w:spacing w:after="0"/>
              <w:rPr>
                <w:sz w:val="20"/>
                <w:szCs w:val="20"/>
                <w:color w:val="auto"/>
              </w:rPr>
            </w:pPr>
            <w:r>
              <w:rPr>
                <w:rFonts w:ascii="Arial" w:cs="Arial" w:eastAsia="Arial" w:hAnsi="Arial"/>
                <w:sz w:val="18"/>
                <w:szCs w:val="18"/>
                <w:color w:val="auto"/>
                <w:w w:val="91"/>
              </w:rPr>
              <w:t>Mezzanine debt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2160" w:type="dxa"/>
            <w:vAlign w:val="bottom"/>
            <w:shd w:val="clear" w:color="auto" w:fill="CFF0FC"/>
          </w:tcPr>
          <w:p>
            <w:pPr>
              <w:jc w:val="center"/>
              <w:ind w:right="930"/>
              <w:spacing w:after="0"/>
              <w:rPr>
                <w:sz w:val="20"/>
                <w:szCs w:val="20"/>
                <w:color w:val="auto"/>
              </w:rPr>
            </w:pPr>
            <w:r>
              <w:rPr>
                <w:rFonts w:ascii="Arial" w:cs="Arial" w:eastAsia="Arial" w:hAnsi="Arial"/>
                <w:sz w:val="18"/>
                <w:szCs w:val="18"/>
                <w:color w:val="auto"/>
                <w:w w:val="89"/>
              </w:rPr>
              <w:t>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4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approach</w:t>
            </w:r>
          </w:p>
        </w:tc>
        <w:tc>
          <w:tcPr>
            <w:tcW w:w="1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2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20.8% — 20.8% (20.8%)</w:t>
            </w:r>
          </w:p>
        </w:tc>
        <w:tc>
          <w:tcPr>
            <w:tcW w:w="1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Market Multiple,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Discounted Cash Flow or</w:t>
            </w:r>
          </w:p>
        </w:tc>
        <w:tc>
          <w:tcPr>
            <w:tcW w:w="1660" w:type="dxa"/>
            <w:vAlign w:val="bottom"/>
            <w:gridSpan w:val="2"/>
          </w:tcPr>
          <w:p>
            <w:pPr>
              <w:spacing w:after="0"/>
              <w:rPr>
                <w:sz w:val="20"/>
                <w:szCs w:val="20"/>
                <w:color w:val="auto"/>
              </w:rPr>
            </w:pPr>
            <w:r>
              <w:rPr>
                <w:rFonts w:ascii="Arial" w:cs="Arial" w:eastAsia="Arial" w:hAnsi="Arial"/>
                <w:sz w:val="18"/>
                <w:szCs w:val="18"/>
                <w:color w:val="auto"/>
              </w:rPr>
              <w:t>Comparable</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Equity and 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Black Scholes Option</w:t>
            </w:r>
          </w:p>
        </w:tc>
        <w:tc>
          <w:tcPr>
            <w:tcW w:w="1660" w:type="dxa"/>
            <w:vAlign w:val="bottom"/>
            <w:gridSpan w:val="2"/>
          </w:tcPr>
          <w:p>
            <w:pPr>
              <w:spacing w:after="0"/>
              <w:rPr>
                <w:sz w:val="20"/>
                <w:szCs w:val="20"/>
                <w:color w:val="auto"/>
              </w:rPr>
            </w:pPr>
            <w:r>
              <w:rPr>
                <w:rFonts w:ascii="Arial" w:cs="Arial" w:eastAsia="Arial" w:hAnsi="Arial"/>
                <w:sz w:val="18"/>
                <w:szCs w:val="18"/>
                <w:color w:val="auto"/>
              </w:rPr>
              <w:t>multiple, discount</w:t>
            </w:r>
          </w:p>
        </w:tc>
        <w:tc>
          <w:tcPr>
            <w:tcW w:w="29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Increase or</w:t>
            </w:r>
          </w:p>
        </w:tc>
      </w:tr>
      <w:tr>
        <w:trPr>
          <w:trHeight w:val="230"/>
        </w:trPr>
        <w:tc>
          <w:tcPr>
            <w:tcW w:w="2160" w:type="dxa"/>
            <w:vAlign w:val="bottom"/>
          </w:tcPr>
          <w:p>
            <w:pPr>
              <w:jc w:val="center"/>
              <w:ind w:right="930"/>
              <w:spacing w:after="0"/>
              <w:rPr>
                <w:sz w:val="20"/>
                <w:szCs w:val="20"/>
                <w:color w:val="auto"/>
              </w:rPr>
            </w:pPr>
            <w:r>
              <w:rPr>
                <w:rFonts w:ascii="Arial" w:cs="Arial" w:eastAsia="Arial" w:hAnsi="Arial"/>
                <w:sz w:val="18"/>
                <w:szCs w:val="18"/>
                <w:color w:val="auto"/>
                <w:w w:val="89"/>
              </w:rPr>
              <w:t>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9,368</w:t>
            </w:r>
          </w:p>
        </w:tc>
        <w:tc>
          <w:tcPr>
            <w:tcW w:w="24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Model</w:t>
            </w:r>
          </w:p>
        </w:tc>
        <w:tc>
          <w:tcPr>
            <w:tcW w:w="1660" w:type="dxa"/>
            <w:vAlign w:val="bottom"/>
            <w:gridSpan w:val="2"/>
          </w:tcPr>
          <w:p>
            <w:pPr>
              <w:spacing w:after="0"/>
              <w:rPr>
                <w:sz w:val="20"/>
                <w:szCs w:val="20"/>
                <w:color w:val="auto"/>
              </w:rPr>
            </w:pPr>
            <w:r>
              <w:rPr>
                <w:rFonts w:ascii="Arial" w:cs="Arial" w:eastAsia="Arial" w:hAnsi="Arial"/>
                <w:sz w:val="18"/>
                <w:szCs w:val="18"/>
                <w:color w:val="auto"/>
              </w:rPr>
              <w:t>rate or volatility</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7.9x — 13.0x (10.4x) or 14.4% or 40%</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r>
    </w:tbl>
    <w:p>
      <w:pPr>
        <w:spacing w:after="0" w:line="202" w:lineRule="exact"/>
        <w:rPr>
          <w:sz w:val="20"/>
          <w:szCs w:val="20"/>
          <w:color w:val="auto"/>
        </w:rPr>
      </w:pPr>
    </w:p>
    <w:p>
      <w:pPr>
        <w:ind w:left="520" w:right="400" w:hanging="512"/>
        <w:spacing w:after="0" w:line="277"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70"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40" w:firstLine="259"/>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December 31, 2015, approximates its carrying value as the outstanding balance is callable at carrying value. The fair value of the Company’s Convertible Senior Notes, which is categorized as Level 2 within the fair value hierarchy, as of December 31, 2015, was $114.3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60" w:firstLine="259"/>
        <w:spacing w:after="0" w:line="312" w:lineRule="auto"/>
        <w:rPr>
          <w:sz w:val="20"/>
          <w:szCs w:val="20"/>
          <w:color w:val="auto"/>
        </w:rPr>
      </w:pPr>
      <w:r>
        <w:rPr>
          <w:rFonts w:ascii="Arial" w:cs="Arial" w:eastAsia="Arial" w:hAnsi="Arial"/>
          <w:sz w:val="16"/>
          <w:szCs w:val="16"/>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40" w:firstLine="259"/>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2015 and 2014, the Company’s asset coverage was 225.7% and 311.0%,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03" w:name="page104"/>
    <w:bookmarkEnd w:id="103"/>
    <w:p>
      <w:pPr>
        <w:ind w:left="260"/>
        <w:spacing w:after="0"/>
        <w:rPr>
          <w:sz w:val="20"/>
          <w:szCs w:val="20"/>
          <w:color w:val="auto"/>
        </w:rPr>
      </w:pPr>
      <w:r>
        <w:rPr>
          <w:rFonts w:ascii="Arial" w:cs="Arial" w:eastAsia="Arial" w:hAnsi="Arial"/>
          <w:sz w:val="18"/>
          <w:szCs w:val="18"/>
          <w:color w:val="auto"/>
        </w:rPr>
        <w:t>Debt obligations consisted of the following as of December 31, 2015 and 2014:</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Aggregate Principal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37"/>
              <w:spacing w:after="0" w:line="147"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600" w:type="dxa"/>
            <w:vAlign w:val="bottom"/>
            <w:gridSpan w:val="3"/>
          </w:tcPr>
          <w:p>
            <w:pPr>
              <w:ind w:left="1340"/>
              <w:spacing w:after="0"/>
              <w:rPr>
                <w:sz w:val="20"/>
                <w:szCs w:val="20"/>
                <w:color w:val="auto"/>
              </w:rPr>
            </w:pPr>
            <w:r>
              <w:rPr>
                <w:rFonts w:ascii="Arial" w:cs="Arial" w:eastAsia="Arial" w:hAnsi="Arial"/>
                <w:sz w:val="14"/>
                <w:szCs w:val="14"/>
                <w:b w:val="1"/>
                <w:bCs w:val="1"/>
                <w:color w:val="auto"/>
                <w:w w:val="95"/>
              </w:rPr>
              <w:t>Amount Committed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Available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540,305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1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112,483</w:t>
            </w:r>
          </w:p>
        </w:tc>
        <w:tc>
          <w:tcPr>
            <w:tcW w:w="100" w:type="dxa"/>
            <w:vAlign w:val="bottom"/>
            <w:tcBorders>
              <w:bottom w:val="single" w:sz="8" w:color="CFF0FC"/>
            </w:tcBorders>
          </w:tcPr>
          <w:p>
            <w:pPr>
              <w:spacing w:after="0"/>
              <w:rPr>
                <w:sz w:val="19"/>
                <w:szCs w:val="19"/>
                <w:color w:val="auto"/>
              </w:rPr>
            </w:pPr>
          </w:p>
        </w:tc>
      </w:tr>
      <w:tr>
        <w:trPr>
          <w:trHeight w:val="223"/>
        </w:trPr>
        <w:tc>
          <w:tcPr>
            <w:tcW w:w="3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936,250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655,305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652,788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3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Aggregate Principal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37"/>
              <w:spacing w:after="0" w:line="147"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600" w:type="dxa"/>
            <w:vAlign w:val="bottom"/>
            <w:gridSpan w:val="3"/>
          </w:tcPr>
          <w:p>
            <w:pPr>
              <w:ind w:left="1340"/>
              <w:spacing w:after="0"/>
              <w:rPr>
                <w:sz w:val="20"/>
                <w:szCs w:val="20"/>
                <w:color w:val="auto"/>
              </w:rPr>
            </w:pPr>
            <w:r>
              <w:rPr>
                <w:rFonts w:ascii="Arial" w:cs="Arial" w:eastAsia="Arial" w:hAnsi="Arial"/>
                <w:sz w:val="14"/>
                <w:szCs w:val="14"/>
                <w:b w:val="1"/>
                <w:bCs w:val="1"/>
                <w:color w:val="auto"/>
                <w:w w:val="95"/>
              </w:rPr>
              <w:t>Amount Committed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Available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SPV Asset Facility</w:t>
            </w:r>
          </w:p>
        </w:tc>
        <w:tc>
          <w:tcPr>
            <w:tcW w:w="1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45,279</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781,250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177,216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466,189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177,216</w:t>
            </w:r>
          </w:p>
        </w:tc>
        <w:tc>
          <w:tcPr>
            <w:tcW w:w="100" w:type="dxa"/>
            <w:vAlign w:val="bottom"/>
          </w:tcPr>
          <w:p>
            <w:pPr>
              <w:spacing w:after="0"/>
              <w:rPr>
                <w:sz w:val="19"/>
                <w:szCs w:val="19"/>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111,923</w:t>
            </w:r>
          </w:p>
        </w:tc>
        <w:tc>
          <w:tcPr>
            <w:tcW w:w="100" w:type="dxa"/>
            <w:vAlign w:val="bottom"/>
            <w:shd w:val="clear" w:color="auto" w:fill="CFF0FC"/>
          </w:tcPr>
          <w:p>
            <w:pPr>
              <w:spacing w:after="0"/>
              <w:rPr>
                <w:sz w:val="19"/>
                <w:szCs w:val="19"/>
                <w:color w:val="auto"/>
              </w:rPr>
            </w:pPr>
          </w:p>
        </w:tc>
      </w:tr>
      <w:tr>
        <w:trPr>
          <w:trHeight w:val="223"/>
        </w:trPr>
        <w:tc>
          <w:tcPr>
            <w:tcW w:w="318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3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1,071,250</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398,941</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511,468</w:t>
            </w:r>
          </w:p>
        </w:tc>
        <w:tc>
          <w:tcPr>
            <w:tcW w:w="240" w:type="dxa"/>
            <w:vAlign w:val="bottom"/>
            <w:gridSpan w:val="2"/>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395,864</w:t>
            </w:r>
          </w:p>
        </w:tc>
        <w:tc>
          <w:tcPr>
            <w:tcW w:w="10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2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For the years ended December 31, 2015, 2014 and 2013, the components of interest expense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December 31, 2013</w:t>
            </w: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15,342</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Commitment fees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1,398</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7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15,078</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1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w:t>
            </w: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320" w:hanging="255"/>
        <w:spacing w:after="0" w:line="277"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380" w:hanging="259"/>
        <w:spacing w:after="0" w:line="277" w:lineRule="auto"/>
        <w:tabs>
          <w:tab w:leader="none" w:pos="7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4" w:name="page105"/>
    <w:bookmarkEnd w:id="104"/>
    <w:p>
      <w:pPr>
        <w:jc w:val="both"/>
        <w:ind w:right="220" w:firstLine="259"/>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20" w:hanging="255"/>
        <w:spacing w:after="0" w:line="308"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80" w:hanging="255"/>
        <w:spacing w:after="0" w:line="277"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2015, the Company had outstanding debt denominated in Swedish Krona (SEK) of 195.2 million, Euro (EUR) of 43.9 million and Pound Sterling (GBP) of 21.0 million on its Revolving Credit Facility, included in the Outstanding Principal amount in the table above.</w:t>
      </w:r>
    </w:p>
    <w:p>
      <w:pPr>
        <w:spacing w:after="0" w:line="181" w:lineRule="exact"/>
        <w:rPr>
          <w:sz w:val="20"/>
          <w:szCs w:val="20"/>
          <w:color w:val="auto"/>
        </w:rPr>
      </w:pPr>
    </w:p>
    <w:p>
      <w:pPr>
        <w:jc w:val="both"/>
        <w:ind w:right="120" w:firstLine="259"/>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5" w:name="page106"/>
    <w:bookmarkEnd w:id="105"/>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160" w:hanging="255"/>
        <w:spacing w:after="0" w:line="342" w:lineRule="auto"/>
        <w:tabs>
          <w:tab w:leader="none" w:pos="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+ 2.25% to LIBOR + 2.35% and the facility was scheduled to mature on January 21, 2021.</w:t>
      </w:r>
    </w:p>
    <w:p>
      <w:pPr>
        <w:spacing w:after="0" w:line="181"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47"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As of December 31, 2015, and 2014 TPG SL SPV had $230.3 million and $334.0 million, respectively, in investments at fair value. As of December 31, 2014, TPG SL SPV had $108.8 million in liabilities, including the outstanding borrowings, on its balance sheet. As of December 31, 2015, TPG SL SPV’s liabilities had been fully prepaid. As of December 31, 2014 TPG SL SPV had $10.2 million in restricted cash, a component of prepaid expenses and other assets, in the accompanying consolidated financial statements. TPG SL SPV did not have restricted cash as of December 31, 2015.</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ind w:left="2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7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years ended December 31, 2015 and 2014, the components of interest expense related to the Convertible Senior Notes were as follows: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years ended December 31, 2015 and 2014, the Company received $5.2 million and $2.6 million, respectively, and paid $3.7 million and $1.6 million, respectively, related to the quarterly settlement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58"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As of December 31, 2015,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7" w:name="page108"/>
    <w:bookmarkEnd w:id="107"/>
    <w:p>
      <w:pPr>
        <w:ind w:left="260"/>
        <w:spacing w:after="0"/>
        <w:rPr>
          <w:sz w:val="20"/>
          <w:szCs w:val="20"/>
          <w:color w:val="auto"/>
        </w:rPr>
      </w:pPr>
      <w:r>
        <w:rPr>
          <w:rFonts w:ascii="Arial" w:cs="Arial" w:eastAsia="Arial" w:hAnsi="Arial"/>
          <w:sz w:val="17"/>
          <w:szCs w:val="17"/>
          <w:color w:val="auto"/>
        </w:rPr>
        <w:t>As of December 31, 2015, the components of the carrying value of the Convertible Senior Notes and the stated interest rate were as follows:</w:t>
      </w:r>
    </w:p>
    <w:p>
      <w:pPr>
        <w:spacing w:after="0" w:line="309"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2019</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Stated interest rate</w:t>
            </w: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stated interest rate in the table above does not include the effect of the interest rate swaps. The Company’s swap-adjusted interest rate as of December 31, 2015 was three-month LIBOR plus 286 basis points. Please see Note 5 for further information about the Company’s interest rate swaps.</w:t>
      </w:r>
    </w:p>
    <w:p>
      <w:pPr>
        <w:spacing w:after="0" w:line="147"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2015, the Company was in compliance with the terms of the Convertible Senior Notes Indenture.</w:t>
      </w:r>
    </w:p>
    <w:p>
      <w:pPr>
        <w:spacing w:after="0" w:line="154"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2015 and December 31, 2014, the Company was in compliance with the terms of its debt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As of December 31, 2015 and 2014, the Company had the following commitments to fund investments: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revolving loan commitments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term loan commitments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78,646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2015,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740" w:firstLine="259"/>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8" w:name="page109"/>
    <w:bookmarkEnd w:id="108"/>
    <w:p>
      <w:pPr>
        <w:ind w:right="180" w:firstLine="259"/>
        <w:spacing w:after="0" w:line="308" w:lineRule="auto"/>
        <w:rPr>
          <w:sz w:val="20"/>
          <w:szCs w:val="20"/>
          <w:color w:val="auto"/>
        </w:rPr>
      </w:pPr>
      <w:r>
        <w:rPr>
          <w:rFonts w:ascii="Arial" w:cs="Arial" w:eastAsia="Arial" w:hAnsi="Arial"/>
          <w:sz w:val="17"/>
          <w:szCs w:val="17"/>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4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93" w:lineRule="exact"/>
        <w:rPr>
          <w:sz w:val="20"/>
          <w:szCs w:val="20"/>
          <w:color w:val="auto"/>
        </w:rPr>
      </w:pPr>
    </w:p>
    <w:p>
      <w:pPr>
        <w:jc w:val="both"/>
        <w:ind w:right="640" w:firstLine="259"/>
        <w:spacing w:after="0" w:line="342" w:lineRule="auto"/>
        <w:rPr>
          <w:sz w:val="20"/>
          <w:szCs w:val="20"/>
          <w:color w:val="auto"/>
        </w:rPr>
      </w:pPr>
      <w:r>
        <w:rPr>
          <w:rFonts w:ascii="Arial" w:cs="Arial" w:eastAsia="Arial" w:hAnsi="Arial"/>
          <w:sz w:val="16"/>
          <w:szCs w:val="16"/>
          <w:color w:val="auto"/>
        </w:rPr>
        <w:t>For the year ended December 31, 2014, the Company issued 4,234,501 shares and received proceeds of $65 million related to capital drawdowns delivered pursuant to the Subscription Agreements. There were no shares issued related to capital drawdowns for the year ended December 31, 2015.</w:t>
      </w:r>
    </w:p>
    <w:p>
      <w:pPr>
        <w:spacing w:after="0" w:line="124" w:lineRule="exact"/>
        <w:rPr>
          <w:sz w:val="20"/>
          <w:szCs w:val="20"/>
          <w:color w:val="auto"/>
        </w:rPr>
      </w:pPr>
    </w:p>
    <w:p>
      <w:pPr>
        <w:ind w:right="12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2015 and 2014. All shares issued to stockholders in the tables below are newly issued shares.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Year Ended</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December 31, 2015</w:t>
            </w:r>
          </w:p>
        </w:tc>
        <w:tc>
          <w:tcPr>
            <w:tcW w:w="1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ind w:left="660"/>
              <w:spacing w:after="0" w:line="147" w:lineRule="exact"/>
              <w:rPr>
                <w:sz w:val="20"/>
                <w:szCs w:val="20"/>
                <w:color w:val="auto"/>
              </w:rPr>
            </w:pPr>
            <w:r>
              <w:rPr>
                <w:rFonts w:ascii="Arial" w:cs="Arial" w:eastAsia="Arial" w:hAnsi="Arial"/>
                <w:sz w:val="14"/>
                <w:szCs w:val="14"/>
                <w:b w:val="1"/>
                <w:bCs w:val="1"/>
                <w:color w:val="auto"/>
              </w:rPr>
              <w:t>Date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Record Date</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 Issued</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2014</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31, 2014</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8"/>
              </w:rPr>
              <w:t>February 2, 2015</w:t>
            </w:r>
          </w:p>
        </w:tc>
        <w:tc>
          <w:tcPr>
            <w:tcW w:w="1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February 24, 2015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March 31, 2015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May 1, 2015</w:t>
            </w:r>
          </w:p>
        </w:tc>
        <w:tc>
          <w:tcPr>
            <w:tcW w:w="1580" w:type="dxa"/>
            <w:vAlign w:val="bottom"/>
          </w:tcPr>
          <w:p>
            <w:pPr>
              <w:jc w:val="right"/>
              <w:spacing w:after="0"/>
              <w:rPr>
                <w:sz w:val="20"/>
                <w:szCs w:val="20"/>
                <w:color w:val="auto"/>
              </w:rPr>
            </w:pPr>
            <w:r>
              <w:rPr>
                <w:rFonts w:ascii="Arial" w:cs="Arial" w:eastAsia="Arial" w:hAnsi="Arial"/>
                <w:sz w:val="18"/>
                <w:szCs w:val="18"/>
                <w:color w:val="auto"/>
              </w:rPr>
              <w:t>41,441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7, 2015</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30, 2015</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August 3, 2015</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August 4, 2015</w:t>
            </w:r>
          </w:p>
        </w:tc>
        <w:tc>
          <w:tcPr>
            <w:tcW w:w="17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w w:val="98"/>
              </w:rPr>
              <w:t>September 30, 2015</w:t>
            </w:r>
          </w:p>
        </w:tc>
        <w:tc>
          <w:tcPr>
            <w:tcW w:w="17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November 2, 2015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368,602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Year Ended</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December 31, 2014</w:t>
            </w:r>
          </w:p>
        </w:tc>
        <w:tc>
          <w:tcPr>
            <w:tcW w:w="1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ind w:left="660"/>
              <w:spacing w:after="0" w:line="147" w:lineRule="exact"/>
              <w:rPr>
                <w:sz w:val="20"/>
                <w:szCs w:val="20"/>
                <w:color w:val="auto"/>
              </w:rPr>
            </w:pPr>
            <w:r>
              <w:rPr>
                <w:rFonts w:ascii="Arial" w:cs="Arial" w:eastAsia="Arial" w:hAnsi="Arial"/>
                <w:sz w:val="14"/>
                <w:szCs w:val="14"/>
                <w:b w:val="1"/>
                <w:bCs w:val="1"/>
                <w:color w:val="auto"/>
              </w:rPr>
              <w:t>Date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Record Date</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 Issued</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31, 2013</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31, 2013</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13, 2014</w:t>
            </w:r>
          </w:p>
        </w:tc>
        <w:tc>
          <w:tcPr>
            <w:tcW w:w="1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March 31, 2014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May 1, 2014</w:t>
            </w:r>
          </w:p>
        </w:tc>
        <w:tc>
          <w:tcPr>
            <w:tcW w:w="1580" w:type="dxa"/>
            <w:vAlign w:val="bottom"/>
          </w:tcPr>
          <w:p>
            <w:pPr>
              <w:jc w:val="right"/>
              <w:spacing w:after="0"/>
              <w:rPr>
                <w:sz w:val="20"/>
                <w:szCs w:val="20"/>
                <w:color w:val="auto"/>
              </w:rPr>
            </w:pPr>
            <w:r>
              <w:rPr>
                <w:rFonts w:ascii="Arial" w:cs="Arial" w:eastAsia="Arial" w:hAnsi="Arial"/>
                <w:sz w:val="18"/>
                <w:szCs w:val="18"/>
                <w:color w:val="auto"/>
              </w:rPr>
              <w:t>410,183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6, 2014</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30, 2014</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August 1, 2014</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August 4, 2014</w:t>
            </w:r>
          </w:p>
        </w:tc>
        <w:tc>
          <w:tcPr>
            <w:tcW w:w="17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w w:val="98"/>
              </w:rPr>
              <w:t>September 30, 2014</w:t>
            </w:r>
          </w:p>
        </w:tc>
        <w:tc>
          <w:tcPr>
            <w:tcW w:w="17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November 3, 2014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1,361,850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9" w:name="page110"/>
    <w:bookmarkEnd w:id="109"/>
    <w:p>
      <w:pPr>
        <w:ind w:right="2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Company 10b5-1 Plan expired in accordance with its terms on June 30, 2015. On August 4, 2015, the Board authorized the Company to enter into a new stock repurchase plan, on substantially the same terms as the prior stock repurchase plan. Unless extended or terminated by the Board, the Company 10b5-1 Plan will be in effect through the earlier of February 29, 2016 or such time as the approved $50 million repurchase amount has been fully utilized, subject to certain conditions. On February 24, 2016, the Board authorized the extension of the termination date of the Company 10b5-1 Plan to August 31, 2016.</w:t>
      </w:r>
    </w:p>
    <w:p>
      <w:pPr>
        <w:spacing w:after="0" w:line="188"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During the year ended December 31, 2015, the Company repurchased 2,000 shares under the Company 10b5-1 Plan at a weighted average price per share of $14.44, inclusive of commissions, for a total cost of $29 thousand. No shares were repurchased under the Company 10b5-1 Plan during the year ended December 31, 2014.</w:t>
      </w:r>
    </w:p>
    <w:p>
      <w:pPr>
        <w:spacing w:after="0" w:line="181"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357" w:lineRule="exact"/>
        <w:rPr>
          <w:sz w:val="20"/>
          <w:szCs w:val="20"/>
          <w:color w:val="auto"/>
        </w:rPr>
      </w:pPr>
    </w:p>
    <w:p>
      <w:pPr>
        <w:ind w:left="280" w:hanging="272"/>
        <w:spacing w:after="0"/>
        <w:tabs>
          <w:tab w:leader="none" w:pos="2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December 31, 2015</w:t>
            </w:r>
          </w:p>
        </w:tc>
        <w:tc>
          <w:tcPr>
            <w:tcW w:w="20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December 31, 2014</w:t>
            </w:r>
          </w:p>
        </w:tc>
        <w:tc>
          <w:tcPr>
            <w:tcW w:w="20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December 31, 2013</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85,050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outstanding—basic and diluted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54,006,322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50,509,692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34,635,208</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9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48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20" w:right="60" w:hanging="512"/>
        <w:spacing w:after="0" w:line="277"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2015 was less than the conversion price for the Convertible Senior Notes outstanding as of December 31, 2015. Therefore, for all periods presented in the financial statements, the underlying shares for the intrinsic value of the embedded options in the Convertible Senior Notes have no impact on the computation of diluted earnings per common share.</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10" w:name="page111"/>
    <w:bookmarkEnd w:id="110"/>
    <w:p>
      <w:pPr>
        <w:ind w:left="260" w:hanging="252"/>
        <w:spacing w:after="0"/>
        <w:tabs>
          <w:tab w:leader="none" w:pos="2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48"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dividends declared during the years ended December 31, 2015 and 2014: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93"/>
              </w:rPr>
              <w:t>December 31, 2015</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214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Record Date</w:t>
            </w:r>
          </w:p>
        </w:tc>
        <w:tc>
          <w:tcPr>
            <w:tcW w:w="214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30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w w:val="92"/>
              </w:rPr>
              <w:t>Dividend per Share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2015</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2015</w:t>
            </w:r>
          </w:p>
        </w:tc>
        <w:tc>
          <w:tcPr>
            <w:tcW w:w="14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May 7, 2015</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2015</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July 31, 2015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August 4, 2015</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30, 2015</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October 30, 2015</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3, 2015</w:t>
            </w:r>
          </w:p>
        </w:tc>
        <w:tc>
          <w:tcPr>
            <w:tcW w:w="21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31, 2015</w:t>
            </w:r>
          </w:p>
        </w:tc>
        <w:tc>
          <w:tcPr>
            <w:tcW w:w="21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January 29, 2016</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2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93"/>
              </w:rPr>
              <w:t>December 31, 2014</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214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Record Date</w:t>
            </w:r>
          </w:p>
        </w:tc>
        <w:tc>
          <w:tcPr>
            <w:tcW w:w="214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30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w w:val="92"/>
              </w:rPr>
              <w:t>Dividend per Share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26, 2014</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2014</w:t>
            </w:r>
          </w:p>
        </w:tc>
        <w:tc>
          <w:tcPr>
            <w:tcW w:w="14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May 6, 2014</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2014</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July 31, 2014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August 4, 2014</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30, 2014</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October 31, 2014</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3, 2014</w:t>
            </w:r>
          </w:p>
        </w:tc>
        <w:tc>
          <w:tcPr>
            <w:tcW w:w="21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31, 2014</w:t>
            </w:r>
          </w:p>
        </w:tc>
        <w:tc>
          <w:tcPr>
            <w:tcW w:w="21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January 30, 2015</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2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The dividends declared during the years ended December 31, 2015 and December 31, 2014, were derived from net investment income and long-term capital gains, determined on a tax basis.</w:t>
      </w:r>
    </w:p>
    <w:p>
      <w:pPr>
        <w:spacing w:after="0" w:line="356"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fiscal years ended December 31, 2015, 2014 and 2013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4"/>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2015</w:t>
            </w:r>
          </w:p>
        </w:tc>
        <w:tc>
          <w:tcPr>
            <w:tcW w:w="2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2014</w:t>
            </w:r>
          </w:p>
        </w:tc>
        <w:tc>
          <w:tcPr>
            <w:tcW w:w="2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51,476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Gains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84,298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81,326</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55,385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00" w:hanging="512"/>
        <w:spacing w:after="0" w:line="277" w:lineRule="auto"/>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years ended December 31, 2015, 2014 and 2013, 83.04%, 78.85% and 91.52% of ordinary income qualified as interest related dividend which is exempt from U.S. withholding tax applicable to non U.S. shareholders.</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2015, 2014 and 2013, to taxable income at December 31, 2015, 2014 and 2013:</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December 31, 2015</w:t>
            </w:r>
          </w:p>
        </w:tc>
        <w:tc>
          <w:tcPr>
            <w:tcW w:w="80" w:type="dxa"/>
            <w:vAlign w:val="bottom"/>
          </w:tcPr>
          <w:p>
            <w:pPr>
              <w:spacing w:after="0"/>
              <w:rPr>
                <w:sz w:val="14"/>
                <w:szCs w:val="14"/>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December 31, 2014</w:t>
            </w:r>
          </w:p>
        </w:tc>
        <w:tc>
          <w:tcPr>
            <w:tcW w:w="20" w:type="dxa"/>
            <w:vAlign w:val="bottom"/>
          </w:tcPr>
          <w:p>
            <w:pPr>
              <w:spacing w:after="0"/>
              <w:rPr>
                <w:sz w:val="14"/>
                <w:szCs w:val="1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31, 2013</w:t>
            </w: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85,050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investments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(8,386)</w:t>
            </w: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Other income for tax purposes, not book</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(901)</w:t>
            </w:r>
          </w:p>
        </w:tc>
      </w:tr>
      <w:tr>
        <w:trPr>
          <w:trHeight w:val="223"/>
        </w:trPr>
        <w:tc>
          <w:tcPr>
            <w:tcW w:w="20" w:type="dxa"/>
            <w:vAlign w:val="bottom"/>
          </w:tcPr>
          <w:p>
            <w:pPr>
              <w:spacing w:after="0"/>
              <w:rPr>
                <w:sz w:val="19"/>
                <w:szCs w:val="19"/>
                <w:color w:val="auto"/>
              </w:rPr>
            </w:pPr>
          </w:p>
        </w:tc>
        <w:tc>
          <w:tcPr>
            <w:tcW w:w="4780" w:type="dxa"/>
            <w:vAlign w:val="bottom"/>
          </w:tcPr>
          <w:p>
            <w:pPr>
              <w:ind w:left="480"/>
              <w:spacing w:after="0"/>
              <w:rPr>
                <w:sz w:val="20"/>
                <w:szCs w:val="20"/>
                <w:color w:val="auto"/>
              </w:rPr>
            </w:pPr>
            <w:r>
              <w:rPr>
                <w:rFonts w:ascii="Arial" w:cs="Arial" w:eastAsia="Arial" w:hAnsi="Arial"/>
                <w:sz w:val="18"/>
                <w:szCs w:val="18"/>
                <w:b w:val="1"/>
                <w:bCs w:val="1"/>
                <w:color w:val="auto"/>
              </w:rPr>
              <w:t>Taxable Income</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1" w:name="page112"/>
    <w:bookmarkEnd w:id="111"/>
    <w:p>
      <w:pPr>
        <w:ind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During the year ended December 31, 2015, permanent differences were principally related to $13.8 million of recharacterization of prepayment penalties for tax purposes between ordinary income and capital gains, $1.2 million attributable to accrued U.S. federal excise taxes, and $0.1 million attributable to the foreign currency reclassifications. 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 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w:t>
      </w:r>
    </w:p>
    <w:p>
      <w:pPr>
        <w:spacing w:after="0" w:line="167" w:lineRule="exact"/>
        <w:rPr>
          <w:sz w:val="20"/>
          <w:szCs w:val="20"/>
          <w:color w:val="auto"/>
        </w:rPr>
      </w:pPr>
    </w:p>
    <w:p>
      <w:pPr>
        <w:jc w:val="both"/>
        <w:ind w:right="40" w:firstLine="259"/>
        <w:spacing w:after="0" w:line="259" w:lineRule="auto"/>
        <w:rPr>
          <w:sz w:val="20"/>
          <w:szCs w:val="20"/>
          <w:color w:val="auto"/>
        </w:rPr>
      </w:pPr>
      <w:r>
        <w:rPr>
          <w:rFonts w:ascii="Arial" w:cs="Arial" w:eastAsia="Arial" w:hAnsi="Arial"/>
          <w:sz w:val="18"/>
          <w:szCs w:val="18"/>
          <w:color w:val="auto"/>
        </w:rPr>
        <w:t>As of December 31, 2015, the Company had a deferred tax asset of $1.5 million pertaining to unrealized depreciation and a $1.6 million deferred tax asset pertaining to operating losses, related to one of its investments. Given the losses generated by the entity, the deferred tax assets have been offset by valuation allowances of $1.5 million and $1.6 million for the deferred tax asset generated from unrealized depreciation and operating income, respectively. There were no deferred tax assets or liabilities as of December 31, 2014 or 2013.</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cost of the Company’s investments as of December 31, 2015 and 2014, approximates their amortized cost.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50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2015, 2014, 2013, 2012, and 2011.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6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 2015</w:t>
            </w: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2014</w:t>
            </w: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2013</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(5)</w:t>
            </w: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15.19</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14.71</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 xml:space="preserve">Net investment income (loss) </w:t>
            </w:r>
            <w:r>
              <w:rPr>
                <w:rFonts w:ascii="Arial" w:cs="Arial" w:eastAsia="Arial" w:hAnsi="Arial"/>
                <w:sz w:val="15"/>
                <w:szCs w:val="15"/>
                <w:color w:val="auto"/>
              </w:rPr>
              <w:t>(1)</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(0.58)</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(1)</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Dividends declared from net investment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5"/>
                <w:szCs w:val="15"/>
                <w:color w:val="auto"/>
              </w:rPr>
              <w:t>(2)</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realized</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gains </w:t>
            </w:r>
            <w:r>
              <w:rPr>
                <w:rFonts w:ascii="Arial" w:cs="Arial" w:eastAsia="Arial" w:hAnsi="Arial"/>
                <w:sz w:val="15"/>
                <w:szCs w:val="15"/>
                <w:color w:val="auto"/>
              </w:rPr>
              <w:t>(2)</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Total increase (decrease) in net</w:t>
            </w: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360"/>
              <w:spacing w:after="0"/>
              <w:rPr>
                <w:sz w:val="20"/>
                <w:szCs w:val="20"/>
                <w:color w:val="auto"/>
              </w:rPr>
            </w:pPr>
            <w:r>
              <w:rPr>
                <w:rFonts w:ascii="Arial" w:cs="Arial" w:eastAsia="Arial" w:hAnsi="Arial"/>
                <w:sz w:val="18"/>
                <w:szCs w:val="18"/>
                <w:color w:val="auto"/>
              </w:rPr>
              <w:t>assets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Net Asset Value, End of Period</w:t>
            </w: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color w:val="auto"/>
              </w:rPr>
              <w:t>Per share market value at end of period</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14.69%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End of Period</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54,163,960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53,797,358</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37,026,023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31,582,954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11,770,514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Ratios / Supplemental Data</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Ratio of net expenses to average</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assets</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9.31%</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Ratio of net investment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to average net assets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10.54%</w:t>
            </w: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34.51%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53.16%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26.97%</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45.70%</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820,741</w:t>
            </w:r>
          </w:p>
        </w:tc>
        <w:tc>
          <w:tcPr>
            <w:tcW w:w="2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835,405</w:t>
            </w:r>
          </w:p>
        </w:tc>
        <w:tc>
          <w:tcPr>
            <w:tcW w:w="24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574,696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479,803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173,092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240" w:hanging="512"/>
        <w:spacing w:after="0" w:line="250"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600" w:hanging="512"/>
        <w:spacing w:after="0" w:line="250"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right="300" w:hanging="512"/>
        <w:spacing w:after="0" w:line="261"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43,559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46,774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37,730</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19,916</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20,926</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20,332</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23,643</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25,849</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25,020</w:t>
            </w:r>
          </w:p>
        </w:tc>
        <w:tc>
          <w:tcPr>
            <w:tcW w:w="4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(27,985)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(16,512)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9,085</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5"/>
              </w:rPr>
              <w:t>Increase (decrease) in Net Assets Resulting from Operations</w:t>
            </w:r>
          </w:p>
        </w:tc>
        <w:tc>
          <w:tcPr>
            <w:tcW w:w="9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(4,342)</w:t>
            </w: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34,105</w:t>
            </w:r>
          </w:p>
        </w:tc>
        <w:tc>
          <w:tcPr>
            <w:tcW w:w="4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15.84</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940" w:type="dxa"/>
            <w:vAlign w:val="bottom"/>
            <w:gridSpan w:val="2"/>
          </w:tcPr>
          <w:p>
            <w:pPr>
              <w:jc w:val="right"/>
              <w:ind w:right="225"/>
              <w:spacing w:after="0"/>
              <w:rPr>
                <w:sz w:val="20"/>
                <w:szCs w:val="20"/>
                <w:color w:val="auto"/>
              </w:rPr>
            </w:pPr>
            <w:r>
              <w:rPr>
                <w:rFonts w:ascii="Arial" w:cs="Arial" w:eastAsia="Arial" w:hAnsi="Arial"/>
                <w:sz w:val="18"/>
                <w:szCs w:val="18"/>
                <w:color w:val="auto"/>
              </w:rPr>
              <w:t>F-37</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3" w:name="page114"/>
    <w:bookmarkEnd w:id="113"/>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3"/>
                <w:szCs w:val="13"/>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6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8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15,094</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15,288</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16,224</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12,239</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23,116</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29,433</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8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(16,879)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(4,513)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(2,139)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8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18,603</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27,294</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8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0"/>
                <w:szCs w:val="20"/>
                <w:color w:val="auto"/>
              </w:rPr>
            </w:pPr>
          </w:p>
        </w:tc>
      </w:tr>
      <w:tr>
        <w:trPr>
          <w:trHeight w:val="445"/>
        </w:trPr>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3"/>
                <w:szCs w:val="13"/>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6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8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10,576</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8,713</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8,123</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7,696</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12,817</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8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8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21,056</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16,259</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14,208</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15,461</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 xml:space="preserve">Net Asset Value per Share as of the End of the Quarter </w:t>
            </w:r>
            <w:r>
              <w:rPr>
                <w:rFonts w:ascii="Arial" w:cs="Arial" w:eastAsia="Arial" w:hAnsi="Arial"/>
                <w:sz w:val="15"/>
                <w:szCs w:val="15"/>
                <w:color w:val="auto"/>
              </w:rPr>
              <w:t>(2)</w:t>
            </w:r>
          </w:p>
        </w:tc>
        <w:tc>
          <w:tcPr>
            <w:tcW w:w="8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640" w:hanging="375"/>
        <w:spacing w:after="0"/>
        <w:tabs>
          <w:tab w:leader="none" w:pos="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Net expenses include income taxes, including excise taxes.</w:t>
      </w:r>
    </w:p>
    <w:p>
      <w:pPr>
        <w:spacing w:after="0" w:line="23" w:lineRule="exact"/>
        <w:rPr>
          <w:rFonts w:ascii="Arial" w:cs="Arial" w:eastAsia="Arial" w:hAnsi="Arial"/>
          <w:sz w:val="18"/>
          <w:szCs w:val="18"/>
          <w:color w:val="auto"/>
        </w:rPr>
      </w:pPr>
    </w:p>
    <w:p>
      <w:pPr>
        <w:ind w:left="640" w:right="460" w:hanging="375"/>
        <w:spacing w:after="0" w:line="261" w:lineRule="auto"/>
        <w:tabs>
          <w:tab w:leader="none" w:pos="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368" w:lineRule="exact"/>
        <w:rPr>
          <w:rFonts w:ascii="Arial" w:cs="Arial" w:eastAsia="Arial" w:hAnsi="Arial"/>
          <w:sz w:val="18"/>
          <w:szCs w:val="18"/>
          <w:color w:val="auto"/>
        </w:rPr>
      </w:pPr>
    </w:p>
    <w:p>
      <w:pPr>
        <w:ind w:left="280" w:hanging="272"/>
        <w:spacing w:after="0"/>
        <w:tabs>
          <w:tab w:leader="none" w:pos="2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The Company’s management has evaluated subsequent events through the date of issuance of the consolidated financial statements included herein. There</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have been no subsequent events that occurred during such period that would require disclosure in this Form 10-K or would be required to be recognized in the Consolidated Financial Statements as of and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b w:val="1"/>
          <w:bCs w:val="1"/>
          <w:i w:val="1"/>
          <w:i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adequate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control over financial reporting (as defined in Rules 13a-15(f) and 15d-15(f) of the Exchange Act). Under the supervision and with the participation of management, including the Co-Chief Executive Officers and Chief Financial Officer, we conducted an evaluation of the effectiveness of our internal control over financial reporting based on the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(2013 COSO Framework). Based on our evaluation under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w:t>
      </w:r>
      <w:r>
        <w:rPr>
          <w:rFonts w:ascii="Arial" w:cs="Arial" w:eastAsia="Arial" w:hAnsi="Arial"/>
          <w:sz w:val="17"/>
          <w:szCs w:val="17"/>
          <w:color w:val="auto"/>
        </w:rPr>
        <w:t>, management concluded that our internal control over financial reporting was effective as of December 31, 2015.</w:t>
      </w:r>
    </w:p>
    <w:p>
      <w:pPr>
        <w:spacing w:after="0" w:line="178"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b w:val="1"/>
          <w:bCs w:val="1"/>
          <w:i w:val="1"/>
          <w:iCs w:val="1"/>
          <w:color w:val="auto"/>
        </w:rPr>
        <w:t xml:space="preserve">Attestation Report of the Independent Registered Public Accounting Firm. </w:t>
      </w:r>
      <w:r>
        <w:rPr>
          <w:rFonts w:ascii="Arial" w:cs="Arial" w:eastAsia="Arial" w:hAnsi="Arial"/>
          <w:sz w:val="18"/>
          <w:szCs w:val="18"/>
          <w:color w:val="auto"/>
        </w:rPr>
        <w:t>Our independent registered public accounting firm, KPMG LLP, has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audit report on the effectiveness of our internal control over financial reporting, which is set forth under the heading “Report of Independent Registered Public Accounting Firm” on page F-2.</w:t>
      </w:r>
    </w:p>
    <w:p>
      <w:pPr>
        <w:spacing w:after="0" w:line="18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color w:val="auto"/>
        </w:rPr>
        <w:t>KPMG LLP (KPMG), our independent registered public accounting firm, provides audit, tax and advisory services to various affiliates of TPG, which are also affiliates of TPG Specialty Lending, Inc. KPMG informed our management and Audit Committee that it had provided certain services to an affiliated entity during 2014 and 2015 for total fees of approximately $350,000 and financial information system implementation services to a portfolio company of a TPG-advised private fund during 2013 and 2014 for total fees of approximately $143,000, both of which were determined to be impermissible under the independence rules of the SEC. In addition, KPMG informed us of a business relationship between a member firm of KPMG International Cooperative and a portfolio company of certain TPG-advised private funds during 2014 and 2015 for total fees of approximately $91,000 that was also determined to be impermissible under the independence rules of the SEC. None of the services and business relationship were provided to or paid for by TPG Specialty Lending, Inc.</w:t>
      </w:r>
    </w:p>
    <w:p>
      <w:pPr>
        <w:spacing w:after="0" w:line="192"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KPMG considered whether the matters noted above impacted its objectivity and ability to exercise impartial judgment with regard to its engagement as our auditors and has concluded that there has been no impairment of KPMG’s objectivity and ability to exercise impartial judgment. After taking into consideration the facts and circumstances of the above matters and KPMG’s determination, our Audit Committee also has concluded that KPMG’s objectivity and ability to exercise impartial judgment has not been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Information in response to this item is incorporated by reference from our Proxy Statement relating to our 2016 annual meeting of stockholders. The Proxy Statement will be filed with the SEC within 120 days after the end of the fiscal year covered by this Form 10-K pursuant to Regulation 14A under the Exchange Act.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2016 annual meeting of stockholders.</w:t>
      </w:r>
    </w:p>
    <w:p>
      <w:pPr>
        <w:spacing w:after="0" w:line="200" w:lineRule="exact"/>
        <w:rPr>
          <w:sz w:val="20"/>
          <w:szCs w:val="20"/>
          <w:color w:val="auto"/>
        </w:rPr>
      </w:pPr>
    </w:p>
    <w:p>
      <w:pPr>
        <w:spacing w:after="0" w:line="222"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2016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2016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116" w:name="page117"/>
    <w:bookmarkEnd w:id="116"/>
    <w:p>
      <w:pPr>
        <w:ind w:left="53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780" w:right="400" w:hanging="515"/>
        <w:spacing w:after="0" w:line="277"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w:t>
      </w:r>
    </w:p>
    <w:p>
      <w:pPr>
        <w:spacing w:after="0" w:line="62" w:lineRule="exact"/>
        <w:rPr>
          <w:rFonts w:ascii="Arial" w:cs="Arial" w:eastAsia="Arial" w:hAnsi="Arial"/>
          <w:sz w:val="18"/>
          <w:szCs w:val="18"/>
          <w:color w:val="auto"/>
        </w:rPr>
      </w:pPr>
    </w:p>
    <w:p>
      <w:pPr>
        <w:ind w:left="780" w:right="180" w:hanging="515"/>
        <w:spacing w:after="0" w:line="264"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73" w:lineRule="exact"/>
        <w:rPr>
          <w:rFonts w:ascii="Arial" w:cs="Arial" w:eastAsia="Arial" w:hAnsi="Arial"/>
          <w:sz w:val="18"/>
          <w:szCs w:val="18"/>
          <w:color w:val="auto"/>
        </w:rPr>
      </w:pPr>
    </w:p>
    <w:p>
      <w:pPr>
        <w:ind w:left="780" w:hanging="515"/>
        <w:spacing w:after="0"/>
        <w:tabs>
          <w:tab w:leader="none" w:pos="7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Exhibits—The following is a list of all exhibits filed as a part of this annual report on Form 10-K, including those incorporated by reference.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tcPr>
          <w:p>
            <w:pPr>
              <w:spacing w:after="0"/>
              <w:rPr>
                <w:sz w:val="20"/>
                <w:szCs w:val="20"/>
                <w:color w:val="auto"/>
              </w:rPr>
            </w:pPr>
            <w:r>
              <w:rPr>
                <w:rFonts w:ascii="Arial" w:cs="Arial" w:eastAsia="Arial" w:hAnsi="Arial"/>
                <w:sz w:val="14"/>
                <w:szCs w:val="14"/>
                <w:color w:val="auto"/>
              </w:rPr>
              <w:t>Description of Exhibits</w:t>
            </w:r>
          </w:p>
        </w:tc>
        <w:tc>
          <w:tcPr>
            <w:tcW w:w="20" w:type="dxa"/>
            <w:vAlign w:val="bottom"/>
          </w:tcPr>
          <w:p>
            <w:pPr>
              <w:spacing w:after="0"/>
              <w:rPr>
                <w:sz w:val="14"/>
                <w:szCs w:val="14"/>
                <w:color w:val="auto"/>
              </w:rPr>
            </w:pPr>
          </w:p>
        </w:tc>
      </w:tr>
      <w:tr>
        <w:trPr>
          <w:trHeight w:val="317"/>
        </w:trPr>
        <w:tc>
          <w:tcPr>
            <w:tcW w:w="9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Amended and Restated Certificate of Incorporation (incorporated by reference to Exhibit 3.1 to Amendment No. 1 to the Company’s</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Registration Statement on Form 10 filed on March 14, 2011).</w:t>
            </w:r>
          </w:p>
        </w:tc>
        <w:tc>
          <w:tcPr>
            <w:tcW w:w="20" w:type="dxa"/>
            <w:vAlign w:val="bottom"/>
          </w:tcPr>
          <w:p>
            <w:pPr>
              <w:spacing w:after="0"/>
              <w:rPr>
                <w:sz w:val="20"/>
                <w:szCs w:val="20"/>
                <w:color w:val="auto"/>
              </w:rPr>
            </w:pPr>
          </w:p>
        </w:tc>
      </w:tr>
      <w:tr>
        <w:trPr>
          <w:trHeight w:val="323"/>
        </w:trPr>
        <w:tc>
          <w:tcPr>
            <w:tcW w:w="900" w:type="dxa"/>
            <w:vAlign w:val="bottom"/>
          </w:tcPr>
          <w:p>
            <w:pPr>
              <w:ind w:lef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3.1 to the Company’s</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Current Report on Form 8-K filed on March 12, 2014).</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Bylaws (incorporated by reference to Exhibit 3.2 to Amendment No. 1 to the Company’s Registration Statement on Form 10 filed on March</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14,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Form of Subscription Agreement in connection with the Private Offerings (incorporated by reference to Exhibit 4.1 to the Company’s</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Registration Statement on Form 10 filed on January 14,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Common Stock Certificate (incorporated by reference to Exhibit 4.2 to the Company’s Annual Report on Form 10-K filed on March</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22, 2012).</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Form of Private Placement Agreement (incorporated by reference to Exhibit (d)(3) to Amendment No. 2 to the Company’s Registration</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Statement on Form N-2 filed on March 12, 2014).</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Indenture, dated June 10, 2014, between TPG Specialty Lending, Inc. and Wells Fargo Bank, National Association, as Trustee (incorporated by</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reference to Exhibit 4.1 to the Company’s Current Report on Form 8-K filed on June 10, 2014).</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4.50% Convertible Senior Note Due 2019 (incorporated by reference to Exhibit 4.2 to the Company’s Current Report on Form 8-K</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on June 10, 2014).</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Indemnification Agreement between the Company and certain officers and directors (incorporated by reference to Exhibit 10.3 to</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Administration Agreement, dated as of March 15, 2011, between the Company and the Adviser (incorporated by reference to Exhibit 10.1 to</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the Company’s Current Report on Form 8-K filed on March 15,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Revolving Credit Agreement, dated September 28, 2011, among TPG Specialty Lending Inc., as Borrower, Deutsche Bank Trust Company</w:t>
            </w:r>
          </w:p>
        </w:tc>
        <w:tc>
          <w:tcPr>
            <w:tcW w:w="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Americas, as Administrative Agent, and Lenders Party Thereto (incorporated by reference to Exhibit 10.1 to the Company’s Quarterly Report</w:t>
            </w:r>
          </w:p>
        </w:tc>
        <w:tc>
          <w:tcPr>
            <w:tcW w:w="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10-Q filed on November 14,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First Amendment to Revolving Credit Agreement, dated September 28, 2011, among TPG Specialty Lending, Inc., as Borrower, Deutsche</w:t>
            </w:r>
          </w:p>
        </w:tc>
        <w:tc>
          <w:tcPr>
            <w:tcW w:w="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Bank Trust Company Americas, as Administrative Agent, and Lenders Party Thereto (incorporated by reference to Exhibit 10.2 to the</w:t>
            </w:r>
          </w:p>
        </w:tc>
        <w:tc>
          <w:tcPr>
            <w:tcW w:w="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Company’s Quarterly Report on Form 10-Q filed on November 14,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Amended and Restated Investment Advisory and Management Agreement, dated December 12, 2011, between the Company and the Adviser</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(incorporated by reference to Exhibit 10.1 to the Company’s Current Report on Form 8-K filed on December 13,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Amended and Restated Revolving Credit Agreement, dated December 22, 2011, among TPG Specialty Lending, Inc., as Borrower, Deutsche</w:t>
            </w:r>
          </w:p>
        </w:tc>
        <w:tc>
          <w:tcPr>
            <w:tcW w:w="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Bank Trust Company Americas, as Administrative Agent, and Lenders Party (incorporated by reference to Exhibit 10.6 to the Company’s</w:t>
            </w:r>
          </w:p>
        </w:tc>
        <w:tc>
          <w:tcPr>
            <w:tcW w:w="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Annual Report on Form 10-K filed on March 22, 2012).</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Dividend Reinvestment Plan of TPG Specialty Lending, Inc. (incorporated by reference to Exhibit 10.7 to the Company’s Annual Report on</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10-K filed on March 22, 2012).</w:t>
            </w:r>
          </w:p>
        </w:tc>
        <w:tc>
          <w:tcPr>
            <w:tcW w:w="2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tcPr>
          <w:p>
            <w:pPr>
              <w:ind w:left="454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7" w:name="page118"/>
    <w:bookmarkEnd w:id="117"/>
    <w:p>
      <w:pPr>
        <w:spacing w:after="0"/>
        <w:tabs>
          <w:tab w:leader="none" w:pos="106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40"/>
              <w:spacing w:after="0"/>
              <w:rPr>
                <w:sz w:val="20"/>
                <w:szCs w:val="20"/>
                <w:color w:val="auto"/>
              </w:rPr>
            </w:pPr>
            <w:r>
              <w:rPr>
                <w:rFonts w:ascii="Arial" w:cs="Arial" w:eastAsia="Arial" w:hAnsi="Arial"/>
                <w:sz w:val="18"/>
                <w:szCs w:val="18"/>
                <w:color w:val="auto"/>
              </w:rPr>
              <w:t>10.8</w:t>
            </w: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Revolving Credit and Security Agreement, dated May 8, 2012, among TPG SL SPV, LLC, as Borrower, the Lenders from Time to Time Parties</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Hereto, Natixis, New York Branch, as Facility Agent and The Bank of New York Mellon Trust Company, N.A., as Collateral Agent</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10.9</w:t>
            </w: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Master Sale and Contribution Agreement by and between TPG Specialty Lending, Inc., as the Originator and TPG SL SPV, LLC, as the Buyer,</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dated as of May 8, 2012 (incorporated by reference to Exhibit 10.2 to the Company’s Quarterly Report on Form 10-Q filed on August 13,</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2012).</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10.10</w:t>
            </w:r>
          </w:p>
        </w:tc>
        <w:tc>
          <w:tcPr>
            <w:tcW w:w="10640" w:type="dxa"/>
            <w:vAlign w:val="bottom"/>
          </w:tcPr>
          <w:p>
            <w:pPr>
              <w:ind w:left="280"/>
              <w:spacing w:after="0"/>
              <w:rPr>
                <w:sz w:val="20"/>
                <w:szCs w:val="20"/>
                <w:color w:val="auto"/>
              </w:rPr>
            </w:pPr>
            <w:r>
              <w:rPr>
                <w:rFonts w:ascii="Arial" w:cs="Arial" w:eastAsia="Arial" w:hAnsi="Arial"/>
                <w:sz w:val="18"/>
                <w:szCs w:val="18"/>
                <w:color w:val="auto"/>
                <w:w w:val="94"/>
              </w:rPr>
              <w:t>Senior Secured Revolving Credit Agreement, dated as of August 23, 2012, among TPG Specialty Lending, Inc., as Borrower, the Lenders</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Party Hereto and SunTrust Bank, as Administrative Agent, JPMorgan Chase Bank, N.A., as Syndication Agent (incorporated by reference to</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14, 2012).</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10.11</w:t>
            </w: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First Amendment to Amended and Restated Revolving Credit Agreement, dated October 31, 2012, among TPG. Specialty Lending, Inc., as</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Borrower, Deutsche Bank Trust Company Americas, as Administrative Agent, and Lenders Named Herein (incorporated by reference to</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Exhibit 10.2 to the Company’s Quarterly Report on Form 10-Q filed on November 14, 2012).</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10.12</w:t>
            </w:r>
          </w:p>
        </w:tc>
        <w:tc>
          <w:tcPr>
            <w:tcW w:w="10640" w:type="dxa"/>
            <w:vAlign w:val="bottom"/>
          </w:tcPr>
          <w:p>
            <w:pPr>
              <w:ind w:left="280"/>
              <w:spacing w:after="0"/>
              <w:rPr>
                <w:sz w:val="20"/>
                <w:szCs w:val="20"/>
                <w:color w:val="auto"/>
              </w:rPr>
            </w:pPr>
            <w:r>
              <w:rPr>
                <w:rFonts w:ascii="Arial" w:cs="Arial" w:eastAsia="Arial" w:hAnsi="Arial"/>
                <w:sz w:val="18"/>
                <w:szCs w:val="18"/>
                <w:color w:val="auto"/>
                <w:w w:val="94"/>
              </w:rPr>
              <w:t>Custodian Agreement dated November 29, 2012 (incorporated by reference to Exhibit 10.1 to the Company’s Current Report on Form 8-K</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filed on December 4, 2012).</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10.13</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Instrument of Removal, Appointment and Acceptance, dated November 29, 2012, among State Street Bank and Trust Company and TPG SL</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SPV, LLC, TPG Specialty Lending, Inc. and the Bank of New York Mellon Trust Company, N.A. (incorporated by reference to Exhibit 10.1 to</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10.14</w:t>
            </w:r>
          </w:p>
        </w:tc>
        <w:tc>
          <w:tcPr>
            <w:tcW w:w="10640" w:type="dxa"/>
            <w:vAlign w:val="bottom"/>
          </w:tcPr>
          <w:p>
            <w:pPr>
              <w:ind w:left="280"/>
              <w:spacing w:after="0"/>
              <w:rPr>
                <w:sz w:val="20"/>
                <w:szCs w:val="20"/>
                <w:color w:val="auto"/>
              </w:rPr>
            </w:pPr>
            <w:r>
              <w:rPr>
                <w:rFonts w:ascii="Arial" w:cs="Arial" w:eastAsia="Arial" w:hAnsi="Arial"/>
                <w:sz w:val="18"/>
                <w:szCs w:val="18"/>
                <w:color w:val="auto"/>
                <w:w w:val="94"/>
              </w:rPr>
              <w:t>Second Amendment to Amended and Restated Revolving Credit Agreement, dated May 7, 2013, among TPG Specialty Lending, Inc., as</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Borrower, Deutsche Bank Trust Company Americas, as Administrative Agent, and Lenders Named Herein (incorporated by reference to</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May 10, 2013).</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10.15</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Amended and Restated Senior Secured Revolving Credit Agreement, dated as of July 2, 2013, among TPG Specialty Lending, Inc., the lenders</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4"/>
              </w:rPr>
              <w:t>party thereto, SunTrust Bank as administrative agent and JPMorgan Chase Bank N.A. as syndication agent (incorporated by reference to</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July 9, 2013).</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10.16</w:t>
            </w:r>
          </w:p>
        </w:tc>
        <w:tc>
          <w:tcPr>
            <w:tcW w:w="10640" w:type="dxa"/>
            <w:vAlign w:val="bottom"/>
          </w:tcPr>
          <w:p>
            <w:pPr>
              <w:ind w:left="280"/>
              <w:spacing w:after="0"/>
              <w:rPr>
                <w:sz w:val="20"/>
                <w:szCs w:val="20"/>
                <w:color w:val="auto"/>
              </w:rPr>
            </w:pPr>
            <w:r>
              <w:rPr>
                <w:rFonts w:ascii="Arial" w:cs="Arial" w:eastAsia="Arial" w:hAnsi="Arial"/>
                <w:sz w:val="18"/>
                <w:szCs w:val="18"/>
                <w:color w:val="auto"/>
                <w:w w:val="96"/>
              </w:rPr>
              <w:t>Amendment No. 1 dated July 17, 2013 to Revolving Credit and Security Agreement, dated May 8, 2012, among TPG SL SPV, LLC, as</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Borrower, the Lenders from Time to Time Parties Hereto, Natixis, New York Branch, as Facility Agent and The Bank of New York Mellon</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Trust Company, N.A., as Collateral Agent (incorporated by reference to Exhibit 10.1 to the Company’s Quarterly Report on Form 10-Q filed</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on August 9, 2013).</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10.17</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Third Amendment to Amended and Restated Revolving Credit Agreement, dated November 5, 2013, among TPG Specialty Lending, Inc., as</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Borrower, Deutsche Bank Trust Company Americas, as Administrative Agent, and Lenders Named Herein (incorporated by reference to</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November 7, 2013).</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10.18</w:t>
            </w: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Amended and Restated Revolving Credit and Security Agreement, dated as of January 21, 2014, among TPG SL SPV, LLC, as Borrower, the</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7"/>
              </w:rPr>
              <w:t>Lenders from Time to Time Parties Hereto, Natixis, New York Branch, as Facility Agent and State Street Bank and Trust Company, as</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8"/>
              </w:rPr>
              <w:t>Collateral Agent (incorporated by reference to Exhibit 10.18 to the Company’s Annual Report on Form 10-K filed on March 4, 2014).</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10.19</w:t>
            </w: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Amended and Restated Master Sale and Contribution Agreement by and between TPG Specialty Lending, Inc., as the Originator and TPG SL</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SPV, LLC, as the Buyer, dated as of January 21, 2014 (incorporated by reference to Exhibit 10.19 to the Company’s Annual Report on Form</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10-K filed on March 4, 2014).</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10.20</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Second Amended and Restated Senior Secured Credit Agreement, dated February 27, 2014, among TPG Specialty Lending, Inc., as Borrower,</w:t>
            </w:r>
          </w:p>
        </w:tc>
      </w:tr>
      <w:tr>
        <w:trPr>
          <w:trHeight w:val="216"/>
        </w:trPr>
        <w:tc>
          <w:tcPr>
            <w:tcW w:w="80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the Lenders Party Hereto and SunTrust Bank, as Administrative Agent, and JPMorgan Chase Bank, N.A., as Syndication Agent (incorporated</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by reference to Exhibit 10.20 to the Company’s Annual Report on Form 10-K filed on March 4, 2014).</w:t>
            </w:r>
          </w:p>
        </w:tc>
      </w:tr>
      <w:tr>
        <w:trPr>
          <w:trHeight w:val="323"/>
        </w:trPr>
        <w:tc>
          <w:tcPr>
            <w:tcW w:w="800" w:type="dxa"/>
            <w:vAlign w:val="bottom"/>
          </w:tcPr>
          <w:p>
            <w:pPr>
              <w:ind w:left="140"/>
              <w:spacing w:after="0"/>
              <w:rPr>
                <w:sz w:val="20"/>
                <w:szCs w:val="20"/>
                <w:color w:val="auto"/>
              </w:rPr>
            </w:pPr>
            <w:r>
              <w:rPr>
                <w:rFonts w:ascii="Arial" w:cs="Arial" w:eastAsia="Arial" w:hAnsi="Arial"/>
                <w:sz w:val="18"/>
                <w:szCs w:val="18"/>
                <w:color w:val="auto"/>
              </w:rPr>
              <w:t>10.21</w:t>
            </w:r>
          </w:p>
        </w:tc>
        <w:tc>
          <w:tcPr>
            <w:tcW w:w="10640" w:type="dxa"/>
            <w:vAlign w:val="bottom"/>
          </w:tcPr>
          <w:p>
            <w:pPr>
              <w:ind w:left="280"/>
              <w:spacing w:after="0"/>
              <w:rPr>
                <w:sz w:val="20"/>
                <w:szCs w:val="20"/>
                <w:color w:val="auto"/>
              </w:rPr>
            </w:pPr>
            <w:r>
              <w:rPr>
                <w:rFonts w:ascii="Arial" w:cs="Arial" w:eastAsia="Arial" w:hAnsi="Arial"/>
                <w:sz w:val="18"/>
                <w:szCs w:val="18"/>
                <w:color w:val="auto"/>
                <w:w w:val="94"/>
              </w:rPr>
              <w:t>Dividend Reinvestment Plan of TPG Specialty Lending, Inc. (incorporated by reference to Exhibit (e) to Pre-Effective Amendment No. 4 to</w:t>
            </w:r>
          </w:p>
        </w:tc>
      </w:tr>
      <w:tr>
        <w:trPr>
          <w:trHeight w:val="230"/>
        </w:trPr>
        <w:tc>
          <w:tcPr>
            <w:tcW w:w="800" w:type="dxa"/>
            <w:vAlign w:val="bottom"/>
          </w:tcPr>
          <w:p>
            <w:pPr>
              <w:spacing w:after="0"/>
              <w:rPr>
                <w:sz w:val="20"/>
                <w:szCs w:val="20"/>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the Company’s Registration Statement on Form N-2 filed on March 17, 2014).</w:t>
            </w:r>
          </w:p>
        </w:tc>
      </w:tr>
      <w:tr>
        <w:trPr>
          <w:trHeight w:val="432"/>
        </w:trPr>
        <w:tc>
          <w:tcPr>
            <w:tcW w:w="800" w:type="dxa"/>
            <w:vAlign w:val="bottom"/>
          </w:tcPr>
          <w:p>
            <w:pPr>
              <w:spacing w:after="0"/>
              <w:rPr>
                <w:sz w:val="24"/>
                <w:szCs w:val="24"/>
                <w:color w:val="auto"/>
              </w:rPr>
            </w:pPr>
          </w:p>
        </w:tc>
        <w:tc>
          <w:tcPr>
            <w:tcW w:w="10640" w:type="dxa"/>
            <w:vAlign w:val="bottom"/>
          </w:tcPr>
          <w:p>
            <w:pPr>
              <w:ind w:left="4820"/>
              <w:spacing w:after="0"/>
              <w:rPr>
                <w:sz w:val="20"/>
                <w:szCs w:val="20"/>
                <w:color w:val="auto"/>
              </w:rPr>
            </w:pPr>
            <w:r>
              <w:rPr>
                <w:rFonts w:ascii="Arial" w:cs="Arial" w:eastAsia="Arial" w:hAnsi="Arial"/>
                <w:sz w:val="18"/>
                <w:szCs w:val="18"/>
                <w:color w:val="auto"/>
              </w:rPr>
              <w:t>80</w:t>
            </w:r>
          </w:p>
        </w:tc>
      </w:tr>
      <w:tr>
        <w:trPr>
          <w:trHeight w:val="115"/>
        </w:trPr>
        <w:tc>
          <w:tcPr>
            <w:tcW w:w="800" w:type="dxa"/>
            <w:vAlign w:val="bottom"/>
            <w:tcBorders>
              <w:bottom w:val="single" w:sz="8" w:color="9A9A9A"/>
            </w:tcBorders>
          </w:tcPr>
          <w:p>
            <w:pPr>
              <w:spacing w:after="0"/>
              <w:rPr>
                <w:sz w:val="10"/>
                <w:szCs w:val="10"/>
                <w:color w:val="auto"/>
              </w:rPr>
            </w:pPr>
          </w:p>
        </w:tc>
        <w:tc>
          <w:tcPr>
            <w:tcW w:w="10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118" w:name="page119"/>
    <w:bookmarkEnd w:id="118"/>
    <w:p>
      <w:pPr>
        <w:spacing w:after="0"/>
        <w:tabs>
          <w:tab w:leader="none" w:pos="106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Form of Increase Letter pursuant to the Second Amended and Restated Senior Secured Credit Agreement, dated February 27, 2014, among</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TPG Specialty Lending, Inc., as Borrower, the Lenders Party Hereto and SunTrust Bank, as Administrative Agent, and JPMorgan Chase Bank,</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N.A., as Syndication Agent (incorporated by reference to Exhibit 10.3 to the Company’s Quarterly Annual Report on Form 10-Q filed on</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August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First Amendment to Second Amended and Restated Senior Secured Revolving Credit Agreement, dated June 3, 2014, among TPG Specialty</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Lending, Inc., as Borrower, the Lenders party thereto and SunTrust Bank, as Administrative Agent and Collateral Agent (incorporated by</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reference to Exhibit 10.4 to the Company’s Quarterly Report on Form 10-Q filed on August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Second Amendment to Second Amended and Restated Senior Secured Revolving Credit Agreement, dated June 27, 2014, among TPG</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Specialty Lending, Inc., as Borrower, Morgan Stanley Bank, N.A., as a Lender, and SunTrust Bank, as Administrative Agent (incorporated by</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reference to Exhibit 10.5 to the Company’s Quarterly Report on Form 10-Q filed on August 4,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Third Amendment to Second Amended and Restated Senior Secured Revolving Credit Agreement, dated October 17, 2014, among TPG</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Specialty Lending, Inc., as Borrower, the Lenders party thereto and SunTrust Bank, as Administrative Agent (incorporated by reference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2014).</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10.26</w:t>
            </w: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Second Amended and Restated Credit and Security Agreement, dated as of March 27, 2015, among TPG SL SPV, LLC, as Borrower, the</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0"/>
              </w:rPr>
              <w:t>Lenders from time to time parties thereto, Natixis, New York Branch, as Facility Agent and State Street Bank and Trust Company, as Collateral</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Agent (incorporated by reference to Exhibit 10.1 to the Company’s Current Report on Form 8-K filed on March 30, 2015).</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Fourth Amendment to Second Amended and Restated Senior Secured Revolving Credit Agreement, dated October 2, 2015, among TPG</w:t>
            </w:r>
          </w:p>
        </w:tc>
      </w:tr>
      <w:tr>
        <w:trPr>
          <w:trHeight w:val="216"/>
        </w:trPr>
        <w:tc>
          <w:tcPr>
            <w:tcW w:w="66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Specialty Lending, Inc., as Borrower, the Lenders party thereto and Suntrust Bank, as Administrative Agent (incorporated by reference to</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2015).</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tcPr>
          <w:p>
            <w:pPr>
              <w:ind w:left="280"/>
              <w:spacing w:after="0"/>
              <w:rPr>
                <w:sz w:val="20"/>
                <w:szCs w:val="20"/>
                <w:color w:val="auto"/>
              </w:rPr>
            </w:pPr>
            <w:r>
              <w:rPr>
                <w:rFonts w:ascii="Arial" w:cs="Arial" w:eastAsia="Arial" w:hAnsi="Arial"/>
                <w:sz w:val="18"/>
                <w:szCs w:val="18"/>
                <w:color w:val="auto"/>
              </w:rPr>
              <w:t>Subsidiaries of TPG Specialty Lending, Inc.</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280"/>
              <w:spacing w:after="0"/>
              <w:rPr>
                <w:sz w:val="20"/>
                <w:szCs w:val="20"/>
                <w:color w:val="auto"/>
              </w:rPr>
            </w:pPr>
            <w:r>
              <w:rPr>
                <w:rFonts w:ascii="Arial" w:cs="Arial" w:eastAsia="Arial" w:hAnsi="Arial"/>
                <w:sz w:val="18"/>
                <w:szCs w:val="18"/>
                <w:color w:val="auto"/>
                <w:w w:val="93"/>
              </w:rPr>
              <w:t>Certification of Co-Chief Executive Officer Pursuant to 18 U.S.C. Section 1350, as Adopted Pursuant to Section 302 of the Sarbanes-Oxley</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Act of 2002.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280"/>
              <w:spacing w:after="0"/>
              <w:rPr>
                <w:sz w:val="20"/>
                <w:szCs w:val="20"/>
                <w:color w:val="auto"/>
              </w:rPr>
            </w:pPr>
            <w:r>
              <w:rPr>
                <w:rFonts w:ascii="Arial" w:cs="Arial" w:eastAsia="Arial" w:hAnsi="Arial"/>
                <w:sz w:val="18"/>
                <w:szCs w:val="18"/>
                <w:color w:val="auto"/>
                <w:w w:val="93"/>
              </w:rPr>
              <w:t>Certification of Co-Chief Executive Officer Pursuant to 18 U.S.C. Section 1350, as Adopted Pursuant to Section 302 of the Sarbanes-Oxley</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Act of 2002.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31.3</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 Act of</w:t>
            </w:r>
          </w:p>
        </w:tc>
      </w:tr>
      <w:tr>
        <w:trPr>
          <w:trHeight w:val="230"/>
        </w:trPr>
        <w:tc>
          <w:tcPr>
            <w:tcW w:w="66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2002.</w:t>
            </w:r>
          </w:p>
        </w:tc>
      </w:tr>
    </w:tbl>
    <w:p>
      <w:pPr>
        <w:spacing w:after="0" w:line="107" w:lineRule="exact"/>
        <w:rPr>
          <w:sz w:val="20"/>
          <w:szCs w:val="20"/>
          <w:color w:val="auto"/>
        </w:rPr>
      </w:pPr>
    </w:p>
    <w:p>
      <w:pPr>
        <w:ind w:left="1080" w:right="360" w:hanging="94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Certification of Co-CEOs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9607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8"/>
          <w:szCs w:val="18"/>
          <w:b w:val="1"/>
          <w:bCs w:val="1"/>
          <w:color w:val="auto"/>
        </w:rPr>
        <w:t>TPG SPECIALTY LENDING, INC.</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color w:val="auto"/>
        </w:rPr>
        <w:t>Each person whose signature appears below constitutes and appoints Michael Fishman, Joshua Easterly, Ian Simmonds, David Stiepleman and Jennifer Mello,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2015,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24,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6920" w:type="dxa"/>
            <w:vAlign w:val="bottom"/>
            <w:tcBorders>
              <w:bottom w:val="single" w:sz="8" w:color="auto"/>
            </w:tcBorders>
          </w:tcPr>
          <w:p>
            <w:pPr>
              <w:jc w:val="right"/>
              <w:ind w:right="3248"/>
              <w:spacing w:after="0"/>
              <w:rPr>
                <w:sz w:val="20"/>
                <w:szCs w:val="20"/>
                <w:color w:val="auto"/>
              </w:rPr>
            </w:pPr>
            <w:r>
              <w:rPr>
                <w:rFonts w:ascii="Arial" w:cs="Arial" w:eastAsia="Arial" w:hAnsi="Arial"/>
                <w:sz w:val="14"/>
                <w:szCs w:val="14"/>
                <w:b w:val="1"/>
                <w:bCs w:val="1"/>
                <w:color w:val="auto"/>
              </w:rPr>
              <w:t>Title</w:t>
            </w:r>
          </w:p>
        </w:tc>
      </w:tr>
      <w:tr>
        <w:trPr>
          <w:trHeight w:val="39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 and Director (Principal Executive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Michael Fishman</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 Director and Chairman of the Board of Directors</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Joshua Easterly</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(Principal Financial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Ian Simmonds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Graf</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Vice President (Principal Accounting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Michael Graf</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3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Ross</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 and Chairman of the Audit Committee</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John A. Ross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Higginbotham</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Richard A. Higginbotham</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K. Tanemura</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Ronald K. Tanemura</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647"/>
        </w:trPr>
        <w:tc>
          <w:tcPr>
            <w:tcW w:w="4400" w:type="dxa"/>
            <w:vAlign w:val="bottom"/>
          </w:tcPr>
          <w:p>
            <w:pPr>
              <w:spacing w:after="0"/>
              <w:rPr>
                <w:sz w:val="24"/>
                <w:szCs w:val="24"/>
                <w:color w:val="auto"/>
              </w:rPr>
            </w:pPr>
          </w:p>
        </w:tc>
        <w:tc>
          <w:tcPr>
            <w:tcW w:w="7020" w:type="dxa"/>
            <w:vAlign w:val="bottom"/>
            <w:gridSpan w:val="2"/>
          </w:tcPr>
          <w:p>
            <w:pPr>
              <w:jc w:val="right"/>
              <w:ind w:right="5548"/>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33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960" w:type="dxa"/>
            <w:vAlign w:val="bottom"/>
            <w:gridSpan w:val="3"/>
          </w:tcPr>
          <w:p>
            <w:pPr>
              <w:ind w:left="1060"/>
              <w:spacing w:after="0"/>
              <w:rPr>
                <w:sz w:val="20"/>
                <w:szCs w:val="20"/>
                <w:color w:val="auto"/>
              </w:rPr>
            </w:pPr>
            <w:r>
              <w:rPr>
                <w:rFonts w:ascii="Arial" w:cs="Arial" w:eastAsia="Arial" w:hAnsi="Arial"/>
                <w:sz w:val="18"/>
                <w:szCs w:val="18"/>
                <w:b w:val="1"/>
                <w:bCs w:val="1"/>
                <w:color w:val="auto"/>
              </w:rPr>
              <w:t>SUBSIDIARIES OF TPG SPECIALTY LENDING, INC.</w:t>
            </w:r>
          </w:p>
        </w:tc>
      </w:tr>
      <w:tr>
        <w:trPr>
          <w:trHeight w:val="365"/>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0" w:type="dxa"/>
            <w:vAlign w:val="bottom"/>
          </w:tcPr>
          <w:p>
            <w:pPr>
              <w:spacing w:after="0"/>
              <w:rPr>
                <w:sz w:val="16"/>
                <w:szCs w:val="16"/>
                <w:color w:val="auto"/>
              </w:rPr>
            </w:pPr>
          </w:p>
        </w:tc>
        <w:tc>
          <w:tcPr>
            <w:tcW w:w="2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TC Lending, LLC</w:t>
            </w:r>
          </w:p>
        </w:tc>
        <w:tc>
          <w:tcPr>
            <w:tcW w:w="3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TPG SL SPV, LLC</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TSL MR, LLC</w:t>
            </w: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33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17" w:lineRule="exact"/>
        <w:rPr>
          <w:sz w:val="20"/>
          <w:szCs w:val="20"/>
          <w:color w:val="auto"/>
        </w:rPr>
      </w:pPr>
    </w:p>
    <w:p>
      <w:pPr>
        <w:ind w:left="780" w:hanging="515"/>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25" w:lineRule="exact"/>
        <w:rPr>
          <w:sz w:val="20"/>
          <w:szCs w:val="20"/>
          <w:color w:val="auto"/>
        </w:rPr>
      </w:pPr>
    </w:p>
    <w:p>
      <w:pPr>
        <w:ind w:left="6280"/>
        <w:spacing w:after="0"/>
        <w:tabs>
          <w:tab w:leader="none" w:pos="676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ICHAEL</w:t>
      </w:r>
      <w:r>
        <w:rPr>
          <w:rFonts w:ascii="Arial" w:cs="Arial" w:eastAsia="Arial" w:hAnsi="Arial"/>
          <w:sz w:val="18"/>
          <w:szCs w:val="18"/>
          <w:color w:val="auto"/>
        </w:rPr>
        <w:t xml:space="preserve"> F</w:t>
      </w:r>
      <w:r>
        <w:rPr>
          <w:rFonts w:ascii="Arial" w:cs="Arial" w:eastAsia="Arial" w:hAnsi="Arial"/>
          <w:sz w:val="13"/>
          <w:szCs w:val="13"/>
          <w:color w:val="auto"/>
        </w:rPr>
        <w:t>ISHMAN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33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25" w:lineRule="exact"/>
        <w:rPr>
          <w:sz w:val="20"/>
          <w:szCs w:val="20"/>
          <w:color w:val="auto"/>
        </w:rPr>
      </w:pPr>
    </w:p>
    <w:p>
      <w:pPr>
        <w:ind w:left="6280"/>
        <w:spacing w:after="0"/>
        <w:tabs>
          <w:tab w:leader="none" w:pos="676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33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annual report on Form 10-K of TPG Specialty Lending, Inc. (the “Company”) for the annual period ended December 31, 2015, as filed with the Securities and Exchange Commission on the date hereof (the “Report”), Michael Fishman, as Co-Chief Executive Officer of the Company, Joshua Easterly, as Co-Chief Executive Officer of the Company and Ian Simmonds, as Chief Financial Officer of the Company, each hereby certifies, pursuant to 18 U.S.C. § 1350, as adopted pursuant to § 906 of the Sarbanes-Oxley Act of 2002, that, to such officer’s knowledge:</w:t>
      </w:r>
    </w:p>
    <w:p>
      <w:pPr>
        <w:spacing w:after="0" w:line="63" w:lineRule="exact"/>
        <w:rPr>
          <w:sz w:val="20"/>
          <w:szCs w:val="20"/>
          <w:color w:val="auto"/>
        </w:rPr>
      </w:pPr>
    </w:p>
    <w:p>
      <w:pPr>
        <w:ind w:left="780" w:hanging="515"/>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ICHAEL</w:t>
      </w:r>
      <w:r>
        <w:rPr>
          <w:rFonts w:ascii="Arial" w:cs="Arial" w:eastAsia="Arial" w:hAnsi="Arial"/>
          <w:sz w:val="18"/>
          <w:szCs w:val="18"/>
          <w:color w:val="auto"/>
        </w:rPr>
        <w:t xml:space="preserve"> F</w:t>
      </w:r>
      <w:r>
        <w:rPr>
          <w:rFonts w:ascii="Arial" w:cs="Arial" w:eastAsia="Arial" w:hAnsi="Arial"/>
          <w:sz w:val="13"/>
          <w:szCs w:val="13"/>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Fishman</w:t>
      </w:r>
    </w:p>
    <w:p>
      <w:pPr>
        <w:spacing w:after="0" w:line="2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Ian Simmonds</w:t>
      </w:r>
    </w:p>
    <w:p>
      <w:pPr>
        <w:spacing w:after="0" w:line="2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lvl w:ilvl="1">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1)"/>
      <w:numFmt w:val="decimal"/>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1)"/>
      <w:numFmt w:val="lowerRoman"/>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1)"/>
      <w:numFmt w:val="decimal"/>
    </w:lvl>
    <w:lvl w:ilvl="1">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lvl w:ilvl="1">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1)"/>
      <w:numFmt w:val="decimal"/>
      <w:start w:val="1"/>
    </w:lvl>
  </w:abstractNum>
  <w:abstractNum w:abstractNumId="41">
    <w:nsid w:val="7BD3EE7B"/>
    <w:multiLevelType w:val="hybridMultilevel"/>
    <w:lvl w:ilvl="0">
      <w:lvlJc w:val="left"/>
      <w:lvlText w:val="·"/>
      <w:numFmt w:val="bullet"/>
      <w:start w:val="1"/>
    </w:lvl>
    <w:lvl w:ilvl="1">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decimal"/>
      <w:start w:val="4"/>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1)"/>
      <w:numFmt w:val="decimal"/>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1"/>
      <w:numFmt w:val="decimal"/>
      <w:start w:val="1"/>
    </w:lvl>
    <w:lvl w:ilvl="1">
      <w:lvlJc w:val="left"/>
      <w:lvlText w:val="(%2)"/>
      <w:numFmt w:val="lowerLetter"/>
      <w:start w:val="1"/>
    </w:lvl>
  </w:abstractNum>
  <w:abstractNum w:abstractNumId="75">
    <w:nsid w:val="39EE015C"/>
    <w:multiLevelType w:val="hybridMultilevel"/>
    <w:lvl w:ilvl="0">
      <w:lvlJc w:val="left"/>
      <w:lvlText w:val="(%1)"/>
      <w:numFmt w:val="decimal"/>
      <w:start w:val="8"/>
    </w:lvl>
    <w:lvl w:ilvl="1">
      <w:lvlJc w:val="left"/>
      <w:lvlText w:val="%2"/>
      <w:numFmt w:val="lowerLetter"/>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8"/>
    </w:lvl>
  </w:abstractNum>
  <w:abstractNum w:abstractNumId="78">
    <w:nsid w:val="43F18422"/>
    <w:multiLevelType w:val="hybridMultilevel"/>
    <w:lvl w:ilvl="0">
      <w:lvlJc w:val="left"/>
      <w:lvlText w:val="%1"/>
      <w:numFmt w:val="decimal"/>
      <w:start w:val="1"/>
    </w:lvl>
    <w:lvl w:ilvl="1">
      <w:lvlJc w:val="left"/>
      <w:lvlText w:val="(%2)"/>
      <w:numFmt w:val="lowerLetter"/>
      <w:start w:val="1"/>
    </w:lvl>
  </w:abstractNum>
  <w:abstractNum w:abstractNumId="79">
    <w:nsid w:val="60EF0119"/>
    <w:multiLevelType w:val="hybridMultilevel"/>
    <w:lvl w:ilvl="0">
      <w:lvlJc w:val="left"/>
      <w:lvlText w:val="(%1)"/>
      <w:numFmt w:val="decimal"/>
      <w:start w:val="9"/>
    </w:lvl>
    <w:lvl w:ilvl="1">
      <w:lvlJc w:val="left"/>
      <w:lvlText w:val="%2"/>
      <w:numFmt w:val="lowerLetter"/>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1)"/>
      <w:numFmt w:val="lowerRoman"/>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1"/>
    </w:lvl>
  </w:abstractNum>
  <w:abstractNum w:abstractNumId="89">
    <w:nsid w:val="7672BD23"/>
    <w:multiLevelType w:val="hybridMultilevel"/>
    <w:lvl w:ilvl="0">
      <w:lvlJc w:val="left"/>
      <w:lvlText w:val="(%1)"/>
      <w:numFmt w:val="decimal"/>
      <w:start w:val="1"/>
    </w:lvl>
  </w:abstractNum>
  <w:abstractNum w:abstractNumId="90">
    <w:nsid w:val="6FC75AF8"/>
    <w:multiLevelType w:val="hybridMultilevel"/>
    <w:lvl w:ilvl="0">
      <w:lvlJc w:val="left"/>
      <w:lvlText w:val="·"/>
      <w:numFmt w:val="bullet"/>
      <w:start w:val="1"/>
    </w:lvl>
    <w:lvl w:ilvl="1">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1."/>
      <w:numFmt w:val="decimal"/>
      <w:start w:val="10"/>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1."/>
      <w:numFmt w:val="decimal"/>
      <w:start w:val="11"/>
    </w:lvl>
  </w:abstractNum>
  <w:abstractNum w:abstractNumId="97">
    <w:nsid w:val="3FA62ACA"/>
    <w:multiLevelType w:val="hybridMultilevel"/>
    <w:lvl w:ilvl="0">
      <w:lvlJc w:val="left"/>
      <w:lvlText w:val="%1."/>
      <w:numFmt w:val="decimal"/>
      <w:start w:val="12"/>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1"/>
      <w:numFmt w:val="decimal"/>
      <w:start w:val="1"/>
    </w:lvl>
    <w:lvl w:ilvl="1">
      <w:lvlJc w:val="left"/>
      <w:lvlText w:val="(%2)"/>
      <w:numFmt w:val="decimal"/>
      <w:start w:val="1"/>
    </w:lvl>
  </w:abstractNum>
  <w:abstractNum w:abstractNumId="101">
    <w:nsid w:val="9DAF632"/>
    <w:multiLevelType w:val="hybridMultilevel"/>
    <w:lvl w:ilvl="0">
      <w:lvlJc w:val="left"/>
      <w:lvlText w:val="%1."/>
      <w:numFmt w:val="decimal"/>
      <w:start w:val="15"/>
    </w:lvl>
    <w:lvl w:ilvl="1">
      <w:lvlJc w:val="left"/>
      <w:lvlText w:val="%2"/>
      <w:numFmt w:val="decimal"/>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decimal"/>
      <w:start w:val="32"/>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2019-12-29T15:02:40Z</dcterms:created>
  <dcterms:modified xsi:type="dcterms:W3CDTF">2019-12-29T15:02:40Z</dcterms:modified>
</cp:coreProperties>
</file>