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TPG Specialty Lending,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4.50% Convertible Notes due 2022</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PRICING TERM SHEET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Dated June 14, 2018</w:t>
      </w:r>
    </w:p>
    <w:p>
      <w:pPr>
        <w:spacing w:after="0" w:line="209" w:lineRule="exact"/>
        <w:rPr>
          <w:sz w:val="24"/>
          <w:szCs w:val="24"/>
          <w:color w:val="auto"/>
        </w:rPr>
      </w:pPr>
    </w:p>
    <w:p>
      <w:pPr>
        <w:ind w:right="20"/>
        <w:spacing w:after="0" w:line="297" w:lineRule="auto"/>
        <w:rPr>
          <w:sz w:val="20"/>
          <w:szCs w:val="20"/>
          <w:color w:val="auto"/>
        </w:rPr>
      </w:pPr>
      <w:r>
        <w:rPr>
          <w:rFonts w:ascii="Arial" w:cs="Arial" w:eastAsia="Arial" w:hAnsi="Arial"/>
          <w:sz w:val="16"/>
          <w:szCs w:val="16"/>
          <w:i w:val="1"/>
          <w:iCs w:val="1"/>
          <w:color w:val="auto"/>
        </w:rPr>
        <w:t>The following sets forth the final terms of the 4.50% Convertible Notes due 2022 and should only be read together with the preliminary prospectus supplement dated June 14, 2018, together with the accompanying prospectus dated May 21, 2018,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420"/>
          </w:cols>
          <w:pgMar w:left="240" w:top="229" w:right="2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7"/>
          <w:szCs w:val="17"/>
          <w:color w:val="auto"/>
        </w:rPr>
        <w:t>TPG Specialty Lending, Inc. (“TSL”)</w:t>
      </w:r>
    </w:p>
    <w:p>
      <w:pPr>
        <w:spacing w:after="0" w:line="129"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Ticker /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 The New York Stock Exchange (“NYSE”)</w:t>
      </w:r>
    </w:p>
    <w:p>
      <w:pPr>
        <w:spacing w:after="0" w:line="129"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Title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4.50% Convertible Notes due 2022 (the “Notes”)</w:t>
      </w:r>
    </w:p>
    <w:p>
      <w:pPr>
        <w:spacing w:after="0" w:line="140"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$50,000,000</w:t>
      </w:r>
    </w:p>
    <w:p>
      <w:pPr>
        <w:spacing w:after="0" w:line="140"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Offering price:</w:t>
      </w:r>
    </w:p>
    <w:p>
      <w:pPr>
        <w:spacing w:after="0" w:line="20" w:lineRule="exact"/>
        <w:rPr>
          <w:sz w:val="24"/>
          <w:szCs w:val="24"/>
          <w:color w:val="auto"/>
        </w:rPr>
      </w:pPr>
      <w:r>
        <w:rPr>
          <w:sz w:val="24"/>
          <w:szCs w:val="24"/>
          <w:color w:val="auto"/>
        </w:rPr>
        <w:br w:type="column"/>
      </w:r>
    </w:p>
    <w:p>
      <w:pPr>
        <w:ind w:right="660"/>
        <w:spacing w:after="0" w:line="277" w:lineRule="auto"/>
        <w:rPr>
          <w:sz w:val="20"/>
          <w:szCs w:val="20"/>
          <w:color w:val="auto"/>
        </w:rPr>
      </w:pPr>
      <w:r>
        <w:rPr>
          <w:rFonts w:ascii="Arial" w:cs="Arial" w:eastAsia="Arial" w:hAnsi="Arial"/>
          <w:sz w:val="18"/>
          <w:szCs w:val="18"/>
          <w:color w:val="auto"/>
        </w:rPr>
        <w:t>The Notes will be issued at a price of 100.5% of their principal amount, plus accrued interest from February 1, 2018</w:t>
      </w:r>
    </w:p>
    <w:p>
      <w:pPr>
        <w:spacing w:after="0" w:line="62"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$7,500,000 principal amount of Notes</w:t>
      </w:r>
    </w:p>
    <w:p>
      <w:pPr>
        <w:spacing w:after="0" w:line="140"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Fungibility:</w:t>
      </w:r>
    </w:p>
    <w:p>
      <w:pPr>
        <w:spacing w:after="0" w:line="20" w:lineRule="exact"/>
        <w:rPr>
          <w:sz w:val="24"/>
          <w:szCs w:val="24"/>
          <w:color w:val="auto"/>
        </w:rPr>
      </w:pPr>
      <w:r>
        <w:rPr>
          <w:sz w:val="24"/>
          <w:szCs w:val="24"/>
          <w:color w:val="auto"/>
        </w:rPr>
        <w:br w:type="column"/>
      </w:r>
    </w:p>
    <w:p>
      <w:pPr>
        <w:jc w:val="both"/>
        <w:ind w:right="100"/>
        <w:spacing w:after="0" w:line="276" w:lineRule="auto"/>
        <w:rPr>
          <w:sz w:val="20"/>
          <w:szCs w:val="20"/>
          <w:color w:val="auto"/>
        </w:rPr>
      </w:pPr>
      <w:r>
        <w:rPr>
          <w:rFonts w:ascii="Arial" w:cs="Arial" w:eastAsia="Arial" w:hAnsi="Arial"/>
          <w:sz w:val="17"/>
          <w:szCs w:val="17"/>
          <w:color w:val="auto"/>
        </w:rPr>
        <w:t>The Notes will form a single series and be fungible with the $115,000,000 aggregate principal amount of the Company’s outstanding 4.50% Convertible Notes due 2022. After giving effect to the issuance of the Notes, there will be $165,000,000 aggregate principal amount (or $172,500,000 if the underwriters’ over-allotment option to purchase up to an additional $7,500,000 principal amount of Notes is exercised in full) of the Company’s 4.50% Convertible Notes due 2022 outstanding.</w:t>
      </w:r>
    </w:p>
    <w:p>
      <w:pPr>
        <w:spacing w:after="0" w:line="64"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Net proceeds</w:t>
      </w:r>
    </w:p>
    <w:p>
      <w:pPr>
        <w:spacing w:after="0" w:line="20" w:lineRule="exact"/>
        <w:rPr>
          <w:sz w:val="24"/>
          <w:szCs w:val="24"/>
          <w:color w:val="auto"/>
        </w:rPr>
      </w:pPr>
      <w:r>
        <w:rPr>
          <w:sz w:val="24"/>
          <w:szCs w:val="24"/>
          <w:color w:val="auto"/>
        </w:rPr>
        <w:br w:type="column"/>
      </w:r>
    </w:p>
    <w:p>
      <w:pPr>
        <w:ind w:right="560"/>
        <w:spacing w:after="0" w:line="342" w:lineRule="auto"/>
        <w:rPr>
          <w:sz w:val="20"/>
          <w:szCs w:val="20"/>
          <w:color w:val="auto"/>
        </w:rPr>
      </w:pPr>
      <w:r>
        <w:rPr>
          <w:rFonts w:ascii="Arial" w:cs="Arial" w:eastAsia="Arial" w:hAnsi="Arial"/>
          <w:sz w:val="16"/>
          <w:szCs w:val="16"/>
          <w:color w:val="auto"/>
        </w:rPr>
        <w:t>$49.1 million (or approximately $56.6 million if the underwriters fully exercise their over-allotment option), in each case after deducting discounts and commissions and estimated offering expenses.</w:t>
      </w:r>
    </w:p>
    <w:p>
      <w:pPr>
        <w:spacing w:after="0" w:line="16"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Annual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4.50% per year</w:t>
      </w:r>
    </w:p>
    <w:p>
      <w:pPr>
        <w:spacing w:after="0" w:line="140"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NYSE Last Reported Sale Price 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June 13, 2018: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$18.16 per share of TSL common stock</w:t>
      </w:r>
    </w:p>
    <w:p>
      <w:pPr>
        <w:spacing w:after="0" w:line="356"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Initial conversion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Approximately $21.05 per share of TSL common stock</w:t>
      </w:r>
    </w:p>
    <w:p>
      <w:pPr>
        <w:spacing w:after="0" w:line="140"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Initial conversion rate:</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6"/>
          <w:szCs w:val="16"/>
          <w:color w:val="auto"/>
        </w:rPr>
        <w:t>47.5093 shares of TSL common stock per $1,000 principal amount of the Notes</w:t>
      </w:r>
    </w:p>
    <w:p>
      <w:pPr>
        <w:spacing w:after="0" w:line="140"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February 1 and August 1</w:t>
      </w:r>
    </w:p>
    <w:p>
      <w:pPr>
        <w:spacing w:after="0" w:line="140"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August 1, 2022, unless earlier repurchased or converted</w:t>
      </w:r>
    </w:p>
    <w:p>
      <w:pPr>
        <w:spacing w:after="0" w:line="140" w:lineRule="exact"/>
        <w:rPr>
          <w:sz w:val="24"/>
          <w:szCs w:val="24"/>
          <w:color w:val="auto"/>
        </w:rPr>
      </w:pPr>
    </w:p>
    <w:p>
      <w:pPr>
        <w:sectPr>
          <w:pgSz w:w="11900" w:h="16838" w:orient="portrait"/>
          <w:cols w:equalWidth="0" w:num="2">
            <w:col w:w="2940" w:space="720"/>
            <w:col w:w="77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J.P. Morgan Securities LLC</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Goldman Sachs &amp; Co. LLC</w:t>
      </w:r>
    </w:p>
    <w:p>
      <w:pPr>
        <w:sectPr>
          <w:pgSz w:w="11900" w:h="16838" w:orient="portrait"/>
          <w:cols w:equalWidth="0" w:num="2">
            <w:col w:w="2940" w:space="720"/>
            <w:col w:w="776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-269875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940" w:space="720"/>
            <w:col w:w="7760"/>
          </w:cols>
          <w:pgMar w:left="240" w:top="382" w:right="239" w:bottom="1440" w:gutter="0" w:footer="0" w:header="0"/>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19, 2018</w:t>
      </w:r>
    </w:p>
    <w:p>
      <w:pPr>
        <w:spacing w:after="0" w:line="140" w:lineRule="exact"/>
        <w:rPr>
          <w:sz w:val="20"/>
          <w:szCs w:val="20"/>
          <w:color w:val="auto"/>
        </w:rPr>
      </w:pPr>
    </w:p>
    <w:p>
      <w:pPr>
        <w:sectPr>
          <w:pgSz w:w="11900" w:h="16838" w:orient="portrait"/>
          <w:cols w:equalWidth="0" w:num="2">
            <w:col w:w="2940" w:space="720"/>
            <w:col w:w="776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87265K AD4</w:t>
      </w:r>
    </w:p>
    <w:p>
      <w:pPr>
        <w:spacing w:after="0" w:line="129" w:lineRule="exact"/>
        <w:rPr>
          <w:sz w:val="20"/>
          <w:szCs w:val="20"/>
          <w:color w:val="auto"/>
        </w:rPr>
      </w:pPr>
    </w:p>
    <w:p>
      <w:pPr>
        <w:sectPr>
          <w:pgSz w:w="11900" w:h="16838" w:orient="portrait"/>
          <w:cols w:equalWidth="0" w:num="2">
            <w:col w:w="2940" w:space="720"/>
            <w:col w:w="7760"/>
          </w:cols>
          <w:pgMar w:left="240" w:top="382" w:right="23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US87265KAD46</w:t>
      </w:r>
    </w:p>
    <w:p>
      <w:pPr>
        <w:spacing w:after="0" w:line="129" w:lineRule="exact"/>
        <w:rPr>
          <w:sz w:val="20"/>
          <w:szCs w:val="20"/>
          <w:color w:val="auto"/>
        </w:rPr>
      </w:pPr>
    </w:p>
    <w:p>
      <w:pPr>
        <w:sectPr>
          <w:pgSz w:w="11900" w:h="16838" w:orient="portrait"/>
          <w:cols w:equalWidth="0" w:num="2">
            <w:col w:w="2940" w:space="720"/>
            <w:col w:w="7760"/>
          </w:cols>
          <w:pgMar w:left="240" w:top="382" w:right="239" w:bottom="1440" w:gutter="0" w:footer="0" w:header="0"/>
          <w:type w:val="continuous"/>
        </w:sectPr>
      </w:pPr>
    </w:p>
    <w:p>
      <w:pPr>
        <w:spacing w:after="0"/>
        <w:rPr>
          <w:sz w:val="20"/>
          <w:szCs w:val="20"/>
          <w:color w:val="auto"/>
        </w:rPr>
      </w:pPr>
      <w:r>
        <w:rPr>
          <w:rFonts w:ascii="Arial" w:cs="Arial" w:eastAsia="Arial" w:hAnsi="Arial"/>
          <w:sz w:val="17"/>
          <w:szCs w:val="17"/>
          <w:color w:val="auto"/>
        </w:rPr>
        <w:t>Ratings (S&amp;P/Fitch)*: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BBB-/BBB-</w:t>
      </w:r>
    </w:p>
    <w:p>
      <w:pPr>
        <w:spacing w:after="0" w:line="117" w:lineRule="exact"/>
        <w:rPr>
          <w:sz w:val="20"/>
          <w:szCs w:val="20"/>
          <w:color w:val="auto"/>
        </w:rPr>
      </w:pPr>
    </w:p>
    <w:p>
      <w:pPr>
        <w:sectPr>
          <w:pgSz w:w="11900" w:h="16838" w:orient="portrait"/>
          <w:cols w:equalWidth="0" w:num="2">
            <w:col w:w="2940" w:space="720"/>
            <w:col w:w="7760"/>
          </w:cols>
          <w:pgMar w:left="240" w:top="382"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pay down debt under a revolving credit facility</w:t>
      </w:r>
    </w:p>
    <w:p>
      <w:pPr>
        <w:spacing w:after="0" w:line="140" w:lineRule="exact"/>
        <w:rPr>
          <w:sz w:val="20"/>
          <w:szCs w:val="20"/>
          <w:color w:val="auto"/>
        </w:rPr>
      </w:pPr>
    </w:p>
    <w:p>
      <w:pPr>
        <w:sectPr>
          <w:pgSz w:w="11900" w:h="16838" w:orient="portrait"/>
          <w:cols w:equalWidth="0" w:num="2">
            <w:col w:w="2940" w:space="720"/>
            <w:col w:w="7760"/>
          </w:cols>
          <w:pgMar w:left="240" w:top="382"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Adjustment to conversion rate upon a make-whole fundamental change:</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The table below sets forth the number of additional shares, if any, of TSL common stock to be added to the conversion rate per $1,000 principal amount of Notes that are converted in connection with a “make-whole fundamental change” as described in the Preliminary Prospectus, based on the stock price and effective date of the make-whole fundamental change.</w:t>
      </w:r>
    </w:p>
    <w:p>
      <w:pPr>
        <w:spacing w:after="0" w:line="200" w:lineRule="exact"/>
        <w:rPr>
          <w:sz w:val="20"/>
          <w:szCs w:val="20"/>
          <w:color w:val="auto"/>
        </w:rPr>
      </w:pPr>
    </w:p>
    <w:p>
      <w:pPr>
        <w:sectPr>
          <w:pgSz w:w="11900" w:h="16838" w:orient="portrait"/>
          <w:cols w:equalWidth="0" w:num="2">
            <w:col w:w="3200" w:space="460"/>
            <w:col w:w="7760"/>
          </w:cols>
          <w:pgMar w:left="240" w:top="382" w:right="239" w:bottom="1440" w:gutter="0" w:footer="0" w:header="0"/>
          <w:type w:val="continuous"/>
        </w:sectPr>
      </w:pP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Effective Stock Price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Effective Date</w:t>
            </w:r>
          </w:p>
        </w:tc>
        <w:tc>
          <w:tcPr>
            <w:tcW w:w="2680" w:type="dxa"/>
            <w:vAlign w:val="bottom"/>
            <w:tcBorders>
              <w:top w:val="single" w:sz="8" w:color="auto"/>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$ 18.56</w:t>
            </w:r>
          </w:p>
        </w:tc>
        <w:tc>
          <w:tcPr>
            <w:tcW w:w="840" w:type="dxa"/>
            <w:vAlign w:val="bottom"/>
            <w:tcBorders>
              <w:top w:val="single" w:sz="8" w:color="auto"/>
            </w:tcBorders>
            <w:gridSpan w:val="3"/>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rPr>
              <w:t>$ 19.00</w:t>
            </w:r>
          </w:p>
        </w:tc>
        <w:tc>
          <w:tcPr>
            <w:tcW w:w="720" w:type="dxa"/>
            <w:vAlign w:val="bottom"/>
            <w:tcBorders>
              <w:top w:val="single" w:sz="8" w:color="auto"/>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$ 20.00</w:t>
            </w:r>
          </w:p>
        </w:tc>
        <w:tc>
          <w:tcPr>
            <w:tcW w:w="720" w:type="dxa"/>
            <w:vAlign w:val="bottom"/>
            <w:tcBorders>
              <w:top w:val="single" w:sz="8" w:color="auto"/>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$ 21.34</w:t>
            </w:r>
          </w:p>
        </w:tc>
        <w:tc>
          <w:tcPr>
            <w:tcW w:w="70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$ 22.00</w:t>
            </w:r>
          </w:p>
        </w:tc>
        <w:tc>
          <w:tcPr>
            <w:tcW w:w="60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$ 23.00</w:t>
            </w:r>
          </w:p>
        </w:tc>
        <w:tc>
          <w:tcPr>
            <w:tcW w:w="720" w:type="dxa"/>
            <w:vAlign w:val="bottom"/>
            <w:tcBorders>
              <w:top w:val="single" w:sz="8" w:color="auto"/>
            </w:tcBorders>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$ 24.00</w:t>
            </w:r>
          </w:p>
        </w:tc>
        <w:tc>
          <w:tcPr>
            <w:tcW w:w="720" w:type="dxa"/>
            <w:vAlign w:val="bottom"/>
            <w:tcBorders>
              <w:top w:val="single" w:sz="8" w:color="auto"/>
            </w:tcBorders>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$ 25.00</w:t>
            </w: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$ 26.00</w:t>
            </w:r>
          </w:p>
        </w:tc>
        <w:tc>
          <w:tcPr>
            <w:tcW w:w="40" w:type="dxa"/>
            <w:vAlign w:val="bottom"/>
            <w:tcBorders>
              <w:top w:val="single" w:sz="8" w:color="CCEEFF"/>
            </w:tcBorders>
            <w:shd w:val="clear" w:color="auto" w:fill="CCEEFF"/>
          </w:tcPr>
          <w:p>
            <w:pPr>
              <w:spacing w:after="0"/>
              <w:rPr>
                <w:sz w:val="12"/>
                <w:szCs w:val="12"/>
                <w:color w:val="auto"/>
              </w:rPr>
            </w:pPr>
          </w:p>
        </w:tc>
      </w:tr>
      <w:tr>
        <w:trPr>
          <w:trHeight w:val="156"/>
        </w:trPr>
        <w:tc>
          <w:tcPr>
            <w:tcW w:w="3080" w:type="dxa"/>
            <w:vAlign w:val="bottom"/>
          </w:tcPr>
          <w:p>
            <w:pPr>
              <w:spacing w:after="0" w:line="155" w:lineRule="exact"/>
              <w:rPr>
                <w:sz w:val="20"/>
                <w:szCs w:val="20"/>
                <w:color w:val="auto"/>
              </w:rPr>
            </w:pPr>
            <w:r>
              <w:rPr>
                <w:rFonts w:ascii="Arial" w:cs="Arial" w:eastAsia="Arial" w:hAnsi="Arial"/>
                <w:sz w:val="14"/>
                <w:szCs w:val="14"/>
                <w:color w:val="auto"/>
              </w:rPr>
              <w:t>February 1, 2017</w:t>
            </w:r>
          </w:p>
        </w:tc>
        <w:tc>
          <w:tcPr>
            <w:tcW w:w="208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7.0277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5.9013</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3.7035</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1.5722</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0.8804</w:t>
            </w:r>
          </w:p>
        </w:tc>
        <w:tc>
          <w:tcPr>
            <w:tcW w:w="22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0.2578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0.0366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0.0000</w:t>
            </w:r>
          </w:p>
        </w:tc>
        <w:tc>
          <w:tcPr>
            <w:tcW w:w="40" w:type="dxa"/>
            <w:vAlign w:val="bottom"/>
          </w:tcPr>
          <w:p>
            <w:pPr>
              <w:spacing w:after="0"/>
              <w:rPr>
                <w:sz w:val="13"/>
                <w:szCs w:val="13"/>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August 1, 2017</w:t>
            </w:r>
          </w:p>
        </w:tc>
        <w:tc>
          <w:tcPr>
            <w:tcW w:w="2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7.0277</w:t>
            </w:r>
          </w:p>
        </w:tc>
        <w:tc>
          <w:tcPr>
            <w:tcW w:w="8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6.0068</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3.7905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1.6299</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0.9227</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0.2780</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0.0425</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0.0001</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0.0000</w:t>
            </w: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August 1, 2018</w:t>
            </w:r>
          </w:p>
        </w:tc>
        <w:tc>
          <w:tcPr>
            <w:tcW w:w="2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7.0277</w:t>
            </w:r>
          </w:p>
        </w:tc>
        <w:tc>
          <w:tcPr>
            <w:tcW w:w="8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6.2508</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3.9882</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1.7584</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1.0169</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0.3224</w:t>
            </w: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0.0554</w:t>
            </w: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0.0012</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0.0000</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August 1, 2019</w:t>
            </w:r>
          </w:p>
        </w:tc>
        <w:tc>
          <w:tcPr>
            <w:tcW w:w="2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7.0277</w:t>
            </w:r>
          </w:p>
        </w:tc>
        <w:tc>
          <w:tcPr>
            <w:tcW w:w="8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6.4124</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4.1058</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1.8171</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1.0538</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0.3372</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0.0594</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0.0016</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0.0000</w:t>
            </w: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August 1, 2020</w:t>
            </w:r>
          </w:p>
        </w:tc>
        <w:tc>
          <w:tcPr>
            <w:tcW w:w="2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7.0277</w:t>
            </w:r>
          </w:p>
        </w:tc>
        <w:tc>
          <w:tcPr>
            <w:tcW w:w="8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6.4291</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4.0777</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1.7472</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0.9836</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0.2925</w:t>
            </w: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0.0450</w:t>
            </w: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0.0004</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0.0000</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August 1, 2021</w:t>
            </w:r>
          </w:p>
        </w:tc>
        <w:tc>
          <w:tcPr>
            <w:tcW w:w="2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7.0277</w:t>
            </w:r>
          </w:p>
        </w:tc>
        <w:tc>
          <w:tcPr>
            <w:tcW w:w="8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6.0106</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3.6160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1.3150</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0.6387</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0.1326</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0.0084</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0.0000</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0.0000</w:t>
            </w: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August 1, 2022</w:t>
            </w:r>
          </w:p>
        </w:tc>
        <w:tc>
          <w:tcPr>
            <w:tcW w:w="2680" w:type="dxa"/>
            <w:vAlign w:val="bottom"/>
            <w:gridSpan w:val="3"/>
          </w:tcPr>
          <w:p>
            <w:pPr>
              <w:jc w:val="right"/>
              <w:ind w:right="100"/>
              <w:spacing w:after="0"/>
              <w:rPr>
                <w:sz w:val="20"/>
                <w:szCs w:val="20"/>
                <w:color w:val="auto"/>
              </w:rPr>
            </w:pPr>
            <w:r>
              <w:rPr>
                <w:rFonts w:ascii="Arial" w:cs="Arial" w:eastAsia="Arial" w:hAnsi="Arial"/>
                <w:sz w:val="14"/>
                <w:szCs w:val="14"/>
                <w:color w:val="auto"/>
              </w:rPr>
              <w:t>7.0277</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5.7800</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3.1484</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0.0000</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0.0000</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0.0000</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0.0000</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0.0000</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0.0000</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131" w:lineRule="exact"/>
        <w:rPr>
          <w:sz w:val="20"/>
          <w:szCs w:val="20"/>
          <w:color w:val="auto"/>
        </w:rPr>
      </w:pPr>
    </w:p>
    <w:p>
      <w:pPr>
        <w:ind w:left="900" w:right="4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or the effective date is between two effective dates in the table, the number of additional shares will be determined by a straight-line interpolation between the number of additional shares set forth for the higher and lower stock prices and the earlier and later effective dates, as applicable, based on a 365-day year.</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stock price is greater than $26.00 per share (subject to adjustment in the same manner as the stock prices set forth in the column headings of the table above), no additional shares will be added to the conversion rate.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stock price is less than $18.56 per share (subject to adjustment in the same manner as the stock prices set forth in the column headings of the table above), no additional shares will be added to the conversion rate.</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Notwithstanding the foregoing, in no event will the conversion rate per $1,000 principal amount of notes exceed 53.8793, subject to adjustment in the same manner as the conversion rate as set forth under “Description of Notes—Conversion Rate Adjustments” in the Preliminary Prospectus.</w:t>
      </w:r>
    </w:p>
    <w:p>
      <w:pPr>
        <w:spacing w:after="0" w:line="14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*A securities rating is not a recommendation to buy, sell or hold securities and may be subject to revision or withdrawal at any time. Each securities rating should be evaluated independent of each other securities rating.</w:t>
      </w:r>
    </w:p>
    <w:p>
      <w:pPr>
        <w:spacing w:after="0" w:line="27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TSL before investing. The Preliminary Prospectus, which has been filed with the Securities and Exchange Commission, contains this and other information about TSL and should be read carefully before investing.</w:t>
      </w:r>
    </w:p>
    <w:p>
      <w:pPr>
        <w:sectPr>
          <w:pgSz w:w="11900" w:h="16838" w:orient="portrait"/>
          <w:cols w:equalWidth="0" w:num="1">
            <w:col w:w="11420"/>
          </w:cols>
          <w:pgMar w:left="240" w:top="382" w:right="239" w:bottom="1440" w:gutter="0" w:footer="0" w:header="0"/>
          <w:type w:val="continuous"/>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in the Preliminary Prospectus and in this pricing term sheet is not complete and may be changed. The Preliminary Prospectus and this pricing term sheet are not offers to sell any securities of TSL and are not soliciting an offer to buy such securities in any state or jurisdiction where such offer and sale is not permitted.</w:t>
      </w:r>
    </w:p>
    <w:p>
      <w:pPr>
        <w:spacing w:after="0" w:line="17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calling J.P. Morgan Securities LLC at 212-834-4533 or Goldman Sachs &amp; Co. LLC at 1-866-471-2526.</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2019-12-07T21:28:26Z</dcterms:created>
  <dcterms:modified xsi:type="dcterms:W3CDTF">2019-12-07T21:28:26Z</dcterms:modified>
</cp:coreProperties>
</file>