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2"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154305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354455" cy="403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445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are pleased to invite you to attend a Special Meeting of Stockholders of Sixth Street Specialty Lending, Inc. to be held on [●], 2025, at [●], Eastern Time, at the offices of Simpson Thacher &amp; Bartlett LLP, 425 Lexington Avenue, New York, NY 10017.</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You will also receive separate proxy materials for the Annual Meeting of Stockholders, which will be held at the same place and on the same date stated above, but not at the same time. Please be certain to vote separately each proxy card that you receive from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behalf of management and our Board of Directors, we thank you for your continued support of Sixth Street Specialty Lending, Inc.</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2025</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 for the Special Meeting of Stockholders 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proxy statement is available online at [●].</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information applicable to the Special Meeting of Stockholders may be found in the proxy statement and accompanying proxy card:</w:t>
      </w:r>
    </w:p>
    <w:p>
      <w:pPr>
        <w:spacing w:after="0" w:line="142"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proxy material online;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in person.</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354455" cy="402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445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of Sixth Street Specialty Lending, Inc. will be held [●], at the offices of Simpson Thacher &amp; Bartlett LLP, 425 Lexington Avenue, New York, NY 10017 on [●], 2025, at [●], Eastern Time. The Special Meeting of Stockholders is being held for the following purpose:</w:t>
      </w:r>
    </w:p>
    <w:p>
      <w:pPr>
        <w:spacing w:after="0" w:line="68" w:lineRule="exact"/>
        <w:rPr>
          <w:sz w:val="20"/>
          <w:szCs w:val="20"/>
          <w:color w:val="auto"/>
        </w:rPr>
      </w:pPr>
    </w:p>
    <w:p>
      <w:pPr>
        <w:jc w:val="both"/>
        <w:ind w:left="560" w:right="40" w:firstLine="419"/>
        <w:spacing w:after="0" w:line="261" w:lineRule="auto"/>
        <w:tabs>
          <w:tab w:leader="none" w:pos="11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 2025, are entitled to notice of and to vote at the Special Meeting of Stockholders or any postponement or adjournment thereof.</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extremely important to us. </w:t>
      </w:r>
      <w:r>
        <w:rPr>
          <w:rFonts w:ascii="Times New Roman" w:cs="Times New Roman" w:eastAsia="Times New Roman" w:hAnsi="Times New Roman"/>
          <w:sz w:val="18"/>
          <w:szCs w:val="18"/>
          <w:color w:val="auto"/>
        </w:rPr>
        <w:t>Whether or not you plan to attend the Special Meeting of Stockholders, we encourage you to vote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INCLUDING THE INDEPENDENT DIRECTORS, UNANIMOUSLY RECOMMENDS THAT YOU VOTE “FOR” THE PROPOSAL.</w:t>
      </w:r>
    </w:p>
    <w:p>
      <w:pPr>
        <w:spacing w:after="0" w:line="1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2025</w:t>
      </w:r>
    </w:p>
    <w:p>
      <w:pPr>
        <w:spacing w:after="0" w:line="221"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rPr>
              <w:t>Proxy Statement for a Special Meeting of Stockholders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60" w:type="dxa"/>
            <w:vAlign w:val="bottom"/>
            <w:gridSpan w:val="1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780" w:type="dxa"/>
            <w:vAlign w:val="bottom"/>
            <w:gridSpan w:val="4"/>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Proposal No. 1 Authorization of The Company to Sell or Otherwise Issue Shares of its Common Stock at a Price Below its Then-Current Net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4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Asset Value Per Share in One or More Offerings, in Each Case Subject to the Approval of its Board of Directors and Subject to the</w:t>
            </w:r>
          </w:p>
        </w:tc>
        <w:tc>
          <w:tcPr>
            <w:tcW w:w="6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Conditions Set Forth in this Proposal</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Business</w:t>
            </w:r>
          </w:p>
        </w:tc>
        <w:tc>
          <w:tcPr>
            <w:tcW w:w="95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and Nominations for the 2025 Annual Meeting of Stockholders</w:t>
            </w:r>
          </w:p>
        </w:tc>
        <w:tc>
          <w:tcPr>
            <w:tcW w:w="44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Annual Report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82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Privacy Principles</w:t>
            </w:r>
          </w:p>
        </w:tc>
        <w:tc>
          <w:tcPr>
            <w:tcW w:w="93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354455" cy="40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445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a</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Sixth Street Specialty Lending, Inc., which is sometimes referred to in this proxy statement as “TSLX,” “we,” “us,” “our,” or the “Company,” for use at a Special Meeting of Stockholders (the “Meeting” or “Special Meeting”) to be held at the offices of Simpson Thacher &amp; Bartlett LLP, 425 Lexington Avenue, New York, NY 10017 on [●], 2025, at [●], Eastern Time. Only holders of record of our common stock at the close of business on [●], 2025, which is the record date, will be entitled to vote at the Meeting. At the close of business on the record date, we had [●] shares of common stock outstanding and entitled to vote.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It is anticipated that the Notice of Internet Availability of Proxy Materials will first be sent to Stockholders on or about [●], 2025. This proxy statement, including the accompanying form of proxy (collectively, the “Proxy Statement”), will first be made available to stockholders on or about [●], 2025. The Proxy Statement can be accessed online at [●].</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Special Meeting of Stockholders is being held for the following purpose:</w:t>
      </w:r>
    </w:p>
    <w:p>
      <w:pPr>
        <w:spacing w:after="0" w:line="117" w:lineRule="exact"/>
        <w:rPr>
          <w:sz w:val="20"/>
          <w:szCs w:val="20"/>
          <w:color w:val="auto"/>
        </w:rPr>
      </w:pPr>
    </w:p>
    <w:p>
      <w:pPr>
        <w:jc w:val="both"/>
        <w:ind w:left="120" w:right="80" w:firstLine="436"/>
        <w:spacing w:after="0" w:line="261"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Times New Roman" w:cs="Times New Roman" w:eastAsia="Times New Roman" w:hAnsi="Times New Roman"/>
          <w:sz w:val="18"/>
          <w:szCs w:val="18"/>
          <w:b w:val="1"/>
          <w:bCs w:val="1"/>
          <w:color w:val="auto"/>
        </w:rPr>
        <w:t>For this reason, it is imperative that stockholders vote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provide instructions to their broker as to how to vote.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any broker non-votes at the Meeting because there are no routine proposals to be voted on at the Meeting.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 of Meeting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 for the Meeting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 Regarding This Proxy</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pay the expenses of soliciting proxies to be voted at the Meeting. The Company has retained [●] to assist with the distribution and collection of proxies for a fee of approximately $[●], plus reimbursement of expenses.</w:t>
      </w:r>
    </w:p>
    <w:p>
      <w:pPr>
        <w:spacing w:after="0" w:line="162"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engaged the services of [●] to assist in the solicitation of proxies. The Company has estimated that it will pay approximately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plus reimbursement of certain expenses and fees for additional services requested. Please note that may solicit stockholder proxies by telephone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behalf of the Company. They will not attempt to influence how you vote your shares, but only ask that you take the time to authorize your proxy. You</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also be asked if you would like to vote over the telephone and to have your vote transmitted to the proxy tabulation firm.</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Contact Information for Proxy Solicitation</w:t>
      </w:r>
    </w:p>
    <w:p>
      <w:pPr>
        <w:spacing w:after="0" w:line="121" w:lineRule="exact"/>
        <w:rPr>
          <w:sz w:val="20"/>
          <w:szCs w:val="20"/>
          <w:color w:val="auto"/>
        </w:rPr>
      </w:pPr>
    </w:p>
    <w:p>
      <w:pPr>
        <w:ind w:left="120" w:right="240" w:firstLine="440"/>
        <w:spacing w:after="0" w:line="198" w:lineRule="auto"/>
        <w:rPr>
          <w:sz w:val="20"/>
          <w:szCs w:val="20"/>
          <w:color w:val="auto"/>
        </w:rPr>
      </w:pPr>
      <w:r>
        <w:rPr>
          <w:rFonts w:ascii="Times New Roman" w:cs="Times New Roman" w:eastAsia="Times New Roman" w:hAnsi="Times New Roman"/>
          <w:sz w:val="18"/>
          <w:szCs w:val="18"/>
          <w:color w:val="auto"/>
        </w:rPr>
        <w:t>You can contact us by mail sent to the attention of the Secretary of the Company, Anton Brett, Sixth Street Specialty Lending, Inc., 888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10106, or by email at abrett@sixthstreet.com. You can call us by dialing 469-621-2033. You can access our proxy materials online at [●].</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and Participation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Meeting will be conducted in-person at the offices of Simpson Thacher &amp; Bartlett LLP, 425 Lexington Avenue, New York, NY 10017. Stockholders as of the close of business on [●], 2025, the record date, are entitled to participate in and vote at the Meeting. If you have a question pertaining to the business of the Meeting, please submit it in accordance with the procedures described below.</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To participate in the Meeting, you will need the 16-digit control number included on your proxy card, your voting instruction form, or the Notice of Internet Availability of Proxy Materials previously mailed or made available to stockholders entitled to vote at the Meeting.</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In-person admission to the Meeting will be on a first-come, first served basis. Please bring proof of your common share ownership, such as a current brokerage statement and photo identification. If you are representing an entity that is a stockholder, you must also present documentation showing your authority to attend and act 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will begin promptly at [●], Eastern Time, and the Special Meeting of Stockholders will begin promptly at [●], Eastern Time. Participants should allow plenty of time to check in prior to the start of the meetings.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vote in person at the Meeting. If you hold your shares in “street name”, you must obtain a proxy from the record holder to vote in person.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list of our stockholders of record entitled to vote at the Meeting will be made available for viewing by stockholders at the Meeting for any purpose germane to the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 2025,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percentage ownership is based on [●] shares of common stock outstanding as of [●], 2025.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04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204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204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2040" w:type="dxa"/>
            <w:vAlign w:val="bottom"/>
            <w:gridSpan w:val="2"/>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20" w:type="dxa"/>
            <w:vAlign w:val="bottom"/>
          </w:tcPr>
          <w:p>
            <w:pPr>
              <w:spacing w:after="0"/>
              <w:rPr>
                <w:sz w:val="15"/>
                <w:szCs w:val="15"/>
                <w:color w:val="auto"/>
              </w:rPr>
            </w:pPr>
          </w:p>
        </w:tc>
        <w:tc>
          <w:tcPr>
            <w:tcW w:w="204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3"/>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Joshua Easterly</w:t>
            </w:r>
            <w:r>
              <w:rPr>
                <w:rFonts w:ascii="Times New Roman" w:cs="Times New Roman" w:eastAsia="Times New Roman" w:hAnsi="Times New Roman"/>
                <w:sz w:val="25"/>
                <w:szCs w:val="25"/>
                <w:color w:val="auto"/>
                <w:vertAlign w:val="superscript"/>
              </w:rPr>
              <w:t>(2)</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Fishman</w:t>
            </w:r>
            <w:r>
              <w:rPr>
                <w:rFonts w:ascii="Times New Roman" w:cs="Times New Roman" w:eastAsia="Times New Roman" w:hAnsi="Times New Roman"/>
                <w:sz w:val="25"/>
                <w:szCs w:val="25"/>
                <w:color w:val="auto"/>
                <w:vertAlign w:val="superscript"/>
              </w:rPr>
              <w:t>(3)</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Jennifer Gordon</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tcPr>
          <w:p>
            <w:pPr>
              <w:ind w:left="360"/>
              <w:spacing w:after="0" w:line="216" w:lineRule="exact"/>
              <w:rPr>
                <w:sz w:val="20"/>
                <w:szCs w:val="20"/>
                <w:color w:val="auto"/>
              </w:rPr>
            </w:pPr>
            <w:r>
              <w:rPr>
                <w:rFonts w:ascii="Times New Roman" w:cs="Times New Roman" w:eastAsia="Times New Roman" w:hAnsi="Times New Roman"/>
                <w:sz w:val="17"/>
                <w:szCs w:val="17"/>
                <w:color w:val="auto"/>
              </w:rPr>
              <w:t>David Stiepleman</w:t>
            </w:r>
            <w:r>
              <w:rPr>
                <w:rFonts w:ascii="Times New Roman" w:cs="Times New Roman" w:eastAsia="Times New Roman" w:hAnsi="Times New Roman"/>
                <w:sz w:val="25"/>
                <w:szCs w:val="25"/>
                <w:color w:val="auto"/>
                <w:vertAlign w:val="superscript"/>
              </w:rPr>
              <w:t>(4)</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 Emery Covington</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Hurley Doddy</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John Ross</w:t>
            </w:r>
            <w:r>
              <w:rPr>
                <w:rFonts w:ascii="Times New Roman" w:cs="Times New Roman" w:eastAsia="Times New Roman" w:hAnsi="Times New Roman"/>
                <w:sz w:val="25"/>
                <w:szCs w:val="25"/>
                <w:color w:val="auto"/>
                <w:vertAlign w:val="superscript"/>
              </w:rPr>
              <w:t>(5)</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Judy Slotkin</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Ian Simmonds</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tcPr>
          <w:p>
            <w:pPr>
              <w:ind w:left="360"/>
              <w:spacing w:after="0" w:line="216" w:lineRule="exact"/>
              <w:rPr>
                <w:sz w:val="20"/>
                <w:szCs w:val="20"/>
                <w:color w:val="auto"/>
              </w:rPr>
            </w:pPr>
            <w:r>
              <w:rPr>
                <w:rFonts w:ascii="Times New Roman" w:cs="Times New Roman" w:eastAsia="Times New Roman" w:hAnsi="Times New Roman"/>
                <w:sz w:val="17"/>
                <w:szCs w:val="17"/>
                <w:color w:val="auto"/>
              </w:rPr>
              <w:t>Robert (Bo) Stanley</w:t>
            </w:r>
            <w:r>
              <w:rPr>
                <w:rFonts w:ascii="Times New Roman" w:cs="Times New Roman" w:eastAsia="Times New Roman" w:hAnsi="Times New Roman"/>
                <w:sz w:val="25"/>
                <w:szCs w:val="25"/>
                <w:color w:val="auto"/>
                <w:vertAlign w:val="superscript"/>
              </w:rPr>
              <w:t>(6)</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9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Anton Brett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(15 persons)</w:t>
            </w:r>
            <w:r>
              <w:rPr>
                <w:rFonts w:ascii="Times New Roman" w:cs="Times New Roman" w:eastAsia="Times New Roman" w:hAnsi="Times New Roman"/>
                <w:sz w:val="26"/>
                <w:szCs w:val="26"/>
                <w:color w:val="auto"/>
                <w:vertAlign w:val="superscript"/>
              </w:rPr>
              <w:t>(7) (8)</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540" w:right="20" w:hanging="424"/>
        <w:spacing w:after="0" w:line="25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beneficially owned by Mr. Easterly have been pledged as security in connection with a line of credit with a third party financial institution unaffiliated with the Company.</w:t>
      </w:r>
    </w:p>
    <w:p>
      <w:pPr>
        <w:ind w:left="540" w:right="10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 shares of common stock beneficially owned by Mr. Fishman have been pledged as security in connection with a line of credit with a third party financial institution unaffiliated with the Company.</w:t>
      </w:r>
    </w:p>
    <w:p>
      <w:pPr>
        <w:ind w:left="540" w:right="20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beneficially owned by Mr. Stiepleman have been pledged as security in connection with a line of credit with a third party financial institution unaffiliated with the Company.</w:t>
      </w:r>
    </w:p>
    <w:p>
      <w:pPr>
        <w:ind w:left="54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2025, pursuant to the Second Amended and Restated Bylaws of the Company, John Ross informed the Company of his intention to retire from the Board, effective as of the close of business on May 22, 2025. Accordingly, Mr. Ross will not run for re-election to the Board at the 2025 annual meeting of the stockholders. Mr. Ross’s decision was not a result of any disagreement with the Company on any matter relating to the Company’s operations, policies or practices.</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beneficially owned by Mr. Stanley have been pledged as security in connection with a line of credit with a third party financial institution unaffiliated with the Company.</w:t>
      </w:r>
    </w:p>
    <w:p>
      <w:pPr>
        <w:ind w:left="540" w:right="16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officers that are not “Named Executive Officers,” as defined in Item 402 of Regulation S-K, as promulgated under the Securities Act of 1933, as amended. [●] shares of common stock beneficially owned by certain officers have been pledged as security in connection with lines of credit with a third party financial institution unaffiliated with the Company.</w:t>
      </w:r>
    </w:p>
    <w:p>
      <w:pPr>
        <w:spacing w:after="0" w:line="1"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Advisers, LLC holds [●]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Lending Advisers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left="440" w:right="40"/>
        <w:spacing w:after="0" w:line="255" w:lineRule="auto"/>
        <w:rPr>
          <w:sz w:val="20"/>
          <w:szCs w:val="20"/>
          <w:color w:val="auto"/>
        </w:rPr>
      </w:pPr>
      <w:r>
        <w:rPr>
          <w:rFonts w:ascii="Times New Roman" w:cs="Times New Roman" w:eastAsia="Times New Roman" w:hAnsi="Times New Roman"/>
          <w:sz w:val="18"/>
          <w:szCs w:val="18"/>
          <w:b w:val="1"/>
          <w:bCs w:val="1"/>
          <w:color w:val="auto"/>
        </w:rPr>
        <w:t>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w:t>
      </w:r>
    </w:p>
    <w:p>
      <w:pPr>
        <w:spacing w:after="0" w:line="18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Times New Roman" w:cs="Times New Roman" w:eastAsia="Times New Roman" w:hAnsi="Times New Roman"/>
          <w:sz w:val="18"/>
          <w:szCs w:val="18"/>
          <w:b w:val="1"/>
          <w:bCs w:val="1"/>
          <w:color w:val="auto"/>
        </w:rPr>
        <w:t>There will be no limit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19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To date, the Company has not issued shares below NAV under prior authorization granted from stockholders, but it may do so in the future pursuant to the authority granted in this proxy.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Sales Below NAV</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1" w:lineRule="exact"/>
        <w:rPr>
          <w:sz w:val="20"/>
          <w:szCs w:val="20"/>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have determined that any such sale would be in the best interests of the Company and its stockholders;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8"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the Company’s then-outstanding common stock immediately prior to each such offering.</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Approval</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Reasons to Offer Common Stock Below NAV</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 Have Created, and May in the Future Create, Attractive Investment and Acquisition Opportunities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capital markets may experience periods of disruption and instability. For example, monetary policies of the Federal Reserve and political uncertainty resulting from recent events, including changes to U.S. trade policies, the ongoing conflicts between Russia and Ukraine and in the Middle East and related responses, has led to, from time to time, disruption and instability in the global markets. Disruptions in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capital markets may increase the spread between the yields realized on risk-free and higher risk securities, resulting in illiquidity in parts of the capital markets. As a result of the disruption and volatility in the credit markets, there may be a reduction in capital available to certain specialty finance companies and other capital providers, causing a reduction in competition. These conditions may coincide with lower stock prices for BDCs, resulting in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There have been continuing periods of volatility, some lasting longer and with a greater degree of magnitude than others, including recent market conditions, including those driven by the impact of changes to U.S. trade policies and the ongoing conflicts between Russia and Ukraine and in the Middle East. In addition to the recent environment, the Company has seen periods during the last few years where BDCs, including the Company, have traded below NAV due to such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Greater Investment Opportunities Due to Larger Capital Resources</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Higher Market Capitalization and Liquidity May Make the Company’s Common Stock More Attractive to Investors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Maintenance or Possible Increase of Dividends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From the earnings generated during the year ended December 31, 2024, the Company declared total dividends of $2.08 per share of its common stock (including a fourth quarter supplemental dividend of $0.07 declared in the first quarter of 2025).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Reduced Expenses Per Share</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Status as a BDC and RIC and Maintaining a Favorable Debt-to-Equity Ratio</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Trading History</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 premium (discount) to NAV. On [●], 2025, the last reported closing sales price of the Company’s common stock on the NYSE was $[●] per share, which represented a premium of approximately [●]% to the NAV reported by the Company as of December 31, 2024.</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40" w:type="dxa"/>
            <w:vAlign w:val="bottom"/>
            <w:vMerge w:val="restart"/>
          </w:tcPr>
          <w:p>
            <w:pPr>
              <w:spacing w:after="0"/>
              <w:rPr>
                <w:sz w:val="13"/>
                <w:szCs w:val="13"/>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1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118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180" w:type="dxa"/>
            <w:vAlign w:val="bottom"/>
          </w:tcPr>
          <w:p>
            <w:pPr>
              <w:spacing w:after="0"/>
              <w:rPr>
                <w:sz w:val="10"/>
                <w:szCs w:val="10"/>
                <w:color w:val="auto"/>
              </w:rPr>
            </w:pPr>
          </w:p>
        </w:tc>
        <w:tc>
          <w:tcPr>
            <w:tcW w:w="8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8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6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1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20" w:type="dxa"/>
            <w:vAlign w:val="bottom"/>
          </w:tcPr>
          <w:p>
            <w:pPr>
              <w:spacing w:after="0"/>
              <w:rPr>
                <w:sz w:val="10"/>
                <w:szCs w:val="10"/>
                <w:color w:val="auto"/>
              </w:rPr>
            </w:pPr>
          </w:p>
        </w:tc>
        <w:tc>
          <w:tcPr>
            <w:tcW w:w="5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40" w:type="dxa"/>
            <w:vAlign w:val="bottom"/>
            <w:gridSpan w:val="3"/>
          </w:tcPr>
          <w:p>
            <w:pPr>
              <w:jc w:val="center"/>
              <w:ind w:left="1310"/>
              <w:spacing w:after="0"/>
              <w:rPr>
                <w:sz w:val="20"/>
                <w:szCs w:val="20"/>
                <w:color w:val="auto"/>
              </w:rPr>
            </w:pPr>
            <w:r>
              <w:rPr>
                <w:rFonts w:ascii="Times New Roman" w:cs="Times New Roman" w:eastAsia="Times New Roman" w:hAnsi="Times New Roman"/>
                <w:sz w:val="18"/>
                <w:szCs w:val="18"/>
                <w:color w:val="auto"/>
                <w:w w:val="96"/>
              </w:rPr>
              <w:t>$16.88</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$24.27</w:t>
            </w: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$22.40</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43.8%</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40" w:type="dxa"/>
            <w:vAlign w:val="bottom"/>
            <w:gridSpan w:val="3"/>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6"/>
              </w:rPr>
              <w:t>$16.27</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$23.64</w:t>
            </w:r>
          </w:p>
        </w:tc>
        <w:tc>
          <w:tcPr>
            <w:tcW w:w="8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$18.09</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45.3%</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40" w:type="dxa"/>
            <w:vAlign w:val="bottom"/>
            <w:gridSpan w:val="3"/>
          </w:tcPr>
          <w:p>
            <w:pPr>
              <w:jc w:val="center"/>
              <w:ind w:left="1310"/>
              <w:spacing w:after="0"/>
              <w:rPr>
                <w:sz w:val="20"/>
                <w:szCs w:val="20"/>
                <w:color w:val="auto"/>
              </w:rPr>
            </w:pPr>
            <w:r>
              <w:rPr>
                <w:rFonts w:ascii="Times New Roman" w:cs="Times New Roman" w:eastAsia="Times New Roman" w:hAnsi="Times New Roman"/>
                <w:sz w:val="18"/>
                <w:szCs w:val="18"/>
                <w:color w:val="auto"/>
                <w:w w:val="96"/>
              </w:rPr>
              <w:t>$16.36</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$19.62</w:t>
            </w: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$16.13</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40" w:type="dxa"/>
            <w:vAlign w:val="bottom"/>
            <w:gridSpan w:val="3"/>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6"/>
              </w:rPr>
              <w:t>$16.48</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$19.14</w:t>
            </w:r>
          </w:p>
        </w:tc>
        <w:tc>
          <w:tcPr>
            <w:tcW w:w="8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$16.56</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365"/>
        </w:trPr>
        <w:tc>
          <w:tcPr>
            <w:tcW w:w="3880" w:type="dxa"/>
            <w:vAlign w:val="bottom"/>
          </w:tcPr>
          <w:p>
            <w:pPr>
              <w:spacing w:after="0"/>
              <w:rPr>
                <w:sz w:val="24"/>
                <w:szCs w:val="24"/>
                <w:color w:val="auto"/>
              </w:rPr>
            </w:pPr>
          </w:p>
        </w:tc>
        <w:tc>
          <w:tcPr>
            <w:tcW w:w="20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60" w:type="dxa"/>
            <w:vAlign w:val="bottom"/>
            <w:vMerge w:val="restart"/>
          </w:tcPr>
          <w:p>
            <w:pPr>
              <w:spacing w:after="0"/>
              <w:rPr>
                <w:sz w:val="13"/>
                <w:szCs w:val="13"/>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65"/>
        </w:trPr>
        <w:tc>
          <w:tcPr>
            <w:tcW w:w="3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18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11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Pr>
          <w:p>
            <w:pPr>
              <w:spacing w:after="0"/>
              <w:rPr>
                <w:sz w:val="10"/>
                <w:szCs w:val="10"/>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8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14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20" w:type="dxa"/>
            <w:vAlign w:val="bottom"/>
          </w:tcPr>
          <w:p>
            <w:pPr>
              <w:spacing w:after="0"/>
              <w:rPr>
                <w:sz w:val="10"/>
                <w:szCs w:val="10"/>
                <w:color w:val="auto"/>
              </w:rPr>
            </w:pPr>
          </w:p>
        </w:tc>
        <w:tc>
          <w:tcPr>
            <w:tcW w:w="5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0"/>
                <w:szCs w:val="10"/>
                <w:b w:val="1"/>
                <w:bCs w:val="1"/>
                <w:color w:val="auto"/>
              </w:rPr>
              <w:t>(2)</w:t>
            </w: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$16.59</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$19.54</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$17.10</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17.8%</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$16.74</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$19.16</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$17.55</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$16.97</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$20.90</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$18.72</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23.2%</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$17.04</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$21.94</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$19.05</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28.8%</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$17.17</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$22.26</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$20.53</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29.6%</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$17.19</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$22.01</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$20.55</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28.0%</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$17.12</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$21.86</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$19.97</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$17.16</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$21.60</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$19.79</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25.9%</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2025</w:t>
            </w:r>
          </w:p>
        </w:tc>
        <w:tc>
          <w:tcPr>
            <w:tcW w:w="1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20" w:hanging="424"/>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ind w:left="540" w:right="6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NAV, divided by NAV (in each case, as of the applicable quarter). Does not reflect intraday trading prices.</w:t>
      </w: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sz w:val="20"/>
          <w:szCs w:val="20"/>
          <w:color w:val="auto"/>
        </w:rPr>
      </w:pPr>
    </w:p>
    <w:p>
      <w:pPr>
        <w:ind w:left="540" w:right="360" w:hanging="424"/>
        <w:spacing w:after="0" w:line="26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has not yet been calculated for this period. NAV for the first quarter of 2025 will be available with the filing of the Company’s Quarterly Report on Form 10-Q for such quarter, which the Company estimates will be filed on or about [●], 2025.</w:t>
      </w:r>
    </w:p>
    <w:p>
      <w:pPr>
        <w:spacing w:after="0" w:line="18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Stockholder Considerations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Times New Roman" w:cs="Times New Roman" w:eastAsia="Times New Roman" w:hAnsi="Times New Roman"/>
          <w:sz w:val="18"/>
          <w:szCs w:val="18"/>
          <w:b w:val="1"/>
          <w:bCs w:val="1"/>
          <w:color w:val="auto"/>
        </w:rPr>
        <w:t>There will be no limit on the percentage below net asset value per share at which shares may be 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the Company or number of offerings, each for up to 25% of the Company’s then-outstanding common stock, that the Company may conduct under this proposal for the one-year period that authorization is granted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NAV</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two headings and accompanying tables explain and provide hypothetical examples on the impact of a public offering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common stock at a price less than NAV on two different types of investors:</w:t>
      </w:r>
    </w:p>
    <w:p>
      <w:pPr>
        <w:spacing w:after="0" w:line="112"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purchase a relatively small amount of shares in the offering or a relatively large amount of shares in the offering.</w:t>
      </w:r>
    </w:p>
    <w:p>
      <w:pPr>
        <w:spacing w:after="0" w:line="23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example assumes that the issuer has 93.7 million shares outstanding, $3.6 billion in total assets and $2.0 billion in total liabilities. The current net asset value and NAV per share are thus $1.6 billion and $17.16 per share. The chart illustrates the dilutive effect on Stockholder A of (a) an offering of 4.7 million shares of common stock (5% of the outstanding shares) at $16.30 per share after offering expenses and commissions (a 5% discount from NAV per share), (b) an offering of 9.4 million shares of common stock (10% of the outstanding shares) at $15.44 per share after offering expenses and commissions (a 10% discount from NAV per share), (c) an offering of 18.7 million shares of common stock (20% of the outstanding shares) at $13.73 per share after offering expenses and commissions (a 20% discount from NAV per share), and (d) an offering of 23.4 million shares of common stock (25% of the outstanding shares) at $12.87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3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180"/>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w w:val="96"/>
              </w:rPr>
              <w:t>Example 3</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w w:val="96"/>
              </w:rPr>
              <w:t>Example 4</w:t>
            </w: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9"/>
              </w:rPr>
              <w:t>5% Offering at 5%</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10% Offering at 10%</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20% Offering at 20%</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25% Offering at 25%</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7"/>
              </w:rPr>
              <w:t>Prior to Sale</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18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w w:val="96"/>
              </w:rPr>
              <w:t>Discount</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w w:val="96"/>
              </w:rPr>
              <w:t>Discount</w:t>
            </w: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36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Following</w:t>
            </w:r>
          </w:p>
        </w:tc>
        <w:tc>
          <w:tcPr>
            <w:tcW w:w="380" w:type="dxa"/>
            <w:vAlign w:val="bottom"/>
          </w:tcPr>
          <w:p>
            <w:pPr>
              <w:jc w:val="right"/>
              <w:ind w:right="7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rPr>
              <w:t>Following</w:t>
            </w:r>
          </w:p>
        </w:tc>
        <w:tc>
          <w:tcPr>
            <w:tcW w:w="360" w:type="dxa"/>
            <w:vAlign w:val="bottom"/>
          </w:tcPr>
          <w:p>
            <w:pPr>
              <w:jc w:val="right"/>
              <w:ind w:right="7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rPr>
              <w:t>Following</w:t>
            </w:r>
          </w:p>
        </w:tc>
        <w:tc>
          <w:tcPr>
            <w:tcW w:w="360" w:type="dxa"/>
            <w:vAlign w:val="bottom"/>
          </w:tcPr>
          <w:p>
            <w:pPr>
              <w:jc w:val="right"/>
              <w:ind w:right="5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w w:val="98"/>
              </w:rPr>
              <w:t>Following</w:t>
            </w:r>
          </w:p>
        </w:tc>
        <w:tc>
          <w:tcPr>
            <w:tcW w:w="380" w:type="dxa"/>
            <w:vAlign w:val="bottom"/>
          </w:tcPr>
          <w:p>
            <w:pPr>
              <w:jc w:val="right"/>
              <w:ind w:right="7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Below NAV</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100" w:type="dxa"/>
            <w:vAlign w:val="bottom"/>
          </w:tcPr>
          <w:p>
            <w:pPr>
              <w:spacing w:after="0"/>
              <w:rPr>
                <w:sz w:val="11"/>
                <w:szCs w:val="11"/>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120" w:type="dxa"/>
            <w:vAlign w:val="bottom"/>
          </w:tcPr>
          <w:p>
            <w:pPr>
              <w:spacing w:after="0"/>
              <w:rPr>
                <w:sz w:val="11"/>
                <w:szCs w:val="11"/>
                <w:color w:val="auto"/>
              </w:rPr>
            </w:pP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0" w:type="dxa"/>
            <w:vAlign w:val="bottom"/>
          </w:tcPr>
          <w:p>
            <w:pPr>
              <w:spacing w:after="0"/>
              <w:rPr>
                <w:sz w:val="1"/>
                <w:szCs w:val="1"/>
                <w:color w:val="auto"/>
              </w:rPr>
            </w:pPr>
          </w:p>
        </w:tc>
      </w:tr>
      <w:tr>
        <w:trPr>
          <w:trHeight w:val="115"/>
        </w:trPr>
        <w:tc>
          <w:tcPr>
            <w:tcW w:w="35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Offering Price</w:t>
            </w: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Price per Share to Public</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17.16</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16.26</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14.45</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13.55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Proceeds per Share to Issuer</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16.30</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15.44</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13.73</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12.87</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Decrease/Increase to Net Asset Value</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Offered</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4,683,072</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9,366,144</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18,732,287</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23,415,359</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Total Shares Outstanding</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w w:val="95"/>
              </w:rPr>
              <w:t>93,661,436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w w:val="95"/>
              </w:rPr>
              <w:t>98,344,508</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5"/>
              </w:rPr>
              <w:t>103,027,580</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5"/>
              </w:rPr>
              <w:t>112,393,723</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2"/>
              </w:rPr>
              <w:t>117,076,795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Asset Value per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17.16</w:t>
            </w: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17.12</w:t>
            </w: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(0.22%)</w:t>
            </w:r>
          </w:p>
        </w:tc>
        <w:tc>
          <w:tcPr>
            <w:tcW w:w="1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17.01</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(0.89%)</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16.59</w:t>
            </w:r>
          </w:p>
        </w:tc>
        <w:tc>
          <w:tcPr>
            <w:tcW w:w="6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(3.32%)</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16.30</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(4.99%)</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Dilution to Nonparticipating Stockholder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Held by Stockholder A</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93,661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93,661</w:t>
            </w: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93,661</w:t>
            </w: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93,661</w:t>
            </w: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93,661</w:t>
            </w:r>
          </w:p>
        </w:tc>
        <w:tc>
          <w:tcPr>
            <w:tcW w:w="5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Percentage Held by Stockholder A</w:t>
            </w:r>
          </w:p>
        </w:tc>
        <w:tc>
          <w:tcPr>
            <w:tcW w:w="6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6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0.09%</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(9.09%)</w:t>
            </w:r>
          </w:p>
        </w:tc>
        <w:tc>
          <w:tcPr>
            <w:tcW w:w="10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(16.67%)</w:t>
            </w:r>
          </w:p>
        </w:tc>
        <w:tc>
          <w:tcPr>
            <w:tcW w:w="12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Net Asset Value Held by Stockholder A</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1,607,530</w:t>
            </w: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1,603,681</w:t>
            </w: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(0.24%)</w:t>
            </w:r>
          </w:p>
        </w:tc>
        <w:tc>
          <w:tcPr>
            <w:tcW w:w="1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1,592,884</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(0.91%)</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1,553,898</w:t>
            </w:r>
          </w:p>
        </w:tc>
        <w:tc>
          <w:tcPr>
            <w:tcW w:w="6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(3.34%)</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1,527,101</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Total Investment by Stockholder A (Assumed to be $17.16 per</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1,607,530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1,607,530</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1,607,530</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1,607,530</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1,607,530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Total Dilution to Stockholder A (Total Net Asset Value Less Total</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3"/>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3,848)</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3"/>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14,646)</w:t>
            </w: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3"/>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53,631)</w:t>
            </w: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80,428)</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Investment per Share Held by Stockholder A (Assumed to be</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$17.16 per Share on Shares Held Prior to Sale)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17.16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17.16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17.16</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17.16</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0.00%</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17.16</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Asset Value per Share Held by Stockholder A</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17.12</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17.01</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16.59</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16.30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Dilution per Share Held by Stockholder A (Net Asset Value per</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 Less Investment per Share)</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73"/>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0.04)</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3"/>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0.15)</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w w:val="73"/>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0.57)</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0.86)</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Percentage Dilution to Stockholder A (Dilution per Share Divided</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by Investment per Share)</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(0.22%)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(0.89%)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(3.32%)</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(4.99%)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 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9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18.7 million shares) rather than its 0.10% proportionate share and (b) 150% of such percentage (i.e. 0.15% of an offering of 18.7 million shares rather than its proportionate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w w:val="97"/>
              </w:rPr>
              <w:t>Prior to Sale</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w w:val="95"/>
              </w:rPr>
              <w:t>50% Participation</w:t>
            </w:r>
          </w:p>
        </w:tc>
        <w:tc>
          <w:tcPr>
            <w:tcW w:w="4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150% Participation</w:t>
            </w: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tcPr>
          <w:p>
            <w:pPr>
              <w:jc w:val="center"/>
              <w:ind w:right="56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40" w:type="dxa"/>
            <w:vAlign w:val="bottom"/>
          </w:tcPr>
          <w:p>
            <w:pPr>
              <w:jc w:val="right"/>
              <w:ind w:right="7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tcPr>
          <w:p>
            <w:pPr>
              <w:jc w:val="right"/>
              <w:ind w:right="78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60" w:type="dxa"/>
            <w:vAlign w:val="bottom"/>
          </w:tcPr>
          <w:p>
            <w:pPr>
              <w:jc w:val="right"/>
              <w:ind w:right="9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Below NAV</w:t>
            </w:r>
          </w:p>
        </w:tc>
        <w:tc>
          <w:tcPr>
            <w:tcW w:w="160" w:type="dxa"/>
            <w:vAlign w:val="bottom"/>
          </w:tcPr>
          <w:p>
            <w:pPr>
              <w:spacing w:after="0"/>
              <w:rPr>
                <w:sz w:val="13"/>
                <w:szCs w:val="13"/>
                <w:color w:val="auto"/>
              </w:rPr>
            </w:pPr>
          </w:p>
        </w:tc>
        <w:tc>
          <w:tcPr>
            <w:tcW w:w="130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4"/>
              </w:rPr>
              <w:t>Sale</w:t>
            </w:r>
          </w:p>
        </w:tc>
        <w:tc>
          <w:tcPr>
            <w:tcW w:w="8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14.45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14.45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13.73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Offered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18,732,287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18,732,287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93,661,436</w:t>
            </w:r>
          </w:p>
        </w:tc>
        <w:tc>
          <w:tcPr>
            <w:tcW w:w="1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112,393,723</w:t>
            </w:r>
          </w:p>
        </w:tc>
        <w:tc>
          <w:tcPr>
            <w:tcW w:w="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7"/>
              </w:rPr>
              <w:t>112,393,723</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16.59</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16.59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194"/>
        </w:trPr>
        <w:tc>
          <w:tcPr>
            <w:tcW w:w="4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93,661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103,027</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121,759</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0.11%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1,607,530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1,709,289</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$2,020,070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198"/>
        </w:trPr>
        <w:tc>
          <w:tcPr>
            <w:tcW w:w="45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(Assumed to be $17.16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per Share on Shares Held Prior to Sale)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1,607,530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1,742,875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2,013,567</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33,587)</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6,503</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5540" w:type="dxa"/>
            <w:vAlign w:val="bottom"/>
          </w:tcPr>
          <w:p>
            <w:pPr>
              <w:spacing w:after="0"/>
              <w:rPr>
                <w:sz w:val="13"/>
                <w:szCs w:val="13"/>
                <w:color w:val="auto"/>
              </w:rPr>
            </w:pPr>
          </w:p>
        </w:tc>
        <w:tc>
          <w:tcPr>
            <w:tcW w:w="13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7"/>
              </w:rPr>
              <w:t>Prior to Sale</w:t>
            </w:r>
          </w:p>
        </w:tc>
        <w:tc>
          <w:tcPr>
            <w:tcW w:w="228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50% Participation</w:t>
            </w:r>
          </w:p>
        </w:tc>
        <w:tc>
          <w:tcPr>
            <w:tcW w:w="120" w:type="dxa"/>
            <w:vAlign w:val="bottom"/>
          </w:tcPr>
          <w:p>
            <w:pPr>
              <w:spacing w:after="0"/>
              <w:rPr>
                <w:sz w:val="13"/>
                <w:szCs w:val="13"/>
                <w:color w:val="auto"/>
              </w:rPr>
            </w:pPr>
          </w:p>
        </w:tc>
        <w:tc>
          <w:tcPr>
            <w:tcW w:w="1760" w:type="dxa"/>
            <w:vAlign w:val="bottom"/>
            <w:gridSpan w:val="4"/>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150% Participation</w:t>
            </w:r>
          </w:p>
        </w:tc>
        <w:tc>
          <w:tcPr>
            <w:tcW w:w="0" w:type="dxa"/>
            <w:vAlign w:val="bottom"/>
          </w:tcPr>
          <w:p>
            <w:pPr>
              <w:spacing w:after="0"/>
              <w:rPr>
                <w:sz w:val="1"/>
                <w:szCs w:val="1"/>
                <w:color w:val="auto"/>
              </w:rPr>
            </w:pPr>
          </w:p>
        </w:tc>
      </w:tr>
      <w:tr>
        <w:trPr>
          <w:trHeight w:val="108"/>
        </w:trPr>
        <w:tc>
          <w:tcPr>
            <w:tcW w:w="55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960" w:type="dxa"/>
            <w:vAlign w:val="bottom"/>
            <w:tcBorders>
              <w:top w:val="single" w:sz="8" w:color="auto"/>
            </w:tcBorders>
            <w:gridSpan w:val="2"/>
          </w:tcPr>
          <w:p>
            <w:pPr>
              <w:jc w:val="center"/>
              <w:ind w:right="40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40" w:type="dxa"/>
            <w:vAlign w:val="bottom"/>
            <w:tcBorders>
              <w:top w:val="single" w:sz="8" w:color="auto"/>
            </w:tcBorders>
          </w:tcPr>
          <w:p>
            <w:pPr>
              <w:jc w:val="right"/>
              <w:ind w:right="85"/>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spacing w:after="0"/>
              <w:rPr>
                <w:sz w:val="9"/>
                <w:szCs w:val="9"/>
                <w:color w:val="auto"/>
              </w:rPr>
            </w:pPr>
          </w:p>
        </w:tc>
        <w:tc>
          <w:tcPr>
            <w:tcW w:w="1180" w:type="dxa"/>
            <w:vAlign w:val="bottom"/>
            <w:tcBorders>
              <w:top w:val="single" w:sz="8" w:color="auto"/>
            </w:tcBorders>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40" w:type="dxa"/>
            <w:vAlign w:val="bottom"/>
            <w:tcBorders>
              <w:top w:val="single" w:sz="8" w:color="auto"/>
            </w:tcBorders>
          </w:tcPr>
          <w:p>
            <w:pPr>
              <w:jc w:val="right"/>
              <w:ind w:right="85"/>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540" w:type="dxa"/>
            <w:vAlign w:val="bottom"/>
          </w:tcPr>
          <w:p>
            <w:pPr>
              <w:spacing w:after="0"/>
              <w:rPr>
                <w:sz w:val="13"/>
                <w:szCs w:val="13"/>
                <w:color w:val="auto"/>
              </w:rPr>
            </w:pPr>
          </w:p>
        </w:tc>
        <w:tc>
          <w:tcPr>
            <w:tcW w:w="13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4"/>
              </w:rPr>
              <w:t>Below NAV</w:t>
            </w: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Sale</w:t>
            </w:r>
          </w:p>
        </w:tc>
        <w:tc>
          <w:tcPr>
            <w:tcW w:w="1320" w:type="dxa"/>
            <w:vAlign w:val="bottom"/>
            <w:gridSpan w:val="2"/>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120" w:type="dxa"/>
            <w:vAlign w:val="bottom"/>
          </w:tcPr>
          <w:p>
            <w:pPr>
              <w:spacing w:after="0"/>
              <w:rPr>
                <w:sz w:val="13"/>
                <w:szCs w:val="13"/>
                <w:color w:val="auto"/>
              </w:rPr>
            </w:pPr>
          </w:p>
        </w:tc>
        <w:tc>
          <w:tcPr>
            <w:tcW w:w="106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0" w:type="dxa"/>
            <w:vAlign w:val="bottom"/>
          </w:tcPr>
          <w:p>
            <w:pPr>
              <w:spacing w:after="0"/>
              <w:rPr>
                <w:sz w:val="1"/>
                <w:szCs w:val="1"/>
                <w:color w:val="auto"/>
              </w:rPr>
            </w:pPr>
          </w:p>
        </w:tc>
      </w:tr>
      <w:tr>
        <w:trPr>
          <w:trHeight w:val="178"/>
        </w:trPr>
        <w:tc>
          <w:tcPr>
            <w:tcW w:w="5540" w:type="dxa"/>
            <w:vAlign w:val="bottom"/>
            <w:tcBorders>
              <w:top w:val="single" w:sz="8" w:color="CCEEFF"/>
            </w:tcBorders>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Investment per Share Held by Stockholder A (Assumed to be</w:t>
            </w:r>
          </w:p>
        </w:tc>
        <w:tc>
          <w:tcPr>
            <w:tcW w:w="6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$17.16 per Share on Shares Held Prior to Sale)</w:t>
            </w:r>
          </w:p>
        </w:tc>
        <w:tc>
          <w:tcPr>
            <w:tcW w:w="132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rPr>
              <w:t>$  17.16</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$ 16.92</w:t>
            </w:r>
          </w:p>
        </w:tc>
        <w:tc>
          <w:tcPr>
            <w:tcW w:w="13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8"/>
              </w:rPr>
              <w:t>16.54</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$ 16.59</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w w:val="98"/>
              </w:rPr>
              <w:t>16.59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 Asset</w:t>
            </w: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Value per Share Less Investment per Share)</w:t>
            </w: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($ 0.33)</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0.05</w:t>
            </w: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 per</w:t>
            </w: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 Divided by Investment per Share)</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Underwritten Offerings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Consideration of Potential Conflicts of Interest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w:t>
      </w:r>
    </w:p>
    <w:p>
      <w:pPr>
        <w:spacing w:after="0" w:line="85" w:lineRule="exact"/>
        <w:rPr>
          <w:sz w:val="20"/>
          <w:szCs w:val="20"/>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benefits of a common stock offering below NAV compared to other possible means for raising capital or concluding not to raise capital;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a common stock offering in relation to the number of shares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general condition of the securities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on operating expenses associated with an increase in capital.</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28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2" w:lineRule="exact"/>
        <w:rPr>
          <w:sz w:val="20"/>
          <w:szCs w:val="20"/>
          <w:color w:val="auto"/>
        </w:rPr>
      </w:pPr>
    </w:p>
    <w:p>
      <w:pPr>
        <w:ind w:left="120" w:right="2220" w:firstLine="2221"/>
        <w:spacing w:after="0" w:line="377" w:lineRule="auto"/>
        <w:rPr>
          <w:sz w:val="20"/>
          <w:szCs w:val="20"/>
          <w:color w:val="auto"/>
        </w:rPr>
      </w:pPr>
      <w:r>
        <w:rPr>
          <w:rFonts w:ascii="Times New Roman" w:cs="Times New Roman" w:eastAsia="Times New Roman" w:hAnsi="Times New Roman"/>
          <w:sz w:val="18"/>
          <w:szCs w:val="18"/>
          <w:b w:val="1"/>
          <w:bCs w:val="1"/>
          <w:color w:val="auto"/>
        </w:rPr>
        <w:t>Stockholder Proposals and Nominations for the 2025 Annual Meeting of Stockholders Inclusion of Proposals in Our Proxy Statement and Proxy Card Under the SEC’s Rules</w:t>
      </w:r>
    </w:p>
    <w:p>
      <w:pPr>
        <w:spacing w:after="0" w:line="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proposal of a stockholder intended to be included in our proxy statement and form of proxy/voting instruction card for the 2026 annual meeting of stockholders pursuant to Rule 14a-8 of the SEC’s rules must be received by us at our principal executive offices no later than [●], 2025.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stockholder recommendation for nomination of a person for election to our Board or a proposal for consideration at our 2026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Bylaws require that the proposal or recommendation for nomination must be received by our Secretary at our principal executive offices at the above address no later than [●], 2026, unless the date of our 2026 annual meeting is more than 30 days before or more than 60 days after [●], 2026, the anniversary of our 2025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left="120" w:firstLine="440"/>
        <w:spacing w:after="0" w:line="224" w:lineRule="auto"/>
        <w:rPr>
          <w:sz w:val="20"/>
          <w:szCs w:val="20"/>
          <w:color w:val="auto"/>
        </w:rPr>
      </w:pPr>
      <w:r>
        <w:rPr>
          <w:rFonts w:ascii="Times New Roman" w:cs="Times New Roman" w:eastAsia="Times New Roman" w:hAnsi="Times New Roman"/>
          <w:sz w:val="18"/>
          <w:szCs w:val="18"/>
          <w:color w:val="auto"/>
        </w:rPr>
        <w:t>We will furnish, without charge, a copy of our Annual Report on Form 10-K for the fiscal year ended December 31, 2024 to any stockholder upon request. Requests should be directed to the Secretary of the Company, Anton Brett, Sixth Street Specialty Lending, Inc., 888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10106, Attention: TSLX Investor Relations, or by emailing us at </w:t>
      </w:r>
      <w:r>
        <w:rPr>
          <w:rFonts w:ascii="Times New Roman" w:cs="Times New Roman" w:eastAsia="Times New Roman" w:hAnsi="Times New Roman"/>
          <w:sz w:val="18"/>
          <w:szCs w:val="18"/>
          <w:u w:val="single" w:color="auto"/>
          <w:color w:val="auto"/>
        </w:rPr>
        <w:t>IRTSLX@sixthstreet.com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2100 McKinney Avenue, Suite 1500, Dallas, Texas 75201, Attention: TSLX Investor Relations, by email at </w:t>
      </w:r>
      <w:r>
        <w:rPr>
          <w:rFonts w:ascii="Times New Roman" w:cs="Times New Roman" w:eastAsia="Times New Roman" w:hAnsi="Times New Roman"/>
          <w:sz w:val="17"/>
          <w:szCs w:val="17"/>
          <w:u w:val="single" w:color="auto"/>
          <w:color w:val="auto"/>
        </w:rPr>
        <w:t>IRTSLX@sixthstreet.com</w:t>
      </w:r>
      <w:r>
        <w:rPr>
          <w:rFonts w:ascii="Times New Roman" w:cs="Times New Roman" w:eastAsia="Times New Roman" w:hAnsi="Times New Roman"/>
          <w:sz w:val="17"/>
          <w:szCs w:val="17"/>
          <w:color w:val="auto"/>
        </w:rPr>
        <w:t xml:space="preserve"> or by phone at</w:t>
      </w:r>
    </w:p>
    <w:p>
      <w:pPr>
        <w:spacing w:after="0" w:line="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8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55"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 xml:space="preserve">The Notice and Proxy Statement is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EDT</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This proxy is solicited by the Board of Directors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stockholders hereby appoint Ian Simmonds and Anton Brett, or either of them, as proxies, each with the power to appoint his/her substitute, and hereby authorize them to represent and to vote, as designated on the reverse side of this ballot, all of the shares of common stock of SIXTH STREET SPECIALTY LENDING, INC. that the stockholders are entitled to vote at a Special Meeting of Stockholders to be held at EDT on [●], 2025, at the offices of Simpson Thacher &amp; Bartlett LLP, 425 Lexington Avenue, New York, NY 10017 and any adjournment or postponement thereof.</w:t>
      </w:r>
    </w:p>
    <w:p>
      <w:pPr>
        <w:spacing w:after="0" w:line="17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5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ectPr>
          <w:pgSz w:w="11900" w:h="16838" w:orient="portrait"/>
          <w:cols w:equalWidth="0" w:num="1">
            <w:col w:w="11000"/>
          </w:cols>
          <w:pgMar w:left="320" w:top="455" w:right="5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BY INTERNET</w:t>
      </w:r>
    </w:p>
    <w:p>
      <w:pPr>
        <w:spacing w:after="0" w:line="119"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Before The Meeting </w:t>
      </w:r>
      <w:r>
        <w:rPr>
          <w:rFonts w:ascii="Times New Roman" w:cs="Times New Roman" w:eastAsia="Times New Roman" w:hAnsi="Times New Roman"/>
          <w:sz w:val="18"/>
          <w:szCs w:val="18"/>
          <w:color w:val="auto"/>
        </w:rPr>
        <w:t>– Go to Use the Internet to transmit your voting instructions and for electronic delivery of information up until 11:59 P.M.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Eastern Time on [●]. Have your proxy card in hand when you access the web site and follow the instructions to obtain your records and to create an electronic voting instruction form.</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BY PHONE –</w:t>
      </w:r>
    </w:p>
    <w:p>
      <w:pPr>
        <w:spacing w:after="0" w:line="119"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Use any touch-tone telephone to transmit your voting instructions up until 11:59 P.M. Eastern Time on [●]. Have your proxy </w:t>
      </w:r>
      <w:r>
        <w:rPr>
          <w:rFonts w:ascii="Times New Roman" w:cs="Times New Roman" w:eastAsia="Times New Roman" w:hAnsi="Times New Roman"/>
          <w:sz w:val="18"/>
          <w:szCs w:val="18"/>
          <w:i w:val="1"/>
          <w:iCs w:val="1"/>
          <w:color w:val="auto"/>
        </w:rPr>
        <w:t>card</w:t>
      </w:r>
      <w:r>
        <w:rPr>
          <w:rFonts w:ascii="Times New Roman" w:cs="Times New Roman" w:eastAsia="Times New Roman" w:hAnsi="Times New Roman"/>
          <w:sz w:val="18"/>
          <w:szCs w:val="18"/>
          <w:color w:val="auto"/>
        </w:rPr>
        <w:t xml:space="preserve"> in hand when you call and then follow the instructions.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Mark, sign and date your proxy card and return it in the postage-paid envelope we have provided or return it to [●].</w:t>
      </w:r>
    </w:p>
    <w:p>
      <w:pPr>
        <w:sectPr>
          <w:pgSz w:w="11900" w:h="16838" w:orient="portrait"/>
          <w:cols w:equalWidth="0" w:num="1">
            <w:col w:w="10900"/>
          </w:cols>
          <w:pgMar w:left="320" w:top="455" w:right="6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VOTE, MARK BLOCKS BELOW IN BLUE OR BLACK INK AS FOLLOWS: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KEEP THIS PORTION FOR YOUR RECORDS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DETACH AND RETURN THIS PORTION ONLY</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of Directors recommends you vote FOR the following:</w:t>
      </w:r>
    </w:p>
    <w:p>
      <w:pPr>
        <w:spacing w:after="0" w:line="252" w:lineRule="exact"/>
        <w:rPr>
          <w:sz w:val="20"/>
          <w:szCs w:val="20"/>
          <w:color w:val="auto"/>
        </w:rPr>
      </w:pPr>
    </w:p>
    <w:p>
      <w:pPr>
        <w:ind w:left="1000" w:hanging="439"/>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For</w:t>
        <w:tab/>
        <w:t>Against  Abstain</w:t>
      </w:r>
    </w:p>
    <w:p>
      <w:pPr>
        <w:spacing w:after="0" w:line="14" w:lineRule="exact"/>
        <w:rPr>
          <w:sz w:val="20"/>
          <w:szCs w:val="20"/>
          <w:color w:val="auto"/>
        </w:rPr>
      </w:pPr>
    </w:p>
    <w:p>
      <w:pPr>
        <w:ind w:left="40"/>
        <w:spacing w:after="0" w:line="141" w:lineRule="exact"/>
        <w:tabs>
          <w:tab w:leader="none" w:pos="560" w:val="left"/>
          <w:tab w:leader="none" w:pos="11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551" w:lineRule="exact"/>
        <w:rPr>
          <w:sz w:val="20"/>
          <w:szCs w:val="20"/>
          <w:color w:val="auto"/>
        </w:rPr>
      </w:pPr>
    </w:p>
    <w:p>
      <w:pPr>
        <w:sectPr>
          <w:pgSz w:w="11900" w:h="16838" w:orient="portrait"/>
          <w:cols w:equalWidth="0" w:num="2">
            <w:col w:w="9220" w:space="440"/>
            <w:col w:w="1480"/>
          </w:cols>
          <w:pgMar w:left="320" w:top="455" w:right="439" w:bottom="1440" w:gutter="0" w:footer="0" w:header="0"/>
          <w:type w:val="continuous"/>
        </w:sect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The named proxies are also authorized to transact such other business as may properly come before the Special Meeting of Stockholders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 or adjournment thereof.</w:t>
      </w:r>
    </w:p>
    <w:p>
      <w:pPr>
        <w:spacing w:after="0" w:line="55" w:lineRule="exact"/>
        <w:rPr>
          <w:sz w:val="20"/>
          <w:szCs w:val="20"/>
          <w:color w:val="auto"/>
        </w:rPr>
      </w:pPr>
    </w:p>
    <w:p>
      <w:pPr>
        <w:ind w:left="560"/>
        <w:spacing w:after="0"/>
        <w:tabs>
          <w:tab w:leader="none" w:pos="9640" w:val="left"/>
          <w:tab w:leader="none" w:pos="10300" w:val="left"/>
        </w:tabs>
        <w:rPr>
          <w:sz w:val="20"/>
          <w:szCs w:val="20"/>
          <w:color w:val="auto"/>
        </w:rPr>
      </w:pPr>
      <w:r>
        <w:rPr>
          <w:rFonts w:ascii="Times New Roman" w:cs="Times New Roman" w:eastAsia="Times New Roman" w:hAnsi="Times New Roman"/>
          <w:sz w:val="18"/>
          <w:szCs w:val="18"/>
          <w:color w:val="auto"/>
        </w:rPr>
        <w:t>Please indicate if you plan to attend this meeting</w:t>
      </w:r>
      <w:r>
        <w:rPr>
          <w:sz w:val="20"/>
          <w:szCs w:val="20"/>
          <w:color w:val="auto"/>
        </w:rPr>
        <w:tab/>
      </w:r>
      <w:r>
        <w:rPr>
          <w:rFonts w:ascii="Times New Roman" w:cs="Times New Roman" w:eastAsia="Times New Roman" w:hAnsi="Times New Roman"/>
          <w:sz w:val="29"/>
          <w:szCs w:val="29"/>
          <w:b w:val="1"/>
          <w:bCs w:val="1"/>
          <w:color w:val="auto"/>
          <w:vertAlign w:val="superscript"/>
        </w:rPr>
        <w:t>YES</w:t>
      </w:r>
      <w:r>
        <w:rPr>
          <w:sz w:val="20"/>
          <w:szCs w:val="20"/>
          <w:color w:val="auto"/>
        </w:rPr>
        <w:tab/>
      </w:r>
      <w:r>
        <w:rPr>
          <w:rFonts w:ascii="Times New Roman" w:cs="Times New Roman" w:eastAsia="Times New Roman" w:hAnsi="Times New Roman"/>
          <w:sz w:val="22"/>
          <w:szCs w:val="22"/>
          <w:b w:val="1"/>
          <w:bCs w:val="1"/>
          <w:color w:val="auto"/>
          <w:vertAlign w:val="superscript"/>
        </w:rPr>
        <w:t>NO</w:t>
      </w:r>
    </w:p>
    <w:p>
      <w:pPr>
        <w:ind w:left="9720"/>
        <w:spacing w:after="0" w:line="181" w:lineRule="exact"/>
        <w:tabs>
          <w:tab w:leader="none" w:pos="10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3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2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0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                   </w:t>
            </w:r>
          </w:p>
        </w:tc>
      </w:tr>
      <w:tr>
        <w:trPr>
          <w:trHeight w:val="167"/>
        </w:trPr>
        <w:tc>
          <w:tcPr>
            <w:tcW w:w="350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Signature [PLEASE SIGN WITHIN BOX]</w:t>
            </w: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Date</w:t>
            </w: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5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38"/>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(Joint Owners)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2025-03-21T16:10:38Z</dcterms:created>
  <dcterms:modified xsi:type="dcterms:W3CDTF">2025-03-21T16:10:38Z</dcterms:modified>
</cp:coreProperties>
</file>