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120" w:type="dxa"/>
            <w:vAlign w:val="bottom"/>
          </w:tcPr>
          <w:p>
            <w:pPr>
              <w:jc w:val="center"/>
              <w:ind w:right="242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20" w:type="dxa"/>
            <w:vAlign w:val="bottom"/>
          </w:tcPr>
          <w:p>
            <w:pPr>
              <w:jc w:val="center"/>
              <w:ind w:right="24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20" w:type="dxa"/>
            <w:vAlign w:val="bottom"/>
          </w:tcPr>
          <w:p>
            <w:pPr>
              <w:jc w:val="center"/>
              <w:ind w:right="244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20" w:type="dxa"/>
            <w:vAlign w:val="bottom"/>
          </w:tcPr>
          <w:p>
            <w:pPr>
              <w:jc w:val="center"/>
              <w:ind w:left="120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20" w:type="dxa"/>
            <w:vAlign w:val="bottom"/>
          </w:tcPr>
          <w:p>
            <w:pPr>
              <w:jc w:val="center"/>
              <w:ind w:left="120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20" w:type="dxa"/>
            <w:vAlign w:val="bottom"/>
          </w:tcPr>
          <w:p>
            <w:pPr>
              <w:jc w:val="center"/>
              <w:ind w:left="120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August 23, 2012, TPG Specialty Lending, Inc. (the “Company”), a Delaware limited liability company, entered into a Senior Secured Revolving Credit Agreement (the “Facility”). The parties to the Facility include the Company, as Borrower, the lenders from time to time parties thereto (each a “Lender” and collectively, the “Lenders”) and SunTrust Bank as Administrative Agent.</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Facility is guaranteed by TC Lending, LLC, a consolidated subsidiary of the Company, and certain domestic subsidiaries of the Company that are formed or acquired by the Company in the future (collectively, the “Guarantors”). Proceeds of the Facility may be used for general corporate purposes, including the funding of portfolio investments.</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maximum principal amount of the Facility is $200,000,000, subject to availability under the borrowing base, which is based on the Company’s portfolio investments and other outstanding indebtedness. Maximum capacity under the Facility may be increased to $300,000,000 through the exercise by the Borrower of an uncommitted accordion feature through which existing and new lenders may, at their option, agree to provide additional financing. The Facility includes a $30,000,000 limit for swingline loans and a $20,000,000 limit for letters of credit. The Facility is secured by a perfected first-priority interest in substantially all of the portfolio investments held by the Company and each Guarantor.</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availability period under the Facility will terminate on August 24, 2015 (“Commitment Termination Date”) and the Facility will mature on August 23, 2016 (“Maturity Date”). During the period from the Commitment Termination Date to the Maturity Date, the Company will be obligated to make mandatory prepayments under the Facility out of the proceeds of certain asset sales and other recovery events and equity and debt issuances.</w:t>
      </w:r>
    </w:p>
    <w:p>
      <w:pPr>
        <w:spacing w:after="0" w:line="10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Facility, including amounts drawn in respect of letters of credit, will bear interest at either LIBOR plus a margin, or the prime rate plus a margin. The Company may elect either the LIBOR or prime rate at the time of drawdown, and loans may be converted from one rate to another at any time, subject to certain conditions. The Company will also pay a fee of 0.50% on undrawn amounts under the Facility and, in respect of each undrawn letter of credit, a fee and interest rate equal to the then-applicable margin under the Facility while the letter of credit is outstanding.</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Facility includes customary covenants, including certain financial covenants related to asset coverage and liquidity and other maintenance covenants, as well as customary events of default.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foregoing description of the Facility is not complete and is qualified in its entirety by reference to the full text of such agreement, which will be filed with the Company’s Quarterly Report on Form 10-Q for the quarter ending September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780" w:type="dxa"/>
            <w:vAlign w:val="bottom"/>
            <w:gridSpan w:val="2"/>
          </w:tcPr>
          <w:p>
            <w:pPr>
              <w:ind w:left="2280"/>
              <w:spacing w:after="0"/>
              <w:rPr>
                <w:sz w:val="20"/>
                <w:szCs w:val="20"/>
                <w:color w:val="auto"/>
              </w:rPr>
            </w:pPr>
            <w:r>
              <w:rPr>
                <w:rFonts w:ascii="Arial" w:cs="Arial" w:eastAsia="Arial" w:hAnsi="Arial"/>
                <w:sz w:val="18"/>
                <w:szCs w:val="18"/>
                <w:color w:val="auto"/>
              </w:rPr>
              <w:t>TPG SPECIALTY LENDING, INC.</w:t>
            </w:r>
          </w:p>
        </w:tc>
      </w:tr>
      <w:tr>
        <w:trPr>
          <w:trHeight w:val="222"/>
        </w:trPr>
        <w:tc>
          <w:tcPr>
            <w:tcW w:w="3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(Registrant)</w:t>
            </w:r>
          </w:p>
        </w:tc>
      </w:tr>
      <w:tr>
        <w:trPr>
          <w:trHeight w:val="447"/>
        </w:trPr>
        <w:tc>
          <w:tcPr>
            <w:tcW w:w="3640" w:type="dxa"/>
            <w:vAlign w:val="bottom"/>
          </w:tcPr>
          <w:p>
            <w:pPr>
              <w:spacing w:after="0"/>
              <w:rPr>
                <w:sz w:val="20"/>
                <w:szCs w:val="20"/>
                <w:color w:val="auto"/>
              </w:rPr>
            </w:pPr>
            <w:r>
              <w:rPr>
                <w:rFonts w:ascii="Arial" w:cs="Arial" w:eastAsia="Arial" w:hAnsi="Arial"/>
                <w:sz w:val="18"/>
                <w:szCs w:val="18"/>
                <w:color w:val="auto"/>
              </w:rPr>
              <w:t>Date: August 28, 2012</w:t>
            </w:r>
          </w:p>
        </w:tc>
        <w:tc>
          <w:tcPr>
            <w:tcW w:w="7780" w:type="dxa"/>
            <w:vAlign w:val="bottom"/>
            <w:gridSpan w:val="2"/>
          </w:tcPr>
          <w:p>
            <w:pPr>
              <w:ind w:left="2280"/>
              <w:spacing w:after="0"/>
              <w:rPr>
                <w:sz w:val="20"/>
                <w:szCs w:val="20"/>
                <w:color w:val="auto"/>
              </w:rPr>
            </w:pPr>
            <w:r>
              <w:rPr>
                <w:rFonts w:ascii="Arial" w:cs="Arial" w:eastAsia="Arial" w:hAnsi="Arial"/>
                <w:sz w:val="18"/>
                <w:szCs w:val="18"/>
                <w:color w:val="auto"/>
              </w:rPr>
              <w:t>By: /s/ Ronald Cami</w:t>
            </w:r>
          </w:p>
        </w:tc>
      </w:tr>
      <w:tr>
        <w:trPr>
          <w:trHeight w:val="202"/>
        </w:trPr>
        <w:tc>
          <w:tcPr>
            <w:tcW w:w="36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3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365"/>
        </w:trPr>
        <w:tc>
          <w:tcPr>
            <w:tcW w:w="3640" w:type="dxa"/>
            <w:vAlign w:val="bottom"/>
          </w:tcPr>
          <w:p>
            <w:pPr>
              <w:spacing w:after="0"/>
              <w:rPr>
                <w:sz w:val="24"/>
                <w:szCs w:val="24"/>
                <w:color w:val="auto"/>
              </w:rPr>
            </w:pP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2019-12-09T20:23:31Z</dcterms:created>
  <dcterms:modified xsi:type="dcterms:W3CDTF">2019-12-09T20:23:31Z</dcterms:modified>
</cp:coreProperties>
</file>